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Libre Caslon Text" w:cs="Libre Caslon Text" w:eastAsia="Libre Caslon Text" w:hAnsi="Libre Caslon Text"/>
          <w:color w:val="9F8B76"/>
          <w:spacing w:val="200"/>
          <w:sz w:val="22"/>
          <w:szCs w:val="22"/>
        </w:rPr>
        <w:t xml:space="preserve">VENDOR RESEARCH BRIEF</w:t>
      </w:r>
    </w:p>
    <w:p>
      <w:pPr>
        <w:spacing w:after="100"/>
        <w:jc w:val="center"/>
      </w:pPr>
      <w:r>
        <w:rPr>
          <w:rFonts w:ascii="Libre Caslon Text" w:cs="Libre Caslon Text" w:eastAsia="Libre Caslon Text" w:hAnsi="Libre Caslon Text"/>
          <w:b/>
          <w:bCs/>
          <w:color w:val="D42121"/>
          <w:sz w:val="56"/>
          <w:szCs w:val="56"/>
        </w:rPr>
        <w:t xml:space="preserve">[Vendor Name]</w:t>
      </w:r>
    </w:p>
    <w:p>
      <w:pPr>
        <w:spacing w:after="80"/>
        <w:jc w:val="center"/>
      </w:pPr>
      <w:r>
        <w:rPr>
          <w:rFonts w:ascii="Libre Caslon Text" w:cs="Libre Caslon Text" w:eastAsia="Libre Caslon Text" w:hAnsi="Libre Caslon Text"/>
          <w:color w:val="294878"/>
          <w:sz w:val="28"/>
          <w:szCs w:val="28"/>
        </w:rPr>
        <w:t xml:space="preserve">[Product Category]</w:t>
      </w:r>
    </w:p>
    <w:p>
      <w:pPr>
        <w:spacing w:before="200"/>
      </w:pPr>
    </w:p>
    <w:tbl>
      <w:tblPr>
        <w:tblW w:type="dxa" w:w="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</w:tblGrid>
      <w:tr>
        <w:tc>
          <w:tcPr>
            <w:tcW w:type="dxa" w:w="4000"/>
            <w:tcBorders>
              <w:top w:val="single" w:color="D42121" w:sz="2"/>
              <w:left w:val="none"/>
              <w:bottom w:val="none"/>
              <w:right w:val="none"/>
            </w:tcBorders>
          </w:tcPr>
          <w:p/>
        </w:tc>
      </w:tr>
    </w:tbl>
    <w:p>
      <w:pPr>
        <w:spacing w:before="400"/>
        <w:jc w:val="center"/>
      </w:pPr>
      <w:r>
        <w:rPr>
          <w:rFonts w:ascii="Libre Caslon Text" w:cs="Libre Caslon Text" w:eastAsia="Libre Caslon Text" w:hAnsi="Libre Caslon Text"/>
          <w:color w:val="0F1012"/>
          <w:sz w:val="24"/>
          <w:szCs w:val="24"/>
        </w:rPr>
        <w:t xml:space="preserve">Prepared for [Institution Name]</w:t>
      </w:r>
    </w:p>
    <w:p>
      <w:pPr>
        <w:spacing w:after="80"/>
        <w:jc w:val="center"/>
      </w:pPr>
      <w:r>
        <w:rPr>
          <w:rFonts w:ascii="Arial" w:cs="Arial" w:eastAsia="Arial" w:hAnsi="Arial"/>
          <w:color w:val="6A6869"/>
          <w:sz w:val="22"/>
          <w:szCs w:val="22"/>
        </w:rPr>
        <w:t xml:space="preserve">[Department]</w:t>
      </w:r>
    </w:p>
    <w:p>
      <w:pPr>
        <w:spacing w:after="80"/>
        <w:jc w:val="center"/>
      </w:pPr>
      <w:r>
        <w:rPr>
          <w:rFonts w:ascii="Arial" w:cs="Arial" w:eastAsia="Arial" w:hAnsi="Arial"/>
          <w:color w:val="6A6869"/>
          <w:sz w:val="22"/>
          <w:szCs w:val="22"/>
        </w:rPr>
        <w:t xml:space="preserve">[Date]</w:t>
      </w:r>
    </w:p>
    <w:p>
      <w:pPr>
        <w:spacing w:before="2400"/>
        <w:jc w:val="center"/>
      </w:pPr>
      <w:r>
        <w:rPr>
          <w:rFonts w:ascii="Arial" w:cs="Arial" w:eastAsia="Arial" w:hAnsi="Arial"/>
          <w:color w:val="D42121"/>
          <w:spacing w:val="200"/>
          <w:sz w:val="18"/>
          <w:szCs w:val="18"/>
        </w:rPr>
        <w:t xml:space="preserve">CONFIDENTIAL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rPr>
          <w:rFonts w:ascii="Libre Caslon Text" w:cs="Libre Caslon Text" w:eastAsia="Libre Caslon Text" w:hAnsi="Libre Caslon Text"/>
          <w:b/>
          <w:bCs/>
          <w:color w:val="D42121"/>
          <w:sz w:val="32"/>
          <w:szCs w:val="32"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B0ABAB"/>
          <w:sz w:val="21"/>
          <w:szCs w:val="21"/>
        </w:rPr>
        <w:t xml:space="preserve">[2-3 paragraph overview of the vendor, product capabilities, and key findings from all research tracks. Include the institution's use case and scale.]</w:t>
      </w:r>
    </w:p>
    <w:p>
      <w:pPr>
        <w:pStyle w:val="Heading2"/>
        <w:spacing w:before="280" w:after="160"/>
      </w:pPr>
      <w:r>
        <w:rPr>
          <w:rFonts w:ascii="Libre Caslon Text" w:cs="Libre Caslon Text" w:eastAsia="Libre Caslon Text" w:hAnsi="Libre Caslon Text"/>
          <w:b/>
          <w:bCs/>
          <w:color w:val="294878"/>
          <w:sz w:val="26"/>
          <w:szCs w:val="26"/>
        </w:rPr>
        <w:t xml:space="preserve">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4CFCE" w:sz="1"/>
              <w:left w:val="single" w:color="D4CFCE" w:sz="1"/>
              <w:bottom w:val="single" w:color="D4CFCE" w:sz="1"/>
              <w:right w:val="single" w:color="D4CFCE" w:sz="1"/>
            </w:tcBorders>
            <w:shd w:fill="2948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6240"/>
            <w:tcBorders>
              <w:top w:val="single" w:color="D4CFCE" w:sz="1"/>
              <w:left w:val="single" w:color="D4CFCE" w:sz="1"/>
              <w:bottom w:val="single" w:color="D4CFCE" w:sz="1"/>
              <w:right w:val="single" w:color="D4CFCE" w:sz="1"/>
            </w:tcBorders>
            <w:shd w:fill="2948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Summary</w:t>
            </w:r>
          </w:p>
        </w:tc>
      </w:tr>
      <w:tr>
        <w:tc>
          <w:tcPr>
            <w:tcW w:type="dxa" w:w="3120"/>
            <w:tcBorders>
              <w:top w:val="single" w:color="D4CFCE" w:sz="1"/>
              <w:left w:val="single" w:color="D4CFCE" w:sz="1"/>
              <w:bottom w:val="single" w:color="D4CFCE" w:sz="1"/>
              <w:right w:val="single" w:color="D4CFCE" w:sz="1"/>
            </w:tcBorders>
            <w:shd w:fill="F9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012"/>
                <w:sz w:val="19"/>
                <w:szCs w:val="19"/>
              </w:rPr>
              <w:t xml:space="preserve">Company</w:t>
            </w:r>
          </w:p>
        </w:tc>
        <w:tc>
          <w:tcPr>
            <w:tcW w:type="dxa" w:w="6240"/>
            <w:tcBorders>
              <w:top w:val="single" w:color="D4CFCE" w:sz="1"/>
              <w:left w:val="single" w:color="D4CFCE" w:sz="1"/>
              <w:bottom w:val="single" w:color="D4CFCE" w:sz="1"/>
              <w:right w:val="single" w:color="D4CFCE" w:sz="1"/>
            </w:tcBorders>
            <w:shd w:fill="F9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0ABAB"/>
                <w:sz w:val="19"/>
                <w:szCs w:val="19"/>
              </w:rPr>
              <w:t xml:space="preserve">[Founding date, HQ, valuation, employee count, key investors]</w:t>
            </w:r>
          </w:p>
        </w:tc>
      </w:tr>
      <w:tr>
        <w:tc>
          <w:tcPr>
            <w:tcW w:type="dxa" w:w="3120"/>
            <w:tcBorders>
              <w:top w:val="single" w:color="D4CFCE" w:sz="1"/>
              <w:left w:val="single" w:color="D4CFCE" w:sz="1"/>
              <w:bottom w:val="single" w:color="D4CFCE" w:sz="1"/>
              <w:right w:val="single" w:color="D4CF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012"/>
                <w:sz w:val="19"/>
                <w:szCs w:val="19"/>
              </w:rPr>
              <w:t xml:space="preserve">Product</w:t>
            </w:r>
          </w:p>
        </w:tc>
        <w:tc>
          <w:tcPr>
            <w:tcW w:type="dxa" w:w="6240"/>
            <w:tcBorders>
              <w:top w:val="single" w:color="D4CFCE" w:sz="1"/>
              <w:left w:val="single" w:color="D4CFCE" w:sz="1"/>
              <w:bottom w:val="single" w:color="D4CFCE" w:sz="1"/>
              <w:right w:val="single" w:color="D4CF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0ABAB"/>
                <w:sz w:val="19"/>
                <w:szCs w:val="19"/>
              </w:rPr>
              <w:t xml:space="preserve">[One-sentence description of core capabilities]</w:t>
            </w:r>
          </w:p>
        </w:tc>
      </w:tr>
      <w:tr>
        <w:tc>
          <w:tcPr>
            <w:tcW w:type="dxa" w:w="3120"/>
            <w:tcBorders>
              <w:top w:val="single" w:color="D4CFCE" w:sz="1"/>
              <w:left w:val="single" w:color="D4CFCE" w:sz="1"/>
              <w:bottom w:val="single" w:color="D4CFCE" w:sz="1"/>
              <w:right w:val="single" w:color="D4CFCE" w:sz="1"/>
            </w:tcBorders>
            <w:shd w:fill="F9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012"/>
                <w:sz w:val="19"/>
                <w:szCs w:val="19"/>
              </w:rPr>
              <w:t xml:space="preserve">Certifications</w:t>
            </w:r>
          </w:p>
        </w:tc>
        <w:tc>
          <w:tcPr>
            <w:tcW w:type="dxa" w:w="6240"/>
            <w:tcBorders>
              <w:top w:val="single" w:color="D4CFCE" w:sz="1"/>
              <w:left w:val="single" w:color="D4CFCE" w:sz="1"/>
              <w:bottom w:val="single" w:color="D4CFCE" w:sz="1"/>
              <w:right w:val="single" w:color="D4CFCE" w:sz="1"/>
            </w:tcBorders>
            <w:shd w:fill="F9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0ABAB"/>
                <w:sz w:val="19"/>
                <w:szCs w:val="19"/>
              </w:rPr>
              <w:t xml:space="preserve">[SOC 2, ISO 27001, FedRAMP, HIPAA, GDPR, etc.]</w:t>
            </w:r>
          </w:p>
        </w:tc>
      </w:tr>
      <w:tr>
        <w:tc>
          <w:tcPr>
            <w:tcW w:type="dxa" w:w="3120"/>
            <w:tcBorders>
              <w:top w:val="single" w:color="D4CFCE" w:sz="1"/>
              <w:left w:val="single" w:color="D4CFCE" w:sz="1"/>
              <w:bottom w:val="single" w:color="D4CFCE" w:sz="1"/>
              <w:right w:val="single" w:color="D4CF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012"/>
                <w:sz w:val="19"/>
                <w:szCs w:val="19"/>
              </w:rPr>
              <w:t xml:space="preserve">Ratings</w:t>
            </w:r>
          </w:p>
        </w:tc>
        <w:tc>
          <w:tcPr>
            <w:tcW w:type="dxa" w:w="6240"/>
            <w:tcBorders>
              <w:top w:val="single" w:color="D4CFCE" w:sz="1"/>
              <w:left w:val="single" w:color="D4CFCE" w:sz="1"/>
              <w:bottom w:val="single" w:color="D4CFCE" w:sz="1"/>
              <w:right w:val="single" w:color="D4CF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0ABAB"/>
                <w:sz w:val="19"/>
                <w:szCs w:val="19"/>
              </w:rPr>
              <w:t xml:space="preserve">[G2, Capterra, Gartner Peer Insights scores and review counts]</w:t>
            </w:r>
          </w:p>
        </w:tc>
      </w:tr>
      <w:tr>
        <w:tc>
          <w:tcPr>
            <w:tcW w:type="dxa" w:w="3120"/>
            <w:tcBorders>
              <w:top w:val="single" w:color="D4CFCE" w:sz="1"/>
              <w:left w:val="single" w:color="D4CFCE" w:sz="1"/>
              <w:bottom w:val="single" w:color="D4CFCE" w:sz="1"/>
              <w:right w:val="single" w:color="D4CFCE" w:sz="1"/>
            </w:tcBorders>
            <w:shd w:fill="F9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012"/>
                <w:sz w:val="19"/>
                <w:szCs w:val="19"/>
              </w:rPr>
              <w:t xml:space="preserve">Pricing</w:t>
            </w:r>
          </w:p>
        </w:tc>
        <w:tc>
          <w:tcPr>
            <w:tcW w:type="dxa" w:w="6240"/>
            <w:tcBorders>
              <w:top w:val="single" w:color="D4CFCE" w:sz="1"/>
              <w:left w:val="single" w:color="D4CFCE" w:sz="1"/>
              <w:bottom w:val="single" w:color="D4CFCE" w:sz="1"/>
              <w:right w:val="single" w:color="D4CFCE" w:sz="1"/>
            </w:tcBorders>
            <w:shd w:fill="F9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0ABAB"/>
                <w:sz w:val="19"/>
                <w:szCs w:val="19"/>
              </w:rPr>
              <w:t xml:space="preserve">[Model and estimated cost range with educational discount]</w:t>
            </w:r>
          </w:p>
        </w:tc>
      </w:tr>
      <w:tr>
        <w:tc>
          <w:tcPr>
            <w:tcW w:type="dxa" w:w="3120"/>
            <w:tcBorders>
              <w:top w:val="single" w:color="D4CFCE" w:sz="1"/>
              <w:left w:val="single" w:color="D4CFCE" w:sz="1"/>
              <w:bottom w:val="single" w:color="D4CFCE" w:sz="1"/>
              <w:right w:val="single" w:color="D4CF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012"/>
                <w:sz w:val="19"/>
                <w:szCs w:val="19"/>
              </w:rPr>
              <w:t xml:space="preserve">Higher Ed Fit</w:t>
            </w:r>
          </w:p>
        </w:tc>
        <w:tc>
          <w:tcPr>
            <w:tcW w:type="dxa" w:w="6240"/>
            <w:tcBorders>
              <w:top w:val="single" w:color="D4CFCE" w:sz="1"/>
              <w:left w:val="single" w:color="D4CFCE" w:sz="1"/>
              <w:bottom w:val="single" w:color="D4CFCE" w:sz="1"/>
              <w:right w:val="single" w:color="D4CF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0ABAB"/>
                <w:sz w:val="19"/>
                <w:szCs w:val="19"/>
              </w:rPr>
              <w:t xml:space="preserve">[Case study count, EDUCAUSE presence, peer adoption]</w:t>
            </w:r>
          </w:p>
        </w:tc>
      </w:tr>
    </w:tbl>
    <w:p>
      <w:r>
        <w:br w:type="page"/>
      </w:r>
    </w:p>
    <w:p>
      <w:pPr>
        <w:pStyle w:val="Heading2"/>
        <w:spacing w:before="280" w:after="160"/>
      </w:pPr>
      <w:r>
        <w:rPr>
          <w:rFonts w:ascii="Libre Caslon Text" w:cs="Libre Caslon Text" w:eastAsia="Libre Caslon Text" w:hAnsi="Libre Caslon Text"/>
          <w:b/>
          <w:bCs/>
          <w:color w:val="294878"/>
          <w:sz w:val="26"/>
          <w:szCs w:val="26"/>
        </w:rPr>
        <w:t xml:space="preserve">Readiness Scorecard</w:t>
      </w:r>
    </w:p>
    <w:p>
      <w:pPr>
        <w:spacing w:after="120"/>
      </w:pPr>
      <w:r>
        <w:rPr>
          <w:rFonts w:ascii="Arial" w:cs="Arial" w:eastAsia="Arial" w:hAnsi="Arial"/>
          <w:color w:val="0F1012"/>
          <w:sz w:val="21"/>
          <w:szCs w:val="21"/>
        </w:rPr>
        <w:t xml:space="preserve">The following table maps the vendor against the institution’s key procurement requirements.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800"/>
        <w:gridCol w:w="2960"/>
      </w:tblGrid>
      <w:tr>
        <w:tc>
          <w:tcPr>
            <w:tcW w:type="dxa" w:w="2800"/>
            <w:tcBorders>
              <w:top w:val="single" w:color="D4CFCE" w:sz="1"/>
              <w:left w:val="single" w:color="D4CFCE" w:sz="1"/>
              <w:bottom w:val="single" w:color="D4CFCE" w:sz="1"/>
              <w:right w:val="single" w:color="D4CFCE" w:sz="1"/>
            </w:tcBorders>
            <w:shd w:fill="2948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D4CFCE" w:sz="1"/>
              <w:left w:val="single" w:color="D4CFCE" w:sz="1"/>
              <w:bottom w:val="single" w:color="D4CFCE" w:sz="1"/>
              <w:right w:val="single" w:color="D4CFCE" w:sz="1"/>
            </w:tcBorders>
            <w:shd w:fill="2948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D4CFCE" w:sz="1"/>
              <w:left w:val="single" w:color="D4CFCE" w:sz="1"/>
              <w:bottom w:val="single" w:color="D4CFCE" w:sz="1"/>
              <w:right w:val="single" w:color="D4CFCE" w:sz="1"/>
            </w:tcBorders>
            <w:shd w:fill="2948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2960"/>
            <w:tcBorders>
              <w:top w:val="single" w:color="D4CFCE" w:sz="1"/>
              <w:left w:val="single" w:color="D4CFCE" w:sz="1"/>
              <w:bottom w:val="single" w:color="D4CFCE" w:sz="1"/>
              <w:right w:val="single" w:color="D4CFCE" w:sz="1"/>
            </w:tcBorders>
            <w:shd w:fill="2948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D4CFCE" w:sz="1"/>
              <w:left w:val="single" w:color="D4CFCE" w:sz="1"/>
              <w:bottom w:val="single" w:color="D4CFCE" w:sz="1"/>
              <w:right w:val="single" w:color="D4CFCE" w:sz="1"/>
            </w:tcBorders>
            <w:shd w:fill="F9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012"/>
                <w:sz w:val="19"/>
                <w:szCs w:val="19"/>
              </w:rPr>
              <w:t xml:space="preserve">HECVAT Assessment</w:t>
            </w:r>
          </w:p>
        </w:tc>
        <w:tc>
          <w:tcPr>
            <w:tcW w:type="dxa" w:w="1800"/>
            <w:tcBorders>
              <w:top w:val="single" w:color="D4CFCE" w:sz="1"/>
              <w:left w:val="single" w:color="D4CFCE" w:sz="1"/>
              <w:bottom w:val="single" w:color="D4CFCE" w:sz="1"/>
              <w:right w:val="single" w:color="D4CFCE" w:sz="1"/>
            </w:tcBorders>
            <w:shd w:fill="B0AB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[STATUS]</w:t>
            </w:r>
          </w:p>
        </w:tc>
        <w:tc>
          <w:tcPr>
            <w:tcW w:type="dxa" w:w="1800"/>
            <w:tcBorders>
              <w:top w:val="single" w:color="D4CFCE" w:sz="1"/>
              <w:left w:val="single" w:color="D4CFCE" w:sz="1"/>
              <w:bottom w:val="single" w:color="D4CFCE" w:sz="1"/>
              <w:right w:val="single" w:color="D4CFCE" w:sz="1"/>
            </w:tcBorders>
            <w:shd w:fill="B0AB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[RISK]</w:t>
            </w:r>
          </w:p>
        </w:tc>
        <w:tc>
          <w:tcPr>
            <w:tcW w:type="dxa" w:w="2960"/>
            <w:tcBorders>
              <w:top w:val="single" w:color="D4CFCE" w:sz="1"/>
              <w:left w:val="single" w:color="D4CFCE" w:sz="1"/>
              <w:bottom w:val="single" w:color="D4CFCE" w:sz="1"/>
              <w:right w:val="single" w:color="D4CFCE" w:sz="1"/>
            </w:tcBorders>
            <w:shd w:fill="F9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0ABAB"/>
                <w:sz w:val="19"/>
                <w:szCs w:val="19"/>
              </w:rPr>
              <w:t xml:space="preserve">[Notes]</w:t>
            </w:r>
          </w:p>
        </w:tc>
      </w:tr>
      <w:tr>
        <w:tc>
          <w:tcPr>
            <w:tcW w:type="dxa" w:w="2800"/>
            <w:tcBorders>
              <w:top w:val="single" w:color="D4CFCE" w:sz="1"/>
              <w:left w:val="single" w:color="D4CFCE" w:sz="1"/>
              <w:bottom w:val="single" w:color="D4CFCE" w:sz="1"/>
              <w:right w:val="single" w:color="D4CF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012"/>
                <w:sz w:val="19"/>
                <w:szCs w:val="19"/>
              </w:rPr>
              <w:t xml:space="preserve">SOC 2 Type II</w:t>
            </w:r>
          </w:p>
        </w:tc>
        <w:tc>
          <w:tcPr>
            <w:tcW w:type="dxa" w:w="1800"/>
            <w:tcBorders>
              <w:top w:val="single" w:color="D4CFCE" w:sz="1"/>
              <w:left w:val="single" w:color="D4CFCE" w:sz="1"/>
              <w:bottom w:val="single" w:color="D4CFCE" w:sz="1"/>
              <w:right w:val="single" w:color="D4CFCE" w:sz="1"/>
            </w:tcBorders>
            <w:shd w:fill="B0AB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[STATUS]</w:t>
            </w:r>
          </w:p>
        </w:tc>
        <w:tc>
          <w:tcPr>
            <w:tcW w:type="dxa" w:w="1800"/>
            <w:tcBorders>
              <w:top w:val="single" w:color="D4CFCE" w:sz="1"/>
              <w:left w:val="single" w:color="D4CFCE" w:sz="1"/>
              <w:bottom w:val="single" w:color="D4CFCE" w:sz="1"/>
              <w:right w:val="single" w:color="D4CFCE" w:sz="1"/>
            </w:tcBorders>
            <w:shd w:fill="B0AB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[RISK]</w:t>
            </w:r>
          </w:p>
        </w:tc>
        <w:tc>
          <w:tcPr>
            <w:tcW w:type="dxa" w:w="2960"/>
            <w:tcBorders>
              <w:top w:val="single" w:color="D4CFCE" w:sz="1"/>
              <w:left w:val="single" w:color="D4CFCE" w:sz="1"/>
              <w:bottom w:val="single" w:color="D4CFCE" w:sz="1"/>
              <w:right w:val="single" w:color="D4CF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0ABAB"/>
                <w:sz w:val="19"/>
                <w:szCs w:val="19"/>
              </w:rPr>
              <w:t xml:space="preserve">[Notes]</w:t>
            </w:r>
          </w:p>
        </w:tc>
      </w:tr>
      <w:tr>
        <w:tc>
          <w:tcPr>
            <w:tcW w:type="dxa" w:w="2800"/>
            <w:tcBorders>
              <w:top w:val="single" w:color="D4CFCE" w:sz="1"/>
              <w:left w:val="single" w:color="D4CFCE" w:sz="1"/>
              <w:bottom w:val="single" w:color="D4CFCE" w:sz="1"/>
              <w:right w:val="single" w:color="D4CFCE" w:sz="1"/>
            </w:tcBorders>
            <w:shd w:fill="F9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012"/>
                <w:sz w:val="19"/>
                <w:szCs w:val="19"/>
              </w:rPr>
              <w:t xml:space="preserve">FERPA Compliance</w:t>
            </w:r>
          </w:p>
        </w:tc>
        <w:tc>
          <w:tcPr>
            <w:tcW w:type="dxa" w:w="1800"/>
            <w:tcBorders>
              <w:top w:val="single" w:color="D4CFCE" w:sz="1"/>
              <w:left w:val="single" w:color="D4CFCE" w:sz="1"/>
              <w:bottom w:val="single" w:color="D4CFCE" w:sz="1"/>
              <w:right w:val="single" w:color="D4CFCE" w:sz="1"/>
            </w:tcBorders>
            <w:shd w:fill="B0AB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[STATUS]</w:t>
            </w:r>
          </w:p>
        </w:tc>
        <w:tc>
          <w:tcPr>
            <w:tcW w:type="dxa" w:w="1800"/>
            <w:tcBorders>
              <w:top w:val="single" w:color="D4CFCE" w:sz="1"/>
              <w:left w:val="single" w:color="D4CFCE" w:sz="1"/>
              <w:bottom w:val="single" w:color="D4CFCE" w:sz="1"/>
              <w:right w:val="single" w:color="D4CFCE" w:sz="1"/>
            </w:tcBorders>
            <w:shd w:fill="B0AB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[RISK]</w:t>
            </w:r>
          </w:p>
        </w:tc>
        <w:tc>
          <w:tcPr>
            <w:tcW w:type="dxa" w:w="2960"/>
            <w:tcBorders>
              <w:top w:val="single" w:color="D4CFCE" w:sz="1"/>
              <w:left w:val="single" w:color="D4CFCE" w:sz="1"/>
              <w:bottom w:val="single" w:color="D4CFCE" w:sz="1"/>
              <w:right w:val="single" w:color="D4CFCE" w:sz="1"/>
            </w:tcBorders>
            <w:shd w:fill="F9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0ABAB"/>
                <w:sz w:val="19"/>
                <w:szCs w:val="19"/>
              </w:rPr>
              <w:t xml:space="preserve">[Notes]</w:t>
            </w:r>
          </w:p>
        </w:tc>
      </w:tr>
      <w:tr>
        <w:tc>
          <w:tcPr>
            <w:tcW w:type="dxa" w:w="2800"/>
            <w:tcBorders>
              <w:top w:val="single" w:color="D4CFCE" w:sz="1"/>
              <w:left w:val="single" w:color="D4CFCE" w:sz="1"/>
              <w:bottom w:val="single" w:color="D4CFCE" w:sz="1"/>
              <w:right w:val="single" w:color="D4CF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012"/>
                <w:sz w:val="19"/>
                <w:szCs w:val="19"/>
              </w:rPr>
              <w:t xml:space="preserve">GLBA Compliance</w:t>
            </w:r>
          </w:p>
        </w:tc>
        <w:tc>
          <w:tcPr>
            <w:tcW w:type="dxa" w:w="1800"/>
            <w:tcBorders>
              <w:top w:val="single" w:color="D4CFCE" w:sz="1"/>
              <w:left w:val="single" w:color="D4CFCE" w:sz="1"/>
              <w:bottom w:val="single" w:color="D4CFCE" w:sz="1"/>
              <w:right w:val="single" w:color="D4CFCE" w:sz="1"/>
            </w:tcBorders>
            <w:shd w:fill="B0AB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[STATUS]</w:t>
            </w:r>
          </w:p>
        </w:tc>
        <w:tc>
          <w:tcPr>
            <w:tcW w:type="dxa" w:w="1800"/>
            <w:tcBorders>
              <w:top w:val="single" w:color="D4CFCE" w:sz="1"/>
              <w:left w:val="single" w:color="D4CFCE" w:sz="1"/>
              <w:bottom w:val="single" w:color="D4CFCE" w:sz="1"/>
              <w:right w:val="single" w:color="D4CFCE" w:sz="1"/>
            </w:tcBorders>
            <w:shd w:fill="B0AB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[RISK]</w:t>
            </w:r>
          </w:p>
        </w:tc>
        <w:tc>
          <w:tcPr>
            <w:tcW w:type="dxa" w:w="2960"/>
            <w:tcBorders>
              <w:top w:val="single" w:color="D4CFCE" w:sz="1"/>
              <w:left w:val="single" w:color="D4CFCE" w:sz="1"/>
              <w:bottom w:val="single" w:color="D4CFCE" w:sz="1"/>
              <w:right w:val="single" w:color="D4CF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0ABAB"/>
                <w:sz w:val="19"/>
                <w:szCs w:val="19"/>
              </w:rPr>
              <w:t xml:space="preserve">[Notes]</w:t>
            </w:r>
          </w:p>
        </w:tc>
      </w:tr>
      <w:tr>
        <w:tc>
          <w:tcPr>
            <w:tcW w:type="dxa" w:w="2800"/>
            <w:tcBorders>
              <w:top w:val="single" w:color="D4CFCE" w:sz="1"/>
              <w:left w:val="single" w:color="D4CFCE" w:sz="1"/>
              <w:bottom w:val="single" w:color="D4CFCE" w:sz="1"/>
              <w:right w:val="single" w:color="D4CFCE" w:sz="1"/>
            </w:tcBorders>
            <w:shd w:fill="F9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012"/>
                <w:sz w:val="19"/>
                <w:szCs w:val="19"/>
              </w:rPr>
              <w:t xml:space="preserve">SAML 2.0 / SSO</w:t>
            </w:r>
          </w:p>
        </w:tc>
        <w:tc>
          <w:tcPr>
            <w:tcW w:type="dxa" w:w="1800"/>
            <w:tcBorders>
              <w:top w:val="single" w:color="D4CFCE" w:sz="1"/>
              <w:left w:val="single" w:color="D4CFCE" w:sz="1"/>
              <w:bottom w:val="single" w:color="D4CFCE" w:sz="1"/>
              <w:right w:val="single" w:color="D4CFCE" w:sz="1"/>
            </w:tcBorders>
            <w:shd w:fill="B0AB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[STATUS]</w:t>
            </w:r>
          </w:p>
        </w:tc>
        <w:tc>
          <w:tcPr>
            <w:tcW w:type="dxa" w:w="1800"/>
            <w:tcBorders>
              <w:top w:val="single" w:color="D4CFCE" w:sz="1"/>
              <w:left w:val="single" w:color="D4CFCE" w:sz="1"/>
              <w:bottom w:val="single" w:color="D4CFCE" w:sz="1"/>
              <w:right w:val="single" w:color="D4CFCE" w:sz="1"/>
            </w:tcBorders>
            <w:shd w:fill="B0AB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[RISK]</w:t>
            </w:r>
          </w:p>
        </w:tc>
        <w:tc>
          <w:tcPr>
            <w:tcW w:type="dxa" w:w="2960"/>
            <w:tcBorders>
              <w:top w:val="single" w:color="D4CFCE" w:sz="1"/>
              <w:left w:val="single" w:color="D4CFCE" w:sz="1"/>
              <w:bottom w:val="single" w:color="D4CFCE" w:sz="1"/>
              <w:right w:val="single" w:color="D4CFCE" w:sz="1"/>
            </w:tcBorders>
            <w:shd w:fill="F9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0ABAB"/>
                <w:sz w:val="19"/>
                <w:szCs w:val="19"/>
              </w:rPr>
              <w:t xml:space="preserve">[Notes]</w:t>
            </w:r>
          </w:p>
        </w:tc>
      </w:tr>
      <w:tr>
        <w:tc>
          <w:tcPr>
            <w:tcW w:type="dxa" w:w="2800"/>
            <w:tcBorders>
              <w:top w:val="single" w:color="D4CFCE" w:sz="1"/>
              <w:left w:val="single" w:color="D4CFCE" w:sz="1"/>
              <w:bottom w:val="single" w:color="D4CFCE" w:sz="1"/>
              <w:right w:val="single" w:color="D4CF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012"/>
                <w:sz w:val="19"/>
                <w:szCs w:val="19"/>
              </w:rPr>
              <w:t xml:space="preserve">MFA Support</w:t>
            </w:r>
          </w:p>
        </w:tc>
        <w:tc>
          <w:tcPr>
            <w:tcW w:type="dxa" w:w="1800"/>
            <w:tcBorders>
              <w:top w:val="single" w:color="D4CFCE" w:sz="1"/>
              <w:left w:val="single" w:color="D4CFCE" w:sz="1"/>
              <w:bottom w:val="single" w:color="D4CFCE" w:sz="1"/>
              <w:right w:val="single" w:color="D4CFCE" w:sz="1"/>
            </w:tcBorders>
            <w:shd w:fill="B0AB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[STATUS]</w:t>
            </w:r>
          </w:p>
        </w:tc>
        <w:tc>
          <w:tcPr>
            <w:tcW w:type="dxa" w:w="1800"/>
            <w:tcBorders>
              <w:top w:val="single" w:color="D4CFCE" w:sz="1"/>
              <w:left w:val="single" w:color="D4CFCE" w:sz="1"/>
              <w:bottom w:val="single" w:color="D4CFCE" w:sz="1"/>
              <w:right w:val="single" w:color="D4CFCE" w:sz="1"/>
            </w:tcBorders>
            <w:shd w:fill="B0AB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[RISK]</w:t>
            </w:r>
          </w:p>
        </w:tc>
        <w:tc>
          <w:tcPr>
            <w:tcW w:type="dxa" w:w="2960"/>
            <w:tcBorders>
              <w:top w:val="single" w:color="D4CFCE" w:sz="1"/>
              <w:left w:val="single" w:color="D4CFCE" w:sz="1"/>
              <w:bottom w:val="single" w:color="D4CFCE" w:sz="1"/>
              <w:right w:val="single" w:color="D4CF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0ABAB"/>
                <w:sz w:val="19"/>
                <w:szCs w:val="19"/>
              </w:rPr>
              <w:t xml:space="preserve">[Notes]</w:t>
            </w:r>
          </w:p>
        </w:tc>
      </w:tr>
      <w:tr>
        <w:tc>
          <w:tcPr>
            <w:tcW w:type="dxa" w:w="2800"/>
            <w:tcBorders>
              <w:top w:val="single" w:color="D4CFCE" w:sz="1"/>
              <w:left w:val="single" w:color="D4CFCE" w:sz="1"/>
              <w:bottom w:val="single" w:color="D4CFCE" w:sz="1"/>
              <w:right w:val="single" w:color="D4CFCE" w:sz="1"/>
            </w:tcBorders>
            <w:shd w:fill="F9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012"/>
                <w:sz w:val="19"/>
                <w:szCs w:val="19"/>
              </w:rPr>
              <w:t xml:space="preserve">Data in US Only</w:t>
            </w:r>
          </w:p>
        </w:tc>
        <w:tc>
          <w:tcPr>
            <w:tcW w:type="dxa" w:w="1800"/>
            <w:tcBorders>
              <w:top w:val="single" w:color="D4CFCE" w:sz="1"/>
              <w:left w:val="single" w:color="D4CFCE" w:sz="1"/>
              <w:bottom w:val="single" w:color="D4CFCE" w:sz="1"/>
              <w:right w:val="single" w:color="D4CFCE" w:sz="1"/>
            </w:tcBorders>
            <w:shd w:fill="B0AB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[STATUS]</w:t>
            </w:r>
          </w:p>
        </w:tc>
        <w:tc>
          <w:tcPr>
            <w:tcW w:type="dxa" w:w="1800"/>
            <w:tcBorders>
              <w:top w:val="single" w:color="D4CFCE" w:sz="1"/>
              <w:left w:val="single" w:color="D4CFCE" w:sz="1"/>
              <w:bottom w:val="single" w:color="D4CFCE" w:sz="1"/>
              <w:right w:val="single" w:color="D4CFCE" w:sz="1"/>
            </w:tcBorders>
            <w:shd w:fill="B0AB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[RISK]</w:t>
            </w:r>
          </w:p>
        </w:tc>
        <w:tc>
          <w:tcPr>
            <w:tcW w:type="dxa" w:w="2960"/>
            <w:tcBorders>
              <w:top w:val="single" w:color="D4CFCE" w:sz="1"/>
              <w:left w:val="single" w:color="D4CFCE" w:sz="1"/>
              <w:bottom w:val="single" w:color="D4CFCE" w:sz="1"/>
              <w:right w:val="single" w:color="D4CFCE" w:sz="1"/>
            </w:tcBorders>
            <w:shd w:fill="F9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0ABAB"/>
                <w:sz w:val="19"/>
                <w:szCs w:val="19"/>
              </w:rPr>
              <w:t xml:space="preserve">[Notes]</w:t>
            </w:r>
          </w:p>
        </w:tc>
      </w:tr>
      <w:tr>
        <w:tc>
          <w:tcPr>
            <w:tcW w:type="dxa" w:w="2800"/>
            <w:tcBorders>
              <w:top w:val="single" w:color="D4CFCE" w:sz="1"/>
              <w:left w:val="single" w:color="D4CFCE" w:sz="1"/>
              <w:bottom w:val="single" w:color="D4CFCE" w:sz="1"/>
              <w:right w:val="single" w:color="D4CF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012"/>
                <w:sz w:val="19"/>
                <w:szCs w:val="19"/>
              </w:rPr>
              <w:t xml:space="preserve">Accessibility (WCAG 2.0 AA)</w:t>
            </w:r>
          </w:p>
        </w:tc>
        <w:tc>
          <w:tcPr>
            <w:tcW w:type="dxa" w:w="1800"/>
            <w:tcBorders>
              <w:top w:val="single" w:color="D4CFCE" w:sz="1"/>
              <w:left w:val="single" w:color="D4CFCE" w:sz="1"/>
              <w:bottom w:val="single" w:color="D4CFCE" w:sz="1"/>
              <w:right w:val="single" w:color="D4CFCE" w:sz="1"/>
            </w:tcBorders>
            <w:shd w:fill="B0AB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[STATUS]</w:t>
            </w:r>
          </w:p>
        </w:tc>
        <w:tc>
          <w:tcPr>
            <w:tcW w:type="dxa" w:w="1800"/>
            <w:tcBorders>
              <w:top w:val="single" w:color="D4CFCE" w:sz="1"/>
              <w:left w:val="single" w:color="D4CFCE" w:sz="1"/>
              <w:bottom w:val="single" w:color="D4CFCE" w:sz="1"/>
              <w:right w:val="single" w:color="D4CFCE" w:sz="1"/>
            </w:tcBorders>
            <w:shd w:fill="B0AB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[RISK]</w:t>
            </w:r>
          </w:p>
        </w:tc>
        <w:tc>
          <w:tcPr>
            <w:tcW w:type="dxa" w:w="2960"/>
            <w:tcBorders>
              <w:top w:val="single" w:color="D4CFCE" w:sz="1"/>
              <w:left w:val="single" w:color="D4CFCE" w:sz="1"/>
              <w:bottom w:val="single" w:color="D4CFCE" w:sz="1"/>
              <w:right w:val="single" w:color="D4CF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0ABAB"/>
                <w:sz w:val="19"/>
                <w:szCs w:val="19"/>
              </w:rPr>
              <w:t xml:space="preserve">[Notes]</w:t>
            </w:r>
          </w:p>
        </w:tc>
      </w:tr>
      <w:tr>
        <w:tc>
          <w:tcPr>
            <w:tcW w:type="dxa" w:w="2800"/>
            <w:tcBorders>
              <w:top w:val="single" w:color="D4CFCE" w:sz="1"/>
              <w:left w:val="single" w:color="D4CFCE" w:sz="1"/>
              <w:bottom w:val="single" w:color="D4CFCE" w:sz="1"/>
              <w:right w:val="single" w:color="D4CFCE" w:sz="1"/>
            </w:tcBorders>
            <w:shd w:fill="F9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012"/>
                <w:sz w:val="19"/>
                <w:szCs w:val="19"/>
              </w:rPr>
              <w:t xml:space="preserve">REST API / Integrations</w:t>
            </w:r>
          </w:p>
        </w:tc>
        <w:tc>
          <w:tcPr>
            <w:tcW w:type="dxa" w:w="1800"/>
            <w:tcBorders>
              <w:top w:val="single" w:color="D4CFCE" w:sz="1"/>
              <w:left w:val="single" w:color="D4CFCE" w:sz="1"/>
              <w:bottom w:val="single" w:color="D4CFCE" w:sz="1"/>
              <w:right w:val="single" w:color="D4CFCE" w:sz="1"/>
            </w:tcBorders>
            <w:shd w:fill="B0AB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[STATUS]</w:t>
            </w:r>
          </w:p>
        </w:tc>
        <w:tc>
          <w:tcPr>
            <w:tcW w:type="dxa" w:w="1800"/>
            <w:tcBorders>
              <w:top w:val="single" w:color="D4CFCE" w:sz="1"/>
              <w:left w:val="single" w:color="D4CFCE" w:sz="1"/>
              <w:bottom w:val="single" w:color="D4CFCE" w:sz="1"/>
              <w:right w:val="single" w:color="D4CFCE" w:sz="1"/>
            </w:tcBorders>
            <w:shd w:fill="B0AB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[RISK]</w:t>
            </w:r>
          </w:p>
        </w:tc>
        <w:tc>
          <w:tcPr>
            <w:tcW w:type="dxa" w:w="2960"/>
            <w:tcBorders>
              <w:top w:val="single" w:color="D4CFCE" w:sz="1"/>
              <w:left w:val="single" w:color="D4CFCE" w:sz="1"/>
              <w:bottom w:val="single" w:color="D4CFCE" w:sz="1"/>
              <w:right w:val="single" w:color="D4CFCE" w:sz="1"/>
            </w:tcBorders>
            <w:shd w:fill="F9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0ABAB"/>
                <w:sz w:val="19"/>
                <w:szCs w:val="19"/>
              </w:rPr>
              <w:t xml:space="preserve">[Notes]</w:t>
            </w:r>
          </w:p>
        </w:tc>
      </w:tr>
      <w:tr>
        <w:tc>
          <w:tcPr>
            <w:tcW w:type="dxa" w:w="2800"/>
            <w:tcBorders>
              <w:top w:val="single" w:color="D4CFCE" w:sz="1"/>
              <w:left w:val="single" w:color="D4CFCE" w:sz="1"/>
              <w:bottom w:val="single" w:color="D4CFCE" w:sz="1"/>
              <w:right w:val="single" w:color="D4CF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012"/>
                <w:sz w:val="19"/>
                <w:szCs w:val="19"/>
              </w:rPr>
              <w:t xml:space="preserve">SLA / Uptime Guarantee</w:t>
            </w:r>
          </w:p>
        </w:tc>
        <w:tc>
          <w:tcPr>
            <w:tcW w:type="dxa" w:w="1800"/>
            <w:tcBorders>
              <w:top w:val="single" w:color="D4CFCE" w:sz="1"/>
              <w:left w:val="single" w:color="D4CFCE" w:sz="1"/>
              <w:bottom w:val="single" w:color="D4CFCE" w:sz="1"/>
              <w:right w:val="single" w:color="D4CFCE" w:sz="1"/>
            </w:tcBorders>
            <w:shd w:fill="B0AB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[STATUS]</w:t>
            </w:r>
          </w:p>
        </w:tc>
        <w:tc>
          <w:tcPr>
            <w:tcW w:type="dxa" w:w="1800"/>
            <w:tcBorders>
              <w:top w:val="single" w:color="D4CFCE" w:sz="1"/>
              <w:left w:val="single" w:color="D4CFCE" w:sz="1"/>
              <w:bottom w:val="single" w:color="D4CFCE" w:sz="1"/>
              <w:right w:val="single" w:color="D4CFCE" w:sz="1"/>
            </w:tcBorders>
            <w:shd w:fill="B0AB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[RISK]</w:t>
            </w:r>
          </w:p>
        </w:tc>
        <w:tc>
          <w:tcPr>
            <w:tcW w:type="dxa" w:w="2960"/>
            <w:tcBorders>
              <w:top w:val="single" w:color="D4CFCE" w:sz="1"/>
              <w:left w:val="single" w:color="D4CFCE" w:sz="1"/>
              <w:bottom w:val="single" w:color="D4CFCE" w:sz="1"/>
              <w:right w:val="single" w:color="D4CF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0ABAB"/>
                <w:sz w:val="19"/>
                <w:szCs w:val="19"/>
              </w:rPr>
              <w:t xml:space="preserve">[Notes]</w:t>
            </w:r>
          </w:p>
        </w:tc>
      </w:tr>
      <w:tr>
        <w:tc>
          <w:tcPr>
            <w:tcW w:type="dxa" w:w="2800"/>
            <w:tcBorders>
              <w:top w:val="single" w:color="D4CFCE" w:sz="1"/>
              <w:left w:val="single" w:color="D4CFCE" w:sz="1"/>
              <w:bottom w:val="single" w:color="D4CFCE" w:sz="1"/>
              <w:right w:val="single" w:color="D4CFCE" w:sz="1"/>
            </w:tcBorders>
            <w:shd w:fill="F9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012"/>
                <w:sz w:val="19"/>
                <w:szCs w:val="19"/>
              </w:rPr>
              <w:t xml:space="preserve">Liability Cap Adequate</w:t>
            </w:r>
          </w:p>
        </w:tc>
        <w:tc>
          <w:tcPr>
            <w:tcW w:type="dxa" w:w="1800"/>
            <w:tcBorders>
              <w:top w:val="single" w:color="D4CFCE" w:sz="1"/>
              <w:left w:val="single" w:color="D4CFCE" w:sz="1"/>
              <w:bottom w:val="single" w:color="D4CFCE" w:sz="1"/>
              <w:right w:val="single" w:color="D4CFCE" w:sz="1"/>
            </w:tcBorders>
            <w:shd w:fill="B0AB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[STATUS]</w:t>
            </w:r>
          </w:p>
        </w:tc>
        <w:tc>
          <w:tcPr>
            <w:tcW w:type="dxa" w:w="1800"/>
            <w:tcBorders>
              <w:top w:val="single" w:color="D4CFCE" w:sz="1"/>
              <w:left w:val="single" w:color="D4CFCE" w:sz="1"/>
              <w:bottom w:val="single" w:color="D4CFCE" w:sz="1"/>
              <w:right w:val="single" w:color="D4CFCE" w:sz="1"/>
            </w:tcBorders>
            <w:shd w:fill="B0AB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[RISK]</w:t>
            </w:r>
          </w:p>
        </w:tc>
        <w:tc>
          <w:tcPr>
            <w:tcW w:type="dxa" w:w="2960"/>
            <w:tcBorders>
              <w:top w:val="single" w:color="D4CFCE" w:sz="1"/>
              <w:left w:val="single" w:color="D4CFCE" w:sz="1"/>
              <w:bottom w:val="single" w:color="D4CFCE" w:sz="1"/>
              <w:right w:val="single" w:color="D4CFCE" w:sz="1"/>
            </w:tcBorders>
            <w:shd w:fill="F9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0ABAB"/>
                <w:sz w:val="19"/>
                <w:szCs w:val="19"/>
              </w:rPr>
              <w:t xml:space="preserve">[Notes]</w:t>
            </w:r>
          </w:p>
        </w:tc>
      </w:tr>
      <w:tr>
        <w:tc>
          <w:tcPr>
            <w:tcW w:type="dxa" w:w="2800"/>
            <w:tcBorders>
              <w:top w:val="single" w:color="D4CFCE" w:sz="1"/>
              <w:left w:val="single" w:color="D4CFCE" w:sz="1"/>
              <w:bottom w:val="single" w:color="D4CFCE" w:sz="1"/>
              <w:right w:val="single" w:color="D4CF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012"/>
                <w:sz w:val="19"/>
                <w:szCs w:val="19"/>
              </w:rPr>
              <w:t xml:space="preserve">Breach Notification</w:t>
            </w:r>
          </w:p>
        </w:tc>
        <w:tc>
          <w:tcPr>
            <w:tcW w:type="dxa" w:w="1800"/>
            <w:tcBorders>
              <w:top w:val="single" w:color="D4CFCE" w:sz="1"/>
              <w:left w:val="single" w:color="D4CFCE" w:sz="1"/>
              <w:bottom w:val="single" w:color="D4CFCE" w:sz="1"/>
              <w:right w:val="single" w:color="D4CFCE" w:sz="1"/>
            </w:tcBorders>
            <w:shd w:fill="B0AB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[STATUS]</w:t>
            </w:r>
          </w:p>
        </w:tc>
        <w:tc>
          <w:tcPr>
            <w:tcW w:type="dxa" w:w="1800"/>
            <w:tcBorders>
              <w:top w:val="single" w:color="D4CFCE" w:sz="1"/>
              <w:left w:val="single" w:color="D4CFCE" w:sz="1"/>
              <w:bottom w:val="single" w:color="D4CFCE" w:sz="1"/>
              <w:right w:val="single" w:color="D4CFCE" w:sz="1"/>
            </w:tcBorders>
            <w:shd w:fill="B0AB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[RISK]</w:t>
            </w:r>
          </w:p>
        </w:tc>
        <w:tc>
          <w:tcPr>
            <w:tcW w:type="dxa" w:w="2960"/>
            <w:tcBorders>
              <w:top w:val="single" w:color="D4CFCE" w:sz="1"/>
              <w:left w:val="single" w:color="D4CFCE" w:sz="1"/>
              <w:bottom w:val="single" w:color="D4CFCE" w:sz="1"/>
              <w:right w:val="single" w:color="D4CFC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0ABAB"/>
                <w:sz w:val="19"/>
                <w:szCs w:val="19"/>
              </w:rPr>
              <w:t xml:space="preserve">[Notes]</w:t>
            </w:r>
          </w:p>
        </w:tc>
      </w:tr>
      <w:tr>
        <w:tc>
          <w:tcPr>
            <w:tcW w:type="dxa" w:w="2800"/>
            <w:tcBorders>
              <w:top w:val="single" w:color="D4CFCE" w:sz="1"/>
              <w:left w:val="single" w:color="D4CFCE" w:sz="1"/>
              <w:bottom w:val="single" w:color="D4CFCE" w:sz="1"/>
              <w:right w:val="single" w:color="D4CFCE" w:sz="1"/>
            </w:tcBorders>
            <w:shd w:fill="F9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012"/>
                <w:sz w:val="19"/>
                <w:szCs w:val="19"/>
              </w:rPr>
              <w:t xml:space="preserve">Price Escalation Cap</w:t>
            </w:r>
          </w:p>
        </w:tc>
        <w:tc>
          <w:tcPr>
            <w:tcW w:type="dxa" w:w="1800"/>
            <w:tcBorders>
              <w:top w:val="single" w:color="D4CFCE" w:sz="1"/>
              <w:left w:val="single" w:color="D4CFCE" w:sz="1"/>
              <w:bottom w:val="single" w:color="D4CFCE" w:sz="1"/>
              <w:right w:val="single" w:color="D4CFCE" w:sz="1"/>
            </w:tcBorders>
            <w:shd w:fill="B0AB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[STATUS]</w:t>
            </w:r>
          </w:p>
        </w:tc>
        <w:tc>
          <w:tcPr>
            <w:tcW w:type="dxa" w:w="1800"/>
            <w:tcBorders>
              <w:top w:val="single" w:color="D4CFCE" w:sz="1"/>
              <w:left w:val="single" w:color="D4CFCE" w:sz="1"/>
              <w:bottom w:val="single" w:color="D4CFCE" w:sz="1"/>
              <w:right w:val="single" w:color="D4CFCE" w:sz="1"/>
            </w:tcBorders>
            <w:shd w:fill="B0AB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[RISK]</w:t>
            </w:r>
          </w:p>
        </w:tc>
        <w:tc>
          <w:tcPr>
            <w:tcW w:type="dxa" w:w="2960"/>
            <w:tcBorders>
              <w:top w:val="single" w:color="D4CFCE" w:sz="1"/>
              <w:left w:val="single" w:color="D4CFCE" w:sz="1"/>
              <w:bottom w:val="single" w:color="D4CFCE" w:sz="1"/>
              <w:right w:val="single" w:color="D4CFCE" w:sz="1"/>
            </w:tcBorders>
            <w:shd w:fill="F9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0ABAB"/>
                <w:sz w:val="19"/>
                <w:szCs w:val="19"/>
              </w:rPr>
              <w:t xml:space="preserve">[Notes]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0F1012"/>
          <w:sz w:val="21"/>
          <w:szCs w:val="21"/>
        </w:rPr>
        <w:t xml:space="preserve">Status values: CERTIFIED, SUPPORTED, PARTIAL, UNCLEAR, NOT FOUND, CONCERNING, NEGOTIABLE</w:t>
      </w:r>
    </w:p>
    <w:p>
      <w:pPr>
        <w:spacing w:after="120"/>
      </w:pPr>
      <w:r>
        <w:rPr>
          <w:rFonts w:ascii="Arial" w:cs="Arial" w:eastAsia="Arial" w:hAnsi="Arial"/>
          <w:color w:val="0F1012"/>
          <w:sz w:val="21"/>
          <w:szCs w:val="21"/>
        </w:rPr>
        <w:t xml:space="preserve">Risk levels: LOW (green), MEDIUM (amber), HIGH (red)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Libre Caslon Text" w:cs="Libre Caslon Text" w:eastAsia="Libre Caslon Text" w:hAnsi="Libre Caslon Text"/>
          <w:b/>
          <w:bCs/>
          <w:color w:val="D42121"/>
          <w:sz w:val="32"/>
          <w:szCs w:val="32"/>
        </w:rPr>
        <w:t xml:space="preserve">1. Security Review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B0ABAB"/>
          <w:sz w:val="21"/>
          <w:szCs w:val="21"/>
        </w:rPr>
        <w:t xml:space="preserve">[Overview paragraph summarizing the vendor’s security posture]</w:t>
      </w:r>
    </w:p>
    <w:p>
      <w:pPr>
        <w:pStyle w:val="Heading2"/>
        <w:spacing w:before="280" w:after="160"/>
      </w:pPr>
      <w:r>
        <w:rPr>
          <w:rFonts w:ascii="Libre Caslon Text" w:cs="Libre Caslon Text" w:eastAsia="Libre Caslon Text" w:hAnsi="Libre Caslon Text"/>
          <w:b/>
          <w:bCs/>
          <w:color w:val="294878"/>
          <w:sz w:val="26"/>
          <w:szCs w:val="26"/>
        </w:rPr>
        <w:t xml:space="preserve">1.1 Certifications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B0ABAB"/>
          <w:sz w:val="21"/>
          <w:szCs w:val="21"/>
        </w:rPr>
        <w:t xml:space="preserve">[Detailed table: Certification | Status | Auditor | Date | Scope | Access]</w:t>
      </w:r>
    </w:p>
    <w:p>
      <w:pPr>
        <w:pStyle w:val="Heading2"/>
        <w:spacing w:before="280" w:after="160"/>
      </w:pPr>
      <w:r>
        <w:rPr>
          <w:rFonts w:ascii="Libre Caslon Text" w:cs="Libre Caslon Text" w:eastAsia="Libre Caslon Text" w:hAnsi="Libre Caslon Text"/>
          <w:b/>
          <w:bCs/>
          <w:color w:val="294878"/>
          <w:sz w:val="26"/>
          <w:szCs w:val="26"/>
        </w:rPr>
        <w:t xml:space="preserve">1.2 HECVAT Assessment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B0ABAB"/>
          <w:sz w:val="21"/>
          <w:szCs w:val="21"/>
        </w:rPr>
        <w:t xml:space="preserve">[HECVAT status. Version logic: Full required for PCI-DSS or Confidential data; Lite acceptable for Internal/Public. Must be within 18 months. Action required if not found.]</w:t>
      </w:r>
    </w:p>
    <w:p>
      <w:pPr>
        <w:pStyle w:val="Heading2"/>
        <w:spacing w:before="280" w:after="160"/>
      </w:pPr>
      <w:r>
        <w:rPr>
          <w:rFonts w:ascii="Libre Caslon Text" w:cs="Libre Caslon Text" w:eastAsia="Libre Caslon Text" w:hAnsi="Libre Caslon Text"/>
          <w:b/>
          <w:bCs/>
          <w:color w:val="294878"/>
          <w:sz w:val="26"/>
          <w:szCs w:val="26"/>
        </w:rPr>
        <w:t xml:space="preserve">1.3 Data Classification Assessment</w:t>
      </w:r>
    </w:p>
    <w:p>
      <w:pPr>
        <w:spacing w:after="120"/>
      </w:pPr>
      <w:r>
        <w:rPr>
          <w:rFonts w:ascii="Arial" w:cs="Arial" w:eastAsia="Arial" w:hAnsi="Arial"/>
          <w:color w:val="0F1012"/>
          <w:sz w:val="21"/>
          <w:szCs w:val="21"/>
        </w:rPr>
        <w:t xml:space="preserve">Data handled by this vendor is classified as: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B0ABAB"/>
          <w:sz w:val="21"/>
          <w:szCs w:val="21"/>
        </w:rPr>
        <w:t xml:space="preserve">[Map vendor data handling to: Public, Internal, Restricted, Confidential. If Confidential, list every data element and encryption methods.]</w:t>
      </w:r>
    </w:p>
    <w:p>
      <w:pPr>
        <w:pStyle w:val="Heading2"/>
        <w:spacing w:before="280" w:after="160"/>
      </w:pPr>
      <w:r>
        <w:rPr>
          <w:rFonts w:ascii="Libre Caslon Text" w:cs="Libre Caslon Text" w:eastAsia="Libre Caslon Text" w:hAnsi="Libre Caslon Text"/>
          <w:b/>
          <w:bCs/>
          <w:color w:val="294878"/>
          <w:sz w:val="26"/>
          <w:szCs w:val="26"/>
        </w:rPr>
        <w:t xml:space="preserve">1.4 Access Controls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B0ABAB"/>
          <w:sz w:val="21"/>
          <w:szCs w:val="21"/>
        </w:rPr>
        <w:t xml:space="preserve">[SSO/SAML support, MFA options, RBAC, provisioning/SCIM, audit logging]</w:t>
      </w:r>
    </w:p>
    <w:p>
      <w:pPr>
        <w:pStyle w:val="Heading2"/>
        <w:spacing w:before="280" w:after="160"/>
      </w:pPr>
      <w:r>
        <w:rPr>
          <w:rFonts w:ascii="Libre Caslon Text" w:cs="Libre Caslon Text" w:eastAsia="Libre Caslon Text" w:hAnsi="Libre Caslon Text"/>
          <w:b/>
          <w:bCs/>
          <w:color w:val="294878"/>
          <w:sz w:val="26"/>
          <w:szCs w:val="26"/>
        </w:rPr>
        <w:t xml:space="preserve">1.5 Data Encryption &amp; Storage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B0ABAB"/>
          <w:sz w:val="21"/>
          <w:szCs w:val="21"/>
        </w:rPr>
        <w:t xml:space="preserve">[At rest encryption, in transit encryption, data residency regions, backup regions, infrastructure provider]</w:t>
      </w:r>
    </w:p>
    <w:p>
      <w:pPr>
        <w:pStyle w:val="Heading2"/>
        <w:spacing w:before="280" w:after="160"/>
      </w:pPr>
      <w:r>
        <w:rPr>
          <w:rFonts w:ascii="Libre Caslon Text" w:cs="Libre Caslon Text" w:eastAsia="Libre Caslon Text" w:hAnsi="Libre Caslon Text"/>
          <w:b/>
          <w:bCs/>
          <w:color w:val="294878"/>
          <w:sz w:val="26"/>
          <w:szCs w:val="26"/>
        </w:rPr>
        <w:t xml:space="preserve">1.6 AI/ML Disclosure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B0ABAB"/>
          <w:sz w:val="21"/>
          <w:szCs w:val="21"/>
        </w:rPr>
        <w:t xml:space="preserve">[AI ToS links, data training practices, opt-out mechanisms. Or 'Not applicable' if no AI/ML.]</w:t>
      </w:r>
    </w:p>
    <w:p>
      <w:pPr>
        <w:pStyle w:val="Heading2"/>
        <w:spacing w:before="280" w:after="160"/>
      </w:pPr>
      <w:r>
        <w:rPr>
          <w:rFonts w:ascii="Libre Caslon Text" w:cs="Libre Caslon Text" w:eastAsia="Libre Caslon Text" w:hAnsi="Libre Caslon Text"/>
          <w:b/>
          <w:bCs/>
          <w:color w:val="294878"/>
          <w:sz w:val="26"/>
          <w:szCs w:val="26"/>
        </w:rPr>
        <w:t xml:space="preserve">1.7 Vulnerability History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B0ABAB"/>
          <w:sz w:val="21"/>
          <w:szCs w:val="21"/>
        </w:rPr>
        <w:t xml:space="preserve">[CVEs, disclosed incidents, bug bounty program, breach notification timeline]</w:t>
      </w:r>
    </w:p>
    <w:p>
      <w:pPr>
        <w:pStyle w:val="Heading2"/>
        <w:spacing w:before="280" w:after="160"/>
      </w:pPr>
      <w:r>
        <w:rPr>
          <w:rFonts w:ascii="Libre Caslon Text" w:cs="Libre Caslon Text" w:eastAsia="Libre Caslon Text" w:hAnsi="Libre Caslon Text"/>
          <w:b/>
          <w:bCs/>
          <w:color w:val="294878"/>
          <w:sz w:val="26"/>
          <w:szCs w:val="26"/>
        </w:rPr>
        <w:t xml:space="preserve">1.8 Technical Integration &amp; Data Flow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B0ABAB"/>
          <w:sz w:val="21"/>
          <w:szCs w:val="21"/>
        </w:rPr>
        <w:t xml:space="preserve">[Deployment model, data flow direction, protocols, exchange cadence, supply chain dependencies]</w:t>
      </w:r>
    </w:p>
    <w:p>
      <w:pPr>
        <w:pStyle w:val="Heading2"/>
        <w:spacing w:before="280" w:after="160"/>
      </w:pPr>
      <w:r>
        <w:rPr>
          <w:rFonts w:ascii="Libre Caslon Text" w:cs="Libre Caslon Text" w:eastAsia="Libre Caslon Text" w:hAnsi="Libre Caslon Text"/>
          <w:b/>
          <w:bCs/>
          <w:color w:val="294878"/>
          <w:sz w:val="26"/>
          <w:szCs w:val="26"/>
        </w:rPr>
        <w:t xml:space="preserve">1.9 Institutional Security Assessment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B0ABAB"/>
          <w:sz w:val="21"/>
          <w:szCs w:val="21"/>
        </w:rPr>
        <w:t xml:space="preserve">[Map findings against institutional requirements. Flag gaps. Recommend mitigations.]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Libre Caslon Text" w:cs="Libre Caslon Text" w:eastAsia="Libre Caslon Text" w:hAnsi="Libre Caslon Text"/>
          <w:b/>
          <w:bCs/>
          <w:color w:val="D42121"/>
          <w:sz w:val="32"/>
          <w:szCs w:val="32"/>
        </w:rPr>
        <w:t xml:space="preserve">2. Market Reputation</w:t>
      </w:r>
    </w:p>
    <w:p>
      <w:pPr>
        <w:pStyle w:val="Heading2"/>
        <w:spacing w:before="280" w:after="160"/>
      </w:pPr>
      <w:r>
        <w:rPr>
          <w:rFonts w:ascii="Libre Caslon Text" w:cs="Libre Caslon Text" w:eastAsia="Libre Caslon Text" w:hAnsi="Libre Caslon Text"/>
          <w:b/>
          <w:bCs/>
          <w:color w:val="294878"/>
          <w:sz w:val="26"/>
          <w:szCs w:val="26"/>
        </w:rPr>
        <w:t xml:space="preserve">2.1 Analyst Recognition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B0ABAB"/>
          <w:sz w:val="21"/>
          <w:szCs w:val="21"/>
        </w:rPr>
        <w:t xml:space="preserve">[Gartner Magic Quadrant position, Forrester Wave, IDC, with year and category]</w:t>
      </w:r>
    </w:p>
    <w:p>
      <w:pPr>
        <w:pStyle w:val="Heading2"/>
        <w:spacing w:before="280" w:after="160"/>
      </w:pPr>
      <w:r>
        <w:rPr>
          <w:rFonts w:ascii="Libre Caslon Text" w:cs="Libre Caslon Text" w:eastAsia="Libre Caslon Text" w:hAnsi="Libre Caslon Text"/>
          <w:b/>
          <w:bCs/>
          <w:color w:val="294878"/>
          <w:sz w:val="26"/>
          <w:szCs w:val="26"/>
        </w:rPr>
        <w:t xml:space="preserve">2.2 Review Platform Ratings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B0ABAB"/>
          <w:sz w:val="21"/>
          <w:szCs w:val="21"/>
        </w:rPr>
        <w:t xml:space="preserve">[Table: Platform | Rating | Review Count | Notable. Cover G2, Capterra, TrustRadius, PeerSpot, Gartner Peer Insights.]</w:t>
      </w:r>
    </w:p>
    <w:p>
      <w:pPr>
        <w:pStyle w:val="Heading2"/>
        <w:spacing w:before="280" w:after="160"/>
      </w:pPr>
      <w:r>
        <w:rPr>
          <w:rFonts w:ascii="Libre Caslon Text" w:cs="Libre Caslon Text" w:eastAsia="Libre Caslon Text" w:hAnsi="Libre Caslon Text"/>
          <w:b/>
          <w:bCs/>
          <w:color w:val="294878"/>
          <w:sz w:val="26"/>
          <w:szCs w:val="26"/>
        </w:rPr>
        <w:t xml:space="preserve">2.3 Company Financials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B0ABAB"/>
          <w:sz w:val="21"/>
          <w:szCs w:val="21"/>
        </w:rPr>
        <w:t xml:space="preserve">[Founding, HQ, leadership, employees, funding rounds, valuation, ARR, customer count. Recent acquisitions. Financial viability assessment.]</w:t>
      </w:r>
    </w:p>
    <w:p>
      <w:pPr>
        <w:pStyle w:val="Heading2"/>
        <w:spacing w:before="280" w:after="160"/>
      </w:pPr>
      <w:r>
        <w:rPr>
          <w:rFonts w:ascii="Libre Caslon Text" w:cs="Libre Caslon Text" w:eastAsia="Libre Caslon Text" w:hAnsi="Libre Caslon Text"/>
          <w:b/>
          <w:bCs/>
          <w:color w:val="294878"/>
          <w:sz w:val="26"/>
          <w:szCs w:val="26"/>
        </w:rPr>
        <w:t xml:space="preserve">2.4 Customer Concerns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B0ABAB"/>
          <w:sz w:val="21"/>
          <w:szCs w:val="21"/>
        </w:rPr>
        <w:t xml:space="preserve">[Themed summary of criticisms from reviews, forums, employee sites. Distinguish isolated complaints from systemic patterns.]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Libre Caslon Text" w:cs="Libre Caslon Text" w:eastAsia="Libre Caslon Text" w:hAnsi="Libre Caslon Text"/>
          <w:b/>
          <w:bCs/>
          <w:color w:val="D42121"/>
          <w:sz w:val="32"/>
          <w:szCs w:val="32"/>
        </w:rPr>
        <w:t xml:space="preserve">3. Cost Analysis</w:t>
      </w:r>
    </w:p>
    <w:p>
      <w:pPr>
        <w:pStyle w:val="Heading2"/>
        <w:spacing w:before="280" w:after="160"/>
      </w:pPr>
      <w:r>
        <w:rPr>
          <w:rFonts w:ascii="Libre Caslon Text" w:cs="Libre Caslon Text" w:eastAsia="Libre Caslon Text" w:hAnsi="Libre Caslon Text"/>
          <w:b/>
          <w:bCs/>
          <w:color w:val="294878"/>
          <w:sz w:val="26"/>
          <w:szCs w:val="26"/>
        </w:rPr>
        <w:t xml:space="preserve">3.1 Pricing Model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B0ABAB"/>
          <w:sz w:val="21"/>
          <w:szCs w:val="21"/>
        </w:rPr>
        <w:t xml:space="preserve">[Per-device/user/technician, tiers, billing frequency, published vs. quote-only]</w:t>
      </w:r>
    </w:p>
    <w:p>
      <w:pPr>
        <w:pStyle w:val="Heading2"/>
        <w:spacing w:before="280" w:after="160"/>
      </w:pPr>
      <w:r>
        <w:rPr>
          <w:rFonts w:ascii="Libre Caslon Text" w:cs="Libre Caslon Text" w:eastAsia="Libre Caslon Text" w:hAnsi="Libre Caslon Text"/>
          <w:b/>
          <w:bCs/>
          <w:color w:val="294878"/>
          <w:sz w:val="26"/>
          <w:szCs w:val="26"/>
        </w:rPr>
        <w:t xml:space="preserve">3.2 Estimated Pricing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B0ABAB"/>
          <w:sz w:val="21"/>
          <w:szCs w:val="21"/>
        </w:rPr>
        <w:t xml:space="preserve">[Table: Endpoint Count | Est. Price/Unit/Month | Est. Annual Cost | With Edu Discount]</w:t>
      </w:r>
    </w:p>
    <w:p>
      <w:pPr>
        <w:pStyle w:val="Heading2"/>
        <w:spacing w:before="280" w:after="160"/>
      </w:pPr>
      <w:r>
        <w:rPr>
          <w:rFonts w:ascii="Libre Caslon Text" w:cs="Libre Caslon Text" w:eastAsia="Libre Caslon Text" w:hAnsi="Libre Caslon Text"/>
          <w:b/>
          <w:bCs/>
          <w:color w:val="294878"/>
          <w:sz w:val="26"/>
          <w:szCs w:val="26"/>
        </w:rPr>
        <w:t xml:space="preserve">3.3 Included vs. Add-Ons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B0ABAB"/>
          <w:sz w:val="21"/>
          <w:szCs w:val="21"/>
        </w:rPr>
        <w:t xml:space="preserve">[Table: Feature | Included in Base? | Add-On Cost. Cover training, support, API, backup.]</w:t>
      </w:r>
    </w:p>
    <w:p>
      <w:pPr>
        <w:pStyle w:val="Heading2"/>
        <w:spacing w:before="280" w:after="160"/>
      </w:pPr>
      <w:r>
        <w:rPr>
          <w:rFonts w:ascii="Libre Caslon Text" w:cs="Libre Caslon Text" w:eastAsia="Libre Caslon Text" w:hAnsi="Libre Caslon Text"/>
          <w:b/>
          <w:bCs/>
          <w:color w:val="294878"/>
          <w:sz w:val="26"/>
          <w:szCs w:val="26"/>
        </w:rPr>
        <w:t xml:space="preserve">3.4 Competitive Cost Comparison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B0ABAB"/>
          <w:sz w:val="21"/>
          <w:szCs w:val="21"/>
        </w:rPr>
        <w:t xml:space="preserve">[Table: Vendor | Price/Unit | Model | Included Features | Notes. Compare 3-5 competitors.]</w:t>
      </w:r>
    </w:p>
    <w:p>
      <w:pPr>
        <w:pStyle w:val="Heading2"/>
        <w:spacing w:before="280" w:after="160"/>
      </w:pPr>
      <w:r>
        <w:rPr>
          <w:rFonts w:ascii="Libre Caslon Text" w:cs="Libre Caslon Text" w:eastAsia="Libre Caslon Text" w:hAnsi="Libre Caslon Text"/>
          <w:b/>
          <w:bCs/>
          <w:color w:val="294878"/>
          <w:sz w:val="26"/>
          <w:szCs w:val="26"/>
        </w:rPr>
        <w:t xml:space="preserve">3.5 ROI Evidence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B0ABAB"/>
          <w:sz w:val="21"/>
          <w:szCs w:val="21"/>
        </w:rPr>
        <w:t xml:space="preserve">[Quantified savings from case studies, Forrester TEI, community reports, automation labor savings]</w:t>
      </w:r>
    </w:p>
    <w:p>
      <w:pPr>
        <w:pStyle w:val="Heading2"/>
        <w:spacing w:before="280" w:after="160"/>
      </w:pPr>
      <w:r>
        <w:rPr>
          <w:rFonts w:ascii="Libre Caslon Text" w:cs="Libre Caslon Text" w:eastAsia="Libre Caslon Text" w:hAnsi="Libre Caslon Text"/>
          <w:b/>
          <w:bCs/>
          <w:color w:val="294878"/>
          <w:sz w:val="26"/>
          <w:szCs w:val="26"/>
        </w:rPr>
        <w:t xml:space="preserve">3.6 Budget Considerations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B0ABAB"/>
          <w:sz w:val="21"/>
          <w:szCs w:val="21"/>
        </w:rPr>
        <w:t xml:space="preserve">[Institutional-specific: fiscal year alignment, multi-year recommendation, price cap negotiation, hidden costs]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Libre Caslon Text" w:cs="Libre Caslon Text" w:eastAsia="Libre Caslon Text" w:hAnsi="Libre Caslon Text"/>
          <w:b/>
          <w:bCs/>
          <w:color w:val="D42121"/>
          <w:sz w:val="32"/>
          <w:szCs w:val="32"/>
        </w:rPr>
        <w:t xml:space="preserve">4. Legal &amp; Contract Management</w:t>
      </w:r>
    </w:p>
    <w:p>
      <w:pPr>
        <w:pStyle w:val="Heading2"/>
        <w:spacing w:before="280" w:after="160"/>
      </w:pPr>
      <w:r>
        <w:rPr>
          <w:rFonts w:ascii="Libre Caslon Text" w:cs="Libre Caslon Text" w:eastAsia="Libre Caslon Text" w:hAnsi="Libre Caslon Text"/>
          <w:b/>
          <w:bCs/>
          <w:color w:val="294878"/>
          <w:sz w:val="26"/>
          <w:szCs w:val="26"/>
        </w:rPr>
        <w:t xml:space="preserve">4.1 Data Processing Agreement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B0ABAB"/>
          <w:sz w:val="21"/>
          <w:szCs w:val="21"/>
        </w:rPr>
        <w:t xml:space="preserve">[Data processed, retention, sub-processors, breach notification, data return, international transfers]</w:t>
      </w:r>
    </w:p>
    <w:p>
      <w:pPr>
        <w:pStyle w:val="Heading2"/>
        <w:spacing w:before="280" w:after="160"/>
      </w:pPr>
      <w:r>
        <w:rPr>
          <w:rFonts w:ascii="Libre Caslon Text" w:cs="Libre Caslon Text" w:eastAsia="Libre Caslon Text" w:hAnsi="Libre Caslon Text"/>
          <w:b/>
          <w:bCs/>
          <w:color w:val="294878"/>
          <w:sz w:val="26"/>
          <w:szCs w:val="26"/>
        </w:rPr>
        <w:t xml:space="preserve">4.2 FERPA and GLBA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B0ABAB"/>
          <w:sz w:val="21"/>
          <w:szCs w:val="21"/>
        </w:rPr>
        <w:t xml:space="preserve">[Compliance status for each. Action required if gaps exist. Reference specific addendum sections.]</w:t>
      </w:r>
    </w:p>
    <w:p>
      <w:pPr>
        <w:pStyle w:val="Heading2"/>
        <w:spacing w:before="280" w:after="160"/>
      </w:pPr>
      <w:r>
        <w:rPr>
          <w:rFonts w:ascii="Libre Caslon Text" w:cs="Libre Caslon Text" w:eastAsia="Libre Caslon Text" w:hAnsi="Libre Caslon Text"/>
          <w:b/>
          <w:bCs/>
          <w:color w:val="294878"/>
          <w:sz w:val="26"/>
          <w:szCs w:val="26"/>
        </w:rPr>
        <w:t xml:space="preserve">4.3 Contract Gap Analysis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B0ABAB"/>
          <w:sz w:val="21"/>
          <w:szCs w:val="21"/>
        </w:rPr>
        <w:t xml:space="preserve">[Table: Addendum Requirement | Vendor Status | Action Needed. Map every addendum section.]</w:t>
      </w:r>
    </w:p>
    <w:p>
      <w:pPr>
        <w:pStyle w:val="Heading2"/>
        <w:spacing w:before="280" w:after="160"/>
      </w:pPr>
      <w:r>
        <w:rPr>
          <w:rFonts w:ascii="Libre Caslon Text" w:cs="Libre Caslon Text" w:eastAsia="Libre Caslon Text" w:hAnsi="Libre Caslon Text"/>
          <w:b/>
          <w:bCs/>
          <w:color w:val="294878"/>
          <w:sz w:val="26"/>
          <w:szCs w:val="26"/>
        </w:rPr>
        <w:t xml:space="preserve">4.4 Sub-processors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B0ABAB"/>
          <w:sz w:val="21"/>
          <w:szCs w:val="21"/>
        </w:rPr>
        <w:t xml:space="preserve">[Sub-processor list URL, notification provisions, approval rights]</w:t>
      </w:r>
    </w:p>
    <w:p>
      <w:pPr>
        <w:pStyle w:val="Heading2"/>
        <w:spacing w:before="280" w:after="160"/>
      </w:pPr>
      <w:r>
        <w:rPr>
          <w:rFonts w:ascii="Libre Caslon Text" w:cs="Libre Caslon Text" w:eastAsia="Libre Caslon Text" w:hAnsi="Libre Caslon Text"/>
          <w:b/>
          <w:bCs/>
          <w:color w:val="294878"/>
          <w:sz w:val="26"/>
          <w:szCs w:val="26"/>
        </w:rPr>
        <w:t xml:space="preserve">4.5 Exit Strategy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B0ABAB"/>
          <w:sz w:val="21"/>
          <w:szCs w:val="21"/>
        </w:rPr>
        <w:t xml:space="preserve">[Data return timeline, format, deletion attestation, grace period, NIST 800-88 compliance]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Libre Caslon Text" w:cs="Libre Caslon Text" w:eastAsia="Libre Caslon Text" w:hAnsi="Libre Caslon Text"/>
          <w:b/>
          <w:bCs/>
          <w:color w:val="D42121"/>
          <w:sz w:val="32"/>
          <w:szCs w:val="32"/>
        </w:rPr>
        <w:t xml:space="preserve">5. Competitive Landscape</w:t>
      </w:r>
    </w:p>
    <w:p>
      <w:pPr>
        <w:pStyle w:val="Heading2"/>
        <w:spacing w:before="280" w:after="160"/>
      </w:pPr>
      <w:r>
        <w:rPr>
          <w:rFonts w:ascii="Libre Caslon Text" w:cs="Libre Caslon Text" w:eastAsia="Libre Caslon Text" w:hAnsi="Libre Caslon Text"/>
          <w:b/>
          <w:bCs/>
          <w:color w:val="294878"/>
          <w:sz w:val="26"/>
          <w:szCs w:val="26"/>
        </w:rPr>
        <w:t xml:space="preserve">5.1 Feature Comparison Matrix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B0ABAB"/>
          <w:sz w:val="21"/>
          <w:szCs w:val="21"/>
        </w:rPr>
        <w:t xml:space="preserve">[Multi-column table: Feature | Vendor | Competitor 1 | Competitor 2 | Competitor 3]</w:t>
      </w:r>
    </w:p>
    <w:p>
      <w:pPr>
        <w:pStyle w:val="Heading2"/>
        <w:spacing w:before="280" w:after="160"/>
      </w:pPr>
      <w:r>
        <w:rPr>
          <w:rFonts w:ascii="Libre Caslon Text" w:cs="Libre Caslon Text" w:eastAsia="Libre Caslon Text" w:hAnsi="Libre Caslon Text"/>
          <w:b/>
          <w:bCs/>
          <w:color w:val="294878"/>
          <w:sz w:val="26"/>
          <w:szCs w:val="26"/>
        </w:rPr>
        <w:t xml:space="preserve">5.2 Institutional Context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B0ABAB"/>
          <w:sz w:val="21"/>
          <w:szCs w:val="21"/>
        </w:rPr>
        <w:t xml:space="preserve">[Current tools, consolidation opportunity, switching costs, migration complexity]</w:t>
      </w:r>
    </w:p>
    <w:p>
      <w:pPr>
        <w:pStyle w:val="Heading2"/>
        <w:spacing w:before="280" w:after="160"/>
      </w:pPr>
      <w:r>
        <w:rPr>
          <w:rFonts w:ascii="Libre Caslon Text" w:cs="Libre Caslon Text" w:eastAsia="Libre Caslon Text" w:hAnsi="Libre Caslon Text"/>
          <w:b/>
          <w:bCs/>
          <w:color w:val="294878"/>
          <w:sz w:val="26"/>
          <w:szCs w:val="26"/>
        </w:rPr>
        <w:t xml:space="preserve">5.3 Integration with Institutional Ecosystem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B0ABAB"/>
          <w:sz w:val="21"/>
          <w:szCs w:val="21"/>
        </w:rPr>
        <w:t xml:space="preserve">[Detailed compatibility: identity, ITSM, SIEM, cloud, academic systems (Banner, Canvas, Slate, etc.)]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Libre Caslon Text" w:cs="Libre Caslon Text" w:eastAsia="Libre Caslon Text" w:hAnsi="Libre Caslon Text"/>
          <w:b/>
          <w:bCs/>
          <w:color w:val="D42121"/>
          <w:sz w:val="32"/>
          <w:szCs w:val="32"/>
        </w:rPr>
        <w:t xml:space="preserve">6. Higher Education Fit</w:t>
      </w:r>
    </w:p>
    <w:p>
      <w:pPr>
        <w:pStyle w:val="Heading2"/>
        <w:spacing w:before="280" w:after="160"/>
      </w:pPr>
      <w:r>
        <w:rPr>
          <w:rFonts w:ascii="Libre Caslon Text" w:cs="Libre Caslon Text" w:eastAsia="Libre Caslon Text" w:hAnsi="Libre Caslon Text"/>
          <w:b/>
          <w:bCs/>
          <w:color w:val="294878"/>
          <w:sz w:val="26"/>
          <w:szCs w:val="26"/>
        </w:rPr>
        <w:t xml:space="preserve">6.1 Case Studies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B0ABAB"/>
          <w:sz w:val="21"/>
          <w:szCs w:val="21"/>
        </w:rPr>
        <w:t xml:space="preserve">[Table: Institution | Type | Size | Scope | Key Outcome]</w:t>
      </w:r>
    </w:p>
    <w:p>
      <w:pPr>
        <w:pStyle w:val="Heading2"/>
        <w:spacing w:before="280" w:after="160"/>
      </w:pPr>
      <w:r>
        <w:rPr>
          <w:rFonts w:ascii="Libre Caslon Text" w:cs="Libre Caslon Text" w:eastAsia="Libre Caslon Text" w:hAnsi="Libre Caslon Text"/>
          <w:b/>
          <w:bCs/>
          <w:color w:val="294878"/>
          <w:sz w:val="26"/>
          <w:szCs w:val="26"/>
        </w:rPr>
        <w:t xml:space="preserve">6.2 EDUCAUSE Visibility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B0ABAB"/>
          <w:sz w:val="21"/>
          <w:szCs w:val="21"/>
        </w:rPr>
        <w:t xml:space="preserve">[Conference presence, publications, community discussions, partnerships]</w:t>
      </w:r>
    </w:p>
    <w:p>
      <w:pPr>
        <w:pStyle w:val="Heading2"/>
        <w:spacing w:before="280" w:after="160"/>
      </w:pPr>
      <w:r>
        <w:rPr>
          <w:rFonts w:ascii="Libre Caslon Text" w:cs="Libre Caslon Text" w:eastAsia="Libre Caslon Text" w:hAnsi="Libre Caslon Text"/>
          <w:b/>
          <w:bCs/>
          <w:color w:val="294878"/>
          <w:sz w:val="26"/>
          <w:szCs w:val="26"/>
        </w:rPr>
        <w:t xml:space="preserve">6.3 Gaps for Higher Ed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B0ABAB"/>
          <w:sz w:val="21"/>
          <w:szCs w:val="21"/>
        </w:rPr>
        <w:t xml:space="preserve">[Academic calendar, lab management, BYOD, seasonal scaling, academic software integration, LMS/SIS integration]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Libre Caslon Text" w:cs="Libre Caslon Text" w:eastAsia="Libre Caslon Text" w:hAnsi="Libre Caslon Text"/>
          <w:b/>
          <w:bCs/>
          <w:color w:val="D42121"/>
          <w:sz w:val="32"/>
          <w:szCs w:val="32"/>
        </w:rPr>
        <w:t xml:space="preserve">7. Recommendations &amp; Next Steps</w:t>
      </w:r>
    </w:p>
    <w:p>
      <w:pPr>
        <w:pStyle w:val="Heading2"/>
        <w:spacing w:before="280" w:after="160"/>
      </w:pPr>
      <w:r>
        <w:rPr>
          <w:rFonts w:ascii="Libre Caslon Text" w:cs="Libre Caslon Text" w:eastAsia="Libre Caslon Text" w:hAnsi="Libre Caslon Text"/>
          <w:b/>
          <w:bCs/>
          <w:color w:val="294878"/>
          <w:sz w:val="26"/>
          <w:szCs w:val="26"/>
        </w:rPr>
        <w:t xml:space="preserve">7.1 Pre-Engagement Requirements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B0ABAB"/>
          <w:sz w:val="21"/>
          <w:szCs w:val="21"/>
        </w:rPr>
        <w:t xml:space="preserve">[Numbered list: HECVAT request, SOC 2 report access, FERPA/GLBA scope clarification, pricing quote, references]</w:t>
      </w:r>
    </w:p>
    <w:p>
      <w:pPr>
        <w:pStyle w:val="Heading2"/>
        <w:spacing w:before="280" w:after="160"/>
      </w:pPr>
      <w:r>
        <w:rPr>
          <w:rFonts w:ascii="Libre Caslon Text" w:cs="Libre Caslon Text" w:eastAsia="Libre Caslon Text" w:hAnsi="Libre Caslon Text"/>
          <w:b/>
          <w:bCs/>
          <w:color w:val="294878"/>
          <w:sz w:val="26"/>
          <w:szCs w:val="26"/>
        </w:rPr>
        <w:t xml:space="preserve">7.2 Contract Negotiation Priorities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B0ABAB"/>
          <w:sz w:val="21"/>
          <w:szCs w:val="21"/>
        </w:rPr>
        <w:t xml:space="preserve">[Ranked list: liability, SLA, price escalation, data ownership, insurance, jurisdiction. Reference addendum sections.]</w:t>
      </w:r>
    </w:p>
    <w:p>
      <w:pPr>
        <w:pStyle w:val="Heading2"/>
        <w:spacing w:before="280" w:after="160"/>
      </w:pPr>
      <w:r>
        <w:rPr>
          <w:rFonts w:ascii="Libre Caslon Text" w:cs="Libre Caslon Text" w:eastAsia="Libre Caslon Text" w:hAnsi="Libre Caslon Text"/>
          <w:b/>
          <w:bCs/>
          <w:color w:val="294878"/>
          <w:sz w:val="26"/>
          <w:szCs w:val="26"/>
        </w:rPr>
        <w:t xml:space="preserve">7.3 Technical Evaluation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B0ABAB"/>
          <w:sz w:val="21"/>
          <w:szCs w:val="21"/>
        </w:rPr>
        <w:t xml:space="preserve">[POC scope, integration tests, accessibility audit, SSO test, SIEM integration]</w:t>
      </w:r>
    </w:p>
    <w:p>
      <w:pPr>
        <w:pStyle w:val="Heading2"/>
        <w:spacing w:before="280" w:after="160"/>
      </w:pPr>
      <w:r>
        <w:rPr>
          <w:rFonts w:ascii="Libre Caslon Text" w:cs="Libre Caslon Text" w:eastAsia="Libre Caslon Text" w:hAnsi="Libre Caslon Text"/>
          <w:b/>
          <w:bCs/>
          <w:color w:val="294878"/>
          <w:sz w:val="26"/>
          <w:szCs w:val="26"/>
        </w:rPr>
        <w:t xml:space="preserve">7.4 Analyst Consultation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B0ABAB"/>
          <w:sz w:val="21"/>
          <w:szCs w:val="21"/>
        </w:rPr>
        <w:t xml:space="preserve">[If institution has Gartner/Forrester access: schedule analyst consultation for pricing and positioning review]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Libre Caslon Text" w:cs="Libre Caslon Text" w:eastAsia="Libre Caslon Text" w:hAnsi="Libre Caslon Text"/>
          <w:b/>
          <w:bCs/>
          <w:color w:val="D42121"/>
          <w:sz w:val="32"/>
          <w:szCs w:val="32"/>
        </w:rPr>
        <w:t xml:space="preserve">8. Key Sources</w:t>
      </w:r>
    </w:p>
    <w:p>
      <w:pPr>
        <w:pStyle w:val="Heading2"/>
        <w:spacing w:before="280" w:after="160"/>
      </w:pPr>
      <w:r>
        <w:rPr>
          <w:rFonts w:ascii="Libre Caslon Text" w:cs="Libre Caslon Text" w:eastAsia="Libre Caslon Text" w:hAnsi="Libre Caslon Text"/>
          <w:b/>
          <w:bCs/>
          <w:color w:val="294878"/>
          <w:sz w:val="26"/>
          <w:szCs w:val="26"/>
        </w:rPr>
        <w:t xml:space="preserve">Vendor Official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B0ABAB"/>
          <w:sz w:val="21"/>
          <w:szCs w:val="21"/>
        </w:rPr>
        <w:t xml:space="preserve">[Trust Center, DPA, Privacy Policy, EULA, Customer Stories URLs]</w:t>
      </w:r>
    </w:p>
    <w:p>
      <w:pPr>
        <w:pStyle w:val="Heading2"/>
        <w:spacing w:before="280" w:after="160"/>
      </w:pPr>
      <w:r>
        <w:rPr>
          <w:rFonts w:ascii="Libre Caslon Text" w:cs="Libre Caslon Text" w:eastAsia="Libre Caslon Text" w:hAnsi="Libre Caslon Text"/>
          <w:b/>
          <w:bCs/>
          <w:color w:val="294878"/>
          <w:sz w:val="26"/>
          <w:szCs w:val="26"/>
        </w:rPr>
        <w:t xml:space="preserve">Industry Analysts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B0ABAB"/>
          <w:sz w:val="21"/>
          <w:szCs w:val="21"/>
        </w:rPr>
        <w:t xml:space="preserve">[Gartner Magic Quadrant, Peer Insights, Forrester reports]</w:t>
      </w:r>
    </w:p>
    <w:p>
      <w:pPr>
        <w:pStyle w:val="Heading2"/>
        <w:spacing w:before="280" w:after="160"/>
      </w:pPr>
      <w:r>
        <w:rPr>
          <w:rFonts w:ascii="Libre Caslon Text" w:cs="Libre Caslon Text" w:eastAsia="Libre Caslon Text" w:hAnsi="Libre Caslon Text"/>
          <w:b/>
          <w:bCs/>
          <w:color w:val="294878"/>
          <w:sz w:val="26"/>
          <w:szCs w:val="26"/>
        </w:rPr>
        <w:t xml:space="preserve">Review Platforms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B0ABAB"/>
          <w:sz w:val="21"/>
          <w:szCs w:val="21"/>
        </w:rPr>
        <w:t xml:space="preserve">[G2, Capterra, TrustRadius, PeerSpot URLs]</w:t>
      </w:r>
    </w:p>
    <w:p>
      <w:pPr>
        <w:pStyle w:val="Heading2"/>
        <w:spacing w:before="280" w:after="160"/>
      </w:pPr>
      <w:r>
        <w:rPr>
          <w:rFonts w:ascii="Libre Caslon Text" w:cs="Libre Caslon Text" w:eastAsia="Libre Caslon Text" w:hAnsi="Libre Caslon Text"/>
          <w:b/>
          <w:bCs/>
          <w:color w:val="294878"/>
          <w:sz w:val="26"/>
          <w:szCs w:val="26"/>
        </w:rPr>
        <w:t xml:space="preserve">Higher Education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B0ABAB"/>
          <w:sz w:val="21"/>
          <w:szCs w:val="21"/>
        </w:rPr>
        <w:t xml:space="preserve">[EDUCAUSE, REN-ISAC, case study URLs]</w:t>
      </w:r>
    </w:p>
    <w:p>
      <w:pPr>
        <w:pStyle w:val="Heading2"/>
        <w:spacing w:before="280" w:after="160"/>
      </w:pPr>
      <w:r>
        <w:rPr>
          <w:rFonts w:ascii="Libre Caslon Text" w:cs="Libre Caslon Text" w:eastAsia="Libre Caslon Text" w:hAnsi="Libre Caslon Text"/>
          <w:b/>
          <w:bCs/>
          <w:color w:val="294878"/>
          <w:sz w:val="26"/>
          <w:szCs w:val="26"/>
        </w:rPr>
        <w:t xml:space="preserve">Institutional Internal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B0ABAB"/>
          <w:sz w:val="21"/>
          <w:szCs w:val="21"/>
        </w:rPr>
        <w:t xml:space="preserve">[Contract addendum, purchasing guidelines, security assessment, IT expectations]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B0ABAB"/>
        <w:sz w:val="16"/>
        <w:szCs w:val="16"/>
      </w:rPr>
      <w:t xml:space="preserve">[Institution] • [Department] • Page </w:t>
    </w:r>
    <w:r>
      <w:rPr>
        <w:rFonts w:ascii="Arial" w:cs="Arial" w:eastAsia="Arial" w:hAnsi="Arial"/>
        <w:color w:val="B0ABA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B0ABAB"/>
        <w:sz w:val="16"/>
        <w:szCs w:val="16"/>
      </w:rPr>
      <w:t xml:space="preserve">[Vendor Name] Vendor Research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Libre Caslon Text" w:cs="Libre Caslon Text" w:eastAsia="Libre Caslon Text" w:hAnsi="Libre Caslon Text"/>
      <w:b/>
      <w:bCs/>
      <w:color w:val="D42121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Libre Caslon Text" w:cs="Libre Caslon Text" w:eastAsia="Libre Caslon Text" w:hAnsi="Libre Caslon Text"/>
      <w:b/>
      <w:bCs/>
      <w:color w:val="29487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2026-02-15T17:14:25.297Z</dcterms:created>
  <dcterms:modified xsi:type="dcterms:W3CDTF">2026-02-15T17:14:25.297Z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