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1</w:t>
      </w:r>
    </w:p>
    <w:p>
      <w:pPr>
        <w:keepNext/>
        <w:spacing w:before="0" w:after="280"/>
        <w:pBdr>
          <w:bottom w:val="single" w:sz="12" w:space="1" w:color="2F75B5"/>
        </w:pBdr>
      </w:pPr>
      <w:r>
        <w:rPr>
          <w:rFonts w:ascii="Arial" w:hAnsi="Arial" w:cs="Arial"/>
          <w:b/>
          <w:color w:val="17365D"/>
          <w:sz w:val="40"/>
        </w:rPr>
        <w:t>La Constitución Española de 1978: Estructura y contenido. La reforma de la Constitución.</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La Constitución Española es la norma fundamental del Estado. Organiza los poderes públicos, reconoce derechos y deberes, establece la distribución territorial del poder y fija los procedimientos para producir y controlar las restantes normas. Su texto vigente a 30 de julio de 2026 incorpora cuatro reformas: las de 1992, 2011, 2024 y 2026.</w:t>
      </w:r>
    </w:p>
    <w:p>
      <w:pPr>
        <w:pStyle w:val="Heading1"/>
        <w:keepNext/>
      </w:pPr>
      <w:r>
        <w:rPr>
          <w:rFonts w:ascii="Arial" w:hAnsi="Arial" w:cs="Arial"/>
          <w:sz w:val="30"/>
        </w:rPr>
        <w:t>1. La Constitución como norma suprema</w:t>
      </w:r>
    </w:p>
    <w:p>
      <w:pPr>
        <w:pStyle w:val="Heading2"/>
        <w:keepNext/>
      </w:pPr>
      <w:r>
        <w:rPr>
          <w:rFonts w:ascii="Arial" w:hAnsi="Arial" w:cs="Arial"/>
          <w:sz w:val="25"/>
        </w:rPr>
        <w:t>1.1. Concepto y posición en el ordenamiento</w:t>
      </w:r>
    </w:p>
    <w:p>
      <w:pPr>
        <w:jc w:val="both"/>
      </w:pPr>
      <w:r>
        <w:rPr>
          <w:rFonts w:ascii="Arial" w:hAnsi="Arial" w:cs="Arial"/>
          <w:sz w:val="22"/>
        </w:rPr>
        <w:t>Una Constitución es la norma jurídica superior de una comunidad política. Cumple simultáneamente tres funciones:</w:t>
      </w:r>
    </w:p>
    <w:p>
      <w:pPr>
        <w:spacing w:after="40"/>
        <w:ind w:left="369" w:hanging="227"/>
      </w:pPr>
      <w:r>
        <w:rPr>
          <w:rFonts w:ascii="Arial" w:hAnsi="Arial" w:cs="Arial"/>
          <w:sz w:val="22"/>
        </w:rPr>
        <w:t xml:space="preserve">1. </w:t>
      </w:r>
      <w:r>
        <w:rPr>
          <w:rFonts w:ascii="Arial" w:hAnsi="Arial" w:cs="Arial"/>
          <w:b/>
          <w:sz w:val="22"/>
        </w:rPr>
        <w:t>Función constitutiva:</w:t>
      </w:r>
      <w:r>
        <w:rPr>
          <w:rFonts w:ascii="Arial" w:hAnsi="Arial" w:cs="Arial"/>
          <w:sz w:val="22"/>
        </w:rPr>
        <w:t xml:space="preserve"> determina la forma política del Estado y crea sus órganos fundamentales.</w:t>
      </w:r>
    </w:p>
    <w:p>
      <w:pPr>
        <w:spacing w:after="40"/>
        <w:ind w:left="369" w:hanging="227"/>
      </w:pPr>
      <w:r>
        <w:rPr>
          <w:rFonts w:ascii="Arial" w:hAnsi="Arial" w:cs="Arial"/>
          <w:sz w:val="22"/>
        </w:rPr>
        <w:t xml:space="preserve">2. </w:t>
      </w:r>
      <w:r>
        <w:rPr>
          <w:rFonts w:ascii="Arial" w:hAnsi="Arial" w:cs="Arial"/>
          <w:b/>
          <w:sz w:val="22"/>
        </w:rPr>
        <w:t>Función limitadora:</w:t>
      </w:r>
      <w:r>
        <w:rPr>
          <w:rFonts w:ascii="Arial" w:hAnsi="Arial" w:cs="Arial"/>
          <w:sz w:val="22"/>
        </w:rPr>
        <w:t xml:space="preserve"> somete el ejercicio del poder a reglas, competencias, procedimientos y derechos.</w:t>
      </w:r>
    </w:p>
    <w:p>
      <w:pPr>
        <w:spacing w:after="40"/>
        <w:ind w:left="369" w:hanging="227"/>
      </w:pPr>
      <w:r>
        <w:rPr>
          <w:rFonts w:ascii="Arial" w:hAnsi="Arial" w:cs="Arial"/>
          <w:sz w:val="22"/>
        </w:rPr>
        <w:t xml:space="preserve">3. </w:t>
      </w:r>
      <w:r>
        <w:rPr>
          <w:rFonts w:ascii="Arial" w:hAnsi="Arial" w:cs="Arial"/>
          <w:b/>
          <w:sz w:val="22"/>
        </w:rPr>
        <w:t>Función integradora:</w:t>
      </w:r>
      <w:r>
        <w:rPr>
          <w:rFonts w:ascii="Arial" w:hAnsi="Arial" w:cs="Arial"/>
          <w:sz w:val="22"/>
        </w:rPr>
        <w:t xml:space="preserve"> expresa los valores y principios básicos que sirven de fundamento a la convivencia.</w:t>
      </w:r>
    </w:p>
    <w:p>
      <w:pPr>
        <w:jc w:val="both"/>
      </w:pPr>
      <w:r>
        <w:rPr>
          <w:rFonts w:ascii="Arial" w:hAnsi="Arial" w:cs="Arial"/>
          <w:sz w:val="22"/>
        </w:rPr>
        <w:t>La Constitución de 1978 no es una mera declaración política. Es una norma jurídica directamente vinculante. El artículo 9.1 dispone que los ciudadanos y los poderes públicos están sujetos a la Constitución y al resto del ordenamiento jurídico. La sujeción alcanza, por tanto, al legislador, al Gobierno, a la Administración, a los jueces y a cualquier otro poder público.</w:t>
      </w:r>
    </w:p>
    <w:p>
      <w:pPr>
        <w:jc w:val="both"/>
      </w:pPr>
      <w:r>
        <w:rPr>
          <w:rFonts w:ascii="Arial" w:hAnsi="Arial" w:cs="Arial"/>
          <w:sz w:val="22"/>
        </w:rPr>
        <w:t>Su supremacía se manifiesta de varias formas:</w:t>
      </w:r>
    </w:p>
    <w:p>
      <w:pPr>
        <w:pStyle w:val="ListBullet"/>
      </w:pPr>
      <w:r>
        <w:rPr>
          <w:rFonts w:ascii="Arial" w:hAnsi="Arial" w:cs="Arial"/>
          <w:sz w:val="22"/>
        </w:rPr>
        <w:t>Las leyes y normas con fuerza de ley contrarias a ella pueden ser declaradas inconstitucionales por el Tribunal Constitucional.</w:t>
      </w:r>
    </w:p>
    <w:p>
      <w:pPr>
        <w:pStyle w:val="ListBullet"/>
      </w:pPr>
      <w:r>
        <w:rPr>
          <w:rFonts w:ascii="Arial" w:hAnsi="Arial" w:cs="Arial"/>
          <w:sz w:val="22"/>
        </w:rPr>
        <w:t>Los jueces y tribunales interpretan las leyes y reglamentos conforme a los preceptos y principios constitucionales.</w:t>
      </w:r>
    </w:p>
    <w:p>
      <w:pPr>
        <w:pStyle w:val="ListBullet"/>
      </w:pPr>
      <w:r>
        <w:rPr>
          <w:rFonts w:ascii="Arial" w:hAnsi="Arial" w:cs="Arial"/>
          <w:sz w:val="22"/>
        </w:rPr>
        <w:t>La reforma de la propia Constitución exige procedimientos más rigurosos que la aprobación de una ley ordinaria.</w:t>
      </w:r>
    </w:p>
    <w:p>
      <w:pPr>
        <w:pStyle w:val="ListBullet"/>
      </w:pPr>
      <w:r>
        <w:rPr>
          <w:rFonts w:ascii="Arial" w:hAnsi="Arial" w:cs="Arial"/>
          <w:sz w:val="22"/>
        </w:rPr>
        <w:t>Los derechos fundamentales vinculan a todos los poderes públicos y cuentan con garantías reforzadas.</w:t>
      </w:r>
    </w:p>
    <w:p>
      <w:pPr>
        <w:pStyle w:val="ListBullet"/>
      </w:pPr>
      <w:r>
        <w:rPr>
          <w:rFonts w:ascii="Arial" w:hAnsi="Arial" w:cs="Arial"/>
          <w:sz w:val="22"/>
        </w:rPr>
        <w:t>Las normas anteriores incompatibles con la Constitución quedaron derogadas por su disposición derogatoria.</w:t>
      </w:r>
    </w:p>
    <w:p>
      <w:pPr>
        <w:jc w:val="both"/>
      </w:pPr>
      <w:r>
        <w:rPr>
          <w:rFonts w:ascii="Arial" w:hAnsi="Arial" w:cs="Arial"/>
          <w:sz w:val="22"/>
        </w:rPr>
        <w:t xml:space="preserve">La Constitución es </w:t>
      </w:r>
      <w:r>
        <w:rPr>
          <w:rFonts w:ascii="Arial" w:hAnsi="Arial" w:cs="Arial"/>
          <w:b/>
          <w:sz w:val="22"/>
        </w:rPr>
        <w:t>escrita y codificada</w:t>
      </w:r>
      <w:r>
        <w:rPr>
          <w:rFonts w:ascii="Arial" w:hAnsi="Arial" w:cs="Arial"/>
          <w:sz w:val="22"/>
        </w:rPr>
        <w:t xml:space="preserve">, porque se contiene principalmente en un texto solemne; </w:t>
      </w:r>
      <w:r>
        <w:rPr>
          <w:rFonts w:ascii="Arial" w:hAnsi="Arial" w:cs="Arial"/>
          <w:b/>
          <w:sz w:val="22"/>
        </w:rPr>
        <w:t>extensa</w:t>
      </w:r>
      <w:r>
        <w:rPr>
          <w:rFonts w:ascii="Arial" w:hAnsi="Arial" w:cs="Arial"/>
          <w:sz w:val="22"/>
        </w:rPr>
        <w:t xml:space="preserve">, por el número y variedad de materias que regula; </w:t>
      </w:r>
      <w:r>
        <w:rPr>
          <w:rFonts w:ascii="Arial" w:hAnsi="Arial" w:cs="Arial"/>
          <w:b/>
          <w:sz w:val="22"/>
        </w:rPr>
        <w:t>consensuada</w:t>
      </w:r>
      <w:r>
        <w:rPr>
          <w:rFonts w:ascii="Arial" w:hAnsi="Arial" w:cs="Arial"/>
          <w:sz w:val="22"/>
        </w:rPr>
        <w:t xml:space="preserve">, por el amplio acuerdo político que permitió su aprobación; </w:t>
      </w:r>
      <w:r>
        <w:rPr>
          <w:rFonts w:ascii="Arial" w:hAnsi="Arial" w:cs="Arial"/>
          <w:b/>
          <w:sz w:val="22"/>
        </w:rPr>
        <w:t>democrática</w:t>
      </w:r>
      <w:r>
        <w:rPr>
          <w:rFonts w:ascii="Arial" w:hAnsi="Arial" w:cs="Arial"/>
          <w:sz w:val="22"/>
        </w:rPr>
        <w:t xml:space="preserve">, porque atribuye la soberanía nacional al pueblo español; </w:t>
      </w:r>
      <w:r>
        <w:rPr>
          <w:rFonts w:ascii="Arial" w:hAnsi="Arial" w:cs="Arial"/>
          <w:b/>
          <w:sz w:val="22"/>
        </w:rPr>
        <w:t>normativa</w:t>
      </w:r>
      <w:r>
        <w:rPr>
          <w:rFonts w:ascii="Arial" w:hAnsi="Arial" w:cs="Arial"/>
          <w:sz w:val="22"/>
        </w:rPr>
        <w:t xml:space="preserve">, porque sus mandatos tienen eficacia jurídica; y </w:t>
      </w:r>
      <w:r>
        <w:rPr>
          <w:rFonts w:ascii="Arial" w:hAnsi="Arial" w:cs="Arial"/>
          <w:b/>
          <w:sz w:val="22"/>
        </w:rPr>
        <w:t>rígida</w:t>
      </w:r>
      <w:r>
        <w:rPr>
          <w:rFonts w:ascii="Arial" w:hAnsi="Arial" w:cs="Arial"/>
          <w:sz w:val="22"/>
        </w:rPr>
        <w:t>, porque no puede modificarse mediante el procedimiento legislativo ordinario.</w:t>
      </w:r>
    </w:p>
    <w:p>
      <w:pPr>
        <w:jc w:val="both"/>
      </w:pPr>
      <w:r>
        <w:rPr>
          <w:rFonts w:ascii="Arial" w:hAnsi="Arial" w:cs="Arial"/>
          <w:sz w:val="22"/>
        </w:rPr>
        <w:t>La rigidez no significa inmutabilidad. El título X permite adaptar el texto a nuevas circunstancias, pero exige mayorías cualificadas y, en determinados casos, disolución de las Cortes y referéndum obligatorio. De este modo se combina la estabilidad constitucional con la posibilidad de cambio.</w:t>
      </w:r>
    </w:p>
    <w:p>
      <w:pPr>
        <w:pStyle w:val="Heading2"/>
        <w:keepNext/>
      </w:pPr>
      <w:r>
        <w:rPr>
          <w:rFonts w:ascii="Arial" w:hAnsi="Arial" w:cs="Arial"/>
          <w:sz w:val="25"/>
        </w:rPr>
        <w:t>1.2. Elaboración, aprobación y entrada en vigor</w:t>
      </w:r>
    </w:p>
    <w:p>
      <w:pPr>
        <w:jc w:val="both"/>
      </w:pPr>
      <w:r>
        <w:rPr>
          <w:rFonts w:ascii="Arial" w:hAnsi="Arial" w:cs="Arial"/>
          <w:sz w:val="22"/>
        </w:rPr>
        <w:t>La secuencia esencial es la siguiente:</w:t>
      </w:r>
    </w:p>
    <w:tbl>
      <w:tblPr>
        <w:tblStyle w:val="TableGrid"/>
        <w:tblW w:type="dxa" w:w="9026"/>
        <w:jc w:val="left"/>
        <w:tblLayout w:type="fixed"/>
        <w:tblLook w:firstColumn="1" w:firstRow="1" w:lastColumn="0" w:lastRow="0" w:noHBand="0" w:noVBand="1" w:val="04A0"/>
        <w:tblInd w:w="120" w:type="dxa"/>
      </w:tblPr>
      <w:tblGrid>
        <w:gridCol w:w="6260"/>
        <w:gridCol w:w="2766"/>
      </w:tblGrid>
      <w:tr>
        <w:trPr>
          <w:tblHeader w:val="true"/>
        </w:trPr>
        <w:tc>
          <w:tcPr>
            <w:tcW w:type="dxa" w:w="626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Actuación</w:t>
            </w:r>
          </w:p>
        </w:tc>
        <w:tc>
          <w:tcPr>
            <w:tcW w:type="dxa" w:w="276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Fecha</w:t>
            </w:r>
          </w:p>
        </w:tc>
      </w:tr>
      <w:tr>
        <w:tc>
          <w:tcPr>
            <w:tcW w:type="dxa" w:w="6260"/>
            <w:tcMar>
              <w:top w:w="80" w:type="dxa"/>
              <w:start w:w="120" w:type="dxa"/>
              <w:bottom w:w="80" w:type="dxa"/>
              <w:end w:w="120" w:type="dxa"/>
            </w:tcMar>
            <w:vAlign w:val="center"/>
          </w:tcPr>
          <w:p>
            <w:pPr>
              <w:spacing w:before="0" w:after="0" w:line="240" w:lineRule="auto"/>
              <w:jc w:val="left"/>
            </w:pPr>
            <w:r/>
            <w:r>
              <w:rPr>
                <w:rFonts w:ascii="Arial" w:hAnsi="Arial" w:cs="Arial"/>
                <w:sz w:val="18"/>
              </w:rPr>
              <w:t>Aprobación por los Plenos del Congreso y del Senado</w:t>
            </w:r>
          </w:p>
        </w:tc>
        <w:tc>
          <w:tcPr>
            <w:tcW w:type="dxa" w:w="2766"/>
            <w:tcMar>
              <w:top w:w="80" w:type="dxa"/>
              <w:start w:w="120" w:type="dxa"/>
              <w:bottom w:w="80" w:type="dxa"/>
              <w:end w:w="120" w:type="dxa"/>
            </w:tcMar>
            <w:vAlign w:val="center"/>
          </w:tcPr>
          <w:p>
            <w:pPr>
              <w:spacing w:before="0" w:after="0" w:line="240" w:lineRule="auto"/>
              <w:jc w:val="left"/>
            </w:pPr>
            <w:r/>
            <w:r>
              <w:rPr>
                <w:rFonts w:ascii="Arial" w:hAnsi="Arial" w:cs="Arial"/>
                <w:sz w:val="18"/>
              </w:rPr>
              <w:t>31 de octubre de 1978</w:t>
            </w:r>
          </w:p>
        </w:tc>
      </w:tr>
      <w:tr>
        <w:tc>
          <w:tcPr>
            <w:tcW w:type="dxa" w:w="6260"/>
            <w:tcMar>
              <w:top w:w="80" w:type="dxa"/>
              <w:start w:w="120" w:type="dxa"/>
              <w:bottom w:w="80" w:type="dxa"/>
              <w:end w:w="120" w:type="dxa"/>
            </w:tcMar>
            <w:vAlign w:val="center"/>
          </w:tcPr>
          <w:p>
            <w:pPr>
              <w:spacing w:before="0" w:after="0" w:line="240" w:lineRule="auto"/>
              <w:jc w:val="left"/>
            </w:pPr>
            <w:r/>
            <w:r>
              <w:rPr>
                <w:rFonts w:ascii="Arial" w:hAnsi="Arial" w:cs="Arial"/>
                <w:sz w:val="18"/>
              </w:rPr>
              <w:t>Ratificación en referéndum</w:t>
            </w:r>
          </w:p>
        </w:tc>
        <w:tc>
          <w:tcPr>
            <w:tcW w:type="dxa" w:w="2766"/>
            <w:tcMar>
              <w:top w:w="80" w:type="dxa"/>
              <w:start w:w="120" w:type="dxa"/>
              <w:bottom w:w="80" w:type="dxa"/>
              <w:end w:w="120" w:type="dxa"/>
            </w:tcMar>
            <w:vAlign w:val="center"/>
          </w:tcPr>
          <w:p>
            <w:pPr>
              <w:spacing w:before="0" w:after="0" w:line="240" w:lineRule="auto"/>
              <w:jc w:val="left"/>
            </w:pPr>
            <w:r/>
            <w:r>
              <w:rPr>
                <w:rFonts w:ascii="Arial" w:hAnsi="Arial" w:cs="Arial"/>
                <w:sz w:val="18"/>
              </w:rPr>
              <w:t>6 de diciembre de 1978</w:t>
            </w:r>
          </w:p>
        </w:tc>
      </w:tr>
      <w:tr>
        <w:tc>
          <w:tcPr>
            <w:tcW w:type="dxa" w:w="6260"/>
            <w:tcMar>
              <w:top w:w="80" w:type="dxa"/>
              <w:start w:w="120" w:type="dxa"/>
              <w:bottom w:w="80" w:type="dxa"/>
              <w:end w:w="120" w:type="dxa"/>
            </w:tcMar>
            <w:vAlign w:val="center"/>
          </w:tcPr>
          <w:p>
            <w:pPr>
              <w:spacing w:before="0" w:after="0" w:line="240" w:lineRule="auto"/>
              <w:jc w:val="left"/>
            </w:pPr>
            <w:r/>
            <w:r>
              <w:rPr>
                <w:rFonts w:ascii="Arial" w:hAnsi="Arial" w:cs="Arial"/>
                <w:sz w:val="18"/>
              </w:rPr>
              <w:t>Sanción por el Rey ante las Cortes</w:t>
            </w:r>
          </w:p>
        </w:tc>
        <w:tc>
          <w:tcPr>
            <w:tcW w:type="dxa" w:w="2766"/>
            <w:tcMar>
              <w:top w:w="80" w:type="dxa"/>
              <w:start w:w="120" w:type="dxa"/>
              <w:bottom w:w="80" w:type="dxa"/>
              <w:end w:w="120" w:type="dxa"/>
            </w:tcMar>
            <w:vAlign w:val="center"/>
          </w:tcPr>
          <w:p>
            <w:pPr>
              <w:spacing w:before="0" w:after="0" w:line="240" w:lineRule="auto"/>
              <w:jc w:val="left"/>
            </w:pPr>
            <w:r/>
            <w:r>
              <w:rPr>
                <w:rFonts w:ascii="Arial" w:hAnsi="Arial" w:cs="Arial"/>
                <w:sz w:val="18"/>
              </w:rPr>
              <w:t>27 de diciembre de 1978</w:t>
            </w:r>
          </w:p>
        </w:tc>
      </w:tr>
      <w:tr>
        <w:tc>
          <w:tcPr>
            <w:tcW w:type="dxa" w:w="6260"/>
            <w:tcMar>
              <w:top w:w="80" w:type="dxa"/>
              <w:start w:w="120" w:type="dxa"/>
              <w:bottom w:w="80" w:type="dxa"/>
              <w:end w:w="120" w:type="dxa"/>
            </w:tcMar>
            <w:vAlign w:val="center"/>
          </w:tcPr>
          <w:p>
            <w:pPr>
              <w:spacing w:before="0" w:after="0" w:line="240" w:lineRule="auto"/>
              <w:jc w:val="left"/>
            </w:pPr>
            <w:r/>
            <w:r>
              <w:rPr>
                <w:rFonts w:ascii="Arial" w:hAnsi="Arial" w:cs="Arial"/>
                <w:sz w:val="18"/>
              </w:rPr>
              <w:t>Publicación en el BOE y entrada en vigor</w:t>
            </w:r>
          </w:p>
        </w:tc>
        <w:tc>
          <w:tcPr>
            <w:tcW w:type="dxa" w:w="2766"/>
            <w:tcMar>
              <w:top w:w="80" w:type="dxa"/>
              <w:start w:w="120" w:type="dxa"/>
              <w:bottom w:w="80" w:type="dxa"/>
              <w:end w:w="120" w:type="dxa"/>
            </w:tcMar>
            <w:vAlign w:val="center"/>
          </w:tcPr>
          <w:p>
            <w:pPr>
              <w:spacing w:before="0" w:after="0" w:line="240" w:lineRule="auto"/>
              <w:jc w:val="left"/>
            </w:pPr>
            <w:r/>
            <w:r>
              <w:rPr>
                <w:rFonts w:ascii="Arial" w:hAnsi="Arial" w:cs="Arial"/>
                <w:sz w:val="18"/>
              </w:rPr>
              <w:t>29 de diciembre de 1978</w:t>
            </w:r>
          </w:p>
        </w:tc>
      </w:tr>
    </w:tbl>
    <w:p>
      <w:pPr>
        <w:spacing w:after="40"/>
      </w:pPr>
    </w:p>
    <w:p>
      <w:pPr>
        <w:jc w:val="both"/>
      </w:pPr>
      <w:r>
        <w:rPr>
          <w:rFonts w:ascii="Arial" w:hAnsi="Arial" w:cs="Arial"/>
          <w:sz w:val="22"/>
        </w:rPr>
        <w:t>La disposición final ordenó que la Constitución entrara en vigor el mismo día de la publicación de su texto oficial en el Boletín Oficial del Estado. También ordenó su publicación en las demás lenguas de España. El 6 de diciembre, fecha del referéndum, se conmemora como Día de la Constitución, pero no fue el día de su entrada en vigor.</w:t>
      </w:r>
    </w:p>
    <w:p>
      <w:pPr>
        <w:pStyle w:val="Heading2"/>
        <w:keepNext/>
      </w:pPr>
      <w:r>
        <w:rPr>
          <w:rFonts w:ascii="Arial" w:hAnsi="Arial" w:cs="Arial"/>
          <w:sz w:val="25"/>
        </w:rPr>
        <w:t>1.3. Rasgos básicos del modelo constitucional</w:t>
      </w:r>
    </w:p>
    <w:p>
      <w:pPr>
        <w:jc w:val="both"/>
      </w:pPr>
      <w:r>
        <w:rPr>
          <w:rFonts w:ascii="Arial" w:hAnsi="Arial" w:cs="Arial"/>
          <w:sz w:val="22"/>
        </w:rPr>
        <w:t>El artículo 1 concentra varias decisiones esenciales:</w:t>
      </w:r>
    </w:p>
    <w:p>
      <w:pPr>
        <w:pStyle w:val="ListBullet"/>
      </w:pPr>
      <w:r>
        <w:rPr>
          <w:rFonts w:ascii="Arial" w:hAnsi="Arial" w:cs="Arial"/>
          <w:sz w:val="22"/>
        </w:rPr>
        <w:t xml:space="preserve">España se constituye en un </w:t>
      </w:r>
      <w:r>
        <w:rPr>
          <w:rFonts w:ascii="Arial" w:hAnsi="Arial" w:cs="Arial"/>
          <w:b/>
          <w:sz w:val="22"/>
        </w:rPr>
        <w:t>Estado social y democrático de Derecho</w:t>
      </w:r>
      <w:r>
        <w:rPr>
          <w:rFonts w:ascii="Arial" w:hAnsi="Arial" w:cs="Arial"/>
          <w:sz w:val="22"/>
        </w:rPr>
        <w:t>.</w:t>
      </w:r>
    </w:p>
    <w:p>
      <w:pPr>
        <w:pStyle w:val="ListBullet"/>
      </w:pPr>
      <w:r>
        <w:rPr>
          <w:rFonts w:ascii="Arial" w:hAnsi="Arial" w:cs="Arial"/>
          <w:sz w:val="22"/>
        </w:rPr>
        <w:t xml:space="preserve">Los valores superiores de su ordenamiento son la </w:t>
      </w:r>
      <w:r>
        <w:rPr>
          <w:rFonts w:ascii="Arial" w:hAnsi="Arial" w:cs="Arial"/>
          <w:b/>
          <w:sz w:val="22"/>
        </w:rPr>
        <w:t>libertad, la justicia, la igualdad y el pluralismo político</w:t>
      </w:r>
      <w:r>
        <w:rPr>
          <w:rFonts w:ascii="Arial" w:hAnsi="Arial" w:cs="Arial"/>
          <w:sz w:val="22"/>
        </w:rPr>
        <w:t>.</w:t>
      </w:r>
    </w:p>
    <w:p>
      <w:pPr>
        <w:pStyle w:val="ListBullet"/>
      </w:pPr>
      <w:r>
        <w:rPr>
          <w:rFonts w:ascii="Arial" w:hAnsi="Arial" w:cs="Arial"/>
          <w:sz w:val="22"/>
        </w:rPr>
        <w:t>La soberanía nacional reside en el pueblo español, del que emanan los poderes del Estado.</w:t>
      </w:r>
    </w:p>
    <w:p>
      <w:pPr>
        <w:pStyle w:val="ListBullet"/>
      </w:pPr>
      <w:r>
        <w:rPr>
          <w:rFonts w:ascii="Arial" w:hAnsi="Arial" w:cs="Arial"/>
          <w:sz w:val="22"/>
        </w:rPr>
        <w:t xml:space="preserve">La forma política del Estado es la </w:t>
      </w:r>
      <w:r>
        <w:rPr>
          <w:rFonts w:ascii="Arial" w:hAnsi="Arial" w:cs="Arial"/>
          <w:b/>
          <w:sz w:val="22"/>
        </w:rPr>
        <w:t>Monarquía parlamentaria</w:t>
      </w:r>
      <w:r>
        <w:rPr>
          <w:rFonts w:ascii="Arial" w:hAnsi="Arial" w:cs="Arial"/>
          <w:sz w:val="22"/>
        </w:rPr>
        <w:t>.</w:t>
      </w:r>
    </w:p>
    <w:p>
      <w:pPr>
        <w:jc w:val="both"/>
      </w:pPr>
      <w:r>
        <w:rPr>
          <w:rFonts w:ascii="Arial" w:hAnsi="Arial" w:cs="Arial"/>
          <w:sz w:val="22"/>
        </w:rPr>
        <w:t>Cada elemento tiene un significado propio. El Estado de Derecho exige la sujeción del poder a la norma, la garantía de derechos y el control jurisdiccional. El carácter democrático se proyecta en la soberanía popular, el pluralismo y la participación. El carácter social atribuye a los poderes públicos tareas de promoción de condiciones materiales de libertad e igualdad. La Monarquía parlamentaria sitúa al Rey como Jefe del Estado, mientras la dirección política corresponde al Gobierno responsable ante el Congreso.</w:t>
      </w:r>
    </w:p>
    <w:p>
      <w:pPr>
        <w:jc w:val="both"/>
      </w:pPr>
      <w:r>
        <w:rPr>
          <w:rFonts w:ascii="Arial" w:hAnsi="Arial" w:cs="Arial"/>
          <w:sz w:val="22"/>
        </w:rPr>
        <w:t>No deben confundirse tres expresiones:</w:t>
      </w:r>
    </w:p>
    <w:p>
      <w:pPr>
        <w:pStyle w:val="ListBullet"/>
      </w:pPr>
      <w:r>
        <w:rPr>
          <w:rFonts w:ascii="Arial" w:hAnsi="Arial" w:cs="Arial"/>
          <w:b/>
          <w:sz w:val="22"/>
        </w:rPr>
        <w:t>Valores superiores:</w:t>
      </w:r>
      <w:r>
        <w:rPr>
          <w:rFonts w:ascii="Arial" w:hAnsi="Arial" w:cs="Arial"/>
          <w:sz w:val="22"/>
        </w:rPr>
        <w:t xml:space="preserve"> libertad, justicia, igualdad y pluralismo político, artículo 1.1.</w:t>
      </w:r>
    </w:p>
    <w:p>
      <w:pPr>
        <w:pStyle w:val="ListBullet"/>
      </w:pPr>
      <w:r>
        <w:rPr>
          <w:rFonts w:ascii="Arial" w:hAnsi="Arial" w:cs="Arial"/>
          <w:b/>
          <w:sz w:val="22"/>
        </w:rPr>
        <w:t>Principios constitucionales generales:</w:t>
      </w:r>
      <w:r>
        <w:rPr>
          <w:rFonts w:ascii="Arial" w:hAnsi="Arial" w:cs="Arial"/>
          <w:sz w:val="22"/>
        </w:rPr>
        <w:t xml:space="preserve"> legalidad, jerarquía normativa, publicidad, irretroactividad en ciertos casos, seguridad jurídica, responsabilidad e interdicción de la arbitrariedad, artículo 9.3.</w:t>
      </w:r>
    </w:p>
    <w:p>
      <w:pPr>
        <w:pStyle w:val="ListBullet"/>
      </w:pPr>
      <w:r>
        <w:rPr>
          <w:rFonts w:ascii="Arial" w:hAnsi="Arial" w:cs="Arial"/>
          <w:b/>
          <w:sz w:val="22"/>
        </w:rPr>
        <w:t>Fundamentos del orden político y la paz social:</w:t>
      </w:r>
      <w:r>
        <w:rPr>
          <w:rFonts w:ascii="Arial" w:hAnsi="Arial" w:cs="Arial"/>
          <w:sz w:val="22"/>
        </w:rPr>
        <w:t xml:space="preserve"> dignidad de la persona, derechos inviolables, libre desarrollo de la personalidad, respeto a la ley y a los derechos de los demás, artículo 10.1.</w:t>
      </w:r>
    </w:p>
    <w:p>
      <w:pPr>
        <w:pStyle w:val="Heading1"/>
        <w:keepNext/>
      </w:pPr>
      <w:r>
        <w:rPr>
          <w:rFonts w:ascii="Arial" w:hAnsi="Arial" w:cs="Arial"/>
          <w:sz w:val="30"/>
        </w:rPr>
        <w:t>2. Estructura general</w:t>
      </w:r>
    </w:p>
    <w:p>
      <w:pPr>
        <w:pStyle w:val="Heading2"/>
        <w:keepNext/>
      </w:pPr>
      <w:r>
        <w:rPr>
          <w:rFonts w:ascii="Arial" w:hAnsi="Arial" w:cs="Arial"/>
          <w:sz w:val="25"/>
        </w:rPr>
        <w:t>2.1. Estructura formal</w:t>
      </w:r>
    </w:p>
    <w:p>
      <w:pPr>
        <w:jc w:val="both"/>
      </w:pPr>
      <w:r>
        <w:rPr>
          <w:rFonts w:ascii="Arial" w:hAnsi="Arial" w:cs="Arial"/>
          <w:sz w:val="22"/>
        </w:rPr>
        <w:t>La Constitución se compone de:</w:t>
      </w:r>
    </w:p>
    <w:p>
      <w:pPr>
        <w:pStyle w:val="ListBullet"/>
      </w:pPr>
      <w:r>
        <w:rPr>
          <w:rFonts w:ascii="Arial" w:hAnsi="Arial" w:cs="Arial"/>
          <w:sz w:val="22"/>
        </w:rPr>
        <w:t>Un preámbulo.</w:t>
      </w:r>
    </w:p>
    <w:p>
      <w:pPr>
        <w:pStyle w:val="ListBullet"/>
      </w:pPr>
      <w:r>
        <w:rPr>
          <w:rFonts w:ascii="Arial" w:hAnsi="Arial" w:cs="Arial"/>
          <w:sz w:val="22"/>
        </w:rPr>
        <w:t>Un título preliminar.</w:t>
      </w:r>
    </w:p>
    <w:p>
      <w:pPr>
        <w:pStyle w:val="ListBullet"/>
      </w:pPr>
      <w:r>
        <w:rPr>
          <w:rFonts w:ascii="Arial" w:hAnsi="Arial" w:cs="Arial"/>
          <w:sz w:val="22"/>
        </w:rPr>
        <w:t>Diez títulos numerados.</w:t>
      </w:r>
    </w:p>
    <w:p>
      <w:pPr>
        <w:pStyle w:val="ListBullet"/>
      </w:pPr>
      <w:r>
        <w:rPr>
          <w:rFonts w:ascii="Arial" w:hAnsi="Arial" w:cs="Arial"/>
          <w:sz w:val="22"/>
        </w:rPr>
        <w:t>169 artículos.</w:t>
      </w:r>
    </w:p>
    <w:p>
      <w:pPr>
        <w:pStyle w:val="ListBullet"/>
      </w:pPr>
      <w:r>
        <w:rPr>
          <w:rFonts w:ascii="Arial" w:hAnsi="Arial" w:cs="Arial"/>
          <w:sz w:val="22"/>
        </w:rPr>
        <w:t>Cuatro disposiciones adicionales.</w:t>
      </w:r>
    </w:p>
    <w:p>
      <w:pPr>
        <w:pStyle w:val="ListBullet"/>
      </w:pPr>
      <w:r>
        <w:rPr>
          <w:rFonts w:ascii="Arial" w:hAnsi="Arial" w:cs="Arial"/>
          <w:sz w:val="22"/>
        </w:rPr>
        <w:t>Nueve disposiciones transitorias.</w:t>
      </w:r>
    </w:p>
    <w:p>
      <w:pPr>
        <w:pStyle w:val="ListBullet"/>
      </w:pPr>
      <w:r>
        <w:rPr>
          <w:rFonts w:ascii="Arial" w:hAnsi="Arial" w:cs="Arial"/>
          <w:sz w:val="22"/>
        </w:rPr>
        <w:t>Una disposición derogatoria.</w:t>
      </w:r>
    </w:p>
    <w:p>
      <w:pPr>
        <w:pStyle w:val="ListBullet"/>
      </w:pPr>
      <w:r>
        <w:rPr>
          <w:rFonts w:ascii="Arial" w:hAnsi="Arial" w:cs="Arial"/>
          <w:sz w:val="22"/>
        </w:rPr>
        <w:t>Una disposición final.</w:t>
      </w:r>
    </w:p>
    <w:p>
      <w:pPr>
        <w:jc w:val="both"/>
      </w:pPr>
      <w:r>
        <w:rPr>
          <w:rFonts w:ascii="Arial" w:hAnsi="Arial" w:cs="Arial"/>
          <w:sz w:val="22"/>
        </w:rPr>
        <w:t>El preámbulo carece de artículos. Expone objetivos y orientaciones que ayudan a interpretar el texto, pero los mandatos directamente articulados se encuentran en la parte dispositiva.</w:t>
      </w:r>
    </w:p>
    <w:p>
      <w:pPr>
        <w:jc w:val="both"/>
      </w:pPr>
      <w:r>
        <w:rPr>
          <w:rFonts w:ascii="Arial" w:hAnsi="Arial" w:cs="Arial"/>
          <w:sz w:val="22"/>
        </w:rPr>
        <w:t>La estructura completa es esta:</w:t>
      </w:r>
    </w:p>
    <w:tbl>
      <w:tblPr>
        <w:tblStyle w:val="TableGrid"/>
        <w:tblW w:type="dxa" w:w="9026"/>
        <w:jc w:val="left"/>
        <w:tblLayout w:type="fixed"/>
        <w:tblLook w:firstColumn="1" w:firstRow="1" w:lastColumn="0" w:lastRow="0" w:noHBand="0" w:noVBand="1" w:val="04A0"/>
        <w:tblInd w:w="120" w:type="dxa"/>
      </w:tblPr>
      <w:tblGrid>
        <w:gridCol w:w="2534"/>
        <w:gridCol w:w="1425"/>
        <w:gridCol w:w="5067"/>
      </w:tblGrid>
      <w:tr>
        <w:trPr>
          <w:tblHeader w:val="true"/>
        </w:trPr>
        <w:tc>
          <w:tcPr>
            <w:tcW w:type="dxa" w:w="253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Parte</w:t>
            </w:r>
          </w:p>
        </w:tc>
        <w:tc>
          <w:tcPr>
            <w:tcW w:type="dxa" w:w="142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Artículos</w:t>
            </w:r>
          </w:p>
        </w:tc>
        <w:tc>
          <w:tcPr>
            <w:tcW w:type="dxa" w:w="506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Materia principal</w:t>
            </w:r>
          </w:p>
        </w:tc>
      </w:tr>
      <w:tr>
        <w:tc>
          <w:tcPr>
            <w:tcW w:type="dxa" w:w="2534"/>
            <w:tcMar>
              <w:top w:w="80" w:type="dxa"/>
              <w:start w:w="120" w:type="dxa"/>
              <w:bottom w:w="80" w:type="dxa"/>
              <w:end w:w="120" w:type="dxa"/>
            </w:tcMar>
            <w:vAlign w:val="center"/>
          </w:tcPr>
          <w:p>
            <w:pPr>
              <w:spacing w:before="0" w:after="0" w:line="240" w:lineRule="auto"/>
              <w:jc w:val="left"/>
            </w:pPr>
            <w:r/>
            <w:r>
              <w:rPr>
                <w:rFonts w:ascii="Arial" w:hAnsi="Arial" w:cs="Arial"/>
                <w:sz w:val="18"/>
              </w:rPr>
              <w:t>Título preliminar</w:t>
            </w:r>
          </w:p>
        </w:tc>
        <w:tc>
          <w:tcPr>
            <w:tcW w:type="dxa" w:w="1425"/>
            <w:tcMar>
              <w:top w:w="80" w:type="dxa"/>
              <w:start w:w="120" w:type="dxa"/>
              <w:bottom w:w="80" w:type="dxa"/>
              <w:end w:w="120" w:type="dxa"/>
            </w:tcMar>
            <w:vAlign w:val="center"/>
          </w:tcPr>
          <w:p>
            <w:pPr>
              <w:spacing w:before="0" w:after="0" w:line="240" w:lineRule="auto"/>
              <w:jc w:val="center"/>
            </w:pPr>
            <w:r/>
            <w:r>
              <w:rPr>
                <w:rFonts w:ascii="Arial" w:hAnsi="Arial" w:cs="Arial"/>
                <w:sz w:val="18"/>
              </w:rPr>
              <w:t>1-9</w:t>
            </w:r>
          </w:p>
        </w:tc>
        <w:tc>
          <w:tcPr>
            <w:tcW w:type="dxa" w:w="5067"/>
            <w:tcMar>
              <w:top w:w="80" w:type="dxa"/>
              <w:start w:w="120" w:type="dxa"/>
              <w:bottom w:w="80" w:type="dxa"/>
              <w:end w:w="120" w:type="dxa"/>
            </w:tcMar>
            <w:vAlign w:val="center"/>
          </w:tcPr>
          <w:p>
            <w:pPr>
              <w:spacing w:before="0" w:after="0" w:line="240" w:lineRule="auto"/>
              <w:jc w:val="left"/>
            </w:pPr>
            <w:r/>
            <w:r>
              <w:rPr>
                <w:rFonts w:ascii="Arial" w:hAnsi="Arial" w:cs="Arial"/>
                <w:sz w:val="18"/>
              </w:rPr>
              <w:t>Principios estructurales del Estado</w:t>
            </w:r>
          </w:p>
        </w:tc>
      </w:tr>
      <w:tr>
        <w:tc>
          <w:tcPr>
            <w:tcW w:type="dxa" w:w="2534"/>
            <w:tcMar>
              <w:top w:w="80" w:type="dxa"/>
              <w:start w:w="120" w:type="dxa"/>
              <w:bottom w:w="80" w:type="dxa"/>
              <w:end w:w="120" w:type="dxa"/>
            </w:tcMar>
            <w:vAlign w:val="center"/>
          </w:tcPr>
          <w:p>
            <w:pPr>
              <w:spacing w:before="0" w:after="0" w:line="240" w:lineRule="auto"/>
              <w:jc w:val="left"/>
            </w:pPr>
            <w:r/>
            <w:r>
              <w:rPr>
                <w:rFonts w:ascii="Arial" w:hAnsi="Arial" w:cs="Arial"/>
                <w:sz w:val="18"/>
              </w:rPr>
              <w:t>Título I</w:t>
            </w:r>
          </w:p>
        </w:tc>
        <w:tc>
          <w:tcPr>
            <w:tcW w:type="dxa" w:w="1425"/>
            <w:tcMar>
              <w:top w:w="80" w:type="dxa"/>
              <w:start w:w="120" w:type="dxa"/>
              <w:bottom w:w="80" w:type="dxa"/>
              <w:end w:w="120" w:type="dxa"/>
            </w:tcMar>
            <w:vAlign w:val="center"/>
          </w:tcPr>
          <w:p>
            <w:pPr>
              <w:spacing w:before="0" w:after="0" w:line="240" w:lineRule="auto"/>
              <w:jc w:val="center"/>
            </w:pPr>
            <w:r/>
            <w:r>
              <w:rPr>
                <w:rFonts w:ascii="Arial" w:hAnsi="Arial" w:cs="Arial"/>
                <w:sz w:val="18"/>
              </w:rPr>
              <w:t>10-55</w:t>
            </w:r>
          </w:p>
        </w:tc>
        <w:tc>
          <w:tcPr>
            <w:tcW w:type="dxa" w:w="5067"/>
            <w:tcMar>
              <w:top w:w="80" w:type="dxa"/>
              <w:start w:w="120" w:type="dxa"/>
              <w:bottom w:w="80" w:type="dxa"/>
              <w:end w:w="120" w:type="dxa"/>
            </w:tcMar>
            <w:vAlign w:val="center"/>
          </w:tcPr>
          <w:p>
            <w:pPr>
              <w:spacing w:before="0" w:after="0" w:line="240" w:lineRule="auto"/>
              <w:jc w:val="left"/>
            </w:pPr>
            <w:r/>
            <w:r>
              <w:rPr>
                <w:rFonts w:ascii="Arial" w:hAnsi="Arial" w:cs="Arial"/>
                <w:sz w:val="18"/>
              </w:rPr>
              <w:t>Derechos y deberes fundamentales</w:t>
            </w:r>
          </w:p>
        </w:tc>
      </w:tr>
      <w:tr>
        <w:tc>
          <w:tcPr>
            <w:tcW w:type="dxa" w:w="2534"/>
            <w:tcMar>
              <w:top w:w="80" w:type="dxa"/>
              <w:start w:w="120" w:type="dxa"/>
              <w:bottom w:w="80" w:type="dxa"/>
              <w:end w:w="120" w:type="dxa"/>
            </w:tcMar>
            <w:vAlign w:val="center"/>
          </w:tcPr>
          <w:p>
            <w:pPr>
              <w:spacing w:before="0" w:after="0" w:line="240" w:lineRule="auto"/>
              <w:jc w:val="left"/>
            </w:pPr>
            <w:r/>
            <w:r>
              <w:rPr>
                <w:rFonts w:ascii="Arial" w:hAnsi="Arial" w:cs="Arial"/>
                <w:sz w:val="18"/>
              </w:rPr>
              <w:t>Título II</w:t>
            </w:r>
          </w:p>
        </w:tc>
        <w:tc>
          <w:tcPr>
            <w:tcW w:type="dxa" w:w="1425"/>
            <w:tcMar>
              <w:top w:w="80" w:type="dxa"/>
              <w:start w:w="120" w:type="dxa"/>
              <w:bottom w:w="80" w:type="dxa"/>
              <w:end w:w="120" w:type="dxa"/>
            </w:tcMar>
            <w:vAlign w:val="center"/>
          </w:tcPr>
          <w:p>
            <w:pPr>
              <w:spacing w:before="0" w:after="0" w:line="240" w:lineRule="auto"/>
              <w:jc w:val="center"/>
            </w:pPr>
            <w:r/>
            <w:r>
              <w:rPr>
                <w:rFonts w:ascii="Arial" w:hAnsi="Arial" w:cs="Arial"/>
                <w:sz w:val="18"/>
              </w:rPr>
              <w:t>56-65</w:t>
            </w:r>
          </w:p>
        </w:tc>
        <w:tc>
          <w:tcPr>
            <w:tcW w:type="dxa" w:w="5067"/>
            <w:tcMar>
              <w:top w:w="80" w:type="dxa"/>
              <w:start w:w="120" w:type="dxa"/>
              <w:bottom w:w="80" w:type="dxa"/>
              <w:end w:w="120" w:type="dxa"/>
            </w:tcMar>
            <w:vAlign w:val="center"/>
          </w:tcPr>
          <w:p>
            <w:pPr>
              <w:spacing w:before="0" w:after="0" w:line="240" w:lineRule="auto"/>
              <w:jc w:val="center"/>
            </w:pPr>
            <w:r/>
            <w:r>
              <w:rPr>
                <w:rFonts w:ascii="Arial" w:hAnsi="Arial" w:cs="Arial"/>
                <w:sz w:val="18"/>
              </w:rPr>
              <w:t>La Corona</w:t>
            </w:r>
          </w:p>
        </w:tc>
      </w:tr>
      <w:tr>
        <w:tc>
          <w:tcPr>
            <w:tcW w:type="dxa" w:w="2534"/>
            <w:tcMar>
              <w:top w:w="80" w:type="dxa"/>
              <w:start w:w="120" w:type="dxa"/>
              <w:bottom w:w="80" w:type="dxa"/>
              <w:end w:w="120" w:type="dxa"/>
            </w:tcMar>
            <w:vAlign w:val="center"/>
          </w:tcPr>
          <w:p>
            <w:pPr>
              <w:spacing w:before="0" w:after="0" w:line="240" w:lineRule="auto"/>
              <w:jc w:val="left"/>
            </w:pPr>
            <w:r/>
            <w:r>
              <w:rPr>
                <w:rFonts w:ascii="Arial" w:hAnsi="Arial" w:cs="Arial"/>
                <w:sz w:val="18"/>
              </w:rPr>
              <w:t>Título III</w:t>
            </w:r>
          </w:p>
        </w:tc>
        <w:tc>
          <w:tcPr>
            <w:tcW w:type="dxa" w:w="1425"/>
            <w:tcMar>
              <w:top w:w="80" w:type="dxa"/>
              <w:start w:w="120" w:type="dxa"/>
              <w:bottom w:w="80" w:type="dxa"/>
              <w:end w:w="120" w:type="dxa"/>
            </w:tcMar>
            <w:vAlign w:val="center"/>
          </w:tcPr>
          <w:p>
            <w:pPr>
              <w:spacing w:before="0" w:after="0" w:line="240" w:lineRule="auto"/>
              <w:jc w:val="center"/>
            </w:pPr>
            <w:r/>
            <w:r>
              <w:rPr>
                <w:rFonts w:ascii="Arial" w:hAnsi="Arial" w:cs="Arial"/>
                <w:sz w:val="18"/>
              </w:rPr>
              <w:t>66-96</w:t>
            </w:r>
          </w:p>
        </w:tc>
        <w:tc>
          <w:tcPr>
            <w:tcW w:type="dxa" w:w="5067"/>
            <w:tcMar>
              <w:top w:w="80" w:type="dxa"/>
              <w:start w:w="120" w:type="dxa"/>
              <w:bottom w:w="80" w:type="dxa"/>
              <w:end w:w="120" w:type="dxa"/>
            </w:tcMar>
            <w:vAlign w:val="center"/>
          </w:tcPr>
          <w:p>
            <w:pPr>
              <w:spacing w:before="0" w:after="0" w:line="240" w:lineRule="auto"/>
              <w:jc w:val="left"/>
            </w:pPr>
            <w:r/>
            <w:r>
              <w:rPr>
                <w:rFonts w:ascii="Arial" w:hAnsi="Arial" w:cs="Arial"/>
                <w:sz w:val="18"/>
              </w:rPr>
              <w:t>Las Cortes Generales</w:t>
            </w:r>
          </w:p>
        </w:tc>
      </w:tr>
      <w:tr>
        <w:tc>
          <w:tcPr>
            <w:tcW w:type="dxa" w:w="2534"/>
            <w:tcMar>
              <w:top w:w="80" w:type="dxa"/>
              <w:start w:w="120" w:type="dxa"/>
              <w:bottom w:w="80" w:type="dxa"/>
              <w:end w:w="120" w:type="dxa"/>
            </w:tcMar>
            <w:vAlign w:val="center"/>
          </w:tcPr>
          <w:p>
            <w:pPr>
              <w:spacing w:before="0" w:after="0" w:line="240" w:lineRule="auto"/>
              <w:jc w:val="left"/>
            </w:pPr>
            <w:r/>
            <w:r>
              <w:rPr>
                <w:rFonts w:ascii="Arial" w:hAnsi="Arial" w:cs="Arial"/>
                <w:sz w:val="18"/>
              </w:rPr>
              <w:t>Título IV</w:t>
            </w:r>
          </w:p>
        </w:tc>
        <w:tc>
          <w:tcPr>
            <w:tcW w:type="dxa" w:w="1425"/>
            <w:tcMar>
              <w:top w:w="80" w:type="dxa"/>
              <w:start w:w="120" w:type="dxa"/>
              <w:bottom w:w="80" w:type="dxa"/>
              <w:end w:w="120" w:type="dxa"/>
            </w:tcMar>
            <w:vAlign w:val="center"/>
          </w:tcPr>
          <w:p>
            <w:pPr>
              <w:spacing w:before="0" w:after="0" w:line="240" w:lineRule="auto"/>
              <w:jc w:val="center"/>
            </w:pPr>
            <w:r/>
            <w:r>
              <w:rPr>
                <w:rFonts w:ascii="Arial" w:hAnsi="Arial" w:cs="Arial"/>
                <w:sz w:val="18"/>
              </w:rPr>
              <w:t>97-107</w:t>
            </w:r>
          </w:p>
        </w:tc>
        <w:tc>
          <w:tcPr>
            <w:tcW w:type="dxa" w:w="5067"/>
            <w:tcMar>
              <w:top w:w="80" w:type="dxa"/>
              <w:start w:w="120" w:type="dxa"/>
              <w:bottom w:w="80" w:type="dxa"/>
              <w:end w:w="120" w:type="dxa"/>
            </w:tcMar>
            <w:vAlign w:val="center"/>
          </w:tcPr>
          <w:p>
            <w:pPr>
              <w:spacing w:before="0" w:after="0" w:line="240" w:lineRule="auto"/>
              <w:jc w:val="left"/>
            </w:pPr>
            <w:r/>
            <w:r>
              <w:rPr>
                <w:rFonts w:ascii="Arial" w:hAnsi="Arial" w:cs="Arial"/>
                <w:sz w:val="18"/>
              </w:rPr>
              <w:t>Gobierno y Administración</w:t>
            </w:r>
          </w:p>
        </w:tc>
      </w:tr>
      <w:tr>
        <w:tc>
          <w:tcPr>
            <w:tcW w:type="dxa" w:w="2534"/>
            <w:tcMar>
              <w:top w:w="80" w:type="dxa"/>
              <w:start w:w="120" w:type="dxa"/>
              <w:bottom w:w="80" w:type="dxa"/>
              <w:end w:w="120" w:type="dxa"/>
            </w:tcMar>
            <w:vAlign w:val="center"/>
          </w:tcPr>
          <w:p>
            <w:pPr>
              <w:spacing w:before="0" w:after="0" w:line="240" w:lineRule="auto"/>
              <w:jc w:val="left"/>
            </w:pPr>
            <w:r/>
            <w:r>
              <w:rPr>
                <w:rFonts w:ascii="Arial" w:hAnsi="Arial" w:cs="Arial"/>
                <w:sz w:val="18"/>
              </w:rPr>
              <w:t>Título V</w:t>
            </w:r>
          </w:p>
        </w:tc>
        <w:tc>
          <w:tcPr>
            <w:tcW w:type="dxa" w:w="1425"/>
            <w:tcMar>
              <w:top w:w="80" w:type="dxa"/>
              <w:start w:w="120" w:type="dxa"/>
              <w:bottom w:w="80" w:type="dxa"/>
              <w:end w:w="120" w:type="dxa"/>
            </w:tcMar>
            <w:vAlign w:val="center"/>
          </w:tcPr>
          <w:p>
            <w:pPr>
              <w:spacing w:before="0" w:after="0" w:line="240" w:lineRule="auto"/>
              <w:jc w:val="center"/>
            </w:pPr>
            <w:r/>
            <w:r>
              <w:rPr>
                <w:rFonts w:ascii="Arial" w:hAnsi="Arial" w:cs="Arial"/>
                <w:sz w:val="18"/>
              </w:rPr>
              <w:t>108-116</w:t>
            </w:r>
          </w:p>
        </w:tc>
        <w:tc>
          <w:tcPr>
            <w:tcW w:type="dxa" w:w="5067"/>
            <w:tcMar>
              <w:top w:w="80" w:type="dxa"/>
              <w:start w:w="120" w:type="dxa"/>
              <w:bottom w:w="80" w:type="dxa"/>
              <w:end w:w="120" w:type="dxa"/>
            </w:tcMar>
            <w:vAlign w:val="center"/>
          </w:tcPr>
          <w:p>
            <w:pPr>
              <w:spacing w:before="0" w:after="0" w:line="240" w:lineRule="auto"/>
              <w:jc w:val="left"/>
            </w:pPr>
            <w:r/>
            <w:r>
              <w:rPr>
                <w:rFonts w:ascii="Arial" w:hAnsi="Arial" w:cs="Arial"/>
                <w:sz w:val="18"/>
              </w:rPr>
              <w:t>Relaciones Gobierno-Cortes</w:t>
            </w:r>
          </w:p>
        </w:tc>
      </w:tr>
      <w:tr>
        <w:tc>
          <w:tcPr>
            <w:tcW w:type="dxa" w:w="2534"/>
            <w:tcMar>
              <w:top w:w="80" w:type="dxa"/>
              <w:start w:w="120" w:type="dxa"/>
              <w:bottom w:w="80" w:type="dxa"/>
              <w:end w:w="120" w:type="dxa"/>
            </w:tcMar>
            <w:vAlign w:val="center"/>
          </w:tcPr>
          <w:p>
            <w:pPr>
              <w:spacing w:before="0" w:after="0" w:line="240" w:lineRule="auto"/>
              <w:jc w:val="left"/>
            </w:pPr>
            <w:r/>
            <w:r>
              <w:rPr>
                <w:rFonts w:ascii="Arial" w:hAnsi="Arial" w:cs="Arial"/>
                <w:sz w:val="18"/>
              </w:rPr>
              <w:t>Título VI</w:t>
            </w:r>
          </w:p>
        </w:tc>
        <w:tc>
          <w:tcPr>
            <w:tcW w:type="dxa" w:w="1425"/>
            <w:tcMar>
              <w:top w:w="80" w:type="dxa"/>
              <w:start w:w="120" w:type="dxa"/>
              <w:bottom w:w="80" w:type="dxa"/>
              <w:end w:w="120" w:type="dxa"/>
            </w:tcMar>
            <w:vAlign w:val="center"/>
          </w:tcPr>
          <w:p>
            <w:pPr>
              <w:spacing w:before="0" w:after="0" w:line="240" w:lineRule="auto"/>
              <w:jc w:val="center"/>
            </w:pPr>
            <w:r/>
            <w:r>
              <w:rPr>
                <w:rFonts w:ascii="Arial" w:hAnsi="Arial" w:cs="Arial"/>
                <w:sz w:val="18"/>
              </w:rPr>
              <w:t>117-127</w:t>
            </w:r>
          </w:p>
        </w:tc>
        <w:tc>
          <w:tcPr>
            <w:tcW w:type="dxa" w:w="5067"/>
            <w:tcMar>
              <w:top w:w="80" w:type="dxa"/>
              <w:start w:w="120" w:type="dxa"/>
              <w:bottom w:w="80" w:type="dxa"/>
              <w:end w:w="120" w:type="dxa"/>
            </w:tcMar>
            <w:vAlign w:val="center"/>
          </w:tcPr>
          <w:p>
            <w:pPr>
              <w:spacing w:before="0" w:after="0" w:line="240" w:lineRule="auto"/>
              <w:jc w:val="center"/>
            </w:pPr>
            <w:r/>
            <w:r>
              <w:rPr>
                <w:rFonts w:ascii="Arial" w:hAnsi="Arial" w:cs="Arial"/>
                <w:sz w:val="18"/>
              </w:rPr>
              <w:t>Poder Judicial</w:t>
            </w:r>
          </w:p>
        </w:tc>
      </w:tr>
      <w:tr>
        <w:tc>
          <w:tcPr>
            <w:tcW w:type="dxa" w:w="2534"/>
            <w:tcMar>
              <w:top w:w="80" w:type="dxa"/>
              <w:start w:w="120" w:type="dxa"/>
              <w:bottom w:w="80" w:type="dxa"/>
              <w:end w:w="120" w:type="dxa"/>
            </w:tcMar>
            <w:vAlign w:val="center"/>
          </w:tcPr>
          <w:p>
            <w:pPr>
              <w:spacing w:before="0" w:after="0" w:line="240" w:lineRule="auto"/>
              <w:jc w:val="left"/>
            </w:pPr>
            <w:r/>
            <w:r>
              <w:rPr>
                <w:rFonts w:ascii="Arial" w:hAnsi="Arial" w:cs="Arial"/>
                <w:sz w:val="18"/>
              </w:rPr>
              <w:t>Título VII</w:t>
            </w:r>
          </w:p>
        </w:tc>
        <w:tc>
          <w:tcPr>
            <w:tcW w:type="dxa" w:w="1425"/>
            <w:tcMar>
              <w:top w:w="80" w:type="dxa"/>
              <w:start w:w="120" w:type="dxa"/>
              <w:bottom w:w="80" w:type="dxa"/>
              <w:end w:w="120" w:type="dxa"/>
            </w:tcMar>
            <w:vAlign w:val="center"/>
          </w:tcPr>
          <w:p>
            <w:pPr>
              <w:spacing w:before="0" w:after="0" w:line="240" w:lineRule="auto"/>
              <w:jc w:val="center"/>
            </w:pPr>
            <w:r/>
            <w:r>
              <w:rPr>
                <w:rFonts w:ascii="Arial" w:hAnsi="Arial" w:cs="Arial"/>
                <w:sz w:val="18"/>
              </w:rPr>
              <w:t>128-136</w:t>
            </w:r>
          </w:p>
        </w:tc>
        <w:tc>
          <w:tcPr>
            <w:tcW w:type="dxa" w:w="5067"/>
            <w:tcMar>
              <w:top w:w="80" w:type="dxa"/>
              <w:start w:w="120" w:type="dxa"/>
              <w:bottom w:w="80" w:type="dxa"/>
              <w:end w:w="120" w:type="dxa"/>
            </w:tcMar>
            <w:vAlign w:val="center"/>
          </w:tcPr>
          <w:p>
            <w:pPr>
              <w:spacing w:before="0" w:after="0" w:line="240" w:lineRule="auto"/>
              <w:jc w:val="left"/>
            </w:pPr>
            <w:r/>
            <w:r>
              <w:rPr>
                <w:rFonts w:ascii="Arial" w:hAnsi="Arial" w:cs="Arial"/>
                <w:sz w:val="18"/>
              </w:rPr>
              <w:t>Economía y Hacienda</w:t>
            </w:r>
          </w:p>
        </w:tc>
      </w:tr>
      <w:tr>
        <w:tc>
          <w:tcPr>
            <w:tcW w:type="dxa" w:w="2534"/>
            <w:tcMar>
              <w:top w:w="80" w:type="dxa"/>
              <w:start w:w="120" w:type="dxa"/>
              <w:bottom w:w="80" w:type="dxa"/>
              <w:end w:w="120" w:type="dxa"/>
            </w:tcMar>
            <w:vAlign w:val="center"/>
          </w:tcPr>
          <w:p>
            <w:pPr>
              <w:spacing w:before="0" w:after="0" w:line="240" w:lineRule="auto"/>
              <w:jc w:val="left"/>
            </w:pPr>
            <w:r/>
            <w:r>
              <w:rPr>
                <w:rFonts w:ascii="Arial" w:hAnsi="Arial" w:cs="Arial"/>
                <w:sz w:val="18"/>
              </w:rPr>
              <w:t>Título VIII</w:t>
            </w:r>
          </w:p>
        </w:tc>
        <w:tc>
          <w:tcPr>
            <w:tcW w:type="dxa" w:w="1425"/>
            <w:tcMar>
              <w:top w:w="80" w:type="dxa"/>
              <w:start w:w="120" w:type="dxa"/>
              <w:bottom w:w="80" w:type="dxa"/>
              <w:end w:w="120" w:type="dxa"/>
            </w:tcMar>
            <w:vAlign w:val="center"/>
          </w:tcPr>
          <w:p>
            <w:pPr>
              <w:spacing w:before="0" w:after="0" w:line="240" w:lineRule="auto"/>
              <w:jc w:val="center"/>
            </w:pPr>
            <w:r/>
            <w:r>
              <w:rPr>
                <w:rFonts w:ascii="Arial" w:hAnsi="Arial" w:cs="Arial"/>
                <w:sz w:val="18"/>
              </w:rPr>
              <w:t>137-158</w:t>
            </w:r>
          </w:p>
        </w:tc>
        <w:tc>
          <w:tcPr>
            <w:tcW w:type="dxa" w:w="5067"/>
            <w:tcMar>
              <w:top w:w="80" w:type="dxa"/>
              <w:start w:w="120" w:type="dxa"/>
              <w:bottom w:w="80" w:type="dxa"/>
              <w:end w:w="120" w:type="dxa"/>
            </w:tcMar>
            <w:vAlign w:val="center"/>
          </w:tcPr>
          <w:p>
            <w:pPr>
              <w:spacing w:before="0" w:after="0" w:line="240" w:lineRule="auto"/>
              <w:jc w:val="left"/>
            </w:pPr>
            <w:r/>
            <w:r>
              <w:rPr>
                <w:rFonts w:ascii="Arial" w:hAnsi="Arial" w:cs="Arial"/>
                <w:sz w:val="18"/>
              </w:rPr>
              <w:t>Organización territorial</w:t>
            </w:r>
          </w:p>
        </w:tc>
      </w:tr>
      <w:tr>
        <w:tc>
          <w:tcPr>
            <w:tcW w:type="dxa" w:w="2534"/>
            <w:tcMar>
              <w:top w:w="80" w:type="dxa"/>
              <w:start w:w="120" w:type="dxa"/>
              <w:bottom w:w="80" w:type="dxa"/>
              <w:end w:w="120" w:type="dxa"/>
            </w:tcMar>
            <w:vAlign w:val="center"/>
          </w:tcPr>
          <w:p>
            <w:pPr>
              <w:spacing w:before="0" w:after="0" w:line="240" w:lineRule="auto"/>
              <w:jc w:val="left"/>
            </w:pPr>
            <w:r/>
            <w:r>
              <w:rPr>
                <w:rFonts w:ascii="Arial" w:hAnsi="Arial" w:cs="Arial"/>
                <w:sz w:val="18"/>
              </w:rPr>
              <w:t>Título IX</w:t>
            </w:r>
          </w:p>
        </w:tc>
        <w:tc>
          <w:tcPr>
            <w:tcW w:type="dxa" w:w="1425"/>
            <w:tcMar>
              <w:top w:w="80" w:type="dxa"/>
              <w:start w:w="120" w:type="dxa"/>
              <w:bottom w:w="80" w:type="dxa"/>
              <w:end w:w="120" w:type="dxa"/>
            </w:tcMar>
            <w:vAlign w:val="center"/>
          </w:tcPr>
          <w:p>
            <w:pPr>
              <w:spacing w:before="0" w:after="0" w:line="240" w:lineRule="auto"/>
              <w:jc w:val="center"/>
            </w:pPr>
            <w:r/>
            <w:r>
              <w:rPr>
                <w:rFonts w:ascii="Arial" w:hAnsi="Arial" w:cs="Arial"/>
                <w:sz w:val="18"/>
              </w:rPr>
              <w:t>159-165</w:t>
            </w:r>
          </w:p>
        </w:tc>
        <w:tc>
          <w:tcPr>
            <w:tcW w:type="dxa" w:w="5067"/>
            <w:tcMar>
              <w:top w:w="80" w:type="dxa"/>
              <w:start w:w="120" w:type="dxa"/>
              <w:bottom w:w="80" w:type="dxa"/>
              <w:end w:w="120" w:type="dxa"/>
            </w:tcMar>
            <w:vAlign w:val="center"/>
          </w:tcPr>
          <w:p>
            <w:pPr>
              <w:spacing w:before="0" w:after="0" w:line="240" w:lineRule="auto"/>
              <w:jc w:val="left"/>
            </w:pPr>
            <w:r/>
            <w:r>
              <w:rPr>
                <w:rFonts w:ascii="Arial" w:hAnsi="Arial" w:cs="Arial"/>
                <w:sz w:val="18"/>
              </w:rPr>
              <w:t>Tribunal Constitucional</w:t>
            </w:r>
          </w:p>
        </w:tc>
      </w:tr>
      <w:tr>
        <w:tc>
          <w:tcPr>
            <w:tcW w:type="dxa" w:w="2534"/>
            <w:tcMar>
              <w:top w:w="80" w:type="dxa"/>
              <w:start w:w="120" w:type="dxa"/>
              <w:bottom w:w="80" w:type="dxa"/>
              <w:end w:w="120" w:type="dxa"/>
            </w:tcMar>
            <w:vAlign w:val="center"/>
          </w:tcPr>
          <w:p>
            <w:pPr>
              <w:spacing w:before="0" w:after="0" w:line="240" w:lineRule="auto"/>
              <w:jc w:val="left"/>
            </w:pPr>
            <w:r/>
            <w:r>
              <w:rPr>
                <w:rFonts w:ascii="Arial" w:hAnsi="Arial" w:cs="Arial"/>
                <w:sz w:val="18"/>
              </w:rPr>
              <w:t>Título X</w:t>
            </w:r>
          </w:p>
        </w:tc>
        <w:tc>
          <w:tcPr>
            <w:tcW w:type="dxa" w:w="1425"/>
            <w:tcMar>
              <w:top w:w="80" w:type="dxa"/>
              <w:start w:w="120" w:type="dxa"/>
              <w:bottom w:w="80" w:type="dxa"/>
              <w:end w:w="120" w:type="dxa"/>
            </w:tcMar>
            <w:vAlign w:val="center"/>
          </w:tcPr>
          <w:p>
            <w:pPr>
              <w:spacing w:before="0" w:after="0" w:line="240" w:lineRule="auto"/>
              <w:jc w:val="center"/>
            </w:pPr>
            <w:r/>
            <w:r>
              <w:rPr>
                <w:rFonts w:ascii="Arial" w:hAnsi="Arial" w:cs="Arial"/>
                <w:sz w:val="18"/>
              </w:rPr>
              <w:t>166-169</w:t>
            </w:r>
          </w:p>
        </w:tc>
        <w:tc>
          <w:tcPr>
            <w:tcW w:type="dxa" w:w="5067"/>
            <w:tcMar>
              <w:top w:w="80" w:type="dxa"/>
              <w:start w:w="120" w:type="dxa"/>
              <w:bottom w:w="80" w:type="dxa"/>
              <w:end w:w="120" w:type="dxa"/>
            </w:tcMar>
            <w:vAlign w:val="center"/>
          </w:tcPr>
          <w:p>
            <w:pPr>
              <w:spacing w:before="0" w:after="0" w:line="240" w:lineRule="auto"/>
              <w:jc w:val="left"/>
            </w:pPr>
            <w:r/>
            <w:r>
              <w:rPr>
                <w:rFonts w:ascii="Arial" w:hAnsi="Arial" w:cs="Arial"/>
                <w:sz w:val="18"/>
              </w:rPr>
              <w:t>Reforma constitucional</w:t>
            </w:r>
          </w:p>
        </w:tc>
      </w:tr>
    </w:tbl>
    <w:p>
      <w:pPr>
        <w:spacing w:after="40"/>
      </w:pPr>
    </w:p>
    <w:p>
      <w:pPr>
        <w:pStyle w:val="Heading2"/>
        <w:keepNext/>
      </w:pPr>
      <w:r>
        <w:rPr>
          <w:rFonts w:ascii="Arial" w:hAnsi="Arial" w:cs="Arial"/>
          <w:sz w:val="25"/>
        </w:rPr>
        <w:t>2.2. Estructura material</w:t>
      </w:r>
    </w:p>
    <w:p>
      <w:pPr>
        <w:jc w:val="both"/>
      </w:pPr>
      <w:r>
        <w:rPr>
          <w:rFonts w:ascii="Arial" w:hAnsi="Arial" w:cs="Arial"/>
          <w:sz w:val="22"/>
        </w:rPr>
        <w:t>Desde el punto de vista material suele distinguirse:</w:t>
      </w:r>
    </w:p>
    <w:p>
      <w:pPr>
        <w:pStyle w:val="ListBullet"/>
      </w:pPr>
      <w:r>
        <w:rPr>
          <w:rFonts w:ascii="Arial" w:hAnsi="Arial" w:cs="Arial"/>
          <w:b/>
          <w:sz w:val="22"/>
        </w:rPr>
        <w:t>Parte dogmática:</w:t>
      </w:r>
      <w:r>
        <w:rPr>
          <w:rFonts w:ascii="Arial" w:hAnsi="Arial" w:cs="Arial"/>
          <w:sz w:val="22"/>
        </w:rPr>
        <w:t xml:space="preserve"> principios básicos, valores y derechos. Comprende principalmente el título preliminar y el título I.</w:t>
      </w:r>
    </w:p>
    <w:p>
      <w:pPr>
        <w:pStyle w:val="ListBullet"/>
      </w:pPr>
      <w:r>
        <w:rPr>
          <w:rFonts w:ascii="Arial" w:hAnsi="Arial" w:cs="Arial"/>
          <w:b/>
          <w:sz w:val="22"/>
        </w:rPr>
        <w:t>Parte orgánica:</w:t>
      </w:r>
      <w:r>
        <w:rPr>
          <w:rFonts w:ascii="Arial" w:hAnsi="Arial" w:cs="Arial"/>
          <w:sz w:val="22"/>
        </w:rPr>
        <w:t xml:space="preserve"> regulación de la Corona, las Cortes, el Gobierno, el Poder Judicial, la organización territorial y el Tribunal Constitucional. Comprende fundamentalmente los títulos II a IX.</w:t>
      </w:r>
    </w:p>
    <w:p>
      <w:pPr>
        <w:pStyle w:val="ListBullet"/>
      </w:pPr>
      <w:r>
        <w:rPr>
          <w:rFonts w:ascii="Arial" w:hAnsi="Arial" w:cs="Arial"/>
          <w:b/>
          <w:sz w:val="22"/>
        </w:rPr>
        <w:t>Cláusula de reforma:</w:t>
      </w:r>
      <w:r>
        <w:rPr>
          <w:rFonts w:ascii="Arial" w:hAnsi="Arial" w:cs="Arial"/>
          <w:sz w:val="22"/>
        </w:rPr>
        <w:t xml:space="preserve"> título X.</w:t>
      </w:r>
    </w:p>
    <w:p>
      <w:pPr>
        <w:jc w:val="both"/>
      </w:pPr>
      <w:r>
        <w:rPr>
          <w:rFonts w:ascii="Arial" w:hAnsi="Arial" w:cs="Arial"/>
          <w:sz w:val="22"/>
        </w:rPr>
        <w:t>La división es explicativa, no una clasificación formal de la propia Constitución. Algunos preceptos tienen contenido mixto. Por ejemplo, la organización territorial contiene garantías institucionales y derechos de autonomía, mientras el título I incorpora también deberes y principios de política social y económica.</w:t>
      </w:r>
    </w:p>
    <w:p>
      <w:pPr>
        <w:pStyle w:val="Heading1"/>
        <w:keepNext/>
      </w:pPr>
      <w:r>
        <w:rPr>
          <w:rFonts w:ascii="Arial" w:hAnsi="Arial" w:cs="Arial"/>
          <w:sz w:val="30"/>
        </w:rPr>
        <w:t>3. El preámbulo</w:t>
      </w:r>
    </w:p>
    <w:p>
      <w:pPr>
        <w:jc w:val="both"/>
      </w:pPr>
      <w:r>
        <w:rPr>
          <w:rFonts w:ascii="Arial" w:hAnsi="Arial" w:cs="Arial"/>
          <w:sz w:val="22"/>
        </w:rPr>
        <w:t>El preámbulo expresa la voluntad de la Nación española de establecer la justicia, la libertad y la seguridad y promover el bien de cuantos la integran. Para ello enuncia varios propósitos:</w:t>
      </w:r>
    </w:p>
    <w:p>
      <w:pPr>
        <w:pStyle w:val="ListBullet"/>
      </w:pPr>
      <w:r>
        <w:rPr>
          <w:rFonts w:ascii="Arial" w:hAnsi="Arial" w:cs="Arial"/>
          <w:sz w:val="22"/>
        </w:rPr>
        <w:t>Garantizar la convivencia democrática dentro de la Constitución y de las leyes conforme a un orden económico y social justo.</w:t>
      </w:r>
    </w:p>
    <w:p>
      <w:pPr>
        <w:pStyle w:val="ListBullet"/>
      </w:pPr>
      <w:r>
        <w:rPr>
          <w:rFonts w:ascii="Arial" w:hAnsi="Arial" w:cs="Arial"/>
          <w:sz w:val="22"/>
        </w:rPr>
        <w:t>Consolidar un Estado de Derecho que asegure el imperio de la ley como expresión de la voluntad popular.</w:t>
      </w:r>
    </w:p>
    <w:p>
      <w:pPr>
        <w:pStyle w:val="ListBullet"/>
      </w:pPr>
      <w:r>
        <w:rPr>
          <w:rFonts w:ascii="Arial" w:hAnsi="Arial" w:cs="Arial"/>
          <w:sz w:val="22"/>
        </w:rPr>
        <w:t>Proteger a todos los españoles y pueblos de España en el ejercicio de los derechos humanos, sus culturas, tradiciones, lenguas e instituciones.</w:t>
      </w:r>
    </w:p>
    <w:p>
      <w:pPr>
        <w:pStyle w:val="ListBullet"/>
      </w:pPr>
      <w:r>
        <w:rPr>
          <w:rFonts w:ascii="Arial" w:hAnsi="Arial" w:cs="Arial"/>
          <w:sz w:val="22"/>
        </w:rPr>
        <w:t>Promover el progreso de la cultura y de la economía para asegurar a todos una digna calidad de vida.</w:t>
      </w:r>
    </w:p>
    <w:p>
      <w:pPr>
        <w:pStyle w:val="ListBullet"/>
      </w:pPr>
      <w:r>
        <w:rPr>
          <w:rFonts w:ascii="Arial" w:hAnsi="Arial" w:cs="Arial"/>
          <w:sz w:val="22"/>
        </w:rPr>
        <w:t>Establecer una sociedad democrática avanzada.</w:t>
      </w:r>
    </w:p>
    <w:p>
      <w:pPr>
        <w:pStyle w:val="ListBullet"/>
      </w:pPr>
      <w:r>
        <w:rPr>
          <w:rFonts w:ascii="Arial" w:hAnsi="Arial" w:cs="Arial"/>
          <w:sz w:val="22"/>
        </w:rPr>
        <w:t>Colaborar en el fortalecimiento de relaciones pacíficas y de eficaz cooperación entre todos los pueblos de la Tierra.</w:t>
      </w:r>
    </w:p>
    <w:p>
      <w:pPr>
        <w:jc w:val="both"/>
      </w:pPr>
      <w:r>
        <w:rPr>
          <w:rFonts w:ascii="Arial" w:hAnsi="Arial" w:cs="Arial"/>
          <w:sz w:val="22"/>
        </w:rPr>
        <w:t>El preámbulo no contiene por sí solo un catálogo de competencias ni sustituye a los artículos. Su valor principal es interpretativo: permite comprender la finalidad del constituyente y orientar la lectura de la parte dispositiva.</w:t>
      </w:r>
    </w:p>
    <w:p>
      <w:pPr>
        <w:pStyle w:val="Heading1"/>
        <w:keepNext/>
      </w:pPr>
      <w:r>
        <w:rPr>
          <w:rFonts w:ascii="Arial" w:hAnsi="Arial" w:cs="Arial"/>
          <w:sz w:val="30"/>
        </w:rPr>
        <w:t>4. El título preliminar: artículos 1 a 9</w:t>
      </w:r>
    </w:p>
    <w:p>
      <w:pPr>
        <w:pStyle w:val="Heading2"/>
        <w:keepNext/>
      </w:pPr>
      <w:r>
        <w:rPr>
          <w:rFonts w:ascii="Arial" w:hAnsi="Arial" w:cs="Arial"/>
          <w:sz w:val="25"/>
        </w:rPr>
        <w:t>4.1. Estado, soberanía y forma política</w:t>
      </w:r>
    </w:p>
    <w:p>
      <w:pPr>
        <w:jc w:val="both"/>
      </w:pPr>
      <w:r>
        <w:rPr>
          <w:rFonts w:ascii="Arial" w:hAnsi="Arial" w:cs="Arial"/>
          <w:sz w:val="22"/>
        </w:rPr>
        <w:t>El artículo 1 define el Estado social y democrático de Derecho, enumera los cuatro valores superiores, atribuye la soberanía nacional al pueblo español y declara la Monarquía parlamentaria.</w:t>
      </w:r>
    </w:p>
    <w:p>
      <w:pPr>
        <w:jc w:val="both"/>
      </w:pPr>
      <w:r>
        <w:rPr>
          <w:rFonts w:ascii="Arial" w:hAnsi="Arial" w:cs="Arial"/>
          <w:sz w:val="22"/>
        </w:rPr>
        <w:t>La expresión «soberanía nacional» no atribuye la soberanía a cada órgano por separado. Congreso, Senado, Gobierno, jueces y demás instituciones ejercen competencias atribuidas por la Constitución. Los poderes del Estado emanan del pueblo, pero actúan mediante los cauces constitucionales.</w:t>
      </w:r>
    </w:p>
    <w:p>
      <w:pPr>
        <w:pStyle w:val="Heading2"/>
        <w:keepNext/>
      </w:pPr>
      <w:r>
        <w:rPr>
          <w:rFonts w:ascii="Arial" w:hAnsi="Arial" w:cs="Arial"/>
          <w:sz w:val="25"/>
        </w:rPr>
        <w:t>4.2. Unidad, autonomía y solidaridad</w:t>
      </w:r>
    </w:p>
    <w:p>
      <w:pPr>
        <w:jc w:val="both"/>
      </w:pPr>
      <w:r>
        <w:rPr>
          <w:rFonts w:ascii="Arial" w:hAnsi="Arial" w:cs="Arial"/>
          <w:sz w:val="22"/>
        </w:rPr>
        <w:t>El artículo 2 se fundamenta en la indisoluble unidad de la Nación española, patria común e indivisible de todos los españoles. A la vez reconoce y garantiza el derecho a la autonomía de las nacionalidades y regiones que la integran y la solidaridad entre todas ellas.</w:t>
      </w:r>
    </w:p>
    <w:p>
      <w:pPr>
        <w:jc w:val="both"/>
      </w:pPr>
      <w:r>
        <w:rPr>
          <w:rFonts w:ascii="Arial" w:hAnsi="Arial" w:cs="Arial"/>
          <w:sz w:val="22"/>
        </w:rPr>
        <w:t>Unidad, autonomía y solidaridad forman un conjunto:</w:t>
      </w:r>
    </w:p>
    <w:p>
      <w:pPr>
        <w:pStyle w:val="ListBullet"/>
      </w:pPr>
      <w:r>
        <w:rPr>
          <w:rFonts w:ascii="Arial" w:hAnsi="Arial" w:cs="Arial"/>
          <w:sz w:val="22"/>
        </w:rPr>
        <w:t>La autonomía es poder de autogobierno dentro de la Constitución, no soberanía.</w:t>
      </w:r>
    </w:p>
    <w:p>
      <w:pPr>
        <w:pStyle w:val="ListBullet"/>
      </w:pPr>
      <w:r>
        <w:rPr>
          <w:rFonts w:ascii="Arial" w:hAnsi="Arial" w:cs="Arial"/>
          <w:sz w:val="22"/>
        </w:rPr>
        <w:t>La unidad impide considerar las comunidades autónomas como Estados independientes.</w:t>
      </w:r>
    </w:p>
    <w:p>
      <w:pPr>
        <w:pStyle w:val="ListBullet"/>
      </w:pPr>
      <w:r>
        <w:rPr>
          <w:rFonts w:ascii="Arial" w:hAnsi="Arial" w:cs="Arial"/>
          <w:sz w:val="22"/>
        </w:rPr>
        <w:t>La solidaridad exige equilibrio y cooperación entre territorios.</w:t>
      </w:r>
    </w:p>
    <w:p>
      <w:pPr>
        <w:jc w:val="both"/>
      </w:pPr>
      <w:r>
        <w:rPr>
          <w:rFonts w:ascii="Arial" w:hAnsi="Arial" w:cs="Arial"/>
          <w:sz w:val="22"/>
        </w:rPr>
        <w:t>El desarrollo territorial se encuentra en el título VIII, que organiza el Estado en municipios, provincias y comunidades autónomas.</w:t>
      </w:r>
    </w:p>
    <w:p>
      <w:pPr>
        <w:pStyle w:val="Heading2"/>
        <w:keepNext/>
      </w:pPr>
      <w:r>
        <w:rPr>
          <w:rFonts w:ascii="Arial" w:hAnsi="Arial" w:cs="Arial"/>
          <w:sz w:val="25"/>
        </w:rPr>
        <w:t>4.3. Régimen lingüístico</w:t>
      </w:r>
    </w:p>
    <w:p>
      <w:pPr>
        <w:jc w:val="both"/>
      </w:pPr>
      <w:r>
        <w:rPr>
          <w:rFonts w:ascii="Arial" w:hAnsi="Arial" w:cs="Arial"/>
          <w:sz w:val="22"/>
        </w:rPr>
        <w:t>El artículo 3 establece:</w:t>
      </w:r>
    </w:p>
    <w:p>
      <w:pPr>
        <w:spacing w:after="40"/>
        <w:ind w:left="369" w:hanging="227"/>
      </w:pPr>
      <w:r>
        <w:rPr>
          <w:rFonts w:ascii="Arial" w:hAnsi="Arial" w:cs="Arial"/>
          <w:sz w:val="22"/>
        </w:rPr>
        <w:t>1. El castellano es la lengua española oficial del Estado.</w:t>
      </w:r>
    </w:p>
    <w:p>
      <w:pPr>
        <w:spacing w:after="40"/>
        <w:ind w:left="369" w:hanging="227"/>
      </w:pPr>
      <w:r>
        <w:rPr>
          <w:rFonts w:ascii="Arial" w:hAnsi="Arial" w:cs="Arial"/>
          <w:sz w:val="22"/>
        </w:rPr>
        <w:t>2. Todos los españoles tienen el deber de conocerla y el derecho a usarla.</w:t>
      </w:r>
    </w:p>
    <w:p>
      <w:pPr>
        <w:spacing w:after="40"/>
        <w:ind w:left="369" w:hanging="227"/>
      </w:pPr>
      <w:r>
        <w:rPr>
          <w:rFonts w:ascii="Arial" w:hAnsi="Arial" w:cs="Arial"/>
          <w:sz w:val="22"/>
        </w:rPr>
        <w:t>3. Las demás lenguas españolas serán también oficiales en las respectivas comunidades autónomas de acuerdo con sus estatutos.</w:t>
      </w:r>
    </w:p>
    <w:p>
      <w:pPr>
        <w:spacing w:after="40"/>
        <w:ind w:left="369" w:hanging="227"/>
      </w:pPr>
      <w:r>
        <w:rPr>
          <w:rFonts w:ascii="Arial" w:hAnsi="Arial" w:cs="Arial"/>
          <w:sz w:val="22"/>
        </w:rPr>
        <w:t>4. La riqueza de las distintas modalidades lingüísticas es patrimonio cultural objeto de especial respeto y protección.</w:t>
      </w:r>
    </w:p>
    <w:p>
      <w:pPr>
        <w:jc w:val="both"/>
      </w:pPr>
      <w:r>
        <w:rPr>
          <w:rFonts w:ascii="Arial" w:hAnsi="Arial" w:cs="Arial"/>
          <w:sz w:val="22"/>
        </w:rPr>
        <w:t>La Constitución solo impone expresamente el deber general de conocer el castellano. La cooficialidad de las demás lenguas se produce en el ámbito territorial y en los términos estatutarios correspondientes.</w:t>
      </w:r>
    </w:p>
    <w:p>
      <w:pPr>
        <w:pStyle w:val="Heading2"/>
        <w:keepNext/>
      </w:pPr>
      <w:r>
        <w:rPr>
          <w:rFonts w:ascii="Arial" w:hAnsi="Arial" w:cs="Arial"/>
          <w:sz w:val="25"/>
        </w:rPr>
        <w:t>4.4. Bandera y capital</w:t>
      </w:r>
    </w:p>
    <w:p>
      <w:pPr>
        <w:jc w:val="both"/>
      </w:pPr>
      <w:r>
        <w:rPr>
          <w:rFonts w:ascii="Arial" w:hAnsi="Arial" w:cs="Arial"/>
          <w:sz w:val="22"/>
        </w:rPr>
        <w:t>El artículo 4 describe la bandera de España: tres franjas horizontales, roja, amarilla y roja, siendo la amarilla de doble anchura que cada una de las rojas. Los estatutos pueden reconocer banderas y enseñas propias de las comunidades autónomas, que se utilizarán junto a la bandera de España en sus edificios públicos y actos oficiales.</w:t>
      </w:r>
    </w:p>
    <w:p>
      <w:pPr>
        <w:jc w:val="both"/>
      </w:pPr>
      <w:r>
        <w:rPr>
          <w:rFonts w:ascii="Arial" w:hAnsi="Arial" w:cs="Arial"/>
          <w:sz w:val="22"/>
        </w:rPr>
        <w:t>El artículo 5 fija en la villa de Madrid la capital del Estado. No habla de «ciudad de Madrid» ni contiene una remisión a una ley posterior para decidir la capital.</w:t>
      </w:r>
    </w:p>
    <w:p>
      <w:pPr>
        <w:pStyle w:val="Heading2"/>
        <w:keepNext/>
      </w:pPr>
      <w:r>
        <w:rPr>
          <w:rFonts w:ascii="Arial" w:hAnsi="Arial" w:cs="Arial"/>
          <w:sz w:val="25"/>
        </w:rPr>
        <w:t>4.5. Partidos, sindicatos y asociaciones empresariales</w:t>
      </w:r>
    </w:p>
    <w:p>
      <w:pPr>
        <w:jc w:val="both"/>
      </w:pPr>
      <w:r>
        <w:rPr>
          <w:rFonts w:ascii="Arial" w:hAnsi="Arial" w:cs="Arial"/>
          <w:sz w:val="22"/>
        </w:rPr>
        <w:t>Los partidos políticos, según el artículo 6:</w:t>
      </w:r>
    </w:p>
    <w:p>
      <w:pPr>
        <w:pStyle w:val="ListBullet"/>
      </w:pPr>
      <w:r>
        <w:rPr>
          <w:rFonts w:ascii="Arial" w:hAnsi="Arial" w:cs="Arial"/>
          <w:sz w:val="22"/>
        </w:rPr>
        <w:t>Expresan el pluralismo político.</w:t>
      </w:r>
    </w:p>
    <w:p>
      <w:pPr>
        <w:pStyle w:val="ListBullet"/>
      </w:pPr>
      <w:r>
        <w:rPr>
          <w:rFonts w:ascii="Arial" w:hAnsi="Arial" w:cs="Arial"/>
          <w:sz w:val="22"/>
        </w:rPr>
        <w:t>Concurren a la formación y manifestación de la voluntad popular.</w:t>
      </w:r>
    </w:p>
    <w:p>
      <w:pPr>
        <w:pStyle w:val="ListBullet"/>
      </w:pPr>
      <w:r>
        <w:rPr>
          <w:rFonts w:ascii="Arial" w:hAnsi="Arial" w:cs="Arial"/>
          <w:sz w:val="22"/>
        </w:rPr>
        <w:t>Son instrumento fundamental para la participación política.</w:t>
      </w:r>
    </w:p>
    <w:p>
      <w:pPr>
        <w:pStyle w:val="ListBullet"/>
      </w:pPr>
      <w:r>
        <w:rPr>
          <w:rFonts w:ascii="Arial" w:hAnsi="Arial" w:cs="Arial"/>
          <w:sz w:val="22"/>
        </w:rPr>
        <w:t>Se crean y ejercen su actividad libremente dentro del respeto a la Constitución y a la ley.</w:t>
      </w:r>
    </w:p>
    <w:p>
      <w:pPr>
        <w:pStyle w:val="ListBullet"/>
      </w:pPr>
      <w:r>
        <w:rPr>
          <w:rFonts w:ascii="Arial" w:hAnsi="Arial" w:cs="Arial"/>
          <w:sz w:val="22"/>
        </w:rPr>
        <w:t>Deben tener estructura interna y funcionamiento democráticos.</w:t>
      </w:r>
    </w:p>
    <w:p>
      <w:pPr>
        <w:jc w:val="both"/>
      </w:pPr>
      <w:r>
        <w:rPr>
          <w:rFonts w:ascii="Arial" w:hAnsi="Arial" w:cs="Arial"/>
          <w:sz w:val="22"/>
        </w:rPr>
        <w:t>Los sindicatos de trabajadores y asociaciones empresariales, artículo 7, contribuyen a la defensa y promoción de los intereses económicos y sociales que les son propios. Su creación y actividad son libres dentro del respeto a la Constitución y a la ley, y su estructura interna y funcionamiento también deben ser democráticos.</w:t>
      </w:r>
    </w:p>
    <w:p>
      <w:pPr>
        <w:jc w:val="both"/>
      </w:pPr>
      <w:r>
        <w:rPr>
          <w:rFonts w:ascii="Arial" w:hAnsi="Arial" w:cs="Arial"/>
          <w:sz w:val="22"/>
        </w:rPr>
        <w:t>Partidos y sindicatos no son órganos del Estado. Son organizaciones constitucionalmente relevantes, sometidas a exigencias de libertad, legalidad y democracia interna.</w:t>
      </w:r>
    </w:p>
    <w:p>
      <w:pPr>
        <w:pStyle w:val="Heading2"/>
        <w:keepNext/>
      </w:pPr>
      <w:r>
        <w:rPr>
          <w:rFonts w:ascii="Arial" w:hAnsi="Arial" w:cs="Arial"/>
          <w:sz w:val="25"/>
        </w:rPr>
        <w:t>4.6. Fuerzas Armadas</w:t>
      </w:r>
    </w:p>
    <w:p>
      <w:pPr>
        <w:jc w:val="both"/>
      </w:pPr>
      <w:r>
        <w:rPr>
          <w:rFonts w:ascii="Arial" w:hAnsi="Arial" w:cs="Arial"/>
          <w:sz w:val="22"/>
        </w:rPr>
        <w:t>El artículo 8 encomienda a las Fuerzas Armadas, constituidas por el Ejército de Tierra, la Armada y el Ejército del Aire y del Espacio:</w:t>
      </w:r>
    </w:p>
    <w:p>
      <w:pPr>
        <w:pStyle w:val="ListBullet"/>
      </w:pPr>
      <w:r>
        <w:rPr>
          <w:rFonts w:ascii="Arial" w:hAnsi="Arial" w:cs="Arial"/>
          <w:sz w:val="22"/>
        </w:rPr>
        <w:t>Garantizar la soberanía e independencia de España.</w:t>
      </w:r>
    </w:p>
    <w:p>
      <w:pPr>
        <w:pStyle w:val="ListBullet"/>
      </w:pPr>
      <w:r>
        <w:rPr>
          <w:rFonts w:ascii="Arial" w:hAnsi="Arial" w:cs="Arial"/>
          <w:sz w:val="22"/>
        </w:rPr>
        <w:t>Defender su integridad territorial.</w:t>
      </w:r>
    </w:p>
    <w:p>
      <w:pPr>
        <w:pStyle w:val="ListBullet"/>
      </w:pPr>
      <w:r>
        <w:rPr>
          <w:rFonts w:ascii="Arial" w:hAnsi="Arial" w:cs="Arial"/>
          <w:sz w:val="22"/>
        </w:rPr>
        <w:t>Defender el ordenamiento constitucional.</w:t>
      </w:r>
    </w:p>
    <w:p>
      <w:pPr>
        <w:jc w:val="both"/>
      </w:pPr>
      <w:r>
        <w:rPr>
          <w:rFonts w:ascii="Arial" w:hAnsi="Arial" w:cs="Arial"/>
          <w:sz w:val="22"/>
        </w:rPr>
        <w:t>Una ley orgánica regula las bases de la organización militar conforme a los principios constitucionales. La denominación vigente del tercer ejército es «Ejército del Aire y del Espacio» en la legislación ordinaria; el texto literal originario del artículo 8 sigue diciendo «Ejército del Aire».</w:t>
      </w:r>
    </w:p>
    <w:p>
      <w:pPr>
        <w:pStyle w:val="Heading2"/>
        <w:keepNext/>
      </w:pPr>
      <w:r>
        <w:rPr>
          <w:rFonts w:ascii="Arial" w:hAnsi="Arial" w:cs="Arial"/>
          <w:sz w:val="25"/>
        </w:rPr>
        <w:t>4.7. Sujeción al ordenamiento y principios del artículo 9</w:t>
      </w:r>
    </w:p>
    <w:p>
      <w:pPr>
        <w:jc w:val="both"/>
      </w:pPr>
      <w:r>
        <w:rPr>
          <w:rFonts w:ascii="Arial" w:hAnsi="Arial" w:cs="Arial"/>
          <w:sz w:val="22"/>
        </w:rPr>
        <w:t>El artículo 9.1 establece la sujeción de ciudadanos y poderes públicos. El artículo 9.2 impone a los poderes públicos:</w:t>
      </w:r>
    </w:p>
    <w:p>
      <w:pPr>
        <w:pStyle w:val="ListBullet"/>
      </w:pPr>
      <w:r>
        <w:rPr>
          <w:rFonts w:ascii="Arial" w:hAnsi="Arial" w:cs="Arial"/>
          <w:sz w:val="22"/>
        </w:rPr>
        <w:t>Promover las condiciones para que libertad e igualdad sean reales y efectivas.</w:t>
      </w:r>
    </w:p>
    <w:p>
      <w:pPr>
        <w:pStyle w:val="ListBullet"/>
      </w:pPr>
      <w:r>
        <w:rPr>
          <w:rFonts w:ascii="Arial" w:hAnsi="Arial" w:cs="Arial"/>
          <w:sz w:val="22"/>
        </w:rPr>
        <w:t>Remover los obstáculos que impidan o dificulten su plenitud.</w:t>
      </w:r>
    </w:p>
    <w:p>
      <w:pPr>
        <w:pStyle w:val="ListBullet"/>
      </w:pPr>
      <w:r>
        <w:rPr>
          <w:rFonts w:ascii="Arial" w:hAnsi="Arial" w:cs="Arial"/>
          <w:sz w:val="22"/>
        </w:rPr>
        <w:t>Facilitar la participación de todos los ciudadanos en la vida política, económica, cultural y social.</w:t>
      </w:r>
    </w:p>
    <w:p>
      <w:pPr>
        <w:jc w:val="both"/>
      </w:pPr>
      <w:r>
        <w:rPr>
          <w:rFonts w:ascii="Arial" w:hAnsi="Arial" w:cs="Arial"/>
          <w:sz w:val="22"/>
        </w:rPr>
        <w:t>El artículo 9.3 garantiza:</w:t>
      </w:r>
    </w:p>
    <w:tbl>
      <w:tblPr>
        <w:tblStyle w:val="TableGrid"/>
        <w:tblW w:type="dxa" w:w="9026"/>
        <w:jc w:val="left"/>
        <w:tblLayout w:type="fixed"/>
        <w:tblLook w:firstColumn="1" w:firstRow="1" w:lastColumn="0" w:lastRow="0" w:noHBand="0" w:noVBand="1" w:val="04A0"/>
        <w:tblInd w:w="120" w:type="dxa"/>
      </w:tblPr>
      <w:tblGrid>
        <w:gridCol w:w="2941"/>
        <w:gridCol w:w="6085"/>
      </w:tblGrid>
      <w:tr>
        <w:trPr>
          <w:tblHeader w:val="true"/>
        </w:trPr>
        <w:tc>
          <w:tcPr>
            <w:tcW w:type="dxa" w:w="294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Principio</w:t>
            </w:r>
          </w:p>
        </w:tc>
        <w:tc>
          <w:tcPr>
            <w:tcW w:type="dxa" w:w="608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Idea esencial</w:t>
            </w:r>
          </w:p>
        </w:tc>
      </w:tr>
      <w:tr>
        <w:tc>
          <w:tcPr>
            <w:tcW w:type="dxa" w:w="2941"/>
            <w:tcMar>
              <w:top w:w="80" w:type="dxa"/>
              <w:start w:w="120" w:type="dxa"/>
              <w:bottom w:w="80" w:type="dxa"/>
              <w:end w:w="120" w:type="dxa"/>
            </w:tcMar>
            <w:vAlign w:val="center"/>
          </w:tcPr>
          <w:p>
            <w:pPr>
              <w:spacing w:before="0" w:after="0" w:line="240" w:lineRule="auto"/>
              <w:jc w:val="left"/>
            </w:pPr>
            <w:r/>
            <w:r>
              <w:rPr>
                <w:rFonts w:ascii="Arial" w:hAnsi="Arial" w:cs="Arial"/>
                <w:sz w:val="18"/>
              </w:rPr>
              <w:t>Legalidad</w:t>
            </w:r>
          </w:p>
        </w:tc>
        <w:tc>
          <w:tcPr>
            <w:tcW w:type="dxa" w:w="6085"/>
            <w:tcMar>
              <w:top w:w="80" w:type="dxa"/>
              <w:start w:w="120" w:type="dxa"/>
              <w:bottom w:w="80" w:type="dxa"/>
              <w:end w:w="120" w:type="dxa"/>
            </w:tcMar>
            <w:vAlign w:val="center"/>
          </w:tcPr>
          <w:p>
            <w:pPr>
              <w:spacing w:before="0" w:after="0" w:line="240" w:lineRule="auto"/>
              <w:jc w:val="left"/>
            </w:pPr>
            <w:r/>
            <w:r>
              <w:rPr>
                <w:rFonts w:ascii="Arial" w:hAnsi="Arial" w:cs="Arial"/>
                <w:sz w:val="18"/>
              </w:rPr>
              <w:t>Toda actuación pública debe apoyarse en el ordenamiento</w:t>
            </w:r>
          </w:p>
        </w:tc>
      </w:tr>
      <w:tr>
        <w:tc>
          <w:tcPr>
            <w:tcW w:type="dxa" w:w="2941"/>
            <w:tcMar>
              <w:top w:w="80" w:type="dxa"/>
              <w:start w:w="120" w:type="dxa"/>
              <w:bottom w:w="80" w:type="dxa"/>
              <w:end w:w="120" w:type="dxa"/>
            </w:tcMar>
            <w:vAlign w:val="center"/>
          </w:tcPr>
          <w:p>
            <w:pPr>
              <w:spacing w:before="0" w:after="0" w:line="240" w:lineRule="auto"/>
              <w:jc w:val="left"/>
            </w:pPr>
            <w:r/>
            <w:r>
              <w:rPr>
                <w:rFonts w:ascii="Arial" w:hAnsi="Arial" w:cs="Arial"/>
                <w:sz w:val="18"/>
              </w:rPr>
              <w:t>Jerarquía normativa</w:t>
            </w:r>
          </w:p>
        </w:tc>
        <w:tc>
          <w:tcPr>
            <w:tcW w:type="dxa" w:w="6085"/>
            <w:tcMar>
              <w:top w:w="80" w:type="dxa"/>
              <w:start w:w="120" w:type="dxa"/>
              <w:bottom w:w="80" w:type="dxa"/>
              <w:end w:w="120" w:type="dxa"/>
            </w:tcMar>
            <w:vAlign w:val="center"/>
          </w:tcPr>
          <w:p>
            <w:pPr>
              <w:spacing w:before="0" w:after="0" w:line="240" w:lineRule="auto"/>
              <w:jc w:val="left"/>
            </w:pPr>
            <w:r/>
            <w:r>
              <w:rPr>
                <w:rFonts w:ascii="Arial" w:hAnsi="Arial" w:cs="Arial"/>
                <w:sz w:val="18"/>
              </w:rPr>
              <w:t>La norma inferior no puede contradecir a la superior</w:t>
            </w:r>
          </w:p>
        </w:tc>
      </w:tr>
      <w:tr>
        <w:tc>
          <w:tcPr>
            <w:tcW w:type="dxa" w:w="2941"/>
            <w:tcMar>
              <w:top w:w="80" w:type="dxa"/>
              <w:start w:w="120" w:type="dxa"/>
              <w:bottom w:w="80" w:type="dxa"/>
              <w:end w:w="120" w:type="dxa"/>
            </w:tcMar>
            <w:vAlign w:val="center"/>
          </w:tcPr>
          <w:p>
            <w:pPr>
              <w:spacing w:before="0" w:after="0" w:line="240" w:lineRule="auto"/>
              <w:jc w:val="left"/>
            </w:pPr>
            <w:r/>
            <w:r>
              <w:rPr>
                <w:rFonts w:ascii="Arial" w:hAnsi="Arial" w:cs="Arial"/>
                <w:sz w:val="18"/>
              </w:rPr>
              <w:t>Publicidad de las normas</w:t>
            </w:r>
          </w:p>
        </w:tc>
        <w:tc>
          <w:tcPr>
            <w:tcW w:type="dxa" w:w="6085"/>
            <w:tcMar>
              <w:top w:w="80" w:type="dxa"/>
              <w:start w:w="120" w:type="dxa"/>
              <w:bottom w:w="80" w:type="dxa"/>
              <w:end w:w="120" w:type="dxa"/>
            </w:tcMar>
            <w:vAlign w:val="center"/>
          </w:tcPr>
          <w:p>
            <w:pPr>
              <w:spacing w:before="0" w:after="0" w:line="240" w:lineRule="auto"/>
              <w:jc w:val="left"/>
            </w:pPr>
            <w:r/>
            <w:r>
              <w:rPr>
                <w:rFonts w:ascii="Arial" w:hAnsi="Arial" w:cs="Arial"/>
                <w:sz w:val="18"/>
              </w:rPr>
              <w:t>Las normas deben publicarse para ser exigibles</w:t>
            </w:r>
          </w:p>
        </w:tc>
      </w:tr>
      <w:tr>
        <w:tc>
          <w:tcPr>
            <w:tcW w:type="dxa" w:w="2941"/>
            <w:tcMar>
              <w:top w:w="80" w:type="dxa"/>
              <w:start w:w="120" w:type="dxa"/>
              <w:bottom w:w="80" w:type="dxa"/>
              <w:end w:w="120" w:type="dxa"/>
            </w:tcMar>
            <w:vAlign w:val="center"/>
          </w:tcPr>
          <w:p>
            <w:pPr>
              <w:spacing w:before="0" w:after="0" w:line="240" w:lineRule="auto"/>
              <w:jc w:val="left"/>
            </w:pPr>
            <w:r/>
            <w:r>
              <w:rPr>
                <w:rFonts w:ascii="Arial" w:hAnsi="Arial" w:cs="Arial"/>
                <w:sz w:val="18"/>
              </w:rPr>
              <w:t>Irretroactividad limitada</w:t>
            </w:r>
          </w:p>
        </w:tc>
        <w:tc>
          <w:tcPr>
            <w:tcW w:type="dxa" w:w="6085"/>
            <w:tcMar>
              <w:top w:w="80" w:type="dxa"/>
              <w:start w:w="120" w:type="dxa"/>
              <w:bottom w:w="80" w:type="dxa"/>
              <w:end w:w="120" w:type="dxa"/>
            </w:tcMar>
            <w:vAlign w:val="center"/>
          </w:tcPr>
          <w:p>
            <w:pPr>
              <w:spacing w:before="0" w:after="0" w:line="240" w:lineRule="auto"/>
              <w:jc w:val="left"/>
            </w:pPr>
            <w:r/>
            <w:r>
              <w:rPr>
                <w:rFonts w:ascii="Arial" w:hAnsi="Arial" w:cs="Arial"/>
                <w:sz w:val="18"/>
              </w:rPr>
              <w:t>Se prohíbe la retroactividad de disposiciones sancionadoras no favorables o restrictivas de derechos individuales</w:t>
            </w:r>
          </w:p>
        </w:tc>
      </w:tr>
      <w:tr>
        <w:tc>
          <w:tcPr>
            <w:tcW w:type="dxa" w:w="2941"/>
            <w:tcMar>
              <w:top w:w="80" w:type="dxa"/>
              <w:start w:w="120" w:type="dxa"/>
              <w:bottom w:w="80" w:type="dxa"/>
              <w:end w:w="120" w:type="dxa"/>
            </w:tcMar>
            <w:vAlign w:val="center"/>
          </w:tcPr>
          <w:p>
            <w:pPr>
              <w:spacing w:before="0" w:after="0" w:line="240" w:lineRule="auto"/>
              <w:jc w:val="left"/>
            </w:pPr>
            <w:r/>
            <w:r>
              <w:rPr>
                <w:rFonts w:ascii="Arial" w:hAnsi="Arial" w:cs="Arial"/>
                <w:sz w:val="18"/>
              </w:rPr>
              <w:t>Seguridad jurídica</w:t>
            </w:r>
          </w:p>
        </w:tc>
        <w:tc>
          <w:tcPr>
            <w:tcW w:type="dxa" w:w="6085"/>
            <w:tcMar>
              <w:top w:w="80" w:type="dxa"/>
              <w:start w:w="120" w:type="dxa"/>
              <w:bottom w:w="80" w:type="dxa"/>
              <w:end w:w="120" w:type="dxa"/>
            </w:tcMar>
            <w:vAlign w:val="center"/>
          </w:tcPr>
          <w:p>
            <w:pPr>
              <w:spacing w:before="0" w:after="0" w:line="240" w:lineRule="auto"/>
              <w:jc w:val="left"/>
            </w:pPr>
            <w:r/>
            <w:r>
              <w:rPr>
                <w:rFonts w:ascii="Arial" w:hAnsi="Arial" w:cs="Arial"/>
                <w:sz w:val="18"/>
              </w:rPr>
              <w:t>El ordenamiento debe ser cierto, estable y previsible</w:t>
            </w:r>
          </w:p>
        </w:tc>
      </w:tr>
      <w:tr>
        <w:tc>
          <w:tcPr>
            <w:tcW w:type="dxa" w:w="2941"/>
            <w:tcMar>
              <w:top w:w="80" w:type="dxa"/>
              <w:start w:w="120" w:type="dxa"/>
              <w:bottom w:w="80" w:type="dxa"/>
              <w:end w:w="120" w:type="dxa"/>
            </w:tcMar>
            <w:vAlign w:val="center"/>
          </w:tcPr>
          <w:p>
            <w:pPr>
              <w:spacing w:before="0" w:after="0" w:line="240" w:lineRule="auto"/>
              <w:jc w:val="left"/>
            </w:pPr>
            <w:r/>
            <w:r>
              <w:rPr>
                <w:rFonts w:ascii="Arial" w:hAnsi="Arial" w:cs="Arial"/>
                <w:sz w:val="18"/>
              </w:rPr>
              <w:t>Responsabilidad</w:t>
            </w:r>
          </w:p>
        </w:tc>
        <w:tc>
          <w:tcPr>
            <w:tcW w:type="dxa" w:w="6085"/>
            <w:tcMar>
              <w:top w:w="80" w:type="dxa"/>
              <w:start w:w="120" w:type="dxa"/>
              <w:bottom w:w="80" w:type="dxa"/>
              <w:end w:w="120" w:type="dxa"/>
            </w:tcMar>
            <w:vAlign w:val="center"/>
          </w:tcPr>
          <w:p>
            <w:pPr>
              <w:spacing w:before="0" w:after="0" w:line="240" w:lineRule="auto"/>
              <w:jc w:val="left"/>
            </w:pPr>
            <w:r/>
            <w:r>
              <w:rPr>
                <w:rFonts w:ascii="Arial" w:hAnsi="Arial" w:cs="Arial"/>
                <w:sz w:val="18"/>
              </w:rPr>
              <w:t>Los poderes públicos responden en los términos jurídicos aplicables</w:t>
            </w:r>
          </w:p>
        </w:tc>
      </w:tr>
      <w:tr>
        <w:tc>
          <w:tcPr>
            <w:tcW w:type="dxa" w:w="2941"/>
            <w:tcMar>
              <w:top w:w="80" w:type="dxa"/>
              <w:start w:w="120" w:type="dxa"/>
              <w:bottom w:w="80" w:type="dxa"/>
              <w:end w:w="120" w:type="dxa"/>
            </w:tcMar>
            <w:vAlign w:val="center"/>
          </w:tcPr>
          <w:p>
            <w:pPr>
              <w:spacing w:before="0" w:after="0" w:line="240" w:lineRule="auto"/>
              <w:jc w:val="left"/>
            </w:pPr>
            <w:r/>
            <w:r>
              <w:rPr>
                <w:rFonts w:ascii="Arial" w:hAnsi="Arial" w:cs="Arial"/>
                <w:sz w:val="18"/>
              </w:rPr>
              <w:t>Interdicción de la arbitrariedad</w:t>
            </w:r>
          </w:p>
        </w:tc>
        <w:tc>
          <w:tcPr>
            <w:tcW w:type="dxa" w:w="6085"/>
            <w:tcMar>
              <w:top w:w="80" w:type="dxa"/>
              <w:start w:w="120" w:type="dxa"/>
              <w:bottom w:w="80" w:type="dxa"/>
              <w:end w:w="120" w:type="dxa"/>
            </w:tcMar>
            <w:vAlign w:val="center"/>
          </w:tcPr>
          <w:p>
            <w:pPr>
              <w:spacing w:before="0" w:after="0" w:line="240" w:lineRule="auto"/>
              <w:jc w:val="left"/>
            </w:pPr>
            <w:r/>
            <w:r>
              <w:rPr>
                <w:rFonts w:ascii="Arial" w:hAnsi="Arial" w:cs="Arial"/>
                <w:sz w:val="18"/>
              </w:rPr>
              <w:t>Se prohíben decisiones públicas caprichosas o carentes de justificación</w:t>
            </w:r>
          </w:p>
        </w:tc>
      </w:tr>
    </w:tbl>
    <w:p>
      <w:pPr>
        <w:spacing w:after="40"/>
      </w:pPr>
    </w:p>
    <w:p>
      <w:pPr>
        <w:jc w:val="both"/>
      </w:pPr>
      <w:r>
        <w:rPr>
          <w:rFonts w:ascii="Arial" w:hAnsi="Arial" w:cs="Arial"/>
          <w:sz w:val="22"/>
        </w:rPr>
        <w:t>La Constitución no prohíbe toda retroactividad. La prohibición expresa se limita a las disposiciones sancionadoras no favorables y a las restrictivas de derechos individuales.</w:t>
      </w:r>
    </w:p>
    <w:p>
      <w:pPr>
        <w:pStyle w:val="Heading1"/>
        <w:keepNext/>
      </w:pPr>
      <w:r>
        <w:rPr>
          <w:rFonts w:ascii="Arial" w:hAnsi="Arial" w:cs="Arial"/>
          <w:sz w:val="30"/>
        </w:rPr>
        <w:t>5. El título I: derechos y deberes fundamentales</w:t>
      </w:r>
    </w:p>
    <w:p>
      <w:pPr>
        <w:jc w:val="both"/>
      </w:pPr>
      <w:r>
        <w:rPr>
          <w:rFonts w:ascii="Arial" w:hAnsi="Arial" w:cs="Arial"/>
          <w:sz w:val="22"/>
        </w:rPr>
        <w:t>El título I abarca los artículos 10 a 55. Se organiza en cinco capítulos:</w:t>
      </w:r>
    </w:p>
    <w:tbl>
      <w:tblPr>
        <w:tblStyle w:val="TableGrid"/>
        <w:tblW w:type="dxa" w:w="9026"/>
        <w:jc w:val="left"/>
        <w:tblLayout w:type="fixed"/>
        <w:tblLook w:firstColumn="1" w:firstRow="1" w:lastColumn="0" w:lastRow="0" w:noHBand="0" w:noVBand="1" w:val="04A0"/>
        <w:tblInd w:w="120" w:type="dxa"/>
      </w:tblPr>
      <w:tblGrid>
        <w:gridCol w:w="1146"/>
        <w:gridCol w:w="1289"/>
        <w:gridCol w:w="6591"/>
      </w:tblGrid>
      <w:tr>
        <w:trPr>
          <w:tblHeader w:val="true"/>
        </w:trPr>
        <w:tc>
          <w:tcPr>
            <w:tcW w:type="dxa" w:w="114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Capítulo</w:t>
            </w:r>
          </w:p>
        </w:tc>
        <w:tc>
          <w:tcPr>
            <w:tcW w:type="dxa" w:w="128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Artículos</w:t>
            </w:r>
          </w:p>
        </w:tc>
        <w:tc>
          <w:tcPr>
            <w:tcW w:type="dxa" w:w="659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Contenido</w:t>
            </w:r>
          </w:p>
        </w:tc>
      </w:tr>
      <w:tr>
        <w:tc>
          <w:tcPr>
            <w:tcW w:type="dxa" w:w="1146"/>
            <w:tcMar>
              <w:top w:w="80" w:type="dxa"/>
              <w:start w:w="120" w:type="dxa"/>
              <w:bottom w:w="80" w:type="dxa"/>
              <w:end w:w="120" w:type="dxa"/>
            </w:tcMar>
            <w:vAlign w:val="center"/>
          </w:tcPr>
          <w:p>
            <w:pPr>
              <w:spacing w:before="0" w:after="0" w:line="240" w:lineRule="auto"/>
              <w:jc w:val="left"/>
            </w:pPr>
            <w:r/>
            <w:r>
              <w:rPr>
                <w:rFonts w:ascii="Arial" w:hAnsi="Arial" w:cs="Arial"/>
                <w:sz w:val="18"/>
              </w:rPr>
              <w:t>I</w:t>
            </w:r>
          </w:p>
        </w:tc>
        <w:tc>
          <w:tcPr>
            <w:tcW w:type="dxa" w:w="1289"/>
            <w:tcMar>
              <w:top w:w="80" w:type="dxa"/>
              <w:start w:w="120" w:type="dxa"/>
              <w:bottom w:w="80" w:type="dxa"/>
              <w:end w:w="120" w:type="dxa"/>
            </w:tcMar>
            <w:vAlign w:val="center"/>
          </w:tcPr>
          <w:p>
            <w:pPr>
              <w:spacing w:before="0" w:after="0" w:line="240" w:lineRule="auto"/>
              <w:jc w:val="center"/>
            </w:pPr>
            <w:r/>
            <w:r>
              <w:rPr>
                <w:rFonts w:ascii="Arial" w:hAnsi="Arial" w:cs="Arial"/>
                <w:sz w:val="18"/>
              </w:rPr>
              <w:t>11-13</w:t>
            </w:r>
          </w:p>
        </w:tc>
        <w:tc>
          <w:tcPr>
            <w:tcW w:type="dxa" w:w="6591"/>
            <w:tcMar>
              <w:top w:w="80" w:type="dxa"/>
              <w:start w:w="120" w:type="dxa"/>
              <w:bottom w:w="80" w:type="dxa"/>
              <w:end w:w="120" w:type="dxa"/>
            </w:tcMar>
            <w:vAlign w:val="center"/>
          </w:tcPr>
          <w:p>
            <w:pPr>
              <w:spacing w:before="0" w:after="0" w:line="240" w:lineRule="auto"/>
              <w:jc w:val="left"/>
            </w:pPr>
            <w:r/>
            <w:r>
              <w:rPr>
                <w:rFonts w:ascii="Arial" w:hAnsi="Arial" w:cs="Arial"/>
                <w:sz w:val="18"/>
              </w:rPr>
              <w:t>Españoles y extranjeros</w:t>
            </w:r>
          </w:p>
        </w:tc>
      </w:tr>
      <w:tr>
        <w:tc>
          <w:tcPr>
            <w:tcW w:type="dxa" w:w="1146"/>
            <w:tcMar>
              <w:top w:w="80" w:type="dxa"/>
              <w:start w:w="120" w:type="dxa"/>
              <w:bottom w:w="80" w:type="dxa"/>
              <w:end w:w="120" w:type="dxa"/>
            </w:tcMar>
            <w:vAlign w:val="center"/>
          </w:tcPr>
          <w:p>
            <w:pPr>
              <w:spacing w:before="0" w:after="0" w:line="240" w:lineRule="auto"/>
              <w:jc w:val="left"/>
            </w:pPr>
            <w:r/>
            <w:r>
              <w:rPr>
                <w:rFonts w:ascii="Arial" w:hAnsi="Arial" w:cs="Arial"/>
                <w:sz w:val="18"/>
              </w:rPr>
              <w:t>II</w:t>
            </w:r>
          </w:p>
        </w:tc>
        <w:tc>
          <w:tcPr>
            <w:tcW w:type="dxa" w:w="1289"/>
            <w:tcMar>
              <w:top w:w="80" w:type="dxa"/>
              <w:start w:w="120" w:type="dxa"/>
              <w:bottom w:w="80" w:type="dxa"/>
              <w:end w:w="120" w:type="dxa"/>
            </w:tcMar>
            <w:vAlign w:val="center"/>
          </w:tcPr>
          <w:p>
            <w:pPr>
              <w:spacing w:before="0" w:after="0" w:line="240" w:lineRule="auto"/>
              <w:jc w:val="center"/>
            </w:pPr>
            <w:r/>
            <w:r>
              <w:rPr>
                <w:rFonts w:ascii="Arial" w:hAnsi="Arial" w:cs="Arial"/>
                <w:sz w:val="18"/>
              </w:rPr>
              <w:t>14-38</w:t>
            </w:r>
          </w:p>
        </w:tc>
        <w:tc>
          <w:tcPr>
            <w:tcW w:type="dxa" w:w="6591"/>
            <w:tcMar>
              <w:top w:w="80" w:type="dxa"/>
              <w:start w:w="120" w:type="dxa"/>
              <w:bottom w:w="80" w:type="dxa"/>
              <w:end w:w="120" w:type="dxa"/>
            </w:tcMar>
            <w:vAlign w:val="center"/>
          </w:tcPr>
          <w:p>
            <w:pPr>
              <w:spacing w:before="0" w:after="0" w:line="240" w:lineRule="auto"/>
              <w:jc w:val="left"/>
            </w:pPr>
            <w:r/>
            <w:r>
              <w:rPr>
                <w:rFonts w:ascii="Arial" w:hAnsi="Arial" w:cs="Arial"/>
                <w:sz w:val="18"/>
              </w:rPr>
              <w:t>Derechos y libertades</w:t>
            </w:r>
          </w:p>
        </w:tc>
      </w:tr>
      <w:tr>
        <w:tc>
          <w:tcPr>
            <w:tcW w:type="dxa" w:w="1146"/>
            <w:tcMar>
              <w:top w:w="80" w:type="dxa"/>
              <w:start w:w="120" w:type="dxa"/>
              <w:bottom w:w="80" w:type="dxa"/>
              <w:end w:w="120" w:type="dxa"/>
            </w:tcMar>
            <w:vAlign w:val="center"/>
          </w:tcPr>
          <w:p>
            <w:pPr>
              <w:spacing w:before="0" w:after="0" w:line="240" w:lineRule="auto"/>
              <w:jc w:val="left"/>
            </w:pPr>
            <w:r/>
            <w:r>
              <w:rPr>
                <w:rFonts w:ascii="Arial" w:hAnsi="Arial" w:cs="Arial"/>
                <w:sz w:val="18"/>
              </w:rPr>
              <w:t>III</w:t>
            </w:r>
          </w:p>
        </w:tc>
        <w:tc>
          <w:tcPr>
            <w:tcW w:type="dxa" w:w="1289"/>
            <w:tcMar>
              <w:top w:w="80" w:type="dxa"/>
              <w:start w:w="120" w:type="dxa"/>
              <w:bottom w:w="80" w:type="dxa"/>
              <w:end w:w="120" w:type="dxa"/>
            </w:tcMar>
            <w:vAlign w:val="center"/>
          </w:tcPr>
          <w:p>
            <w:pPr>
              <w:spacing w:before="0" w:after="0" w:line="240" w:lineRule="auto"/>
              <w:jc w:val="center"/>
            </w:pPr>
            <w:r/>
            <w:r>
              <w:rPr>
                <w:rFonts w:ascii="Arial" w:hAnsi="Arial" w:cs="Arial"/>
                <w:sz w:val="18"/>
              </w:rPr>
              <w:t>39-52</w:t>
            </w:r>
          </w:p>
        </w:tc>
        <w:tc>
          <w:tcPr>
            <w:tcW w:type="dxa" w:w="6591"/>
            <w:tcMar>
              <w:top w:w="80" w:type="dxa"/>
              <w:start w:w="120" w:type="dxa"/>
              <w:bottom w:w="80" w:type="dxa"/>
              <w:end w:w="120" w:type="dxa"/>
            </w:tcMar>
            <w:vAlign w:val="center"/>
          </w:tcPr>
          <w:p>
            <w:pPr>
              <w:spacing w:before="0" w:after="0" w:line="240" w:lineRule="auto"/>
              <w:jc w:val="left"/>
            </w:pPr>
            <w:r/>
            <w:r>
              <w:rPr>
                <w:rFonts w:ascii="Arial" w:hAnsi="Arial" w:cs="Arial"/>
                <w:sz w:val="18"/>
              </w:rPr>
              <w:t>Principios rectores de la política social y económica</w:t>
            </w:r>
          </w:p>
        </w:tc>
      </w:tr>
      <w:tr>
        <w:tc>
          <w:tcPr>
            <w:tcW w:type="dxa" w:w="1146"/>
            <w:tcMar>
              <w:top w:w="80" w:type="dxa"/>
              <w:start w:w="120" w:type="dxa"/>
              <w:bottom w:w="80" w:type="dxa"/>
              <w:end w:w="120" w:type="dxa"/>
            </w:tcMar>
            <w:vAlign w:val="center"/>
          </w:tcPr>
          <w:p>
            <w:pPr>
              <w:spacing w:before="0" w:after="0" w:line="240" w:lineRule="auto"/>
              <w:jc w:val="left"/>
            </w:pPr>
            <w:r/>
            <w:r>
              <w:rPr>
                <w:rFonts w:ascii="Arial" w:hAnsi="Arial" w:cs="Arial"/>
                <w:sz w:val="18"/>
              </w:rPr>
              <w:t>IV</w:t>
            </w:r>
          </w:p>
        </w:tc>
        <w:tc>
          <w:tcPr>
            <w:tcW w:type="dxa" w:w="1289"/>
            <w:tcMar>
              <w:top w:w="80" w:type="dxa"/>
              <w:start w:w="120" w:type="dxa"/>
              <w:bottom w:w="80" w:type="dxa"/>
              <w:end w:w="120" w:type="dxa"/>
            </w:tcMar>
            <w:vAlign w:val="center"/>
          </w:tcPr>
          <w:p>
            <w:pPr>
              <w:spacing w:before="0" w:after="0" w:line="240" w:lineRule="auto"/>
              <w:jc w:val="center"/>
            </w:pPr>
            <w:r/>
            <w:r>
              <w:rPr>
                <w:rFonts w:ascii="Arial" w:hAnsi="Arial" w:cs="Arial"/>
                <w:sz w:val="18"/>
              </w:rPr>
              <w:t>53-54</w:t>
            </w:r>
          </w:p>
        </w:tc>
        <w:tc>
          <w:tcPr>
            <w:tcW w:type="dxa" w:w="6591"/>
            <w:tcMar>
              <w:top w:w="80" w:type="dxa"/>
              <w:start w:w="120" w:type="dxa"/>
              <w:bottom w:w="80" w:type="dxa"/>
              <w:end w:w="120" w:type="dxa"/>
            </w:tcMar>
            <w:vAlign w:val="center"/>
          </w:tcPr>
          <w:p>
            <w:pPr>
              <w:spacing w:before="0" w:after="0" w:line="240" w:lineRule="auto"/>
              <w:jc w:val="center"/>
            </w:pPr>
            <w:r/>
            <w:r>
              <w:rPr>
                <w:rFonts w:ascii="Arial" w:hAnsi="Arial" w:cs="Arial"/>
                <w:sz w:val="18"/>
              </w:rPr>
              <w:t>Garantías</w:t>
            </w:r>
          </w:p>
        </w:tc>
      </w:tr>
      <w:tr>
        <w:tc>
          <w:tcPr>
            <w:tcW w:type="dxa" w:w="1146"/>
            <w:tcMar>
              <w:top w:w="80" w:type="dxa"/>
              <w:start w:w="120" w:type="dxa"/>
              <w:bottom w:w="80" w:type="dxa"/>
              <w:end w:w="120" w:type="dxa"/>
            </w:tcMar>
            <w:vAlign w:val="center"/>
          </w:tcPr>
          <w:p>
            <w:pPr>
              <w:spacing w:before="0" w:after="0" w:line="240" w:lineRule="auto"/>
              <w:jc w:val="left"/>
            </w:pPr>
            <w:r/>
            <w:r>
              <w:rPr>
                <w:rFonts w:ascii="Arial" w:hAnsi="Arial" w:cs="Arial"/>
                <w:sz w:val="18"/>
              </w:rPr>
              <w:t>V</w:t>
            </w:r>
          </w:p>
        </w:tc>
        <w:tc>
          <w:tcPr>
            <w:tcW w:type="dxa" w:w="1289"/>
            <w:tcMar>
              <w:top w:w="80" w:type="dxa"/>
              <w:start w:w="120" w:type="dxa"/>
              <w:bottom w:w="80" w:type="dxa"/>
              <w:end w:w="120" w:type="dxa"/>
            </w:tcMar>
            <w:vAlign w:val="center"/>
          </w:tcPr>
          <w:p>
            <w:pPr>
              <w:spacing w:before="0" w:after="0" w:line="240" w:lineRule="auto"/>
              <w:jc w:val="center"/>
            </w:pPr>
            <w:r/>
            <w:r>
              <w:rPr>
                <w:rFonts w:ascii="Arial" w:hAnsi="Arial" w:cs="Arial"/>
                <w:sz w:val="18"/>
              </w:rPr>
              <w:t>55</w:t>
            </w:r>
          </w:p>
        </w:tc>
        <w:tc>
          <w:tcPr>
            <w:tcW w:type="dxa" w:w="6591"/>
            <w:tcMar>
              <w:top w:w="80" w:type="dxa"/>
              <w:start w:w="120" w:type="dxa"/>
              <w:bottom w:w="80" w:type="dxa"/>
              <w:end w:w="120" w:type="dxa"/>
            </w:tcMar>
            <w:vAlign w:val="center"/>
          </w:tcPr>
          <w:p>
            <w:pPr>
              <w:spacing w:before="0" w:after="0" w:line="240" w:lineRule="auto"/>
              <w:jc w:val="center"/>
            </w:pPr>
            <w:r/>
            <w:r>
              <w:rPr>
                <w:rFonts w:ascii="Arial" w:hAnsi="Arial" w:cs="Arial"/>
                <w:sz w:val="18"/>
              </w:rPr>
              <w:t>Suspensión</w:t>
            </w:r>
          </w:p>
        </w:tc>
      </w:tr>
    </w:tbl>
    <w:p>
      <w:pPr>
        <w:spacing w:after="40"/>
      </w:pPr>
    </w:p>
    <w:p>
      <w:pPr>
        <w:jc w:val="both"/>
      </w:pPr>
      <w:r>
        <w:rPr>
          <w:rFonts w:ascii="Arial" w:hAnsi="Arial" w:cs="Arial"/>
          <w:sz w:val="22"/>
        </w:rPr>
        <w:t>El artículo 10 abre el título. Declara fundamentos del orden político y exige interpretar las normas relativas a derechos fundamentales y libertades conforme a la Declaración Universal de Derechos Humanos y los tratados y acuerdos internacionales ratificados por España.</w:t>
      </w:r>
    </w:p>
    <w:p>
      <w:pPr>
        <w:jc w:val="both"/>
      </w:pPr>
      <w:r>
        <w:rPr>
          <w:rFonts w:ascii="Arial" w:hAnsi="Arial" w:cs="Arial"/>
          <w:sz w:val="22"/>
        </w:rPr>
        <w:t>El capítulo II se divide en:</w:t>
      </w:r>
    </w:p>
    <w:p>
      <w:pPr>
        <w:pStyle w:val="ListBullet"/>
      </w:pPr>
      <w:r>
        <w:rPr>
          <w:rFonts w:ascii="Arial" w:hAnsi="Arial" w:cs="Arial"/>
          <w:sz w:val="22"/>
        </w:rPr>
        <w:t>Artículo 14: igualdad ante la ley y prohibición de discriminación.</w:t>
      </w:r>
    </w:p>
    <w:p>
      <w:pPr>
        <w:pStyle w:val="ListBullet"/>
      </w:pPr>
      <w:r>
        <w:rPr>
          <w:rFonts w:ascii="Arial" w:hAnsi="Arial" w:cs="Arial"/>
          <w:sz w:val="22"/>
        </w:rPr>
        <w:t>Sección 1.ª, artículos 15 a 29: derechos fundamentales y libertades públicas.</w:t>
      </w:r>
    </w:p>
    <w:p>
      <w:pPr>
        <w:pStyle w:val="ListBullet"/>
      </w:pPr>
      <w:r>
        <w:rPr>
          <w:rFonts w:ascii="Arial" w:hAnsi="Arial" w:cs="Arial"/>
          <w:sz w:val="22"/>
        </w:rPr>
        <w:t>Sección 2.ª, artículos 30 a 38: derechos y deberes de los ciudadanos.</w:t>
      </w:r>
    </w:p>
    <w:p>
      <w:pPr>
        <w:jc w:val="both"/>
      </w:pPr>
      <w:r>
        <w:rPr>
          <w:rFonts w:ascii="Arial" w:hAnsi="Arial" w:cs="Arial"/>
          <w:sz w:val="22"/>
        </w:rPr>
        <w:t>Esta ubicación determina distintos niveles de garantía. Todos los derechos del capítulo II vinculan a los poderes públicos y solo por ley, respetando su contenido esencial, puede regularse su ejercicio. Los del artículo 14 y la sección 1.ª disfrutan además de tutela judicial preferente y sumaria y, cuando proceda, recurso de amparo. El artículo 30.2 también es susceptible de amparo.</w:t>
      </w:r>
    </w:p>
    <w:p>
      <w:pPr>
        <w:jc w:val="both"/>
      </w:pPr>
      <w:r>
        <w:rPr>
          <w:rFonts w:ascii="Arial" w:hAnsi="Arial" w:cs="Arial"/>
          <w:sz w:val="22"/>
        </w:rPr>
        <w:t>El capítulo III contiene principios rectores: protección de familia e infancia, progreso social, Seguridad Social, salud, cultura, medio ambiente, vivienda, juventud, personas con discapacidad, personas mayores y consumidores, entre otros. Informan la legislación, la práctica judicial y la actuación pública, pero solo pueden alegarse ante la jurisdicción ordinaria conforme a las leyes que los desarrollen.</w:t>
      </w:r>
    </w:p>
    <w:p>
      <w:pPr>
        <w:jc w:val="both"/>
      </w:pPr>
      <w:r>
        <w:rPr>
          <w:rFonts w:ascii="Arial" w:hAnsi="Arial" w:cs="Arial"/>
          <w:sz w:val="22"/>
        </w:rPr>
        <w:t>La reforma de 2024 dio al artículo 49 una nueva redacción centrada en el ejercicio real y efectivo de los derechos por las personas con discapacidad, la autonomía personal, la inclusión social, la accesibilidad universal y la participación de sus organizaciones.</w:t>
      </w:r>
    </w:p>
    <w:p>
      <w:pPr>
        <w:pStyle w:val="Heading1"/>
        <w:keepNext/>
      </w:pPr>
      <w:r>
        <w:rPr>
          <w:rFonts w:ascii="Arial" w:hAnsi="Arial" w:cs="Arial"/>
          <w:sz w:val="30"/>
        </w:rPr>
        <w:t>6. El título II: la Corona</w:t>
      </w:r>
    </w:p>
    <w:p>
      <w:pPr>
        <w:jc w:val="both"/>
      </w:pPr>
      <w:r>
        <w:rPr>
          <w:rFonts w:ascii="Arial" w:hAnsi="Arial" w:cs="Arial"/>
          <w:sz w:val="22"/>
        </w:rPr>
        <w:t>Los artículos 56 a 65 regulan la Corona. El Rey es el Jefe del Estado, símbolo de su unidad y permanencia. Arbitra y modera el funcionamiento regular de las instituciones, asume la más alta representación del Estado en las relaciones internacionales y ejerce las funciones que le atribuyen expresamente la Constitución y las leyes.</w:t>
      </w:r>
    </w:p>
    <w:p>
      <w:pPr>
        <w:jc w:val="both"/>
      </w:pPr>
      <w:r>
        <w:rPr>
          <w:rFonts w:ascii="Arial" w:hAnsi="Arial" w:cs="Arial"/>
          <w:sz w:val="22"/>
        </w:rPr>
        <w:t>La persona del Rey es inviolable y no está sujeta a responsabilidad. Sus actos deben ser refrendados, salvo la excepción constitucional relativa al nombramiento y relevo de los miembros civiles y militares de su Casa. De los actos responde quien los refrenda.</w:t>
      </w:r>
    </w:p>
    <w:p>
      <w:pPr>
        <w:jc w:val="both"/>
      </w:pPr>
      <w:r>
        <w:rPr>
          <w:rFonts w:ascii="Arial" w:hAnsi="Arial" w:cs="Arial"/>
          <w:sz w:val="22"/>
        </w:rPr>
        <w:t>El título regula:</w:t>
      </w:r>
    </w:p>
    <w:p>
      <w:pPr>
        <w:pStyle w:val="ListBullet"/>
      </w:pPr>
      <w:r>
        <w:rPr>
          <w:rFonts w:ascii="Arial" w:hAnsi="Arial" w:cs="Arial"/>
          <w:sz w:val="22"/>
        </w:rPr>
        <w:t>Sucesión hereditaria a la Corona.</w:t>
      </w:r>
    </w:p>
    <w:p>
      <w:pPr>
        <w:pStyle w:val="ListBullet"/>
      </w:pPr>
      <w:r>
        <w:rPr>
          <w:rFonts w:ascii="Arial" w:hAnsi="Arial" w:cs="Arial"/>
          <w:sz w:val="22"/>
        </w:rPr>
        <w:t>Príncipe o Princesa heredera.</w:t>
      </w:r>
    </w:p>
    <w:p>
      <w:pPr>
        <w:pStyle w:val="ListBullet"/>
      </w:pPr>
      <w:r>
        <w:rPr>
          <w:rFonts w:ascii="Arial" w:hAnsi="Arial" w:cs="Arial"/>
          <w:sz w:val="22"/>
        </w:rPr>
        <w:t>Regencia.</w:t>
      </w:r>
    </w:p>
    <w:p>
      <w:pPr>
        <w:pStyle w:val="ListBullet"/>
      </w:pPr>
      <w:r>
        <w:rPr>
          <w:rFonts w:ascii="Arial" w:hAnsi="Arial" w:cs="Arial"/>
          <w:sz w:val="22"/>
        </w:rPr>
        <w:t>Tutela del Rey menor.</w:t>
      </w:r>
    </w:p>
    <w:p>
      <w:pPr>
        <w:pStyle w:val="ListBullet"/>
      </w:pPr>
      <w:r>
        <w:rPr>
          <w:rFonts w:ascii="Arial" w:hAnsi="Arial" w:cs="Arial"/>
          <w:sz w:val="22"/>
        </w:rPr>
        <w:t>Inhabilitación y abdicaciones.</w:t>
      </w:r>
    </w:p>
    <w:p>
      <w:pPr>
        <w:pStyle w:val="ListBullet"/>
      </w:pPr>
      <w:r>
        <w:rPr>
          <w:rFonts w:ascii="Arial" w:hAnsi="Arial" w:cs="Arial"/>
          <w:sz w:val="22"/>
        </w:rPr>
        <w:t>Juramento.</w:t>
      </w:r>
    </w:p>
    <w:p>
      <w:pPr>
        <w:pStyle w:val="ListBullet"/>
      </w:pPr>
      <w:r>
        <w:rPr>
          <w:rFonts w:ascii="Arial" w:hAnsi="Arial" w:cs="Arial"/>
          <w:sz w:val="22"/>
        </w:rPr>
        <w:t>Funciones del Rey.</w:t>
      </w:r>
    </w:p>
    <w:p>
      <w:pPr>
        <w:pStyle w:val="ListBullet"/>
      </w:pPr>
      <w:r>
        <w:rPr>
          <w:rFonts w:ascii="Arial" w:hAnsi="Arial" w:cs="Arial"/>
          <w:sz w:val="22"/>
        </w:rPr>
        <w:t>Refrendo.</w:t>
      </w:r>
    </w:p>
    <w:p>
      <w:pPr>
        <w:pStyle w:val="ListBullet"/>
      </w:pPr>
      <w:r>
        <w:rPr>
          <w:rFonts w:ascii="Arial" w:hAnsi="Arial" w:cs="Arial"/>
          <w:sz w:val="22"/>
        </w:rPr>
        <w:t>Dotación presupuestaria y Casa del Rey.</w:t>
      </w:r>
    </w:p>
    <w:p>
      <w:pPr>
        <w:jc w:val="both"/>
      </w:pPr>
      <w:r>
        <w:rPr>
          <w:rFonts w:ascii="Arial" w:hAnsi="Arial" w:cs="Arial"/>
          <w:sz w:val="22"/>
        </w:rPr>
        <w:t>Entre las funciones del artículo 62 figuran sancionar y promulgar las leyes, convocar y disolver las Cortes, convocar elecciones y referéndum en los casos constitucionales, proponer candidato a la Presidencia del Gobierno, nombrar y separar miembros del Gobierno, expedir decretos, ejercer el mando supremo de las Fuerzas Armadas y ejercer el derecho de gracia con arreglo a la ley, que no puede autorizar indultos generales.</w:t>
      </w:r>
    </w:p>
    <w:p>
      <w:pPr>
        <w:pStyle w:val="Heading1"/>
        <w:keepNext/>
      </w:pPr>
      <w:r>
        <w:rPr>
          <w:rFonts w:ascii="Arial" w:hAnsi="Arial" w:cs="Arial"/>
          <w:sz w:val="30"/>
        </w:rPr>
        <w:t>7. El título III: las Cortes Generales</w:t>
      </w:r>
    </w:p>
    <w:p>
      <w:pPr>
        <w:jc w:val="both"/>
      </w:pPr>
      <w:r>
        <w:rPr>
          <w:rFonts w:ascii="Arial" w:hAnsi="Arial" w:cs="Arial"/>
          <w:sz w:val="22"/>
        </w:rPr>
        <w:t>Los artículos 66 a 96 se distribuyen en tres capítulos:</w:t>
      </w:r>
    </w:p>
    <w:p>
      <w:pPr>
        <w:spacing w:after="40"/>
        <w:ind w:left="369" w:hanging="227"/>
      </w:pPr>
      <w:r>
        <w:rPr>
          <w:rFonts w:ascii="Arial" w:hAnsi="Arial" w:cs="Arial"/>
          <w:sz w:val="22"/>
        </w:rPr>
        <w:t>1. Cámaras.</w:t>
      </w:r>
    </w:p>
    <w:p>
      <w:pPr>
        <w:spacing w:after="40"/>
        <w:ind w:left="369" w:hanging="227"/>
      </w:pPr>
      <w:r>
        <w:rPr>
          <w:rFonts w:ascii="Arial" w:hAnsi="Arial" w:cs="Arial"/>
          <w:sz w:val="22"/>
        </w:rPr>
        <w:t>2. Elaboración de las leyes.</w:t>
      </w:r>
    </w:p>
    <w:p>
      <w:pPr>
        <w:spacing w:after="40"/>
        <w:ind w:left="369" w:hanging="227"/>
      </w:pPr>
      <w:r>
        <w:rPr>
          <w:rFonts w:ascii="Arial" w:hAnsi="Arial" w:cs="Arial"/>
          <w:sz w:val="22"/>
        </w:rPr>
        <w:t>3. Tratados internacionales.</w:t>
      </w:r>
    </w:p>
    <w:p>
      <w:pPr>
        <w:jc w:val="both"/>
      </w:pPr>
      <w:r>
        <w:rPr>
          <w:rFonts w:ascii="Arial" w:hAnsi="Arial" w:cs="Arial"/>
          <w:sz w:val="22"/>
        </w:rPr>
        <w:t>Las Cortes representan al pueblo español y están formadas por Congreso de los Diputados y Senado. Ejercen la potestad legislativa del Estado, aprueban los Presupuestos, controlan la acción del Gobierno y tienen las demás competencias constitucionales. Son inviolables.</w:t>
      </w:r>
    </w:p>
    <w:p>
      <w:pPr>
        <w:jc w:val="both"/>
      </w:pPr>
      <w:r>
        <w:rPr>
          <w:rFonts w:ascii="Arial" w:hAnsi="Arial" w:cs="Arial"/>
          <w:sz w:val="22"/>
        </w:rPr>
        <w:t>El Congreso se compone de un mínimo de 300 y un máximo de 400 diputados, elegidos por sufragio universal, libre, igual, directo y secreto. La circunscripción es la provincia; Ceuta y Melilla eligen un diputado cada una.</w:t>
      </w:r>
    </w:p>
    <w:p>
      <w:pPr>
        <w:jc w:val="both"/>
      </w:pPr>
      <w:r>
        <w:rPr>
          <w:rFonts w:ascii="Arial" w:hAnsi="Arial" w:cs="Arial"/>
          <w:sz w:val="22"/>
        </w:rPr>
        <w:t>El Senado es la cámara de representación territorial. En cada provincia se eligen cuatro senadores, con las especialidades insulares y de Ceuta y Melilla. Las comunidades autónomas designan además un senador y otro más por cada millón de habitantes.</w:t>
      </w:r>
    </w:p>
    <w:p>
      <w:pPr>
        <w:pStyle w:val="Heading2"/>
        <w:keepNext/>
      </w:pPr>
      <w:r>
        <w:rPr>
          <w:rFonts w:ascii="Arial" w:hAnsi="Arial" w:cs="Arial"/>
          <w:sz w:val="25"/>
        </w:rPr>
        <w:t>7.1. Reforma del artículo 69.3 en 2026</w:t>
      </w:r>
    </w:p>
    <w:p>
      <w:pPr>
        <w:jc w:val="both"/>
      </w:pPr>
      <w:r>
        <w:rPr>
          <w:rFonts w:ascii="Arial" w:hAnsi="Arial" w:cs="Arial"/>
          <w:sz w:val="22"/>
        </w:rPr>
        <w:t>Desde el 20 de mayo de 2026, el artículo 69.3 dispone que, en las provincias insulares, cada isla con Cabildo o Consejo Insular constituye circunscripción para elegir senadores:</w:t>
      </w:r>
    </w:p>
    <w:p>
      <w:pPr>
        <w:pStyle w:val="ListBullet"/>
      </w:pPr>
      <w:r>
        <w:rPr>
          <w:rFonts w:ascii="Arial" w:hAnsi="Arial" w:cs="Arial"/>
          <w:sz w:val="22"/>
        </w:rPr>
        <w:t>Tres para cada isla mayor: Gran Canaria, Mallorca y Tenerife.</w:t>
      </w:r>
    </w:p>
    <w:p>
      <w:pPr>
        <w:pStyle w:val="ListBullet"/>
      </w:pPr>
      <w:r>
        <w:rPr>
          <w:rFonts w:ascii="Arial" w:hAnsi="Arial" w:cs="Arial"/>
          <w:sz w:val="22"/>
        </w:rPr>
        <w:t>Uno para Ibiza, Formentera, Menorca, Fuerteventura, La Gomera, El Hierro, Lanzarote y La Palma.</w:t>
      </w:r>
    </w:p>
    <w:p>
      <w:pPr>
        <w:jc w:val="both"/>
      </w:pPr>
      <w:r>
        <w:rPr>
          <w:rFonts w:ascii="Arial" w:hAnsi="Arial" w:cs="Arial"/>
          <w:sz w:val="22"/>
        </w:rPr>
        <w:t>La reforma separó la anterior circunscripción conjunta Ibiza-Formentera y atribuyó un senador propio a Formentera. Su disposición transitoria pospone la eficacia de las nuevas circunscripciones de Ibiza y Formentera hasta la convocatoria de las primeras elecciones al Senado que se celebren tras la entrada en vigor de la reforma. Por ello deben distinguirse la vigencia jurídica de la reforma, producida el 20 de mayo de 2026, y la eficacia electoral diferida de esa separación.</w:t>
      </w:r>
    </w:p>
    <w:p>
      <w:pPr>
        <w:jc w:val="both"/>
      </w:pPr>
      <w:r>
        <w:rPr>
          <w:rFonts w:ascii="Arial" w:hAnsi="Arial" w:cs="Arial"/>
          <w:sz w:val="22"/>
        </w:rPr>
        <w:t>El título III regula también la autonomía reglamentaria y presupuestaria de las Cámaras, incompatibilidades, inviolabilidad e inmunidad parlamentarias, sesiones, Plenos y comisiones, Diputación Permanente, adopción de acuerdos, sesiones conjuntas, petición ciudadana y procedimiento legislativo.</w:t>
      </w:r>
    </w:p>
    <w:p>
      <w:pPr>
        <w:jc w:val="both"/>
      </w:pPr>
      <w:r>
        <w:rPr>
          <w:rFonts w:ascii="Arial" w:hAnsi="Arial" w:cs="Arial"/>
          <w:sz w:val="22"/>
        </w:rPr>
        <w:t>En materia normativa distingue:</w:t>
      </w:r>
    </w:p>
    <w:p>
      <w:pPr>
        <w:pStyle w:val="ListBullet"/>
      </w:pPr>
      <w:r>
        <w:rPr>
          <w:rFonts w:ascii="Arial" w:hAnsi="Arial" w:cs="Arial"/>
          <w:sz w:val="22"/>
        </w:rPr>
        <w:t>Leyes orgánicas, artículo 81.</w:t>
      </w:r>
    </w:p>
    <w:p>
      <w:pPr>
        <w:pStyle w:val="ListBullet"/>
      </w:pPr>
      <w:r>
        <w:rPr>
          <w:rFonts w:ascii="Arial" w:hAnsi="Arial" w:cs="Arial"/>
          <w:sz w:val="22"/>
        </w:rPr>
        <w:t>Delegación legislativa y decretos legislativos, artículos 82 a 85.</w:t>
      </w:r>
    </w:p>
    <w:p>
      <w:pPr>
        <w:pStyle w:val="ListBullet"/>
      </w:pPr>
      <w:r>
        <w:rPr>
          <w:rFonts w:ascii="Arial" w:hAnsi="Arial" w:cs="Arial"/>
          <w:sz w:val="22"/>
        </w:rPr>
        <w:t>Decretos-leyes, artículo 86.</w:t>
      </w:r>
    </w:p>
    <w:p>
      <w:pPr>
        <w:pStyle w:val="ListBullet"/>
      </w:pPr>
      <w:r>
        <w:rPr>
          <w:rFonts w:ascii="Arial" w:hAnsi="Arial" w:cs="Arial"/>
          <w:sz w:val="22"/>
        </w:rPr>
        <w:t>Iniciativa legislativa, artículo 87.</w:t>
      </w:r>
    </w:p>
    <w:p>
      <w:pPr>
        <w:pStyle w:val="ListBullet"/>
      </w:pPr>
      <w:r>
        <w:rPr>
          <w:rFonts w:ascii="Arial" w:hAnsi="Arial" w:cs="Arial"/>
          <w:sz w:val="22"/>
        </w:rPr>
        <w:t>Tramitación, sanción y promulgación, artículos 88 a 91.</w:t>
      </w:r>
    </w:p>
    <w:p>
      <w:pPr>
        <w:pStyle w:val="ListBullet"/>
      </w:pPr>
      <w:r>
        <w:rPr>
          <w:rFonts w:ascii="Arial" w:hAnsi="Arial" w:cs="Arial"/>
          <w:sz w:val="22"/>
        </w:rPr>
        <w:t>Referéndum consultivo, artículo 92.</w:t>
      </w:r>
    </w:p>
    <w:p>
      <w:pPr>
        <w:jc w:val="both"/>
      </w:pPr>
      <w:r>
        <w:rPr>
          <w:rFonts w:ascii="Arial" w:hAnsi="Arial" w:cs="Arial"/>
          <w:sz w:val="22"/>
        </w:rPr>
        <w:t>Los artículos 93 a 96 se ocupan de tratados. Mediante ley orgánica puede autorizarse la celebración de tratados que atribuyan a una organización o institución internacional el ejercicio de competencias derivadas de la Constitución. Un tratado contrario a la Constitución exige previa revisión constitucional. Los tratados válidamente celebrados, una vez publicados oficialmente en España, forman parte del ordenamiento interno.</w:t>
      </w:r>
    </w:p>
    <w:p>
      <w:pPr>
        <w:pStyle w:val="Heading1"/>
        <w:keepNext/>
      </w:pPr>
      <w:r>
        <w:rPr>
          <w:rFonts w:ascii="Arial" w:hAnsi="Arial" w:cs="Arial"/>
          <w:sz w:val="30"/>
        </w:rPr>
        <w:t>8. El título IV: Gobierno y Administración</w:t>
      </w:r>
    </w:p>
    <w:p>
      <w:pPr>
        <w:jc w:val="both"/>
      </w:pPr>
      <w:r>
        <w:rPr>
          <w:rFonts w:ascii="Arial" w:hAnsi="Arial" w:cs="Arial"/>
          <w:sz w:val="22"/>
        </w:rPr>
        <w:t>Los artículos 97 a 107 regulan el Gobierno, la Administración, las Fuerzas y Cuerpos de Seguridad, la audiencia de la ciudadanía, el control judicial y el Consejo de Estado.</w:t>
      </w:r>
    </w:p>
    <w:p>
      <w:pPr>
        <w:jc w:val="both"/>
      </w:pPr>
      <w:r>
        <w:rPr>
          <w:rFonts w:ascii="Arial" w:hAnsi="Arial" w:cs="Arial"/>
          <w:sz w:val="22"/>
        </w:rPr>
        <w:t>El Gobierno:</w:t>
      </w:r>
    </w:p>
    <w:p>
      <w:pPr>
        <w:pStyle w:val="ListBullet"/>
      </w:pPr>
      <w:r>
        <w:rPr>
          <w:rFonts w:ascii="Arial" w:hAnsi="Arial" w:cs="Arial"/>
          <w:sz w:val="22"/>
        </w:rPr>
        <w:t>Dirige la política interior y exterior.</w:t>
      </w:r>
    </w:p>
    <w:p>
      <w:pPr>
        <w:pStyle w:val="ListBullet"/>
      </w:pPr>
      <w:r>
        <w:rPr>
          <w:rFonts w:ascii="Arial" w:hAnsi="Arial" w:cs="Arial"/>
          <w:sz w:val="22"/>
        </w:rPr>
        <w:t>Dirige la Administración civil y militar.</w:t>
      </w:r>
    </w:p>
    <w:p>
      <w:pPr>
        <w:pStyle w:val="ListBullet"/>
      </w:pPr>
      <w:r>
        <w:rPr>
          <w:rFonts w:ascii="Arial" w:hAnsi="Arial" w:cs="Arial"/>
          <w:sz w:val="22"/>
        </w:rPr>
        <w:t>Dirige la defensa del Estado.</w:t>
      </w:r>
    </w:p>
    <w:p>
      <w:pPr>
        <w:pStyle w:val="ListBullet"/>
      </w:pPr>
      <w:r>
        <w:rPr>
          <w:rFonts w:ascii="Arial" w:hAnsi="Arial" w:cs="Arial"/>
          <w:sz w:val="22"/>
        </w:rPr>
        <w:t>Ejerce la función ejecutiva.</w:t>
      </w:r>
    </w:p>
    <w:p>
      <w:pPr>
        <w:pStyle w:val="ListBullet"/>
      </w:pPr>
      <w:r>
        <w:rPr>
          <w:rFonts w:ascii="Arial" w:hAnsi="Arial" w:cs="Arial"/>
          <w:sz w:val="22"/>
        </w:rPr>
        <w:t>Ejerce la potestad reglamentaria conforme a la Constitución y las leyes.</w:t>
      </w:r>
    </w:p>
    <w:p>
      <w:pPr>
        <w:jc w:val="both"/>
      </w:pPr>
      <w:r>
        <w:rPr>
          <w:rFonts w:ascii="Arial" w:hAnsi="Arial" w:cs="Arial"/>
          <w:sz w:val="22"/>
        </w:rPr>
        <w:t>Se compone del presidente, vicepresidentes en su caso, ministros y demás miembros que establezca la ley. El presidente dirige la acción del Gobierno y coordina las funciones de sus miembros. La Constitución regula la propuesta, investidura y nombramiento del presidente en el artículo 99.</w:t>
      </w:r>
    </w:p>
    <w:p>
      <w:pPr>
        <w:jc w:val="both"/>
      </w:pPr>
      <w:r>
        <w:rPr>
          <w:rFonts w:ascii="Arial" w:hAnsi="Arial" w:cs="Arial"/>
          <w:sz w:val="22"/>
        </w:rPr>
        <w:t>La Administración pública sirve con objetividad los intereses generales. Actúa de acuerdo con eficacia, jerarquía, descentralización, desconcentración y coordinación, con sometimiento pleno a la ley y al Derecho. Los tribunales controlan la potestad reglamentaria, la legalidad de la actuación administrativa y su sometimiento a los fines que la justifican.</w:t>
      </w:r>
    </w:p>
    <w:p>
      <w:pPr>
        <w:jc w:val="both"/>
      </w:pPr>
      <w:r>
        <w:rPr>
          <w:rFonts w:ascii="Arial" w:hAnsi="Arial" w:cs="Arial"/>
          <w:sz w:val="22"/>
        </w:rPr>
        <w:t>El Consejo de Estado es el supremo órgano consultivo del Gobierno. Una ley orgánica regula su composición y competencia.</w:t>
      </w:r>
    </w:p>
    <w:p>
      <w:pPr>
        <w:pStyle w:val="Heading1"/>
        <w:keepNext/>
      </w:pPr>
      <w:r>
        <w:rPr>
          <w:rFonts w:ascii="Arial" w:hAnsi="Arial" w:cs="Arial"/>
          <w:sz w:val="30"/>
        </w:rPr>
        <w:t>9. El título V: relaciones entre Gobierno y Cortes</w:t>
      </w:r>
    </w:p>
    <w:p>
      <w:pPr>
        <w:jc w:val="both"/>
      </w:pPr>
      <w:r>
        <w:rPr>
          <w:rFonts w:ascii="Arial" w:hAnsi="Arial" w:cs="Arial"/>
          <w:sz w:val="22"/>
        </w:rPr>
        <w:t>Los artículos 108 a 116 articulan la responsabilidad política y el control parlamentario.</w:t>
      </w:r>
    </w:p>
    <w:p>
      <w:pPr>
        <w:jc w:val="both"/>
      </w:pPr>
      <w:r>
        <w:rPr>
          <w:rFonts w:ascii="Arial" w:hAnsi="Arial" w:cs="Arial"/>
          <w:sz w:val="22"/>
        </w:rPr>
        <w:t>El Gobierno responde solidariamente de su gestión política ante el Congreso. Las Cámaras y sus comisiones pueden recabar información y ayuda, y el Gobierno y sus miembros están sometidos a interpelaciones y preguntas.</w:t>
      </w:r>
    </w:p>
    <w:p>
      <w:pPr>
        <w:jc w:val="both"/>
      </w:pPr>
      <w:r>
        <w:rPr>
          <w:rFonts w:ascii="Arial" w:hAnsi="Arial" w:cs="Arial"/>
          <w:sz w:val="22"/>
        </w:rPr>
        <w:t>Instrumentos principales:</w:t>
      </w:r>
    </w:p>
    <w:tbl>
      <w:tblPr>
        <w:tblStyle w:val="TableGrid"/>
        <w:tblW w:type="dxa" w:w="9026"/>
        <w:jc w:val="left"/>
        <w:tblLayout w:type="fixed"/>
        <w:tblLook w:firstColumn="1" w:firstRow="1" w:lastColumn="0" w:lastRow="0" w:noHBand="0" w:noVBand="1" w:val="04A0"/>
        <w:tblInd w:w="120" w:type="dxa"/>
      </w:tblPr>
      <w:tblGrid>
        <w:gridCol w:w="2256"/>
        <w:gridCol w:w="6770"/>
      </w:tblGrid>
      <w:tr>
        <w:trPr>
          <w:tblHeader w:val="true"/>
        </w:trPr>
        <w:tc>
          <w:tcPr>
            <w:tcW w:type="dxa" w:w="225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Instrumento</w:t>
            </w:r>
          </w:p>
        </w:tc>
        <w:tc>
          <w:tcPr>
            <w:tcW w:type="dxa" w:w="677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Elemento decisivo</w:t>
            </w:r>
          </w:p>
        </w:tc>
      </w:tr>
      <w:tr>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Cuestión de confianza</w:t>
            </w:r>
          </w:p>
        </w:tc>
        <w:tc>
          <w:tcPr>
            <w:tcW w:type="dxa" w:w="6770"/>
            <w:tcMar>
              <w:top w:w="80" w:type="dxa"/>
              <w:start w:w="120" w:type="dxa"/>
              <w:bottom w:w="80" w:type="dxa"/>
              <w:end w:w="120" w:type="dxa"/>
            </w:tcMar>
            <w:vAlign w:val="center"/>
          </w:tcPr>
          <w:p>
            <w:pPr>
              <w:spacing w:before="0" w:after="0" w:line="240" w:lineRule="auto"/>
              <w:jc w:val="left"/>
            </w:pPr>
            <w:r/>
            <w:r>
              <w:rPr>
                <w:rFonts w:ascii="Arial" w:hAnsi="Arial" w:cs="Arial"/>
                <w:sz w:val="18"/>
              </w:rPr>
              <w:t>La plantea el presidente, previa deliberación del Consejo de Ministros; se obtiene por mayoría simple del Congreso</w:t>
            </w:r>
          </w:p>
        </w:tc>
      </w:tr>
      <w:tr>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Moción de censura</w:t>
            </w:r>
          </w:p>
        </w:tc>
        <w:tc>
          <w:tcPr>
            <w:tcW w:type="dxa" w:w="6770"/>
            <w:tcMar>
              <w:top w:w="80" w:type="dxa"/>
              <w:start w:w="120" w:type="dxa"/>
              <w:bottom w:w="80" w:type="dxa"/>
              <w:end w:w="120" w:type="dxa"/>
            </w:tcMar>
            <w:vAlign w:val="center"/>
          </w:tcPr>
          <w:p>
            <w:pPr>
              <w:spacing w:before="0" w:after="0" w:line="240" w:lineRule="auto"/>
              <w:jc w:val="left"/>
            </w:pPr>
            <w:r/>
            <w:r>
              <w:rPr>
                <w:rFonts w:ascii="Arial" w:hAnsi="Arial" w:cs="Arial"/>
                <w:sz w:val="18"/>
              </w:rPr>
              <w:t>Debe proponer candidato; requiere mayoría absoluta del Congreso</w:t>
            </w:r>
          </w:p>
        </w:tc>
      </w:tr>
      <w:tr>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Disolución</w:t>
            </w:r>
          </w:p>
        </w:tc>
        <w:tc>
          <w:tcPr>
            <w:tcW w:type="dxa" w:w="6770"/>
            <w:tcMar>
              <w:top w:w="80" w:type="dxa"/>
              <w:start w:w="120" w:type="dxa"/>
              <w:bottom w:w="80" w:type="dxa"/>
              <w:end w:w="120" w:type="dxa"/>
            </w:tcMar>
            <w:vAlign w:val="center"/>
          </w:tcPr>
          <w:p>
            <w:pPr>
              <w:spacing w:before="0" w:after="0" w:line="240" w:lineRule="auto"/>
              <w:jc w:val="left"/>
            </w:pPr>
            <w:r/>
            <w:r>
              <w:rPr>
                <w:rFonts w:ascii="Arial" w:hAnsi="Arial" w:cs="Arial"/>
                <w:sz w:val="18"/>
              </w:rPr>
              <w:t>La propone el presidente, previa deliberación del Consejo de Ministros, bajo su exclusiva responsabilidad</w:t>
            </w:r>
          </w:p>
        </w:tc>
      </w:tr>
      <w:tr>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Estados excepcionales</w:t>
            </w:r>
          </w:p>
        </w:tc>
        <w:tc>
          <w:tcPr>
            <w:tcW w:type="dxa" w:w="6770"/>
            <w:tcMar>
              <w:top w:w="80" w:type="dxa"/>
              <w:start w:w="120" w:type="dxa"/>
              <w:bottom w:w="80" w:type="dxa"/>
              <w:end w:w="120" w:type="dxa"/>
            </w:tcMar>
            <w:vAlign w:val="center"/>
          </w:tcPr>
          <w:p>
            <w:pPr>
              <w:spacing w:before="0" w:after="0" w:line="240" w:lineRule="auto"/>
              <w:jc w:val="left"/>
            </w:pPr>
            <w:r/>
            <w:r>
              <w:rPr>
                <w:rFonts w:ascii="Arial" w:hAnsi="Arial" w:cs="Arial"/>
                <w:sz w:val="18"/>
              </w:rPr>
              <w:t>Alarma, excepción y sitio, con reglas del artículo 116</w:t>
            </w:r>
          </w:p>
        </w:tc>
      </w:tr>
    </w:tbl>
    <w:p>
      <w:pPr>
        <w:spacing w:after="40"/>
      </w:pPr>
    </w:p>
    <w:p>
      <w:pPr>
        <w:jc w:val="both"/>
      </w:pPr>
      <w:r>
        <w:rPr>
          <w:rFonts w:ascii="Arial" w:hAnsi="Arial" w:cs="Arial"/>
          <w:sz w:val="22"/>
        </w:rPr>
        <w:t>La moción de censura debe ser propuesta al menos por la décima parte de los diputados y no puede votarse hasta que transcurran cinco días desde su presentación. En los dos primeros días pueden presentarse mociones alternativas. Si no se aprueba, sus firmantes no pueden presentar otra durante el mismo periodo de sesiones.</w:t>
      </w:r>
    </w:p>
    <w:p>
      <w:pPr>
        <w:jc w:val="both"/>
      </w:pPr>
      <w:r>
        <w:rPr>
          <w:rFonts w:ascii="Arial" w:hAnsi="Arial" w:cs="Arial"/>
          <w:sz w:val="22"/>
        </w:rPr>
        <w:t>El estado de alarma lo declara el Gobierno por un máximo inicial de quince días, dando cuenta al Congreso; la prórroga requiere autorización de este. El estado de excepción lo declara el Gobierno previa autorización del Congreso por un máximo de treinta días, prorrogables por otro plazo igual. El estado de sitio lo declara el Congreso por mayoría absoluta, a propuesta exclusiva del Gobierno.</w:t>
      </w:r>
    </w:p>
    <w:p>
      <w:pPr>
        <w:pStyle w:val="Heading1"/>
        <w:keepNext/>
      </w:pPr>
      <w:r>
        <w:rPr>
          <w:rFonts w:ascii="Arial" w:hAnsi="Arial" w:cs="Arial"/>
          <w:sz w:val="30"/>
        </w:rPr>
        <w:t>10. El título VI: Poder Judicial</w:t>
      </w:r>
    </w:p>
    <w:p>
      <w:pPr>
        <w:jc w:val="both"/>
      </w:pPr>
      <w:r>
        <w:rPr>
          <w:rFonts w:ascii="Arial" w:hAnsi="Arial" w:cs="Arial"/>
          <w:sz w:val="22"/>
        </w:rPr>
        <w:t>Los artículos 117 a 127 parten de que la justicia emana del pueblo y se administra en nombre del Rey por jueces y magistrados integrantes del Poder Judicial. Son independientes, inamovibles, responsables y sometidos únicamente al imperio de la ley.</w:t>
      </w:r>
    </w:p>
    <w:p>
      <w:pPr>
        <w:jc w:val="both"/>
      </w:pPr>
      <w:r>
        <w:rPr>
          <w:rFonts w:ascii="Arial" w:hAnsi="Arial" w:cs="Arial"/>
          <w:sz w:val="22"/>
        </w:rPr>
        <w:t>Principios esenciales:</w:t>
      </w:r>
    </w:p>
    <w:p>
      <w:pPr>
        <w:pStyle w:val="ListBullet"/>
      </w:pPr>
      <w:r>
        <w:rPr>
          <w:rFonts w:ascii="Arial" w:hAnsi="Arial" w:cs="Arial"/>
          <w:sz w:val="22"/>
        </w:rPr>
        <w:t>Exclusividad jurisdiccional.</w:t>
      </w:r>
    </w:p>
    <w:p>
      <w:pPr>
        <w:pStyle w:val="ListBullet"/>
      </w:pPr>
      <w:r>
        <w:rPr>
          <w:rFonts w:ascii="Arial" w:hAnsi="Arial" w:cs="Arial"/>
          <w:sz w:val="22"/>
        </w:rPr>
        <w:t>Unidad jurisdiccional como base de organización y funcionamiento.</w:t>
      </w:r>
    </w:p>
    <w:p>
      <w:pPr>
        <w:pStyle w:val="ListBullet"/>
      </w:pPr>
      <w:r>
        <w:rPr>
          <w:rFonts w:ascii="Arial" w:hAnsi="Arial" w:cs="Arial"/>
          <w:sz w:val="22"/>
        </w:rPr>
        <w:t>Prohibición de tribunales de excepción.</w:t>
      </w:r>
    </w:p>
    <w:p>
      <w:pPr>
        <w:pStyle w:val="ListBullet"/>
      </w:pPr>
      <w:r>
        <w:rPr>
          <w:rFonts w:ascii="Arial" w:hAnsi="Arial" w:cs="Arial"/>
          <w:sz w:val="22"/>
        </w:rPr>
        <w:t>Publicidad de actuaciones, salvo excepciones legales.</w:t>
      </w:r>
    </w:p>
    <w:p>
      <w:pPr>
        <w:pStyle w:val="ListBullet"/>
      </w:pPr>
      <w:r>
        <w:rPr>
          <w:rFonts w:ascii="Arial" w:hAnsi="Arial" w:cs="Arial"/>
          <w:sz w:val="22"/>
        </w:rPr>
        <w:t>Oralidad, especialmente en materia criminal.</w:t>
      </w:r>
    </w:p>
    <w:p>
      <w:pPr>
        <w:pStyle w:val="ListBullet"/>
      </w:pPr>
      <w:r>
        <w:rPr>
          <w:rFonts w:ascii="Arial" w:hAnsi="Arial" w:cs="Arial"/>
          <w:sz w:val="22"/>
        </w:rPr>
        <w:t>Motivación y publicidad de sentencias.</w:t>
      </w:r>
    </w:p>
    <w:p>
      <w:pPr>
        <w:pStyle w:val="ListBullet"/>
      </w:pPr>
      <w:r>
        <w:rPr>
          <w:rFonts w:ascii="Arial" w:hAnsi="Arial" w:cs="Arial"/>
          <w:sz w:val="22"/>
        </w:rPr>
        <w:t>Gratuidad de la justicia cuando lo disponga la ley y para quienes acrediten insuficiencia de recursos.</w:t>
      </w:r>
    </w:p>
    <w:p>
      <w:pPr>
        <w:pStyle w:val="ListBullet"/>
      </w:pPr>
      <w:r>
        <w:rPr>
          <w:rFonts w:ascii="Arial" w:hAnsi="Arial" w:cs="Arial"/>
          <w:sz w:val="22"/>
        </w:rPr>
        <w:t>Responsabilidad por error judicial y funcionamiento anormal.</w:t>
      </w:r>
    </w:p>
    <w:p>
      <w:pPr>
        <w:jc w:val="both"/>
      </w:pPr>
      <w:r>
        <w:rPr>
          <w:rFonts w:ascii="Arial" w:hAnsi="Arial" w:cs="Arial"/>
          <w:sz w:val="22"/>
        </w:rPr>
        <w:t>El Consejo General del Poder Judicial es su órgano de gobierno. El Tribunal Supremo es el órgano jurisdiccional superior en todos los órdenes, salvo las garantías constitucionales. El Ministerio Fiscal promueve la acción de la justicia en defensa de la legalidad, derechos ciudadanos e interés público tutelado por la ley, y vela por la independencia de los tribunales.</w:t>
      </w:r>
    </w:p>
    <w:p>
      <w:pPr>
        <w:pStyle w:val="Heading1"/>
        <w:keepNext/>
      </w:pPr>
      <w:r>
        <w:rPr>
          <w:rFonts w:ascii="Arial" w:hAnsi="Arial" w:cs="Arial"/>
          <w:sz w:val="30"/>
        </w:rPr>
        <w:t>11. El título VII: Economía y Hacienda</w:t>
      </w:r>
    </w:p>
    <w:p>
      <w:pPr>
        <w:jc w:val="both"/>
      </w:pPr>
      <w:r>
        <w:rPr>
          <w:rFonts w:ascii="Arial" w:hAnsi="Arial" w:cs="Arial"/>
          <w:sz w:val="22"/>
        </w:rPr>
        <w:t>Los artículos 128 a 136 configuran una economía social de mercado con intervención pública constitucionalmente habilitada.</w:t>
      </w:r>
    </w:p>
    <w:p>
      <w:pPr>
        <w:jc w:val="both"/>
      </w:pPr>
      <w:r>
        <w:rPr>
          <w:rFonts w:ascii="Arial" w:hAnsi="Arial" w:cs="Arial"/>
          <w:sz w:val="22"/>
        </w:rPr>
        <w:t>Toda la riqueza del país, cualquiera que sea su titularidad, está subordinada al interés general. Se reconoce la iniciativa pública en la actividad económica y se permite reservar al sector público recursos o servicios esenciales, especialmente en caso de monopolio, así como intervenir empresas cuando lo exija el interés general.</w:t>
      </w:r>
    </w:p>
    <w:p>
      <w:pPr>
        <w:jc w:val="both"/>
      </w:pPr>
      <w:r>
        <w:rPr>
          <w:rFonts w:ascii="Arial" w:hAnsi="Arial" w:cs="Arial"/>
          <w:sz w:val="22"/>
        </w:rPr>
        <w:t>El título contempla participación en la empresa y organismos públicos, modernización de sectores, planificación mediante ley, bienes de dominio público y patrimonio del Estado, potestad tributaria, Presupuestos Generales del Estado, estabilidad presupuestaria y Tribunal de Cuentas.</w:t>
      </w:r>
    </w:p>
    <w:p>
      <w:pPr>
        <w:jc w:val="both"/>
      </w:pPr>
      <w:r>
        <w:rPr>
          <w:rFonts w:ascii="Arial" w:hAnsi="Arial" w:cs="Arial"/>
          <w:sz w:val="22"/>
        </w:rPr>
        <w:t>El artículo 135, reformado en 2011, obliga a todas las Administraciones a adecuar sus actuaciones al principio de estabilidad presupuestaria. Estado y comunidades autónomas no pueden superar los márgenes de déficit estructural establecidos, en su caso, por la Unión Europea; las entidades locales deben presentar equilibrio presupuestario. La emisión de deuda pública o contratación de crédito por Estado y comunidades requiere autorización legal. El pago de intereses y capital de la deuda pública goza de prioridad absoluta en los términos constitucionales.</w:t>
      </w:r>
    </w:p>
    <w:p>
      <w:pPr>
        <w:pStyle w:val="Heading1"/>
        <w:keepNext/>
      </w:pPr>
      <w:r>
        <w:rPr>
          <w:rFonts w:ascii="Arial" w:hAnsi="Arial" w:cs="Arial"/>
          <w:sz w:val="30"/>
        </w:rPr>
        <w:t>12. El título VIII: organización territorial</w:t>
      </w:r>
    </w:p>
    <w:p>
      <w:pPr>
        <w:jc w:val="both"/>
      </w:pPr>
      <w:r>
        <w:rPr>
          <w:rFonts w:ascii="Arial" w:hAnsi="Arial" w:cs="Arial"/>
          <w:sz w:val="22"/>
        </w:rPr>
        <w:t>Los artículos 137 a 158 se distribuyen en tres capítulos:</w:t>
      </w:r>
    </w:p>
    <w:p>
      <w:pPr>
        <w:spacing w:after="40"/>
        <w:ind w:left="369" w:hanging="227"/>
      </w:pPr>
      <w:r>
        <w:rPr>
          <w:rFonts w:ascii="Arial" w:hAnsi="Arial" w:cs="Arial"/>
          <w:sz w:val="22"/>
        </w:rPr>
        <w:t>1. Principios generales.</w:t>
      </w:r>
    </w:p>
    <w:p>
      <w:pPr>
        <w:spacing w:after="40"/>
        <w:ind w:left="369" w:hanging="227"/>
      </w:pPr>
      <w:r>
        <w:rPr>
          <w:rFonts w:ascii="Arial" w:hAnsi="Arial" w:cs="Arial"/>
          <w:sz w:val="22"/>
        </w:rPr>
        <w:t>2. Administración local.</w:t>
      </w:r>
    </w:p>
    <w:p>
      <w:pPr>
        <w:spacing w:after="40"/>
        <w:ind w:left="369" w:hanging="227"/>
      </w:pPr>
      <w:r>
        <w:rPr>
          <w:rFonts w:ascii="Arial" w:hAnsi="Arial" w:cs="Arial"/>
          <w:sz w:val="22"/>
        </w:rPr>
        <w:t>3. Comunidades autónomas.</w:t>
      </w:r>
    </w:p>
    <w:p>
      <w:pPr>
        <w:jc w:val="both"/>
      </w:pPr>
      <w:r>
        <w:rPr>
          <w:rFonts w:ascii="Arial" w:hAnsi="Arial" w:cs="Arial"/>
          <w:sz w:val="22"/>
        </w:rPr>
        <w:t>El Estado se organiza territorialmente en municipios, provincias y comunidades autónomas. Todas estas entidades gozan de autonomía para gestionar sus respectivos intereses. La autonomía local está constitucionalmente garantizada; el gobierno municipal corresponde a ayuntamientos integrados por alcaldes y concejales, y la provincia es entidad local con personalidad jurídica propia.</w:t>
      </w:r>
    </w:p>
    <w:p>
      <w:pPr>
        <w:jc w:val="both"/>
      </w:pPr>
      <w:r>
        <w:rPr>
          <w:rFonts w:ascii="Arial" w:hAnsi="Arial" w:cs="Arial"/>
          <w:sz w:val="22"/>
        </w:rPr>
        <w:t>En el ámbito autonómico se regulan:</w:t>
      </w:r>
    </w:p>
    <w:p>
      <w:pPr>
        <w:pStyle w:val="ListBullet"/>
      </w:pPr>
      <w:r>
        <w:rPr>
          <w:rFonts w:ascii="Arial" w:hAnsi="Arial" w:cs="Arial"/>
          <w:sz w:val="22"/>
        </w:rPr>
        <w:t>Iniciativa autonómica.</w:t>
      </w:r>
    </w:p>
    <w:p>
      <w:pPr>
        <w:pStyle w:val="ListBullet"/>
      </w:pPr>
      <w:r>
        <w:rPr>
          <w:rFonts w:ascii="Arial" w:hAnsi="Arial" w:cs="Arial"/>
          <w:sz w:val="22"/>
        </w:rPr>
        <w:t>Elaboración y reforma de estatutos.</w:t>
      </w:r>
    </w:p>
    <w:p>
      <w:pPr>
        <w:pStyle w:val="ListBullet"/>
      </w:pPr>
      <w:r>
        <w:rPr>
          <w:rFonts w:ascii="Arial" w:hAnsi="Arial" w:cs="Arial"/>
          <w:sz w:val="22"/>
        </w:rPr>
        <w:t>Contenido de los estatutos.</w:t>
      </w:r>
    </w:p>
    <w:p>
      <w:pPr>
        <w:pStyle w:val="ListBullet"/>
      </w:pPr>
      <w:r>
        <w:rPr>
          <w:rFonts w:ascii="Arial" w:hAnsi="Arial" w:cs="Arial"/>
          <w:sz w:val="22"/>
        </w:rPr>
        <w:t>Instituciones autonómicas.</w:t>
      </w:r>
    </w:p>
    <w:p>
      <w:pPr>
        <w:pStyle w:val="ListBullet"/>
      </w:pPr>
      <w:r>
        <w:rPr>
          <w:rFonts w:ascii="Arial" w:hAnsi="Arial" w:cs="Arial"/>
          <w:sz w:val="22"/>
        </w:rPr>
        <w:t>Competencias asumibles por las comunidades, artículo 148.</w:t>
      </w:r>
    </w:p>
    <w:p>
      <w:pPr>
        <w:pStyle w:val="ListBullet"/>
      </w:pPr>
      <w:r>
        <w:rPr>
          <w:rFonts w:ascii="Arial" w:hAnsi="Arial" w:cs="Arial"/>
          <w:sz w:val="22"/>
        </w:rPr>
        <w:t>Competencias exclusivas del Estado, artículo 149.</w:t>
      </w:r>
    </w:p>
    <w:p>
      <w:pPr>
        <w:pStyle w:val="ListBullet"/>
      </w:pPr>
      <w:r>
        <w:rPr>
          <w:rFonts w:ascii="Arial" w:hAnsi="Arial" w:cs="Arial"/>
          <w:sz w:val="22"/>
        </w:rPr>
        <w:t>Leyes marco, transferencias o delegaciones y leyes de armonización, artículo 150.</w:t>
      </w:r>
    </w:p>
    <w:p>
      <w:pPr>
        <w:pStyle w:val="ListBullet"/>
      </w:pPr>
      <w:r>
        <w:rPr>
          <w:rFonts w:ascii="Arial" w:hAnsi="Arial" w:cs="Arial"/>
          <w:sz w:val="22"/>
        </w:rPr>
        <w:t>Control de la actividad autonómica.</w:t>
      </w:r>
    </w:p>
    <w:p>
      <w:pPr>
        <w:pStyle w:val="ListBullet"/>
      </w:pPr>
      <w:r>
        <w:rPr>
          <w:rFonts w:ascii="Arial" w:hAnsi="Arial" w:cs="Arial"/>
          <w:sz w:val="22"/>
        </w:rPr>
        <w:t>Medidas del artículo 155.</w:t>
      </w:r>
    </w:p>
    <w:p>
      <w:pPr>
        <w:pStyle w:val="ListBullet"/>
      </w:pPr>
      <w:r>
        <w:rPr>
          <w:rFonts w:ascii="Arial" w:hAnsi="Arial" w:cs="Arial"/>
          <w:sz w:val="22"/>
        </w:rPr>
        <w:t>Autonomía financiera, recursos y Fondo de Compensación.</w:t>
      </w:r>
    </w:p>
    <w:p>
      <w:pPr>
        <w:jc w:val="both"/>
      </w:pPr>
      <w:r>
        <w:rPr>
          <w:rFonts w:ascii="Arial" w:hAnsi="Arial" w:cs="Arial"/>
          <w:sz w:val="22"/>
        </w:rPr>
        <w:t>Los estatutos de autonomía son la norma institucional básica de cada comunidad autónoma y el Estado los reconoce y ampara como parte integrante de su ordenamiento.</w:t>
      </w:r>
    </w:p>
    <w:p>
      <w:pPr>
        <w:pStyle w:val="Heading1"/>
        <w:keepNext/>
      </w:pPr>
      <w:r>
        <w:rPr>
          <w:rFonts w:ascii="Arial" w:hAnsi="Arial" w:cs="Arial"/>
          <w:sz w:val="30"/>
        </w:rPr>
        <w:t>13. El título IX: Tribunal Constitucional</w:t>
      </w:r>
    </w:p>
    <w:p>
      <w:pPr>
        <w:jc w:val="both"/>
      </w:pPr>
      <w:r>
        <w:rPr>
          <w:rFonts w:ascii="Arial" w:hAnsi="Arial" w:cs="Arial"/>
          <w:sz w:val="22"/>
        </w:rPr>
        <w:t>Los artículos 159 a 165 regulan la composición y funciones esenciales del Tribunal Constitucional. Está integrado por doce miembros nombrados por el Rey:</w:t>
      </w:r>
    </w:p>
    <w:p>
      <w:pPr>
        <w:pStyle w:val="ListBullet"/>
      </w:pPr>
      <w:r>
        <w:rPr>
          <w:rFonts w:ascii="Arial" w:hAnsi="Arial" w:cs="Arial"/>
          <w:sz w:val="22"/>
        </w:rPr>
        <w:t>Cuatro a propuesta del Congreso por mayoría de tres quintos.</w:t>
      </w:r>
    </w:p>
    <w:p>
      <w:pPr>
        <w:pStyle w:val="ListBullet"/>
      </w:pPr>
      <w:r>
        <w:rPr>
          <w:rFonts w:ascii="Arial" w:hAnsi="Arial" w:cs="Arial"/>
          <w:sz w:val="22"/>
        </w:rPr>
        <w:t>Cuatro a propuesta del Senado por la misma mayoría.</w:t>
      </w:r>
    </w:p>
    <w:p>
      <w:pPr>
        <w:pStyle w:val="ListBullet"/>
      </w:pPr>
      <w:r>
        <w:rPr>
          <w:rFonts w:ascii="Arial" w:hAnsi="Arial" w:cs="Arial"/>
          <w:sz w:val="22"/>
        </w:rPr>
        <w:t>Dos a propuesta del Gobierno.</w:t>
      </w:r>
    </w:p>
    <w:p>
      <w:pPr>
        <w:pStyle w:val="ListBullet"/>
      </w:pPr>
      <w:r>
        <w:rPr>
          <w:rFonts w:ascii="Arial" w:hAnsi="Arial" w:cs="Arial"/>
          <w:sz w:val="22"/>
        </w:rPr>
        <w:t>Dos a propuesta del Consejo General del Poder Judicial.</w:t>
      </w:r>
    </w:p>
    <w:p>
      <w:pPr>
        <w:jc w:val="both"/>
      </w:pPr>
      <w:r>
        <w:rPr>
          <w:rFonts w:ascii="Arial" w:hAnsi="Arial" w:cs="Arial"/>
          <w:sz w:val="22"/>
        </w:rPr>
        <w:t>Son designados por nueve años y se renuevan por terceras partes cada tres. Deben ser juristas de reconocida competencia con más de quince años de ejercicio profesional. Su presidente es nombrado por el Rey, a propuesta del propio Tribunal en Pleno, por tres años.</w:t>
      </w:r>
    </w:p>
    <w:p>
      <w:pPr>
        <w:jc w:val="both"/>
      </w:pPr>
      <w:r>
        <w:rPr>
          <w:rFonts w:ascii="Arial" w:hAnsi="Arial" w:cs="Arial"/>
          <w:sz w:val="22"/>
        </w:rPr>
        <w:t>El Tribunal conoce, entre otras materias:</w:t>
      </w:r>
    </w:p>
    <w:p>
      <w:pPr>
        <w:pStyle w:val="ListBullet"/>
      </w:pPr>
      <w:r>
        <w:rPr>
          <w:rFonts w:ascii="Arial" w:hAnsi="Arial" w:cs="Arial"/>
          <w:sz w:val="22"/>
        </w:rPr>
        <w:t>Recurso de inconstitucionalidad.</w:t>
      </w:r>
    </w:p>
    <w:p>
      <w:pPr>
        <w:pStyle w:val="ListBullet"/>
      </w:pPr>
      <w:r>
        <w:rPr>
          <w:rFonts w:ascii="Arial" w:hAnsi="Arial" w:cs="Arial"/>
          <w:sz w:val="22"/>
        </w:rPr>
        <w:t>Recurso de amparo.</w:t>
      </w:r>
    </w:p>
    <w:p>
      <w:pPr>
        <w:pStyle w:val="ListBullet"/>
      </w:pPr>
      <w:r>
        <w:rPr>
          <w:rFonts w:ascii="Arial" w:hAnsi="Arial" w:cs="Arial"/>
          <w:sz w:val="22"/>
        </w:rPr>
        <w:t>Conflictos de competencia entre Estado y comunidades autónomas o de estas entre sí.</w:t>
      </w:r>
    </w:p>
    <w:p>
      <w:pPr>
        <w:pStyle w:val="ListBullet"/>
      </w:pPr>
      <w:r>
        <w:rPr>
          <w:rFonts w:ascii="Arial" w:hAnsi="Arial" w:cs="Arial"/>
          <w:sz w:val="22"/>
        </w:rPr>
        <w:t>Otras materias atribuidas por la Constitución o las leyes orgánicas.</w:t>
      </w:r>
    </w:p>
    <w:p>
      <w:pPr>
        <w:jc w:val="both"/>
      </w:pPr>
      <w:r>
        <w:rPr>
          <w:rFonts w:ascii="Arial" w:hAnsi="Arial" w:cs="Arial"/>
          <w:sz w:val="22"/>
        </w:rPr>
        <w:t>Sus sentencias se publican en el BOE con los votos particulares, si los hay; tienen valor de cosa juzgada desde el día siguiente a su publicación y no cabe recurso contra ellas. Las que declaren la inconstitucionalidad de una ley o tengan efectos generales producen plenos efectos frente a todos.</w:t>
      </w:r>
    </w:p>
    <w:p>
      <w:pPr>
        <w:pStyle w:val="Heading1"/>
        <w:keepNext/>
      </w:pPr>
      <w:r>
        <w:rPr>
          <w:rFonts w:ascii="Arial" w:hAnsi="Arial" w:cs="Arial"/>
          <w:sz w:val="30"/>
        </w:rPr>
        <w:t>14. El título X: reforma constitucional</w:t>
      </w:r>
    </w:p>
    <w:p>
      <w:pPr>
        <w:jc w:val="both"/>
      </w:pPr>
      <w:r>
        <w:rPr>
          <w:rFonts w:ascii="Arial" w:hAnsi="Arial" w:cs="Arial"/>
          <w:sz w:val="22"/>
        </w:rPr>
        <w:t>Los artículos 166 a 169 regulan quién puede iniciar la reforma, el procedimiento ordinario, el procedimiento agravado y los límites temporales.</w:t>
      </w:r>
    </w:p>
    <w:p>
      <w:pPr>
        <w:jc w:val="both"/>
      </w:pPr>
      <w:r>
        <w:rPr>
          <w:rFonts w:ascii="Arial" w:hAnsi="Arial" w:cs="Arial"/>
          <w:sz w:val="22"/>
        </w:rPr>
        <w:t>La Constitución no contiene cláusulas materiales absolutamente irreformables. Incluso su revisión total es jurídicamente posible, pero debe seguir el procedimiento agravado. La distinta dificultad depende de la materia afectada.</w:t>
      </w:r>
    </w:p>
    <w:p>
      <w:pPr>
        <w:pStyle w:val="Heading2"/>
        <w:keepNext/>
      </w:pPr>
      <w:r>
        <w:rPr>
          <w:rFonts w:ascii="Arial" w:hAnsi="Arial" w:cs="Arial"/>
          <w:sz w:val="25"/>
        </w:rPr>
        <w:t>14.1. Iniciativa</w:t>
      </w:r>
    </w:p>
    <w:p>
      <w:pPr>
        <w:jc w:val="both"/>
      </w:pPr>
      <w:r>
        <w:rPr>
          <w:rFonts w:ascii="Arial" w:hAnsi="Arial" w:cs="Arial"/>
          <w:sz w:val="22"/>
        </w:rPr>
        <w:t>El artículo 166 remite a los apartados 1 y 2 del artículo 87. Pueden iniciar la reforma:</w:t>
      </w:r>
    </w:p>
    <w:p>
      <w:pPr>
        <w:pStyle w:val="ListBullet"/>
      </w:pPr>
      <w:r>
        <w:rPr>
          <w:rFonts w:ascii="Arial" w:hAnsi="Arial" w:cs="Arial"/>
          <w:sz w:val="22"/>
        </w:rPr>
        <w:t>El Gobierno.</w:t>
      </w:r>
    </w:p>
    <w:p>
      <w:pPr>
        <w:pStyle w:val="ListBullet"/>
      </w:pPr>
      <w:r>
        <w:rPr>
          <w:rFonts w:ascii="Arial" w:hAnsi="Arial" w:cs="Arial"/>
          <w:sz w:val="22"/>
        </w:rPr>
        <w:t>El Congreso.</w:t>
      </w:r>
    </w:p>
    <w:p>
      <w:pPr>
        <w:pStyle w:val="ListBullet"/>
      </w:pPr>
      <w:r>
        <w:rPr>
          <w:rFonts w:ascii="Arial" w:hAnsi="Arial" w:cs="Arial"/>
          <w:sz w:val="22"/>
        </w:rPr>
        <w:t>El Senado.</w:t>
      </w:r>
    </w:p>
    <w:p>
      <w:pPr>
        <w:pStyle w:val="ListBullet"/>
      </w:pPr>
      <w:r>
        <w:rPr>
          <w:rFonts w:ascii="Arial" w:hAnsi="Arial" w:cs="Arial"/>
          <w:sz w:val="22"/>
        </w:rPr>
        <w:t>Las asambleas de las comunidades autónomas, mediante solicitud al Gobierno para que adopte un proyecto o remisión a la Mesa del Congreso de una proposición, delegando hasta tres miembros para defenderla.</w:t>
      </w:r>
    </w:p>
    <w:p>
      <w:pPr>
        <w:jc w:val="both"/>
      </w:pPr>
      <w:r>
        <w:rPr>
          <w:rFonts w:ascii="Arial" w:hAnsi="Arial" w:cs="Arial"/>
          <w:sz w:val="22"/>
        </w:rPr>
        <w:t>No existe iniciativa popular de reforma constitucional, porque el artículo 166 no remite al artículo 87.3.</w:t>
      </w:r>
    </w:p>
    <w:p>
      <w:pPr>
        <w:pStyle w:val="Heading2"/>
        <w:keepNext/>
      </w:pPr>
      <w:r>
        <w:rPr>
          <w:rFonts w:ascii="Arial" w:hAnsi="Arial" w:cs="Arial"/>
          <w:sz w:val="25"/>
        </w:rPr>
        <w:t>14.2. Procedimiento ordinario del artículo 167</w:t>
      </w:r>
    </w:p>
    <w:p>
      <w:pPr>
        <w:jc w:val="both"/>
      </w:pPr>
      <w:r>
        <w:rPr>
          <w:rFonts w:ascii="Arial" w:hAnsi="Arial" w:cs="Arial"/>
          <w:sz w:val="22"/>
        </w:rPr>
        <w:t>Se aplica a las reformas que no estén reservadas al artículo 168.</w:t>
      </w:r>
    </w:p>
    <w:p>
      <w:pPr>
        <w:spacing w:after="40"/>
        <w:ind w:left="369" w:hanging="227"/>
      </w:pPr>
      <w:r>
        <w:rPr>
          <w:rFonts w:ascii="Arial" w:hAnsi="Arial" w:cs="Arial"/>
          <w:sz w:val="22"/>
        </w:rPr>
        <w:t xml:space="preserve">1. El proyecto debe aprobarse por mayoría de </w:t>
      </w:r>
      <w:r>
        <w:rPr>
          <w:rFonts w:ascii="Arial" w:hAnsi="Arial" w:cs="Arial"/>
          <w:b/>
          <w:sz w:val="22"/>
        </w:rPr>
        <w:t>tres quintos de cada Cámara</w:t>
      </w:r>
      <w:r>
        <w:rPr>
          <w:rFonts w:ascii="Arial" w:hAnsi="Arial" w:cs="Arial"/>
          <w:sz w:val="22"/>
        </w:rPr>
        <w:t>.</w:t>
      </w:r>
    </w:p>
    <w:p>
      <w:pPr>
        <w:spacing w:after="40"/>
        <w:ind w:left="369" w:hanging="227"/>
      </w:pPr>
      <w:r>
        <w:rPr>
          <w:rFonts w:ascii="Arial" w:hAnsi="Arial" w:cs="Arial"/>
          <w:sz w:val="22"/>
        </w:rPr>
        <w:t>2. Si no hay acuerdo entre Congreso y Senado, se constituye una comisión de composición paritaria de diputados y senadores.</w:t>
      </w:r>
    </w:p>
    <w:p>
      <w:pPr>
        <w:spacing w:after="40"/>
        <w:ind w:left="369" w:hanging="227"/>
      </w:pPr>
      <w:r>
        <w:rPr>
          <w:rFonts w:ascii="Arial" w:hAnsi="Arial" w:cs="Arial"/>
          <w:sz w:val="22"/>
        </w:rPr>
        <w:t>3. La comisión presenta un texto que votan ambas Cámaras.</w:t>
      </w:r>
    </w:p>
    <w:p>
      <w:pPr>
        <w:spacing w:after="40"/>
        <w:ind w:left="369" w:hanging="227"/>
      </w:pPr>
      <w:r>
        <w:rPr>
          <w:rFonts w:ascii="Arial" w:hAnsi="Arial" w:cs="Arial"/>
          <w:sz w:val="22"/>
        </w:rPr>
        <w:t>4. Si el texto no obtiene tres quintos en ambas, pero el Senado lo aprueba por mayoría absoluta, el Congreso puede aprobar la reforma por mayoría de dos tercios.</w:t>
      </w:r>
    </w:p>
    <w:p>
      <w:pPr>
        <w:spacing w:after="40"/>
        <w:ind w:left="369" w:hanging="227"/>
      </w:pPr>
      <w:r>
        <w:rPr>
          <w:rFonts w:ascii="Arial" w:hAnsi="Arial" w:cs="Arial"/>
          <w:sz w:val="22"/>
        </w:rPr>
        <w:t>5. Aprobada la reforma, será sometida a referéndum si lo solicita, dentro de los quince días siguientes, una décima parte de los miembros de cualquiera de las Cámaras.</w:t>
      </w:r>
    </w:p>
    <w:p>
      <w:pPr>
        <w:jc w:val="both"/>
      </w:pPr>
      <w:r>
        <w:rPr>
          <w:rFonts w:ascii="Arial" w:hAnsi="Arial" w:cs="Arial"/>
          <w:sz w:val="22"/>
        </w:rPr>
        <w:t>El referéndum del artículo 167 es, por tanto, facultativo en cuanto a su convocatoria, aunque pasa a ser obligatorio si se formula válidamente la solicitud. El plazo de quince días es para solicitarlo, no la duración de una campaña ni el plazo para celebrarlo.</w:t>
      </w:r>
    </w:p>
    <w:p>
      <w:pPr>
        <w:pStyle w:val="Heading2"/>
        <w:keepNext/>
      </w:pPr>
      <w:r>
        <w:rPr>
          <w:rFonts w:ascii="Arial" w:hAnsi="Arial" w:cs="Arial"/>
          <w:sz w:val="25"/>
        </w:rPr>
        <w:t>14.3. Procedimiento agravado del artículo 168</w:t>
      </w:r>
    </w:p>
    <w:p>
      <w:pPr>
        <w:jc w:val="both"/>
      </w:pPr>
      <w:r>
        <w:rPr>
          <w:rFonts w:ascii="Arial" w:hAnsi="Arial" w:cs="Arial"/>
          <w:sz w:val="22"/>
        </w:rPr>
        <w:t>Se aplica:</w:t>
      </w:r>
    </w:p>
    <w:p>
      <w:pPr>
        <w:pStyle w:val="ListBullet"/>
      </w:pPr>
      <w:r>
        <w:rPr>
          <w:rFonts w:ascii="Arial" w:hAnsi="Arial" w:cs="Arial"/>
          <w:sz w:val="22"/>
        </w:rPr>
        <w:t>A una revisión total.</w:t>
      </w:r>
    </w:p>
    <w:p>
      <w:pPr>
        <w:pStyle w:val="ListBullet"/>
      </w:pPr>
      <w:r>
        <w:rPr>
          <w:rFonts w:ascii="Arial" w:hAnsi="Arial" w:cs="Arial"/>
          <w:sz w:val="22"/>
        </w:rPr>
        <w:t>A una revisión parcial que afecte al título preliminar.</w:t>
      </w:r>
    </w:p>
    <w:p>
      <w:pPr>
        <w:pStyle w:val="ListBullet"/>
      </w:pPr>
      <w:r>
        <w:rPr>
          <w:rFonts w:ascii="Arial" w:hAnsi="Arial" w:cs="Arial"/>
          <w:sz w:val="22"/>
        </w:rPr>
        <w:t>A una revisión parcial que afecte al capítulo II, sección 1.ª, del título I.</w:t>
      </w:r>
    </w:p>
    <w:p>
      <w:pPr>
        <w:pStyle w:val="ListBullet"/>
      </w:pPr>
      <w:r>
        <w:rPr>
          <w:rFonts w:ascii="Arial" w:hAnsi="Arial" w:cs="Arial"/>
          <w:sz w:val="22"/>
        </w:rPr>
        <w:t>A una revisión parcial que afecte al título II.</w:t>
      </w:r>
    </w:p>
    <w:p>
      <w:pPr>
        <w:jc w:val="both"/>
      </w:pPr>
      <w:r>
        <w:rPr>
          <w:rFonts w:ascii="Arial" w:hAnsi="Arial" w:cs="Arial"/>
          <w:sz w:val="22"/>
        </w:rPr>
        <w:t>Sus fases son:</w:t>
      </w:r>
    </w:p>
    <w:p>
      <w:pPr>
        <w:spacing w:after="40"/>
        <w:ind w:left="369" w:hanging="227"/>
      </w:pPr>
      <w:r>
        <w:rPr>
          <w:rFonts w:ascii="Arial" w:hAnsi="Arial" w:cs="Arial"/>
          <w:sz w:val="22"/>
        </w:rPr>
        <w:t>1. Aprobación del principio de reforma por mayoría de dos tercios de cada Cámara.</w:t>
      </w:r>
    </w:p>
    <w:p>
      <w:pPr>
        <w:spacing w:after="40"/>
        <w:ind w:left="369" w:hanging="227"/>
      </w:pPr>
      <w:r>
        <w:rPr>
          <w:rFonts w:ascii="Arial" w:hAnsi="Arial" w:cs="Arial"/>
          <w:sz w:val="22"/>
        </w:rPr>
        <w:t>2. Disolución inmediata de las Cortes.</w:t>
      </w:r>
    </w:p>
    <w:p>
      <w:pPr>
        <w:spacing w:after="40"/>
        <w:ind w:left="369" w:hanging="227"/>
      </w:pPr>
      <w:r>
        <w:rPr>
          <w:rFonts w:ascii="Arial" w:hAnsi="Arial" w:cs="Arial"/>
          <w:sz w:val="22"/>
        </w:rPr>
        <w:t>3. Elección de nuevas Cámaras.</w:t>
      </w:r>
    </w:p>
    <w:p>
      <w:pPr>
        <w:spacing w:after="40"/>
        <w:ind w:left="369" w:hanging="227"/>
      </w:pPr>
      <w:r>
        <w:rPr>
          <w:rFonts w:ascii="Arial" w:hAnsi="Arial" w:cs="Arial"/>
          <w:sz w:val="22"/>
        </w:rPr>
        <w:t>4. Ratificación por las nuevas Cámaras de la decisión de reforma.</w:t>
      </w:r>
    </w:p>
    <w:p>
      <w:pPr>
        <w:spacing w:after="40"/>
        <w:ind w:left="369" w:hanging="227"/>
      </w:pPr>
      <w:r>
        <w:rPr>
          <w:rFonts w:ascii="Arial" w:hAnsi="Arial" w:cs="Arial"/>
          <w:sz w:val="22"/>
        </w:rPr>
        <w:t>5. Estudio del nuevo texto constitucional.</w:t>
      </w:r>
    </w:p>
    <w:p>
      <w:pPr>
        <w:spacing w:after="40"/>
        <w:ind w:left="369" w:hanging="227"/>
      </w:pPr>
      <w:r>
        <w:rPr>
          <w:rFonts w:ascii="Arial" w:hAnsi="Arial" w:cs="Arial"/>
          <w:sz w:val="22"/>
        </w:rPr>
        <w:t>6. Aprobación del texto por mayoría de dos tercios de cada Cámara.</w:t>
      </w:r>
    </w:p>
    <w:p>
      <w:pPr>
        <w:spacing w:after="40"/>
        <w:ind w:left="369" w:hanging="227"/>
      </w:pPr>
      <w:r>
        <w:rPr>
          <w:rFonts w:ascii="Arial" w:hAnsi="Arial" w:cs="Arial"/>
          <w:sz w:val="22"/>
        </w:rPr>
        <w:t>7. Referéndum obligatorio para su ratificación.</w:t>
      </w:r>
    </w:p>
    <w:p>
      <w:pPr>
        <w:jc w:val="both"/>
      </w:pPr>
      <w:r>
        <w:rPr>
          <w:rFonts w:ascii="Arial" w:hAnsi="Arial" w:cs="Arial"/>
          <w:sz w:val="22"/>
        </w:rPr>
        <w:t>La Constitución exige expresamente dos tercios en cada Cámara para el principio y para el texto final. En la fase intermedia ordena que las nuevas Cámaras ratifiquen la decisión y procedan al estudio, sin fijar en el artículo 168 una mayoría expresa para esa ratificación separada.</w:t>
      </w:r>
    </w:p>
    <w:p>
      <w:pPr>
        <w:pStyle w:val="Heading2"/>
        <w:keepNext/>
      </w:pPr>
      <w:r>
        <w:rPr>
          <w:rFonts w:ascii="Arial" w:hAnsi="Arial" w:cs="Arial"/>
          <w:sz w:val="25"/>
        </w:rPr>
        <w:t>14.4. Límite temporal del artículo 169</w:t>
      </w:r>
    </w:p>
    <w:p>
      <w:pPr>
        <w:jc w:val="both"/>
      </w:pPr>
      <w:r>
        <w:rPr>
          <w:rFonts w:ascii="Arial" w:hAnsi="Arial" w:cs="Arial"/>
          <w:sz w:val="22"/>
        </w:rPr>
        <w:t>No puede iniciarse la reforma constitucional:</w:t>
      </w:r>
    </w:p>
    <w:p>
      <w:pPr>
        <w:pStyle w:val="ListBullet"/>
      </w:pPr>
      <w:r>
        <w:rPr>
          <w:rFonts w:ascii="Arial" w:hAnsi="Arial" w:cs="Arial"/>
          <w:sz w:val="22"/>
        </w:rPr>
        <w:t>En tiempo de guerra.</w:t>
      </w:r>
    </w:p>
    <w:p>
      <w:pPr>
        <w:pStyle w:val="ListBullet"/>
      </w:pPr>
      <w:r>
        <w:rPr>
          <w:rFonts w:ascii="Arial" w:hAnsi="Arial" w:cs="Arial"/>
          <w:sz w:val="22"/>
        </w:rPr>
        <w:t>Durante la vigencia de alguno de los estados previstos en el artículo 116: alarma, excepción o sitio.</w:t>
      </w:r>
    </w:p>
    <w:p>
      <w:pPr>
        <w:jc w:val="both"/>
      </w:pPr>
      <w:r>
        <w:rPr>
          <w:rFonts w:ascii="Arial" w:hAnsi="Arial" w:cs="Arial"/>
          <w:sz w:val="22"/>
        </w:rPr>
        <w:t xml:space="preserve">La prohibición se refiere a </w:t>
      </w:r>
      <w:r>
        <w:rPr>
          <w:rFonts w:ascii="Arial" w:hAnsi="Arial" w:cs="Arial"/>
          <w:b/>
          <w:sz w:val="22"/>
        </w:rPr>
        <w:t>iniciar</w:t>
      </w:r>
      <w:r>
        <w:rPr>
          <w:rFonts w:ascii="Arial" w:hAnsi="Arial" w:cs="Arial"/>
          <w:sz w:val="22"/>
        </w:rPr>
        <w:t xml:space="preserve"> la reforma. No debe reformularse como una cláusula material que declare irreformables determinados artículos.</w:t>
      </w:r>
    </w:p>
    <w:p>
      <w:pPr>
        <w:pStyle w:val="Heading2"/>
        <w:keepNext/>
      </w:pPr>
      <w:r>
        <w:rPr>
          <w:rFonts w:ascii="Arial" w:hAnsi="Arial" w:cs="Arial"/>
          <w:sz w:val="25"/>
        </w:rPr>
        <w:t>14.5. Comparación de los dos procedimientos</w:t>
      </w:r>
    </w:p>
    <w:tbl>
      <w:tblPr>
        <w:tblStyle w:val="TableGrid"/>
        <w:tblW w:type="dxa" w:w="9026"/>
        <w:jc w:val="left"/>
        <w:tblLayout w:type="fixed"/>
        <w:tblLook w:firstColumn="1" w:firstRow="1" w:lastColumn="0" w:lastRow="0" w:noHBand="0" w:noVBand="1" w:val="04A0"/>
        <w:tblInd w:w="120" w:type="dxa"/>
      </w:tblPr>
      <w:tblGrid>
        <w:gridCol w:w="2036"/>
        <w:gridCol w:w="2918"/>
        <w:gridCol w:w="4072"/>
      </w:tblGrid>
      <w:tr>
        <w:trPr>
          <w:tblHeader w:val="true"/>
        </w:trPr>
        <w:tc>
          <w:tcPr>
            <w:tcW w:type="dxa" w:w="203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Elemento</w:t>
            </w:r>
          </w:p>
        </w:tc>
        <w:tc>
          <w:tcPr>
            <w:tcW w:type="dxa" w:w="291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Artículo 167</w:t>
            </w:r>
          </w:p>
        </w:tc>
        <w:tc>
          <w:tcPr>
            <w:tcW w:type="dxa" w:w="407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Artículo 168</w:t>
            </w:r>
          </w:p>
        </w:tc>
      </w:tr>
      <w:tr>
        <w:tc>
          <w:tcPr>
            <w:tcW w:type="dxa" w:w="2036"/>
            <w:tcMar>
              <w:top w:w="80" w:type="dxa"/>
              <w:start w:w="120" w:type="dxa"/>
              <w:bottom w:w="80" w:type="dxa"/>
              <w:end w:w="120" w:type="dxa"/>
            </w:tcMar>
            <w:vAlign w:val="center"/>
          </w:tcPr>
          <w:p>
            <w:pPr>
              <w:spacing w:before="0" w:after="0" w:line="240" w:lineRule="auto"/>
              <w:jc w:val="left"/>
            </w:pPr>
            <w:r/>
            <w:r>
              <w:rPr>
                <w:rFonts w:ascii="Arial" w:hAnsi="Arial" w:cs="Arial"/>
                <w:sz w:val="18"/>
              </w:rPr>
              <w:t>Ámbito</w:t>
            </w:r>
          </w:p>
        </w:tc>
        <w:tc>
          <w:tcPr>
            <w:tcW w:type="dxa" w:w="2918"/>
            <w:tcMar>
              <w:top w:w="80" w:type="dxa"/>
              <w:start w:w="120" w:type="dxa"/>
              <w:bottom w:w="80" w:type="dxa"/>
              <w:end w:w="120" w:type="dxa"/>
            </w:tcMar>
            <w:vAlign w:val="center"/>
          </w:tcPr>
          <w:p>
            <w:pPr>
              <w:spacing w:before="0" w:after="0" w:line="240" w:lineRule="auto"/>
              <w:jc w:val="left"/>
            </w:pPr>
            <w:r/>
            <w:r>
              <w:rPr>
                <w:rFonts w:ascii="Arial" w:hAnsi="Arial" w:cs="Arial"/>
                <w:sz w:val="18"/>
              </w:rPr>
              <w:t>Reformas no incluidas en el 168</w:t>
            </w:r>
          </w:p>
        </w:tc>
        <w:tc>
          <w:tcPr>
            <w:tcW w:type="dxa" w:w="4072"/>
            <w:tcMar>
              <w:top w:w="80" w:type="dxa"/>
              <w:start w:w="120" w:type="dxa"/>
              <w:bottom w:w="80" w:type="dxa"/>
              <w:end w:w="120" w:type="dxa"/>
            </w:tcMar>
            <w:vAlign w:val="center"/>
          </w:tcPr>
          <w:p>
            <w:pPr>
              <w:spacing w:before="0" w:after="0" w:line="240" w:lineRule="auto"/>
              <w:jc w:val="left"/>
            </w:pPr>
            <w:r/>
            <w:r>
              <w:rPr>
                <w:rFonts w:ascii="Arial" w:hAnsi="Arial" w:cs="Arial"/>
                <w:sz w:val="18"/>
              </w:rPr>
              <w:t>Revisión total o parcial del título preliminar, sección 1.ª del capítulo II del título I o título II</w:t>
            </w:r>
          </w:p>
        </w:tc>
      </w:tr>
      <w:tr>
        <w:tc>
          <w:tcPr>
            <w:tcW w:type="dxa" w:w="2036"/>
            <w:tcMar>
              <w:top w:w="80" w:type="dxa"/>
              <w:start w:w="120" w:type="dxa"/>
              <w:bottom w:w="80" w:type="dxa"/>
              <w:end w:w="120" w:type="dxa"/>
            </w:tcMar>
            <w:vAlign w:val="center"/>
          </w:tcPr>
          <w:p>
            <w:pPr>
              <w:spacing w:before="0" w:after="0" w:line="240" w:lineRule="auto"/>
              <w:jc w:val="left"/>
            </w:pPr>
            <w:r/>
            <w:r>
              <w:rPr>
                <w:rFonts w:ascii="Arial" w:hAnsi="Arial" w:cs="Arial"/>
                <w:sz w:val="18"/>
              </w:rPr>
              <w:t>Mayoría inicial</w:t>
            </w:r>
          </w:p>
        </w:tc>
        <w:tc>
          <w:tcPr>
            <w:tcW w:type="dxa" w:w="2918"/>
            <w:tcMar>
              <w:top w:w="80" w:type="dxa"/>
              <w:start w:w="120" w:type="dxa"/>
              <w:bottom w:w="80" w:type="dxa"/>
              <w:end w:w="120" w:type="dxa"/>
            </w:tcMar>
            <w:vAlign w:val="center"/>
          </w:tcPr>
          <w:p>
            <w:pPr>
              <w:spacing w:before="0" w:after="0" w:line="240" w:lineRule="auto"/>
              <w:jc w:val="left"/>
            </w:pPr>
            <w:r/>
            <w:r>
              <w:rPr>
                <w:rFonts w:ascii="Arial" w:hAnsi="Arial" w:cs="Arial"/>
                <w:sz w:val="18"/>
              </w:rPr>
              <w:t>3/5 de cada Cámara</w:t>
            </w:r>
          </w:p>
        </w:tc>
        <w:tc>
          <w:tcPr>
            <w:tcW w:type="dxa" w:w="4072"/>
            <w:tcMar>
              <w:top w:w="80" w:type="dxa"/>
              <w:start w:w="120" w:type="dxa"/>
              <w:bottom w:w="80" w:type="dxa"/>
              <w:end w:w="120" w:type="dxa"/>
            </w:tcMar>
            <w:vAlign w:val="center"/>
          </w:tcPr>
          <w:p>
            <w:pPr>
              <w:spacing w:before="0" w:after="0" w:line="240" w:lineRule="auto"/>
              <w:jc w:val="left"/>
            </w:pPr>
            <w:r/>
            <w:r>
              <w:rPr>
                <w:rFonts w:ascii="Arial" w:hAnsi="Arial" w:cs="Arial"/>
                <w:sz w:val="18"/>
              </w:rPr>
              <w:t>2/3 de cada Cámara</w:t>
            </w:r>
          </w:p>
        </w:tc>
      </w:tr>
      <w:tr>
        <w:tc>
          <w:tcPr>
            <w:tcW w:type="dxa" w:w="2036"/>
            <w:tcMar>
              <w:top w:w="80" w:type="dxa"/>
              <w:start w:w="120" w:type="dxa"/>
              <w:bottom w:w="80" w:type="dxa"/>
              <w:end w:w="120" w:type="dxa"/>
            </w:tcMar>
            <w:vAlign w:val="center"/>
          </w:tcPr>
          <w:p>
            <w:pPr>
              <w:spacing w:before="0" w:after="0" w:line="240" w:lineRule="auto"/>
              <w:jc w:val="left"/>
            </w:pPr>
            <w:r/>
            <w:r>
              <w:rPr>
                <w:rFonts w:ascii="Arial" w:hAnsi="Arial" w:cs="Arial"/>
                <w:sz w:val="18"/>
              </w:rPr>
              <w:t>Comisión mixta</w:t>
            </w:r>
          </w:p>
        </w:tc>
        <w:tc>
          <w:tcPr>
            <w:tcW w:type="dxa" w:w="2918"/>
            <w:tcMar>
              <w:top w:w="80" w:type="dxa"/>
              <w:start w:w="120" w:type="dxa"/>
              <w:bottom w:w="80" w:type="dxa"/>
              <w:end w:w="120" w:type="dxa"/>
            </w:tcMar>
            <w:vAlign w:val="center"/>
          </w:tcPr>
          <w:p>
            <w:pPr>
              <w:spacing w:before="0" w:after="0" w:line="240" w:lineRule="auto"/>
              <w:jc w:val="left"/>
            </w:pPr>
            <w:r/>
            <w:r>
              <w:rPr>
                <w:rFonts w:ascii="Arial" w:hAnsi="Arial" w:cs="Arial"/>
                <w:sz w:val="18"/>
              </w:rPr>
              <w:t>Sí, si falta acuerdo</w:t>
            </w:r>
          </w:p>
        </w:tc>
        <w:tc>
          <w:tcPr>
            <w:tcW w:type="dxa" w:w="4072"/>
            <w:tcMar>
              <w:top w:w="80" w:type="dxa"/>
              <w:start w:w="120" w:type="dxa"/>
              <w:bottom w:w="80" w:type="dxa"/>
              <w:end w:w="120" w:type="dxa"/>
            </w:tcMar>
            <w:vAlign w:val="center"/>
          </w:tcPr>
          <w:p>
            <w:pPr>
              <w:spacing w:before="0" w:after="0" w:line="240" w:lineRule="auto"/>
              <w:jc w:val="left"/>
            </w:pPr>
            <w:r/>
            <w:r>
              <w:rPr>
                <w:rFonts w:ascii="Arial" w:hAnsi="Arial" w:cs="Arial"/>
                <w:sz w:val="18"/>
              </w:rPr>
              <w:t>No es fase constitucional prevista</w:t>
            </w:r>
          </w:p>
        </w:tc>
      </w:tr>
      <w:tr>
        <w:tc>
          <w:tcPr>
            <w:tcW w:type="dxa" w:w="2036"/>
            <w:tcMar>
              <w:top w:w="80" w:type="dxa"/>
              <w:start w:w="120" w:type="dxa"/>
              <w:bottom w:w="80" w:type="dxa"/>
              <w:end w:w="120" w:type="dxa"/>
            </w:tcMar>
            <w:vAlign w:val="center"/>
          </w:tcPr>
          <w:p>
            <w:pPr>
              <w:spacing w:before="0" w:after="0" w:line="240" w:lineRule="auto"/>
              <w:jc w:val="left"/>
            </w:pPr>
            <w:r/>
            <w:r>
              <w:rPr>
                <w:rFonts w:ascii="Arial" w:hAnsi="Arial" w:cs="Arial"/>
                <w:sz w:val="18"/>
              </w:rPr>
              <w:t>Solución especial Congreso-Senado</w:t>
            </w:r>
          </w:p>
        </w:tc>
        <w:tc>
          <w:tcPr>
            <w:tcW w:type="dxa" w:w="2918"/>
            <w:tcMar>
              <w:top w:w="80" w:type="dxa"/>
              <w:start w:w="120" w:type="dxa"/>
              <w:bottom w:w="80" w:type="dxa"/>
              <w:end w:w="120" w:type="dxa"/>
            </w:tcMar>
            <w:vAlign w:val="center"/>
          </w:tcPr>
          <w:p>
            <w:pPr>
              <w:spacing w:before="0" w:after="0" w:line="240" w:lineRule="auto"/>
              <w:jc w:val="left"/>
            </w:pPr>
            <w:r/>
            <w:r>
              <w:rPr>
                <w:rFonts w:ascii="Arial" w:hAnsi="Arial" w:cs="Arial"/>
                <w:sz w:val="18"/>
              </w:rPr>
              <w:t>Senado por mayoría absoluta y Congreso por 2/3</w:t>
            </w:r>
          </w:p>
        </w:tc>
        <w:tc>
          <w:tcPr>
            <w:tcW w:type="dxa" w:w="4072"/>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r>
      <w:tr>
        <w:tc>
          <w:tcPr>
            <w:tcW w:type="dxa" w:w="2036"/>
            <w:tcMar>
              <w:top w:w="80" w:type="dxa"/>
              <w:start w:w="120" w:type="dxa"/>
              <w:bottom w:w="80" w:type="dxa"/>
              <w:end w:w="120" w:type="dxa"/>
            </w:tcMar>
            <w:vAlign w:val="center"/>
          </w:tcPr>
          <w:p>
            <w:pPr>
              <w:spacing w:before="0" w:after="0" w:line="240" w:lineRule="auto"/>
              <w:jc w:val="left"/>
            </w:pPr>
            <w:r/>
            <w:r>
              <w:rPr>
                <w:rFonts w:ascii="Arial" w:hAnsi="Arial" w:cs="Arial"/>
                <w:sz w:val="18"/>
              </w:rPr>
              <w:t>Disolución de Cortes</w:t>
            </w:r>
          </w:p>
        </w:tc>
        <w:tc>
          <w:tcPr>
            <w:tcW w:type="dxa" w:w="2918"/>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4072"/>
            <w:tcMar>
              <w:top w:w="80" w:type="dxa"/>
              <w:start w:w="120" w:type="dxa"/>
              <w:bottom w:w="80" w:type="dxa"/>
              <w:end w:w="120" w:type="dxa"/>
            </w:tcMar>
            <w:vAlign w:val="center"/>
          </w:tcPr>
          <w:p>
            <w:pPr>
              <w:spacing w:before="0" w:after="0" w:line="240" w:lineRule="auto"/>
              <w:jc w:val="center"/>
            </w:pPr>
            <w:r/>
            <w:r>
              <w:rPr>
                <w:rFonts w:ascii="Arial" w:hAnsi="Arial" w:cs="Arial"/>
                <w:sz w:val="18"/>
              </w:rPr>
              <w:t>Sí, inmediata</w:t>
            </w:r>
          </w:p>
        </w:tc>
      </w:tr>
      <w:tr>
        <w:tc>
          <w:tcPr>
            <w:tcW w:type="dxa" w:w="2036"/>
            <w:tcMar>
              <w:top w:w="80" w:type="dxa"/>
              <w:start w:w="120" w:type="dxa"/>
              <w:bottom w:w="80" w:type="dxa"/>
              <w:end w:w="120" w:type="dxa"/>
            </w:tcMar>
            <w:vAlign w:val="center"/>
          </w:tcPr>
          <w:p>
            <w:pPr>
              <w:spacing w:before="0" w:after="0" w:line="240" w:lineRule="auto"/>
              <w:jc w:val="left"/>
            </w:pPr>
            <w:r/>
            <w:r>
              <w:rPr>
                <w:rFonts w:ascii="Arial" w:hAnsi="Arial" w:cs="Arial"/>
                <w:sz w:val="18"/>
              </w:rPr>
              <w:t>Intervención de nuevas Cámaras</w:t>
            </w:r>
          </w:p>
        </w:tc>
        <w:tc>
          <w:tcPr>
            <w:tcW w:type="dxa" w:w="2918"/>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4072"/>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r>
      <w:tr>
        <w:tc>
          <w:tcPr>
            <w:tcW w:type="dxa" w:w="2036"/>
            <w:tcMar>
              <w:top w:w="80" w:type="dxa"/>
              <w:start w:w="120" w:type="dxa"/>
              <w:bottom w:w="80" w:type="dxa"/>
              <w:end w:w="120" w:type="dxa"/>
            </w:tcMar>
            <w:vAlign w:val="center"/>
          </w:tcPr>
          <w:p>
            <w:pPr>
              <w:spacing w:before="0" w:after="0" w:line="240" w:lineRule="auto"/>
              <w:jc w:val="left"/>
            </w:pPr>
            <w:r/>
            <w:r>
              <w:rPr>
                <w:rFonts w:ascii="Arial" w:hAnsi="Arial" w:cs="Arial"/>
                <w:sz w:val="18"/>
              </w:rPr>
              <w:t>Referéndum</w:t>
            </w:r>
          </w:p>
        </w:tc>
        <w:tc>
          <w:tcPr>
            <w:tcW w:type="dxa" w:w="2918"/>
            <w:tcMar>
              <w:top w:w="80" w:type="dxa"/>
              <w:start w:w="120" w:type="dxa"/>
              <w:bottom w:w="80" w:type="dxa"/>
              <w:end w:w="120" w:type="dxa"/>
            </w:tcMar>
            <w:vAlign w:val="center"/>
          </w:tcPr>
          <w:p>
            <w:pPr>
              <w:spacing w:before="0" w:after="0" w:line="240" w:lineRule="auto"/>
              <w:jc w:val="left"/>
            </w:pPr>
            <w:r/>
            <w:r>
              <w:rPr>
                <w:rFonts w:ascii="Arial" w:hAnsi="Arial" w:cs="Arial"/>
                <w:sz w:val="18"/>
              </w:rPr>
              <w:t>Si lo pide 1/10 de cualquiera de las Cámaras en 15 días</w:t>
            </w:r>
          </w:p>
        </w:tc>
        <w:tc>
          <w:tcPr>
            <w:tcW w:type="dxa" w:w="4072"/>
            <w:tcMar>
              <w:top w:w="80" w:type="dxa"/>
              <w:start w:w="120" w:type="dxa"/>
              <w:bottom w:w="80" w:type="dxa"/>
              <w:end w:w="120" w:type="dxa"/>
            </w:tcMar>
            <w:vAlign w:val="center"/>
          </w:tcPr>
          <w:p>
            <w:pPr>
              <w:spacing w:before="0" w:after="0" w:line="240" w:lineRule="auto"/>
              <w:jc w:val="left"/>
            </w:pPr>
            <w:r/>
            <w:r>
              <w:rPr>
                <w:rFonts w:ascii="Arial" w:hAnsi="Arial" w:cs="Arial"/>
                <w:sz w:val="18"/>
              </w:rPr>
              <w:t>Siempre obligatorio</w:t>
            </w:r>
          </w:p>
        </w:tc>
      </w:tr>
    </w:tbl>
    <w:p>
      <w:pPr>
        <w:spacing w:after="40"/>
      </w:pPr>
    </w:p>
    <w:p>
      <w:pPr>
        <w:pStyle w:val="Heading1"/>
        <w:keepNext/>
      </w:pPr>
      <w:r>
        <w:rPr>
          <w:rFonts w:ascii="Arial" w:hAnsi="Arial" w:cs="Arial"/>
          <w:sz w:val="30"/>
        </w:rPr>
        <w:t>15. Las cuatro reformas constitucionales</w:t>
      </w:r>
    </w:p>
    <w:p>
      <w:pPr>
        <w:pStyle w:val="Heading2"/>
        <w:keepNext/>
      </w:pPr>
      <w:r>
        <w:rPr>
          <w:rFonts w:ascii="Arial" w:hAnsi="Arial" w:cs="Arial"/>
          <w:sz w:val="25"/>
        </w:rPr>
        <w:t>15.1. Reforma de 1992: artículo 13.2</w:t>
      </w:r>
    </w:p>
    <w:p>
      <w:pPr>
        <w:jc w:val="both"/>
      </w:pPr>
      <w:r>
        <w:rPr>
          <w:rFonts w:ascii="Arial" w:hAnsi="Arial" w:cs="Arial"/>
          <w:sz w:val="22"/>
        </w:rPr>
        <w:t>La primera reforma fue sancionada el 27 de agosto y publicada y vigente desde el 28 de agosto de 1992. Añadió la expresión «y pasivo» al artículo 13.2, permitiendo que, atendiendo a criterios de reciprocidad, un tratado o una ley reconozca a extranjeros los derechos de sufragio activo y pasivo en elecciones municipales.</w:t>
      </w:r>
    </w:p>
    <w:p>
      <w:pPr>
        <w:jc w:val="both"/>
      </w:pPr>
      <w:r>
        <w:rPr>
          <w:rFonts w:ascii="Arial" w:hAnsi="Arial" w:cs="Arial"/>
          <w:sz w:val="22"/>
        </w:rPr>
        <w:t>La finalidad inmediata fue adecuar el texto al Tratado de la Unión Europea. Se siguió el artículo 167 y no hubo referéndum porque no lo solicitó una décima parte de ninguna Cámara.</w:t>
      </w:r>
    </w:p>
    <w:p>
      <w:pPr>
        <w:pStyle w:val="Heading2"/>
        <w:keepNext/>
      </w:pPr>
      <w:r>
        <w:rPr>
          <w:rFonts w:ascii="Arial" w:hAnsi="Arial" w:cs="Arial"/>
          <w:sz w:val="25"/>
        </w:rPr>
        <w:t>15.2. Reforma de 2011: artículo 135</w:t>
      </w:r>
    </w:p>
    <w:p>
      <w:pPr>
        <w:jc w:val="both"/>
      </w:pPr>
      <w:r>
        <w:rPr>
          <w:rFonts w:ascii="Arial" w:hAnsi="Arial" w:cs="Arial"/>
          <w:sz w:val="22"/>
        </w:rPr>
        <w:t>La segunda reforma fue sancionada, publicada y entró en vigor el 27 de septiembre de 2011. Sustituyó íntegramente el artículo 135 para constitucionalizar:</w:t>
      </w:r>
    </w:p>
    <w:p>
      <w:pPr>
        <w:pStyle w:val="ListBullet"/>
      </w:pPr>
      <w:r>
        <w:rPr>
          <w:rFonts w:ascii="Arial" w:hAnsi="Arial" w:cs="Arial"/>
          <w:sz w:val="22"/>
        </w:rPr>
        <w:t>Estabilidad presupuestaria de todas las Administraciones.</w:t>
      </w:r>
    </w:p>
    <w:p>
      <w:pPr>
        <w:pStyle w:val="ListBullet"/>
      </w:pPr>
      <w:r>
        <w:rPr>
          <w:rFonts w:ascii="Arial" w:hAnsi="Arial" w:cs="Arial"/>
          <w:sz w:val="22"/>
        </w:rPr>
        <w:t>Límites al déficit estructural.</w:t>
      </w:r>
    </w:p>
    <w:p>
      <w:pPr>
        <w:pStyle w:val="ListBullet"/>
      </w:pPr>
      <w:r>
        <w:rPr>
          <w:rFonts w:ascii="Arial" w:hAnsi="Arial" w:cs="Arial"/>
          <w:sz w:val="22"/>
        </w:rPr>
        <w:t>Equilibrio presupuestario local.</w:t>
      </w:r>
    </w:p>
    <w:p>
      <w:pPr>
        <w:pStyle w:val="ListBullet"/>
      </w:pPr>
      <w:r>
        <w:rPr>
          <w:rFonts w:ascii="Arial" w:hAnsi="Arial" w:cs="Arial"/>
          <w:sz w:val="22"/>
        </w:rPr>
        <w:t>Autorización legal para emitir deuda o contraer crédito.</w:t>
      </w:r>
    </w:p>
    <w:p>
      <w:pPr>
        <w:pStyle w:val="ListBullet"/>
      </w:pPr>
      <w:r>
        <w:rPr>
          <w:rFonts w:ascii="Arial" w:hAnsi="Arial" w:cs="Arial"/>
          <w:sz w:val="22"/>
        </w:rPr>
        <w:t>Inclusión presupuestaria y prioridad absoluta del pago de capital e intereses de la deuda.</w:t>
      </w:r>
    </w:p>
    <w:p>
      <w:pPr>
        <w:pStyle w:val="ListBullet"/>
      </w:pPr>
      <w:r>
        <w:rPr>
          <w:rFonts w:ascii="Arial" w:hAnsi="Arial" w:cs="Arial"/>
          <w:sz w:val="22"/>
        </w:rPr>
        <w:t>Límites al volumen de deuda en relación con el producto interior bruto.</w:t>
      </w:r>
    </w:p>
    <w:p>
      <w:pPr>
        <w:pStyle w:val="ListBullet"/>
      </w:pPr>
      <w:r>
        <w:rPr>
          <w:rFonts w:ascii="Arial" w:hAnsi="Arial" w:cs="Arial"/>
          <w:sz w:val="22"/>
        </w:rPr>
        <w:t>Posibilidad de superar límites en catástrofes naturales, recesión económica o emergencias extraordinarias fuera del control del Estado que perjudiquen considerablemente la situación financiera o la sostenibilidad económica o social, apreciadas por mayoría absoluta del Congreso.</w:t>
      </w:r>
    </w:p>
    <w:p>
      <w:pPr>
        <w:pStyle w:val="ListBullet"/>
      </w:pPr>
      <w:r>
        <w:rPr>
          <w:rFonts w:ascii="Arial" w:hAnsi="Arial" w:cs="Arial"/>
          <w:sz w:val="22"/>
        </w:rPr>
        <w:t>Desarrollo mediante ley orgánica.</w:t>
      </w:r>
    </w:p>
    <w:p>
      <w:pPr>
        <w:jc w:val="both"/>
      </w:pPr>
      <w:r>
        <w:rPr>
          <w:rFonts w:ascii="Arial" w:hAnsi="Arial" w:cs="Arial"/>
          <w:sz w:val="22"/>
        </w:rPr>
        <w:t>También siguió el artículo 167 sin referéndum.</w:t>
      </w:r>
    </w:p>
    <w:p>
      <w:pPr>
        <w:pStyle w:val="Heading2"/>
        <w:keepNext/>
      </w:pPr>
      <w:r>
        <w:rPr>
          <w:rFonts w:ascii="Arial" w:hAnsi="Arial" w:cs="Arial"/>
          <w:sz w:val="25"/>
        </w:rPr>
        <w:t>15.3. Reforma de 2024: artículo 49</w:t>
      </w:r>
    </w:p>
    <w:p>
      <w:pPr>
        <w:jc w:val="both"/>
      </w:pPr>
      <w:r>
        <w:rPr>
          <w:rFonts w:ascii="Arial" w:hAnsi="Arial" w:cs="Arial"/>
          <w:sz w:val="22"/>
        </w:rPr>
        <w:t>La tercera reforma fue sancionada el 15 de febrero de 2024 y publicada y vigente desde el 17 de febrero. Sustituyó la terminología y el enfoque del anterior artículo 49.</w:t>
      </w:r>
    </w:p>
    <w:p>
      <w:pPr>
        <w:jc w:val="both"/>
      </w:pPr>
      <w:r>
        <w:rPr>
          <w:rFonts w:ascii="Arial" w:hAnsi="Arial" w:cs="Arial"/>
          <w:sz w:val="22"/>
        </w:rPr>
        <w:t>La redacción vigente establece:</w:t>
      </w:r>
    </w:p>
    <w:p>
      <w:pPr>
        <w:spacing w:after="40"/>
        <w:ind w:left="369" w:hanging="227"/>
      </w:pPr>
      <w:r>
        <w:rPr>
          <w:rFonts w:ascii="Arial" w:hAnsi="Arial" w:cs="Arial"/>
          <w:sz w:val="22"/>
        </w:rPr>
        <w:t>1. Las personas con discapacidad ejercen los derechos del título I en condiciones de libertad e igualdad reales y efectivas; la ley regulará la protección especial necesaria.</w:t>
      </w:r>
    </w:p>
    <w:p>
      <w:pPr>
        <w:spacing w:after="40"/>
        <w:ind w:left="369" w:hanging="227"/>
      </w:pPr>
      <w:r>
        <w:rPr>
          <w:rFonts w:ascii="Arial" w:hAnsi="Arial" w:cs="Arial"/>
          <w:sz w:val="22"/>
        </w:rPr>
        <w:t>2. Los poderes públicos impulsarán políticas de plena autonomía personal e inclusión social en entornos universalmente accesibles.</w:t>
      </w:r>
    </w:p>
    <w:p>
      <w:pPr>
        <w:spacing w:after="40"/>
        <w:ind w:left="369" w:hanging="227"/>
      </w:pPr>
      <w:r>
        <w:rPr>
          <w:rFonts w:ascii="Arial" w:hAnsi="Arial" w:cs="Arial"/>
          <w:sz w:val="22"/>
        </w:rPr>
        <w:t>3. Fomentarán la participación de las organizaciones de personas con discapacidad.</w:t>
      </w:r>
    </w:p>
    <w:p>
      <w:pPr>
        <w:spacing w:after="40"/>
        <w:ind w:left="369" w:hanging="227"/>
      </w:pPr>
      <w:r>
        <w:rPr>
          <w:rFonts w:ascii="Arial" w:hAnsi="Arial" w:cs="Arial"/>
          <w:sz w:val="22"/>
        </w:rPr>
        <w:t>4. Se atenderán particularmente las necesidades específicas de mujeres y menores con discapacidad.</w:t>
      </w:r>
    </w:p>
    <w:p>
      <w:pPr>
        <w:jc w:val="both"/>
      </w:pPr>
      <w:r>
        <w:rPr>
          <w:rFonts w:ascii="Arial" w:hAnsi="Arial" w:cs="Arial"/>
          <w:sz w:val="22"/>
        </w:rPr>
        <w:t>La reforma se tramitó por el artículo 167. Aunque el artículo 49 está en el título I, se ubica en el capítulo III y no en la sección 1.ª del capítulo II; por ello no correspondía el procedimiento agravado.</w:t>
      </w:r>
    </w:p>
    <w:p>
      <w:pPr>
        <w:pStyle w:val="Heading2"/>
        <w:keepNext/>
      </w:pPr>
      <w:r>
        <w:rPr>
          <w:rFonts w:ascii="Arial" w:hAnsi="Arial" w:cs="Arial"/>
          <w:sz w:val="25"/>
        </w:rPr>
        <w:t>15.4. Reforma de 2026: artículo 69.3</w:t>
      </w:r>
    </w:p>
    <w:p>
      <w:pPr>
        <w:jc w:val="both"/>
      </w:pPr>
      <w:r>
        <w:rPr>
          <w:rFonts w:ascii="Arial" w:hAnsi="Arial" w:cs="Arial"/>
          <w:sz w:val="22"/>
        </w:rPr>
        <w:t>La cuarta reforma fue sancionada el 19 de mayo de 2026 y publicada y vigente desde el 20 de mayo. Modificó el artículo 69.3 para:</w:t>
      </w:r>
    </w:p>
    <w:p>
      <w:pPr>
        <w:pStyle w:val="ListBullet"/>
      </w:pPr>
      <w:r>
        <w:rPr>
          <w:rFonts w:ascii="Arial" w:hAnsi="Arial" w:cs="Arial"/>
          <w:sz w:val="22"/>
        </w:rPr>
        <w:t>Eliminar la agrupación electoral conjunta de Ibiza-Formentera.</w:t>
      </w:r>
    </w:p>
    <w:p>
      <w:pPr>
        <w:pStyle w:val="ListBullet"/>
      </w:pPr>
      <w:r>
        <w:rPr>
          <w:rFonts w:ascii="Arial" w:hAnsi="Arial" w:cs="Arial"/>
          <w:sz w:val="22"/>
        </w:rPr>
        <w:t>Reconocer a Ibiza y Formentera como circunscripciones separadas.</w:t>
      </w:r>
    </w:p>
    <w:p>
      <w:pPr>
        <w:pStyle w:val="ListBullet"/>
      </w:pPr>
      <w:r>
        <w:rPr>
          <w:rFonts w:ascii="Arial" w:hAnsi="Arial" w:cs="Arial"/>
          <w:sz w:val="22"/>
        </w:rPr>
        <w:t>Atribuir un senador a cada una.</w:t>
      </w:r>
    </w:p>
    <w:p>
      <w:pPr>
        <w:pStyle w:val="ListBullet"/>
      </w:pPr>
      <w:r>
        <w:rPr>
          <w:rFonts w:ascii="Arial" w:hAnsi="Arial" w:cs="Arial"/>
          <w:sz w:val="22"/>
        </w:rPr>
        <w:t>Formular como regla general que cada isla con Cabildo o Consejo Insular constituye circunscripción en las provincias insulares.</w:t>
      </w:r>
    </w:p>
    <w:p>
      <w:pPr>
        <w:jc w:val="both"/>
      </w:pPr>
      <w:r>
        <w:rPr>
          <w:rFonts w:ascii="Arial" w:hAnsi="Arial" w:cs="Arial"/>
          <w:sz w:val="22"/>
        </w:rPr>
        <w:t>Se siguió el procedimiento ordinario del artículo 167. La eficacia de las nuevas circunscripciones se difiere hasta la convocatoria de las primeras elecciones al Senado que se celebren tras la entrada en vigor. La Ley Orgánica 2/2026 adaptó posteriormente la legislación electoral.</w:t>
      </w:r>
    </w:p>
    <w:p>
      <w:pPr>
        <w:pStyle w:val="Heading2"/>
        <w:keepNext/>
      </w:pPr>
      <w:r>
        <w:rPr>
          <w:rFonts w:ascii="Arial" w:hAnsi="Arial" w:cs="Arial"/>
          <w:sz w:val="25"/>
        </w:rPr>
        <w:t>15.5. Cuadro cronológico</w:t>
      </w:r>
    </w:p>
    <w:tbl>
      <w:tblPr>
        <w:tblStyle w:val="TableGrid"/>
        <w:tblW w:type="dxa" w:w="9026"/>
        <w:jc w:val="left"/>
        <w:tblLayout w:type="fixed"/>
        <w:tblLook w:firstColumn="1" w:firstRow="1" w:lastColumn="0" w:lastRow="0" w:noHBand="0" w:noVBand="1" w:val="04A0"/>
        <w:tblInd w:w="120" w:type="dxa"/>
      </w:tblPr>
      <w:tblGrid>
        <w:gridCol w:w="900"/>
        <w:gridCol w:w="2041"/>
        <w:gridCol w:w="900"/>
        <w:gridCol w:w="4285"/>
        <w:gridCol w:w="900"/>
      </w:tblGrid>
      <w:tr>
        <w:trPr>
          <w:tblHeader w:val="true"/>
        </w:trPr>
        <w:tc>
          <w:tcPr>
            <w:tcW w:type="dxa" w:w="90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Reforma</w:t>
            </w:r>
          </w:p>
        </w:tc>
        <w:tc>
          <w:tcPr>
            <w:tcW w:type="dxa" w:w="204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Publicación y entrada en vigor</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Precepto</w:t>
            </w:r>
          </w:p>
        </w:tc>
        <w:tc>
          <w:tcPr>
            <w:tcW w:type="dxa" w:w="428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Materia</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Procedimiento</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Primera</w:t>
            </w:r>
          </w:p>
        </w:tc>
        <w:tc>
          <w:tcPr>
            <w:tcW w:type="dxa" w:w="2041"/>
            <w:tcMar>
              <w:top w:w="80" w:type="dxa"/>
              <w:start w:w="120" w:type="dxa"/>
              <w:bottom w:w="80" w:type="dxa"/>
              <w:end w:w="120" w:type="dxa"/>
            </w:tcMar>
            <w:vAlign w:val="center"/>
          </w:tcPr>
          <w:p>
            <w:pPr>
              <w:spacing w:before="0" w:after="0" w:line="240" w:lineRule="auto"/>
              <w:jc w:val="center"/>
            </w:pPr>
            <w:r/>
            <w:r>
              <w:rPr>
                <w:rFonts w:ascii="Arial" w:hAnsi="Arial" w:cs="Arial"/>
                <w:sz w:val="18"/>
              </w:rPr>
              <w:t>28-08-1992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13.2</w:t>
            </w:r>
          </w:p>
        </w:tc>
        <w:tc>
          <w:tcPr>
            <w:tcW w:type="dxa" w:w="4285"/>
            <w:tcMar>
              <w:top w:w="80" w:type="dxa"/>
              <w:start w:w="120" w:type="dxa"/>
              <w:bottom w:w="80" w:type="dxa"/>
              <w:end w:w="120" w:type="dxa"/>
            </w:tcMar>
            <w:vAlign w:val="center"/>
          </w:tcPr>
          <w:p>
            <w:pPr>
              <w:spacing w:before="0" w:after="0" w:line="240" w:lineRule="auto"/>
              <w:jc w:val="left"/>
            </w:pPr>
            <w:r/>
            <w:r>
              <w:rPr>
                <w:rFonts w:ascii="Arial" w:hAnsi="Arial" w:cs="Arial"/>
                <w:sz w:val="18"/>
              </w:rPr>
              <w:t>Sufragio municipal activo y pasivo de extranjeros en condiciones de reciprocidad</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Art. 167</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Segunda</w:t>
            </w:r>
          </w:p>
        </w:tc>
        <w:tc>
          <w:tcPr>
            <w:tcW w:type="dxa" w:w="2041"/>
            <w:tcMar>
              <w:top w:w="80" w:type="dxa"/>
              <w:start w:w="120" w:type="dxa"/>
              <w:bottom w:w="80" w:type="dxa"/>
              <w:end w:w="120" w:type="dxa"/>
            </w:tcMar>
            <w:vAlign w:val="center"/>
          </w:tcPr>
          <w:p>
            <w:pPr>
              <w:spacing w:before="0" w:after="0" w:line="240" w:lineRule="auto"/>
              <w:jc w:val="center"/>
            </w:pPr>
            <w:r/>
            <w:r>
              <w:rPr>
                <w:rFonts w:ascii="Arial" w:hAnsi="Arial" w:cs="Arial"/>
                <w:sz w:val="18"/>
              </w:rPr>
              <w:t>27-09-2011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135</w:t>
            </w:r>
          </w:p>
        </w:tc>
        <w:tc>
          <w:tcPr>
            <w:tcW w:type="dxa" w:w="4285"/>
            <w:tcMar>
              <w:top w:w="80" w:type="dxa"/>
              <w:start w:w="120" w:type="dxa"/>
              <w:bottom w:w="80" w:type="dxa"/>
              <w:end w:w="120" w:type="dxa"/>
            </w:tcMar>
            <w:vAlign w:val="center"/>
          </w:tcPr>
          <w:p>
            <w:pPr>
              <w:spacing w:before="0" w:after="0" w:line="240" w:lineRule="auto"/>
              <w:jc w:val="left"/>
            </w:pPr>
            <w:r/>
            <w:r>
              <w:rPr>
                <w:rFonts w:ascii="Arial" w:hAnsi="Arial" w:cs="Arial"/>
                <w:sz w:val="18"/>
              </w:rPr>
              <w:t>Estabilidad presupuestaria y deuda pública</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Art. 167</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Tercera</w:t>
            </w:r>
          </w:p>
        </w:tc>
        <w:tc>
          <w:tcPr>
            <w:tcW w:type="dxa" w:w="2041"/>
            <w:tcMar>
              <w:top w:w="80" w:type="dxa"/>
              <w:start w:w="120" w:type="dxa"/>
              <w:bottom w:w="80" w:type="dxa"/>
              <w:end w:w="120" w:type="dxa"/>
            </w:tcMar>
            <w:vAlign w:val="center"/>
          </w:tcPr>
          <w:p>
            <w:pPr>
              <w:spacing w:before="0" w:after="0" w:line="240" w:lineRule="auto"/>
              <w:jc w:val="center"/>
            </w:pPr>
            <w:r/>
            <w:r>
              <w:rPr>
                <w:rFonts w:ascii="Arial" w:hAnsi="Arial" w:cs="Arial"/>
                <w:sz w:val="18"/>
              </w:rPr>
              <w:t>17-02-2024</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49</w:t>
            </w:r>
          </w:p>
        </w:tc>
        <w:tc>
          <w:tcPr>
            <w:tcW w:type="dxa" w:w="4285"/>
            <w:tcMar>
              <w:top w:w="80" w:type="dxa"/>
              <w:start w:w="120" w:type="dxa"/>
              <w:bottom w:w="80" w:type="dxa"/>
              <w:end w:w="120" w:type="dxa"/>
            </w:tcMar>
            <w:vAlign w:val="center"/>
          </w:tcPr>
          <w:p>
            <w:pPr>
              <w:spacing w:before="0" w:after="0" w:line="240" w:lineRule="auto"/>
              <w:jc w:val="left"/>
            </w:pPr>
            <w:r/>
            <w:r>
              <w:rPr>
                <w:rFonts w:ascii="Arial" w:hAnsi="Arial" w:cs="Arial"/>
                <w:sz w:val="18"/>
              </w:rPr>
              <w:t>Derechos e inclusión de las personas con discapacidad</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Art. 167</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Cuarta</w:t>
            </w:r>
          </w:p>
        </w:tc>
        <w:tc>
          <w:tcPr>
            <w:tcW w:type="dxa" w:w="2041"/>
            <w:tcMar>
              <w:top w:w="80" w:type="dxa"/>
              <w:start w:w="120" w:type="dxa"/>
              <w:bottom w:w="80" w:type="dxa"/>
              <w:end w:w="120" w:type="dxa"/>
            </w:tcMar>
            <w:vAlign w:val="center"/>
          </w:tcPr>
          <w:p>
            <w:pPr>
              <w:spacing w:before="0" w:after="0" w:line="240" w:lineRule="auto"/>
              <w:jc w:val="center"/>
            </w:pPr>
            <w:r/>
            <w:r>
              <w:rPr>
                <w:rFonts w:ascii="Arial" w:hAnsi="Arial" w:cs="Arial"/>
                <w:sz w:val="18"/>
              </w:rPr>
              <w:t>20-05-2026</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69.3</w:t>
            </w:r>
          </w:p>
        </w:tc>
        <w:tc>
          <w:tcPr>
            <w:tcW w:type="dxa" w:w="4285"/>
            <w:tcMar>
              <w:top w:w="80" w:type="dxa"/>
              <w:start w:w="120" w:type="dxa"/>
              <w:bottom w:w="80" w:type="dxa"/>
              <w:end w:w="120" w:type="dxa"/>
            </w:tcMar>
            <w:vAlign w:val="center"/>
          </w:tcPr>
          <w:p>
            <w:pPr>
              <w:spacing w:before="0" w:after="0" w:line="240" w:lineRule="auto"/>
              <w:jc w:val="left"/>
            </w:pPr>
            <w:r/>
            <w:r>
              <w:rPr>
                <w:rFonts w:ascii="Arial" w:hAnsi="Arial" w:cs="Arial"/>
                <w:sz w:val="18"/>
              </w:rPr>
              <w:t>Senador propio y circunscripción para Formentera</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Art. 167</w:t>
            </w:r>
          </w:p>
        </w:tc>
      </w:tr>
    </w:tbl>
    <w:p>
      <w:pPr>
        <w:spacing w:after="40"/>
      </w:pPr>
    </w:p>
    <w:p>
      <w:pPr>
        <w:jc w:val="both"/>
      </w:pPr>
      <w:r>
        <w:rPr>
          <w:rFonts w:ascii="Arial" w:hAnsi="Arial" w:cs="Arial"/>
          <w:sz w:val="22"/>
        </w:rPr>
        <w:t>Hasta el 30 de julio de 2026 ninguna reforma se ha tramitado por el artículo 168 ni ha sido sometida a referéndum.</w:t>
      </w:r>
    </w:p>
    <w:p>
      <w:pPr>
        <w:pStyle w:val="Heading1"/>
        <w:keepNext/>
      </w:pPr>
      <w:r>
        <w:rPr>
          <w:rFonts w:ascii="Arial" w:hAnsi="Arial" w:cs="Arial"/>
          <w:sz w:val="30"/>
        </w:rPr>
        <w:t>16. Disposiciones adicionales, transitorias, derogatoria y final</w:t>
      </w:r>
    </w:p>
    <w:p>
      <w:pPr>
        <w:jc w:val="both"/>
      </w:pPr>
      <w:r>
        <w:rPr>
          <w:rFonts w:ascii="Arial" w:hAnsi="Arial" w:cs="Arial"/>
          <w:sz w:val="22"/>
        </w:rPr>
        <w:t>Las cuatro disposiciones adicionales atienden principalmente a peculiaridades territoriales y económicas:</w:t>
      </w:r>
    </w:p>
    <w:p>
      <w:pPr>
        <w:spacing w:after="40"/>
        <w:ind w:left="369" w:hanging="227"/>
      </w:pPr>
      <w:r>
        <w:rPr>
          <w:rFonts w:ascii="Arial" w:hAnsi="Arial" w:cs="Arial"/>
          <w:sz w:val="22"/>
        </w:rPr>
        <w:t>1. Respeto a los derechos históricos de los territorios forales, cuya actualización general se efectuará en el marco de la Constitución y los estatutos.</w:t>
      </w:r>
    </w:p>
    <w:p>
      <w:pPr>
        <w:spacing w:after="40"/>
        <w:ind w:left="369" w:hanging="227"/>
      </w:pPr>
      <w:r>
        <w:rPr>
          <w:rFonts w:ascii="Arial" w:hAnsi="Arial" w:cs="Arial"/>
          <w:sz w:val="22"/>
        </w:rPr>
        <w:t>2. Mayoría de edad y derechos forales en territorios de Derecho civil especial.</w:t>
      </w:r>
    </w:p>
    <w:p>
      <w:pPr>
        <w:spacing w:after="40"/>
        <w:ind w:left="369" w:hanging="227"/>
      </w:pPr>
      <w:r>
        <w:rPr>
          <w:rFonts w:ascii="Arial" w:hAnsi="Arial" w:cs="Arial"/>
          <w:sz w:val="22"/>
        </w:rPr>
        <w:t>3. Modificación del régimen económico y fiscal canario, que requiere informe previo de la comunidad autónoma o de su órgano provisional.</w:t>
      </w:r>
    </w:p>
    <w:p>
      <w:pPr>
        <w:spacing w:after="40"/>
        <w:ind w:left="369" w:hanging="227"/>
      </w:pPr>
      <w:r>
        <w:rPr>
          <w:rFonts w:ascii="Arial" w:hAnsi="Arial" w:cs="Arial"/>
          <w:sz w:val="22"/>
        </w:rPr>
        <w:t>4. Posibilidad de mantener varias audiencias territoriales en comunidades donde haya más de una, conforme a la ley y dentro de la unidad e independencia judicial.</w:t>
      </w:r>
    </w:p>
    <w:p>
      <w:pPr>
        <w:jc w:val="both"/>
      </w:pPr>
      <w:r>
        <w:rPr>
          <w:rFonts w:ascii="Arial" w:hAnsi="Arial" w:cs="Arial"/>
          <w:sz w:val="22"/>
        </w:rPr>
        <w:t>Las nueve transitorias facilitaron el paso al nuevo modelo territorial e institucional. Regulan, entre otras cuestiones, iniciativas autonómicas preexistentes, Navarra, Ceuta y Melilla, disolución de órganos provisionales, régimen inicial de las Cámaras y primera renovación del Tribunal Constitucional.</w:t>
      </w:r>
    </w:p>
    <w:p>
      <w:pPr>
        <w:jc w:val="both"/>
      </w:pPr>
      <w:r>
        <w:rPr>
          <w:rFonts w:ascii="Arial" w:hAnsi="Arial" w:cs="Arial"/>
          <w:sz w:val="22"/>
        </w:rPr>
        <w:t>La disposición derogatoria:</w:t>
      </w:r>
    </w:p>
    <w:p>
      <w:pPr>
        <w:pStyle w:val="ListBullet"/>
      </w:pPr>
      <w:r>
        <w:rPr>
          <w:rFonts w:ascii="Arial" w:hAnsi="Arial" w:cs="Arial"/>
          <w:sz w:val="22"/>
        </w:rPr>
        <w:t>Derogó expresamente la Ley 1/1977, para la Reforma Política, y determinadas Leyes Fundamentales del régimen anterior.</w:t>
      </w:r>
    </w:p>
    <w:p>
      <w:pPr>
        <w:pStyle w:val="ListBullet"/>
      </w:pPr>
      <w:r>
        <w:rPr>
          <w:rFonts w:ascii="Arial" w:hAnsi="Arial" w:cs="Arial"/>
          <w:sz w:val="22"/>
        </w:rPr>
        <w:t>Derogó, en cuanto pudiera conservar vigencia, la Ley de 25 de octubre de 1839 respecto de Álava, Guipúzcoa y Vizcaya, y la Ley de 21 de julio de 1876.</w:t>
      </w:r>
    </w:p>
    <w:p>
      <w:pPr>
        <w:pStyle w:val="ListBullet"/>
      </w:pPr>
      <w:r>
        <w:rPr>
          <w:rFonts w:ascii="Arial" w:hAnsi="Arial" w:cs="Arial"/>
          <w:sz w:val="22"/>
        </w:rPr>
        <w:t>Incluyó una cláusula general que deroga cuantas disposiciones se opongan a la Constitución.</w:t>
      </w:r>
    </w:p>
    <w:p>
      <w:pPr>
        <w:jc w:val="both"/>
      </w:pPr>
      <w:r>
        <w:rPr>
          <w:rFonts w:ascii="Arial" w:hAnsi="Arial" w:cs="Arial"/>
          <w:sz w:val="22"/>
        </w:rPr>
        <w:t>La disposición final ordena la entrada en vigor el mismo día de la publicación oficial y la publicación en las demás lenguas de España.</w:t>
      </w:r>
    </w:p>
    <w:p>
      <w:pPr>
        <w:pStyle w:val="Heading1"/>
        <w:keepNext/>
      </w:pPr>
      <w:r>
        <w:rPr>
          <w:rFonts w:ascii="Arial" w:hAnsi="Arial" w:cs="Arial"/>
          <w:sz w:val="30"/>
        </w:rPr>
        <w:t>17. Confusiones frecuentes</w:t>
      </w:r>
    </w:p>
    <w:p>
      <w:pPr>
        <w:spacing w:after="40"/>
        <w:ind w:left="369" w:hanging="227"/>
      </w:pPr>
      <w:r>
        <w:rPr>
          <w:rFonts w:ascii="Arial" w:hAnsi="Arial" w:cs="Arial"/>
          <w:sz w:val="22"/>
        </w:rPr>
        <w:t xml:space="preserve">1. </w:t>
      </w:r>
      <w:r>
        <w:rPr>
          <w:rFonts w:ascii="Arial" w:hAnsi="Arial" w:cs="Arial"/>
          <w:b/>
          <w:sz w:val="22"/>
        </w:rPr>
        <w:t>Referéndum y vigencia:</w:t>
      </w:r>
      <w:r>
        <w:rPr>
          <w:rFonts w:ascii="Arial" w:hAnsi="Arial" w:cs="Arial"/>
          <w:sz w:val="22"/>
        </w:rPr>
        <w:t xml:space="preserve"> el texto fue ratificado el 6 de diciembre, pero entró en vigor el 29 de diciembre de 1978.</w:t>
      </w:r>
    </w:p>
    <w:p>
      <w:pPr>
        <w:spacing w:after="40"/>
        <w:ind w:left="369" w:hanging="227"/>
      </w:pPr>
      <w:r>
        <w:rPr>
          <w:rFonts w:ascii="Arial" w:hAnsi="Arial" w:cs="Arial"/>
          <w:sz w:val="22"/>
        </w:rPr>
        <w:t xml:space="preserve">2. </w:t>
      </w:r>
      <w:r>
        <w:rPr>
          <w:rFonts w:ascii="Arial" w:hAnsi="Arial" w:cs="Arial"/>
          <w:b/>
          <w:sz w:val="22"/>
        </w:rPr>
        <w:t>Número de títulos:</w:t>
      </w:r>
      <w:r>
        <w:rPr>
          <w:rFonts w:ascii="Arial" w:hAnsi="Arial" w:cs="Arial"/>
          <w:sz w:val="22"/>
        </w:rPr>
        <w:t xml:space="preserve"> hay un título preliminar y diez títulos numerados; no debe decirse simplemente «diez títulos» si se está contando toda la división formal.</w:t>
      </w:r>
    </w:p>
    <w:p>
      <w:pPr>
        <w:spacing w:after="40"/>
        <w:ind w:left="369" w:hanging="227"/>
      </w:pPr>
      <w:r>
        <w:rPr>
          <w:rFonts w:ascii="Arial" w:hAnsi="Arial" w:cs="Arial"/>
          <w:sz w:val="22"/>
        </w:rPr>
        <w:t xml:space="preserve">3. </w:t>
      </w:r>
      <w:r>
        <w:rPr>
          <w:rFonts w:ascii="Arial" w:hAnsi="Arial" w:cs="Arial"/>
          <w:b/>
          <w:sz w:val="22"/>
        </w:rPr>
        <w:t>Número de disposiciones:</w:t>
      </w:r>
      <w:r>
        <w:rPr>
          <w:rFonts w:ascii="Arial" w:hAnsi="Arial" w:cs="Arial"/>
          <w:sz w:val="22"/>
        </w:rPr>
        <w:t xml:space="preserve"> cuatro adicionales, nueve transitorias, una derogatoria y una final.</w:t>
      </w:r>
    </w:p>
    <w:p>
      <w:pPr>
        <w:spacing w:after="40"/>
        <w:ind w:left="369" w:hanging="227"/>
      </w:pPr>
      <w:r>
        <w:rPr>
          <w:rFonts w:ascii="Arial" w:hAnsi="Arial" w:cs="Arial"/>
          <w:sz w:val="22"/>
        </w:rPr>
        <w:t xml:space="preserve">4. </w:t>
      </w:r>
      <w:r>
        <w:rPr>
          <w:rFonts w:ascii="Arial" w:hAnsi="Arial" w:cs="Arial"/>
          <w:b/>
          <w:sz w:val="22"/>
        </w:rPr>
        <w:t>Estado democrático:</w:t>
      </w:r>
      <w:r>
        <w:rPr>
          <w:rFonts w:ascii="Arial" w:hAnsi="Arial" w:cs="Arial"/>
          <w:sz w:val="22"/>
        </w:rPr>
        <w:t xml:space="preserve"> la soberanía reside en el pueblo español; no en las Cortes, aunque estas lo representen.</w:t>
      </w:r>
    </w:p>
    <w:p>
      <w:pPr>
        <w:spacing w:after="40"/>
        <w:ind w:left="369" w:hanging="227"/>
      </w:pPr>
      <w:r>
        <w:rPr>
          <w:rFonts w:ascii="Arial" w:hAnsi="Arial" w:cs="Arial"/>
          <w:sz w:val="22"/>
        </w:rPr>
        <w:t xml:space="preserve">5. </w:t>
      </w:r>
      <w:r>
        <w:rPr>
          <w:rFonts w:ascii="Arial" w:hAnsi="Arial" w:cs="Arial"/>
          <w:b/>
          <w:sz w:val="22"/>
        </w:rPr>
        <w:t>Forma política:</w:t>
      </w:r>
      <w:r>
        <w:rPr>
          <w:rFonts w:ascii="Arial" w:hAnsi="Arial" w:cs="Arial"/>
          <w:sz w:val="22"/>
        </w:rPr>
        <w:t xml:space="preserve"> es Monarquía parlamentaria, no «monarquía constitucional» como fórmula literal del artículo 1.3.</w:t>
      </w:r>
    </w:p>
    <w:p>
      <w:pPr>
        <w:spacing w:after="40"/>
        <w:ind w:left="369" w:hanging="227"/>
      </w:pPr>
      <w:r>
        <w:rPr>
          <w:rFonts w:ascii="Arial" w:hAnsi="Arial" w:cs="Arial"/>
          <w:sz w:val="22"/>
        </w:rPr>
        <w:t xml:space="preserve">6. </w:t>
      </w:r>
      <w:r>
        <w:rPr>
          <w:rFonts w:ascii="Arial" w:hAnsi="Arial" w:cs="Arial"/>
          <w:b/>
          <w:sz w:val="22"/>
        </w:rPr>
        <w:t>Lenguas:</w:t>
      </w:r>
      <w:r>
        <w:rPr>
          <w:rFonts w:ascii="Arial" w:hAnsi="Arial" w:cs="Arial"/>
          <w:sz w:val="22"/>
        </w:rPr>
        <w:t xml:space="preserve"> solo el castellano lleva unido constitucionalmente un deber general de conocimiento.</w:t>
      </w:r>
    </w:p>
    <w:p>
      <w:pPr>
        <w:spacing w:after="40"/>
        <w:ind w:left="369" w:hanging="227"/>
      </w:pPr>
      <w:r>
        <w:rPr>
          <w:rFonts w:ascii="Arial" w:hAnsi="Arial" w:cs="Arial"/>
          <w:sz w:val="22"/>
        </w:rPr>
        <w:t xml:space="preserve">7. </w:t>
      </w:r>
      <w:r>
        <w:rPr>
          <w:rFonts w:ascii="Arial" w:hAnsi="Arial" w:cs="Arial"/>
          <w:b/>
          <w:sz w:val="22"/>
        </w:rPr>
        <w:t>Retroactividad:</w:t>
      </w:r>
      <w:r>
        <w:rPr>
          <w:rFonts w:ascii="Arial" w:hAnsi="Arial" w:cs="Arial"/>
          <w:sz w:val="22"/>
        </w:rPr>
        <w:t xml:space="preserve"> el artículo 9.3 no prohíbe toda norma retroactiva.</w:t>
      </w:r>
    </w:p>
    <w:p>
      <w:pPr>
        <w:spacing w:after="40"/>
        <w:ind w:left="369" w:hanging="227"/>
      </w:pPr>
      <w:r>
        <w:rPr>
          <w:rFonts w:ascii="Arial" w:hAnsi="Arial" w:cs="Arial"/>
          <w:sz w:val="22"/>
        </w:rPr>
        <w:t xml:space="preserve">8. </w:t>
      </w:r>
      <w:r>
        <w:rPr>
          <w:rFonts w:ascii="Arial" w:hAnsi="Arial" w:cs="Arial"/>
          <w:b/>
          <w:sz w:val="22"/>
        </w:rPr>
        <w:t>Iniciativa de reforma:</w:t>
      </w:r>
      <w:r>
        <w:rPr>
          <w:rFonts w:ascii="Arial" w:hAnsi="Arial" w:cs="Arial"/>
          <w:sz w:val="22"/>
        </w:rPr>
        <w:t xml:space="preserve"> no cabe iniciativa popular.</w:t>
      </w:r>
    </w:p>
    <w:p>
      <w:pPr>
        <w:spacing w:after="40"/>
        <w:ind w:left="369" w:hanging="227"/>
      </w:pPr>
      <w:r>
        <w:rPr>
          <w:rFonts w:ascii="Arial" w:hAnsi="Arial" w:cs="Arial"/>
          <w:sz w:val="22"/>
        </w:rPr>
        <w:t xml:space="preserve">9. </w:t>
      </w:r>
      <w:r>
        <w:rPr>
          <w:rFonts w:ascii="Arial" w:hAnsi="Arial" w:cs="Arial"/>
          <w:b/>
          <w:sz w:val="22"/>
        </w:rPr>
        <w:t>Reforma ordinaria:</w:t>
      </w:r>
      <w:r>
        <w:rPr>
          <w:rFonts w:ascii="Arial" w:hAnsi="Arial" w:cs="Arial"/>
          <w:sz w:val="22"/>
        </w:rPr>
        <w:t xml:space="preserve"> la regla es tres quintos de cada Cámara, no mayoría absoluta.</w:t>
      </w:r>
    </w:p>
    <w:p>
      <w:pPr>
        <w:spacing w:after="40"/>
        <w:ind w:left="369" w:hanging="227"/>
      </w:pPr>
      <w:r>
        <w:rPr>
          <w:rFonts w:ascii="Arial" w:hAnsi="Arial" w:cs="Arial"/>
          <w:sz w:val="22"/>
        </w:rPr>
        <w:t xml:space="preserve">10. </w:t>
      </w:r>
      <w:r>
        <w:rPr>
          <w:rFonts w:ascii="Arial" w:hAnsi="Arial" w:cs="Arial"/>
          <w:b/>
          <w:sz w:val="22"/>
        </w:rPr>
        <w:t>Referéndum ordinario:</w:t>
      </w:r>
      <w:r>
        <w:rPr>
          <w:rFonts w:ascii="Arial" w:hAnsi="Arial" w:cs="Arial"/>
          <w:sz w:val="22"/>
        </w:rPr>
        <w:t xml:space="preserve"> no es automático; debe pedirlo una décima parte de cualquiera de las Cámaras dentro de quince días.</w:t>
      </w:r>
    </w:p>
    <w:p>
      <w:pPr>
        <w:spacing w:after="40"/>
        <w:ind w:left="369" w:hanging="227"/>
      </w:pPr>
      <w:r>
        <w:rPr>
          <w:rFonts w:ascii="Arial" w:hAnsi="Arial" w:cs="Arial"/>
          <w:sz w:val="22"/>
        </w:rPr>
        <w:t xml:space="preserve">11. </w:t>
      </w:r>
      <w:r>
        <w:rPr>
          <w:rFonts w:ascii="Arial" w:hAnsi="Arial" w:cs="Arial"/>
          <w:b/>
          <w:sz w:val="22"/>
        </w:rPr>
        <w:t>Reforma agravada:</w:t>
      </w:r>
      <w:r>
        <w:rPr>
          <w:rFonts w:ascii="Arial" w:hAnsi="Arial" w:cs="Arial"/>
          <w:sz w:val="22"/>
        </w:rPr>
        <w:t xml:space="preserve"> afecta al título preliminar, a la sección 1.ª del capítulo II del título I y al título II; no a todo el título I.</w:t>
      </w:r>
    </w:p>
    <w:p>
      <w:pPr>
        <w:spacing w:after="40"/>
        <w:ind w:left="369" w:hanging="227"/>
      </w:pPr>
      <w:r>
        <w:rPr>
          <w:rFonts w:ascii="Arial" w:hAnsi="Arial" w:cs="Arial"/>
          <w:sz w:val="22"/>
        </w:rPr>
        <w:t xml:space="preserve">12. </w:t>
      </w:r>
      <w:r>
        <w:rPr>
          <w:rFonts w:ascii="Arial" w:hAnsi="Arial" w:cs="Arial"/>
          <w:b/>
          <w:sz w:val="22"/>
        </w:rPr>
        <w:t>Artículo 49:</w:t>
      </w:r>
      <w:r>
        <w:rPr>
          <w:rFonts w:ascii="Arial" w:hAnsi="Arial" w:cs="Arial"/>
          <w:sz w:val="22"/>
        </w:rPr>
        <w:t xml:space="preserve"> se reformó por el artículo 167 porque pertenece al capítulo III del título I.</w:t>
      </w:r>
    </w:p>
    <w:p>
      <w:pPr>
        <w:spacing w:after="40"/>
        <w:ind w:left="369" w:hanging="227"/>
      </w:pPr>
      <w:r>
        <w:rPr>
          <w:rFonts w:ascii="Arial" w:hAnsi="Arial" w:cs="Arial"/>
          <w:sz w:val="22"/>
        </w:rPr>
        <w:t xml:space="preserve">13. </w:t>
      </w:r>
      <w:r>
        <w:rPr>
          <w:rFonts w:ascii="Arial" w:hAnsi="Arial" w:cs="Arial"/>
          <w:b/>
          <w:sz w:val="22"/>
        </w:rPr>
        <w:t>Artículo 69.3:</w:t>
      </w:r>
      <w:r>
        <w:rPr>
          <w:rFonts w:ascii="Arial" w:hAnsi="Arial" w:cs="Arial"/>
          <w:sz w:val="22"/>
        </w:rPr>
        <w:t xml:space="preserve"> la reforma entró en vigor el 20 de mayo de 2026, pero su eficacia electoral para Ibiza y Formentera se aplaza hasta la convocatoria de las primeras elecciones senatoriales que se celebren después.</w:t>
      </w:r>
    </w:p>
    <w:p>
      <w:pPr>
        <w:spacing w:after="40"/>
        <w:ind w:left="369" w:hanging="227"/>
      </w:pPr>
      <w:r>
        <w:rPr>
          <w:rFonts w:ascii="Arial" w:hAnsi="Arial" w:cs="Arial"/>
          <w:sz w:val="22"/>
        </w:rPr>
        <w:t xml:space="preserve">14. </w:t>
      </w:r>
      <w:r>
        <w:rPr>
          <w:rFonts w:ascii="Arial" w:hAnsi="Arial" w:cs="Arial"/>
          <w:b/>
          <w:sz w:val="22"/>
        </w:rPr>
        <w:t>Reformas efectuadas:</w:t>
      </w:r>
      <w:r>
        <w:rPr>
          <w:rFonts w:ascii="Arial" w:hAnsi="Arial" w:cs="Arial"/>
          <w:sz w:val="22"/>
        </w:rPr>
        <w:t xml:space="preserve"> a la fecha de corte son cuatro, todas por el artículo 167.</w:t>
      </w:r>
    </w:p>
    <w:p>
      <w:pPr>
        <w:spacing w:after="40"/>
        <w:ind w:left="369" w:hanging="227"/>
      </w:pPr>
      <w:r>
        <w:rPr>
          <w:rFonts w:ascii="Arial" w:hAnsi="Arial" w:cs="Arial"/>
          <w:sz w:val="22"/>
        </w:rPr>
        <w:t xml:space="preserve">15. </w:t>
      </w:r>
      <w:r>
        <w:rPr>
          <w:rFonts w:ascii="Arial" w:hAnsi="Arial" w:cs="Arial"/>
          <w:b/>
          <w:sz w:val="22"/>
        </w:rPr>
        <w:t>Límite del artículo 169:</w:t>
      </w:r>
      <w:r>
        <w:rPr>
          <w:rFonts w:ascii="Arial" w:hAnsi="Arial" w:cs="Arial"/>
          <w:sz w:val="22"/>
        </w:rPr>
        <w:t xml:space="preserve"> impide iniciar la reforma en guerra o durante alarma, excepción o sitio; no crea artículos materialmente irreformables.</w:t>
      </w:r>
    </w:p>
    <w:p>
      <w:pPr>
        <w:pStyle w:val="Heading1"/>
        <w:keepNext/>
      </w:pPr>
      <w:r>
        <w:rPr>
          <w:rFonts w:ascii="Arial" w:hAnsi="Arial" w:cs="Arial"/>
          <w:sz w:val="30"/>
        </w:rPr>
        <w:t>18. Resumen final</w:t>
      </w:r>
    </w:p>
    <w:p>
      <w:pPr>
        <w:jc w:val="both"/>
      </w:pPr>
      <w:r>
        <w:rPr>
          <w:rFonts w:ascii="Arial" w:hAnsi="Arial" w:cs="Arial"/>
          <w:sz w:val="22"/>
        </w:rPr>
        <w:t>La Constitución de 1978 es la norma suprema y directamente vinculante del ordenamiento. Fue aprobada por las Cortes el 31 de octubre, ratificada en referéndum el 6 de diciembre, sancionada el 27 y publicada y vigente desde el 29 de diciembre de 1978.</w:t>
      </w:r>
    </w:p>
    <w:p>
      <w:pPr>
        <w:jc w:val="both"/>
      </w:pPr>
      <w:r>
        <w:rPr>
          <w:rFonts w:ascii="Arial" w:hAnsi="Arial" w:cs="Arial"/>
          <w:sz w:val="22"/>
        </w:rPr>
        <w:t>Su parte formal comprende preámbulo, título preliminar, diez títulos numerados, 169 artículos, cuatro disposiciones adicionales, nueve transitorias, una derogatoria y una final. El título preliminar fija las decisiones estructurales; el título I regula derechos y deberes; los títulos II a IX organizan poderes e instituciones; y el título X regula la reforma.</w:t>
      </w:r>
    </w:p>
    <w:p>
      <w:pPr>
        <w:jc w:val="both"/>
      </w:pPr>
      <w:r>
        <w:rPr>
          <w:rFonts w:ascii="Arial" w:hAnsi="Arial" w:cs="Arial"/>
          <w:sz w:val="22"/>
        </w:rPr>
        <w:t>El artículo 167 establece el procedimiento ordinario, basado en tres quintos de cada Cámara, posible comisión paritaria y referéndum a solicitud de una décima parte de cualquier Cámara en quince días. El artículo 168 exige dos tercios, disolución, nuevas Cámaras y referéndum obligatorio para revisión total o materias especialmente protegidas. No puede iniciarse una reforma en guerra ni durante los estados del artículo 116.</w:t>
      </w:r>
    </w:p>
    <w:p>
      <w:pPr>
        <w:jc w:val="both"/>
      </w:pPr>
      <w:r>
        <w:rPr>
          <w:rFonts w:ascii="Arial" w:hAnsi="Arial" w:cs="Arial"/>
          <w:sz w:val="22"/>
        </w:rPr>
        <w:t>Hasta el 30 de julio de 2026 se han reformado los artículos 13.2, 135, 49 y 69.3. Las cuatro reformas siguieron el artículo 167. Las dos actualizaciones más recientes son la nueva protección constitucional de las personas con discapacidad, vigente desde febrero de 2024, y la circunscripción senatorial propia de Formentera, vigente desde mayo de 2026 con eficacia electoral diferida.</w:t>
      </w:r>
    </w:p>
    <w:p>
      <w:pPr>
        <w:pStyle w:val="Heading1"/>
        <w:keepNext/>
      </w:pPr>
      <w:r>
        <w:rPr>
          <w:rFonts w:ascii="Arial" w:hAnsi="Arial" w:cs="Arial"/>
          <w:sz w:val="30"/>
        </w:rPr>
        <w:t>19. Datos preguntables</w:t>
      </w:r>
    </w:p>
    <w:p>
      <w:pPr>
        <w:pStyle w:val="ListBullet"/>
      </w:pPr>
      <w:r>
        <w:rPr>
          <w:rFonts w:ascii="Arial" w:hAnsi="Arial" w:cs="Arial"/>
          <w:sz w:val="22"/>
        </w:rPr>
        <w:t>169 artículos.</w:t>
      </w:r>
    </w:p>
    <w:p>
      <w:pPr>
        <w:pStyle w:val="ListBullet"/>
      </w:pPr>
      <w:r>
        <w:rPr>
          <w:rFonts w:ascii="Arial" w:hAnsi="Arial" w:cs="Arial"/>
          <w:sz w:val="22"/>
        </w:rPr>
        <w:t>Un título preliminar y diez títulos numerados.</w:t>
      </w:r>
    </w:p>
    <w:p>
      <w:pPr>
        <w:pStyle w:val="ListBullet"/>
      </w:pPr>
      <w:r>
        <w:rPr>
          <w:rFonts w:ascii="Arial" w:hAnsi="Arial" w:cs="Arial"/>
          <w:sz w:val="22"/>
        </w:rPr>
        <w:t>Cuatro disposiciones adicionales y nueve transitorias.</w:t>
      </w:r>
    </w:p>
    <w:p>
      <w:pPr>
        <w:pStyle w:val="ListBullet"/>
      </w:pPr>
      <w:r>
        <w:rPr>
          <w:rFonts w:ascii="Arial" w:hAnsi="Arial" w:cs="Arial"/>
          <w:sz w:val="22"/>
        </w:rPr>
        <w:t>Aprobación parlamentaria: 31-10-1978.</w:t>
      </w:r>
    </w:p>
    <w:p>
      <w:pPr>
        <w:pStyle w:val="ListBullet"/>
      </w:pPr>
      <w:r>
        <w:rPr>
          <w:rFonts w:ascii="Arial" w:hAnsi="Arial" w:cs="Arial"/>
          <w:sz w:val="22"/>
        </w:rPr>
        <w:t>Referéndum: 06-12-1978.</w:t>
      </w:r>
    </w:p>
    <w:p>
      <w:pPr>
        <w:pStyle w:val="ListBullet"/>
      </w:pPr>
      <w:r>
        <w:rPr>
          <w:rFonts w:ascii="Arial" w:hAnsi="Arial" w:cs="Arial"/>
          <w:sz w:val="22"/>
        </w:rPr>
        <w:t>Sanción: 27-12-1978.</w:t>
      </w:r>
    </w:p>
    <w:p>
      <w:pPr>
        <w:pStyle w:val="ListBullet"/>
      </w:pPr>
      <w:r>
        <w:rPr>
          <w:rFonts w:ascii="Arial" w:hAnsi="Arial" w:cs="Arial"/>
          <w:sz w:val="22"/>
        </w:rPr>
        <w:t>Publicación y entrada en vigor: 29-12-1978.</w:t>
      </w:r>
    </w:p>
    <w:p>
      <w:pPr>
        <w:pStyle w:val="ListBullet"/>
      </w:pPr>
      <w:r>
        <w:rPr>
          <w:rFonts w:ascii="Arial" w:hAnsi="Arial" w:cs="Arial"/>
          <w:sz w:val="22"/>
        </w:rPr>
        <w:t>Estado social y democrático de Derecho: artículo 1.1.</w:t>
      </w:r>
    </w:p>
    <w:p>
      <w:pPr>
        <w:pStyle w:val="ListBullet"/>
      </w:pPr>
      <w:r>
        <w:rPr>
          <w:rFonts w:ascii="Arial" w:hAnsi="Arial" w:cs="Arial"/>
          <w:sz w:val="22"/>
        </w:rPr>
        <w:t>Valores superiores: libertad, justicia, igualdad y pluralismo político.</w:t>
      </w:r>
    </w:p>
    <w:p>
      <w:pPr>
        <w:pStyle w:val="ListBullet"/>
      </w:pPr>
      <w:r>
        <w:rPr>
          <w:rFonts w:ascii="Arial" w:hAnsi="Arial" w:cs="Arial"/>
          <w:sz w:val="22"/>
        </w:rPr>
        <w:t>Soberanía nacional: pueblo español.</w:t>
      </w:r>
    </w:p>
    <w:p>
      <w:pPr>
        <w:pStyle w:val="ListBullet"/>
      </w:pPr>
      <w:r>
        <w:rPr>
          <w:rFonts w:ascii="Arial" w:hAnsi="Arial" w:cs="Arial"/>
          <w:sz w:val="22"/>
        </w:rPr>
        <w:t>Forma política: Monarquía parlamentaria.</w:t>
      </w:r>
    </w:p>
    <w:p>
      <w:pPr>
        <w:pStyle w:val="ListBullet"/>
      </w:pPr>
      <w:r>
        <w:rPr>
          <w:rFonts w:ascii="Arial" w:hAnsi="Arial" w:cs="Arial"/>
          <w:sz w:val="22"/>
        </w:rPr>
        <w:t>Unidad, autonomía y solidaridad: artículo 2.</w:t>
      </w:r>
    </w:p>
    <w:p>
      <w:pPr>
        <w:pStyle w:val="ListBullet"/>
      </w:pPr>
      <w:r>
        <w:rPr>
          <w:rFonts w:ascii="Arial" w:hAnsi="Arial" w:cs="Arial"/>
          <w:sz w:val="22"/>
        </w:rPr>
        <w:t>Castellano, demás lenguas y modalidades lingüísticas: artículo 3.</w:t>
      </w:r>
    </w:p>
    <w:p>
      <w:pPr>
        <w:pStyle w:val="ListBullet"/>
      </w:pPr>
      <w:r>
        <w:rPr>
          <w:rFonts w:ascii="Arial" w:hAnsi="Arial" w:cs="Arial"/>
          <w:sz w:val="22"/>
        </w:rPr>
        <w:t>Bandera: artículo 4; capital: artículo 5.</w:t>
      </w:r>
    </w:p>
    <w:p>
      <w:pPr>
        <w:pStyle w:val="ListBullet"/>
      </w:pPr>
      <w:r>
        <w:rPr>
          <w:rFonts w:ascii="Arial" w:hAnsi="Arial" w:cs="Arial"/>
          <w:sz w:val="22"/>
        </w:rPr>
        <w:t>Partidos: artículo 6; sindicatos y asociaciones empresariales: artículo 7.</w:t>
      </w:r>
    </w:p>
    <w:p>
      <w:pPr>
        <w:pStyle w:val="ListBullet"/>
      </w:pPr>
      <w:r>
        <w:rPr>
          <w:rFonts w:ascii="Arial" w:hAnsi="Arial" w:cs="Arial"/>
          <w:sz w:val="22"/>
        </w:rPr>
        <w:t>Fuerzas Armadas: artículo 8.</w:t>
      </w:r>
    </w:p>
    <w:p>
      <w:pPr>
        <w:pStyle w:val="ListBullet"/>
      </w:pPr>
      <w:r>
        <w:rPr>
          <w:rFonts w:ascii="Arial" w:hAnsi="Arial" w:cs="Arial"/>
          <w:sz w:val="22"/>
        </w:rPr>
        <w:t>Sujeción y principios del ordenamiento: artículo 9.</w:t>
      </w:r>
    </w:p>
    <w:p>
      <w:pPr>
        <w:pStyle w:val="ListBullet"/>
      </w:pPr>
      <w:r>
        <w:rPr>
          <w:rFonts w:ascii="Arial" w:hAnsi="Arial" w:cs="Arial"/>
          <w:sz w:val="22"/>
        </w:rPr>
        <w:t>Título I: artículos 10-55.</w:t>
      </w:r>
    </w:p>
    <w:p>
      <w:pPr>
        <w:pStyle w:val="ListBullet"/>
      </w:pPr>
      <w:r>
        <w:rPr>
          <w:rFonts w:ascii="Arial" w:hAnsi="Arial" w:cs="Arial"/>
          <w:sz w:val="22"/>
        </w:rPr>
        <w:t>Corona: 56-65.</w:t>
      </w:r>
    </w:p>
    <w:p>
      <w:pPr>
        <w:pStyle w:val="ListBullet"/>
      </w:pPr>
      <w:r>
        <w:rPr>
          <w:rFonts w:ascii="Arial" w:hAnsi="Arial" w:cs="Arial"/>
          <w:sz w:val="22"/>
        </w:rPr>
        <w:t>Cortes: 66-96.</w:t>
      </w:r>
    </w:p>
    <w:p>
      <w:pPr>
        <w:pStyle w:val="ListBullet"/>
      </w:pPr>
      <w:r>
        <w:rPr>
          <w:rFonts w:ascii="Arial" w:hAnsi="Arial" w:cs="Arial"/>
          <w:sz w:val="22"/>
        </w:rPr>
        <w:t>Gobierno y Administración: 97-107.</w:t>
      </w:r>
    </w:p>
    <w:p>
      <w:pPr>
        <w:pStyle w:val="ListBullet"/>
      </w:pPr>
      <w:r>
        <w:rPr>
          <w:rFonts w:ascii="Arial" w:hAnsi="Arial" w:cs="Arial"/>
          <w:sz w:val="22"/>
        </w:rPr>
        <w:t>Relaciones Gobierno-Cortes: 108-116.</w:t>
      </w:r>
    </w:p>
    <w:p>
      <w:pPr>
        <w:pStyle w:val="ListBullet"/>
      </w:pPr>
      <w:r>
        <w:rPr>
          <w:rFonts w:ascii="Arial" w:hAnsi="Arial" w:cs="Arial"/>
          <w:sz w:val="22"/>
        </w:rPr>
        <w:t>Poder Judicial: 117-127.</w:t>
      </w:r>
    </w:p>
    <w:p>
      <w:pPr>
        <w:pStyle w:val="ListBullet"/>
      </w:pPr>
      <w:r>
        <w:rPr>
          <w:rFonts w:ascii="Arial" w:hAnsi="Arial" w:cs="Arial"/>
          <w:sz w:val="22"/>
        </w:rPr>
        <w:t>Economía y Hacienda: 128-136.</w:t>
      </w:r>
    </w:p>
    <w:p>
      <w:pPr>
        <w:pStyle w:val="ListBullet"/>
      </w:pPr>
      <w:r>
        <w:rPr>
          <w:rFonts w:ascii="Arial" w:hAnsi="Arial" w:cs="Arial"/>
          <w:sz w:val="22"/>
        </w:rPr>
        <w:t>Organización territorial: 137-158.</w:t>
      </w:r>
    </w:p>
    <w:p>
      <w:pPr>
        <w:pStyle w:val="ListBullet"/>
      </w:pPr>
      <w:r>
        <w:rPr>
          <w:rFonts w:ascii="Arial" w:hAnsi="Arial" w:cs="Arial"/>
          <w:sz w:val="22"/>
        </w:rPr>
        <w:t>Tribunal Constitucional: 159-165.</w:t>
      </w:r>
    </w:p>
    <w:p>
      <w:pPr>
        <w:pStyle w:val="ListBullet"/>
      </w:pPr>
      <w:r>
        <w:rPr>
          <w:rFonts w:ascii="Arial" w:hAnsi="Arial" w:cs="Arial"/>
          <w:sz w:val="22"/>
        </w:rPr>
        <w:t>Reforma: 166-169.</w:t>
      </w:r>
    </w:p>
    <w:p>
      <w:pPr>
        <w:pStyle w:val="ListBullet"/>
      </w:pPr>
      <w:r>
        <w:rPr>
          <w:rFonts w:ascii="Arial" w:hAnsi="Arial" w:cs="Arial"/>
          <w:sz w:val="22"/>
        </w:rPr>
        <w:t>Iniciativa de reforma: artículo 166 en relación con 87.1 y 87.2.</w:t>
      </w:r>
    </w:p>
    <w:p>
      <w:pPr>
        <w:pStyle w:val="ListBullet"/>
      </w:pPr>
      <w:r>
        <w:rPr>
          <w:rFonts w:ascii="Arial" w:hAnsi="Arial" w:cs="Arial"/>
          <w:sz w:val="22"/>
        </w:rPr>
        <w:t>Mayoría ordinaria: tres quintos de cada Cámara.</w:t>
      </w:r>
    </w:p>
    <w:p>
      <w:pPr>
        <w:pStyle w:val="ListBullet"/>
      </w:pPr>
      <w:r>
        <w:rPr>
          <w:rFonts w:ascii="Arial" w:hAnsi="Arial" w:cs="Arial"/>
          <w:sz w:val="22"/>
        </w:rPr>
        <w:t>Solicitud de referéndum ordinario: una décima parte de cualquiera de las Cámaras en quince días.</w:t>
      </w:r>
    </w:p>
    <w:p>
      <w:pPr>
        <w:pStyle w:val="ListBullet"/>
      </w:pPr>
      <w:r>
        <w:rPr>
          <w:rFonts w:ascii="Arial" w:hAnsi="Arial" w:cs="Arial"/>
          <w:sz w:val="22"/>
        </w:rPr>
        <w:t>Mayoría agravada: dos tercios de cada Cámara.</w:t>
      </w:r>
    </w:p>
    <w:p>
      <w:pPr>
        <w:pStyle w:val="ListBullet"/>
      </w:pPr>
      <w:r>
        <w:rPr>
          <w:rFonts w:ascii="Arial" w:hAnsi="Arial" w:cs="Arial"/>
          <w:sz w:val="22"/>
        </w:rPr>
        <w:t>Materias agravadas: revisión total; título preliminar; sección 1.ª del capítulo II del título I; título II.</w:t>
      </w:r>
    </w:p>
    <w:p>
      <w:pPr>
        <w:pStyle w:val="ListBullet"/>
      </w:pPr>
      <w:r>
        <w:rPr>
          <w:rFonts w:ascii="Arial" w:hAnsi="Arial" w:cs="Arial"/>
          <w:sz w:val="22"/>
        </w:rPr>
        <w:t>Prohibición temporal: guerra o vigencia de alarma, excepción o sitio.</w:t>
      </w:r>
    </w:p>
    <w:p>
      <w:pPr>
        <w:pStyle w:val="ListBullet"/>
      </w:pPr>
      <w:r>
        <w:rPr>
          <w:rFonts w:ascii="Arial" w:hAnsi="Arial" w:cs="Arial"/>
          <w:sz w:val="22"/>
        </w:rPr>
        <w:t>Reformas: cuatro hasta 30-07-2026.</w:t>
      </w:r>
    </w:p>
    <w:p>
      <w:pPr>
        <w:pStyle w:val="ListBullet"/>
      </w:pPr>
      <w:r>
        <w:rPr>
          <w:rFonts w:ascii="Arial" w:hAnsi="Arial" w:cs="Arial"/>
          <w:sz w:val="22"/>
        </w:rPr>
        <w:t>Reforma de 1992: artículo 13.2.</w:t>
      </w:r>
    </w:p>
    <w:p>
      <w:pPr>
        <w:pStyle w:val="ListBullet"/>
      </w:pPr>
      <w:r>
        <w:rPr>
          <w:rFonts w:ascii="Arial" w:hAnsi="Arial" w:cs="Arial"/>
          <w:sz w:val="22"/>
        </w:rPr>
        <w:t>Reforma de 2011: artículo 135.</w:t>
      </w:r>
    </w:p>
    <w:p>
      <w:pPr>
        <w:pStyle w:val="ListBullet"/>
      </w:pPr>
      <w:r>
        <w:rPr>
          <w:rFonts w:ascii="Arial" w:hAnsi="Arial" w:cs="Arial"/>
          <w:sz w:val="22"/>
        </w:rPr>
        <w:t>Reforma de 2024: artículo 49.</w:t>
      </w:r>
    </w:p>
    <w:p>
      <w:pPr>
        <w:pStyle w:val="ListBullet"/>
      </w:pPr>
      <w:r>
        <w:rPr>
          <w:rFonts w:ascii="Arial" w:hAnsi="Arial" w:cs="Arial"/>
          <w:sz w:val="22"/>
        </w:rPr>
        <w:t>Reforma de 2026: artículo 69.3.</w:t>
      </w:r>
    </w:p>
    <w:p>
      <w:pPr>
        <w:pStyle w:val="ListBullet"/>
      </w:pPr>
      <w:r>
        <w:rPr>
          <w:rFonts w:ascii="Arial" w:hAnsi="Arial" w:cs="Arial"/>
          <w:sz w:val="22"/>
        </w:rPr>
        <w:t>Entrada en vigor de la última reforma: 20-05-2026.</w:t>
      </w:r>
    </w:p>
    <w:p>
      <w:pPr>
        <w:pStyle w:val="ListBullet"/>
      </w:pPr>
      <w:r>
        <w:rPr>
          <w:rFonts w:ascii="Arial" w:hAnsi="Arial" w:cs="Arial"/>
          <w:sz w:val="22"/>
        </w:rPr>
        <w:t>Eficacia de la separación Ibiza-Formentera: convocatoria de las primeras elecciones al Senado que se celebren tras la reforma.</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G01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4</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2, 2026: 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4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r>
    </w:tbl>
    <w:p>
      <w:pPr>
        <w:spacing w:after="40"/>
      </w:pPr>
    </w:p>
    <w:p>
      <w:pPr>
        <w:jc w:val="both"/>
      </w:pPr>
      <w:r>
        <w:rPr>
          <w:rFonts w:ascii="Arial" w:hAnsi="Arial" w:cs="Arial"/>
          <w:b/>
          <w:sz w:val="22"/>
        </w:rPr>
        <w:t>Normas que más aparecen:</w:t>
      </w:r>
      <w:r>
        <w:rPr>
          <w:rFonts w:ascii="Arial" w:hAnsi="Arial" w:cs="Arial"/>
          <w:sz w:val="22"/>
        </w:rPr>
        <w:t xml:space="preserve"> Constitución Española (3).</w:t>
      </w:r>
    </w:p>
    <w:p>
      <w:pPr>
        <w:jc w:val="both"/>
      </w:pPr>
      <w:r>
        <w:rPr>
          <w:rFonts w:ascii="Arial" w:hAnsi="Arial" w:cs="Arial"/>
          <w:b/>
          <w:sz w:val="22"/>
        </w:rPr>
        <w:t>Artículos o preceptos más repetidos:</w:t>
      </w:r>
      <w:r>
        <w:rPr>
          <w:rFonts w:ascii="Arial" w:hAnsi="Arial" w:cs="Arial"/>
          <w:sz w:val="22"/>
        </w:rPr>
        <w:t xml:space="preserve"> 167.1 (1); 8 (1); 168 (1).</w:t>
      </w:r>
    </w:p>
    <w:p>
      <w:pPr>
        <w:jc w:val="both"/>
      </w:pPr>
      <w:r>
        <w:rPr>
          <w:rFonts w:ascii="Arial" w:hAnsi="Arial" w:cs="Arial"/>
          <w:b/>
          <w:sz w:val="22"/>
        </w:rPr>
        <w:t>Formas de pregunta predominantes:</w:t>
      </w:r>
      <w:r>
        <w:rPr>
          <w:rFonts w:ascii="Arial" w:hAnsi="Arial" w:cs="Arial"/>
          <w:sz w:val="22"/>
        </w:rPr>
        <w:t xml:space="preserve"> Artículos literales (4).</w:t>
      </w:r>
    </w:p>
    <w:p>
      <w:pPr>
        <w:pStyle w:val="Heading2"/>
        <w:keepNext/>
      </w:pPr>
      <w:r>
        <w:rPr>
          <w:rFonts w:ascii="Arial" w:hAnsi="Arial" w:cs="Arial"/>
          <w:sz w:val="25"/>
        </w:rPr>
        <w:t>Patrones observados</w:t>
      </w:r>
    </w:p>
    <w:p>
      <w:pPr>
        <w:pStyle w:val="ListBullet"/>
      </w:pPr>
      <w:r>
        <w:rPr>
          <w:rFonts w:ascii="Arial" w:hAnsi="Arial" w:cs="Arial"/>
          <w:b/>
          <w:sz w:val="22"/>
        </w:rPr>
        <w:t>2024, teoría 1:</w:t>
      </w:r>
      <w:r>
        <w:rPr>
          <w:rFonts w:ascii="Arial" w:hAnsi="Arial" w:cs="Arial"/>
          <w:sz w:val="22"/>
        </w:rPr>
        <w:t xml:space="preserve"> De acuerdo con 10 establecido en el artículo 167.1 de la Constitución Española, los proyectos de reforma constitucional deberán ser aprobados:</w:t>
      </w:r>
    </w:p>
    <w:p>
      <w:pPr>
        <w:pStyle w:val="ListBullet"/>
      </w:pPr>
      <w:r>
        <w:rPr>
          <w:rFonts w:ascii="Arial" w:hAnsi="Arial" w:cs="Arial"/>
          <w:b/>
          <w:sz w:val="22"/>
        </w:rPr>
        <w:t>2025, teoría 1:</w:t>
      </w:r>
      <w:r>
        <w:rPr>
          <w:rFonts w:ascii="Arial" w:hAnsi="Arial" w:cs="Arial"/>
          <w:sz w:val="22"/>
        </w:rPr>
        <w:t xml:space="preserve"> De acuerdo con lo establecido en el artículo 8 de la Constitución Española, las Fuerzas Armadas, constituidas por el Ejército de Tierra, la Armada y el Ejército del Aire, tienen como misión garantizar la…</w:t>
      </w:r>
    </w:p>
    <w:p>
      <w:pPr>
        <w:pStyle w:val="ListBullet"/>
      </w:pPr>
      <w:r>
        <w:rPr>
          <w:rFonts w:ascii="Arial" w:hAnsi="Arial" w:cs="Arial"/>
          <w:b/>
          <w:sz w:val="22"/>
        </w:rPr>
        <w:t>2025, teoría 1:</w:t>
      </w:r>
      <w:r>
        <w:rPr>
          <w:rFonts w:ascii="Arial" w:hAnsi="Arial" w:cs="Arial"/>
          <w:sz w:val="22"/>
        </w:rPr>
        <w:t xml:space="preserve"> En cuanto a la reforma agravada de la Constitución Española, regulada en el artículo 168, señale la respuesta INCORRECTA:</w:t>
      </w:r>
    </w:p>
    <w:p>
      <w:pPr>
        <w:pStyle w:val="ListBullet"/>
      </w:pPr>
      <w:r>
        <w:rPr>
          <w:rFonts w:ascii="Arial" w:hAnsi="Arial" w:cs="Arial"/>
          <w:b/>
          <w:sz w:val="22"/>
        </w:rPr>
        <w:t>2026, teoría 1:</w:t>
      </w:r>
      <w:r>
        <w:rPr>
          <w:rFonts w:ascii="Arial" w:hAnsi="Arial" w:cs="Arial"/>
          <w:sz w:val="22"/>
        </w:rPr>
        <w:t xml:space="preserve"> Hasta la fecha actual se han llevado a cabo las siguientes reformas constitucionales:</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1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Fuentes oficiales utilizadas</w:t>
      </w:r>
    </w:p>
    <w:p>
      <w:pPr>
        <w:pStyle w:val="ListBullet"/>
        <w:ind w:left="397" w:hanging="198"/>
      </w:pPr>
      <w:r>
        <w:rPr>
          <w:rFonts w:ascii="Arial" w:hAnsi="Arial" w:cs="Arial"/>
          <w:sz w:val="18"/>
        </w:rPr>
        <w:t>Constitución Española, texto consolidado vigente desde el 20 de mayo de 2026: https://www.boe.es/buscar/act.php?id=BOE-A-1978-31229</w:t>
      </w:r>
    </w:p>
    <w:p>
      <w:pPr>
        <w:pStyle w:val="ListBullet"/>
        <w:ind w:left="397" w:hanging="198"/>
      </w:pPr>
      <w:r>
        <w:rPr>
          <w:rFonts w:ascii="Arial" w:hAnsi="Arial" w:cs="Arial"/>
          <w:sz w:val="18"/>
        </w:rPr>
        <w:t>Reforma del artículo 13.2, de 27 de agosto de 1992: https://www.boe.es/buscar/doc.php?id=BOE-A-1992-20403</w:t>
      </w:r>
    </w:p>
    <w:p>
      <w:pPr>
        <w:pStyle w:val="ListBullet"/>
        <w:ind w:left="397" w:hanging="198"/>
      </w:pPr>
      <w:r>
        <w:rPr>
          <w:rFonts w:ascii="Arial" w:hAnsi="Arial" w:cs="Arial"/>
          <w:sz w:val="18"/>
        </w:rPr>
        <w:t>Reforma del artículo 135, de 27 de septiembre de 2011: https://www.boe.es/buscar/doc.php?id=BOE-A-2011-15210</w:t>
      </w:r>
    </w:p>
    <w:p>
      <w:pPr>
        <w:pStyle w:val="ListBullet"/>
        <w:ind w:left="397" w:hanging="198"/>
      </w:pPr>
      <w:r>
        <w:rPr>
          <w:rFonts w:ascii="Arial" w:hAnsi="Arial" w:cs="Arial"/>
          <w:sz w:val="18"/>
        </w:rPr>
        <w:t>Reforma del artículo 49, de 15 de febrero de 2024: https://www.boe.es/buscar/doc.php?id=BOE-A-2024-3099</w:t>
      </w:r>
    </w:p>
    <w:p>
      <w:pPr>
        <w:pStyle w:val="ListBullet"/>
        <w:ind w:left="397" w:hanging="198"/>
      </w:pPr>
      <w:r>
        <w:rPr>
          <w:rFonts w:ascii="Arial" w:hAnsi="Arial" w:cs="Arial"/>
          <w:sz w:val="18"/>
        </w:rPr>
        <w:t>Reforma del artículo 69.3, de 19 de mayo de 2026: https://www.boe.es/buscar/doc.php?id=BOE-A-2026-10881</w:t>
      </w:r>
    </w:p>
    <w:p>
      <w:pPr>
        <w:pStyle w:val="ListBullet"/>
        <w:ind w:left="397" w:hanging="198"/>
      </w:pPr>
      <w:r>
        <w:rPr>
          <w:rFonts w:ascii="Arial" w:hAnsi="Arial" w:cs="Arial"/>
          <w:sz w:val="18"/>
        </w:rPr>
        <w:t>Ley Orgánica 2/2026, de adaptación de la legislación electoral a la reforma del artículo 69.3: https://www.boe.es/buscar/doc.php?id=BOE-A-2026-14329</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G01 · Tema 1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1. La Constitución Española de 1978 - Estructura y contenido. La reforma de la Constitución</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