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10</w:t>
      </w:r>
    </w:p>
    <w:p>
      <w:pPr>
        <w:keepNext/>
        <w:spacing w:before="0" w:after="280"/>
        <w:pBdr>
          <w:bottom w:val="single" w:sz="12" w:space="1" w:color="2F75B5"/>
        </w:pBdr>
      </w:pPr>
      <w:r>
        <w:rPr>
          <w:rFonts w:ascii="Arial" w:hAnsi="Arial" w:cs="Arial"/>
          <w:b/>
          <w:color w:val="17365D"/>
          <w:sz w:val="40"/>
        </w:rPr>
        <w:t>Las Instituciones de la Unión Europea: El Consejo, el Parlamento Europeo, la Comisión, el Tribunal de Justicia.</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La Unión Europea dispone de un sistema institucional propio, diferente tanto de una organización internacional clásica como de un Estado federal. Sus instituciones representan intereses distintos y cooperan mediante procedimientos definidos por los Tratados. El Parlamento representa directamente a la ciudadanía; el Consejo, a los Gobiernos de los Estados miembros; la Comisión promueve el interés general de la Unión; y el Tribunal de Justicia garantiza el respeto del Derecho.</w:t>
      </w:r>
    </w:p>
    <w:p>
      <w:pPr>
        <w:jc w:val="both"/>
      </w:pPr>
      <w:r>
        <w:rPr>
          <w:rFonts w:ascii="Arial" w:hAnsi="Arial" w:cs="Arial"/>
          <w:sz w:val="22"/>
        </w:rPr>
        <w:t xml:space="preserve">El marco básico se encuentra en el Tratado de la Unión Europea —TUE— y en el Tratado de Funcionamiento de la Unión Europea —TFUE—. Este tema está actualizado a </w:t>
      </w:r>
      <w:r>
        <w:rPr>
          <w:rFonts w:ascii="Arial" w:hAnsi="Arial" w:cs="Arial"/>
          <w:b/>
          <w:sz w:val="22"/>
        </w:rPr>
        <w:t>30 de julio de 2026</w:t>
      </w:r>
      <w:r>
        <w:rPr>
          <w:rFonts w:ascii="Arial" w:hAnsi="Arial" w:cs="Arial"/>
          <w:sz w:val="22"/>
        </w:rPr>
        <w:t>, con una Unión de veintisiete Estados, un Parlamento de 720 escaños, una Comisión de veintisiete miembros, presidencia irlandesa del Consejo durante el segundo semestre de 2026 y una arquitectura judicial integrada por un Tribunal de Justicia de 27 jueces y 11 abogados generales y un Tribunal General de 54 jueces.</w:t>
      </w:r>
    </w:p>
    <w:p>
      <w:pPr>
        <w:pStyle w:val="Heading1"/>
        <w:keepNext/>
      </w:pPr>
      <w:r>
        <w:rPr>
          <w:rFonts w:ascii="Arial" w:hAnsi="Arial" w:cs="Arial"/>
          <w:sz w:val="30"/>
        </w:rPr>
        <w:t>1. Marco institucional de la Unión</w:t>
      </w:r>
    </w:p>
    <w:p>
      <w:pPr>
        <w:pStyle w:val="Heading2"/>
        <w:keepNext/>
      </w:pPr>
      <w:r>
        <w:rPr>
          <w:rFonts w:ascii="Arial" w:hAnsi="Arial" w:cs="Arial"/>
          <w:sz w:val="25"/>
        </w:rPr>
        <w:t>1.1. Las siete instituciones</w:t>
      </w:r>
    </w:p>
    <w:p>
      <w:pPr>
        <w:jc w:val="both"/>
      </w:pPr>
      <w:r>
        <w:rPr>
          <w:rFonts w:ascii="Arial" w:hAnsi="Arial" w:cs="Arial"/>
          <w:sz w:val="22"/>
        </w:rPr>
        <w:t>El artículo 13 TUE enumera siete instituciones:</w:t>
      </w:r>
    </w:p>
    <w:p>
      <w:pPr>
        <w:spacing w:after="40"/>
        <w:ind w:left="369" w:hanging="227"/>
      </w:pPr>
      <w:r>
        <w:rPr>
          <w:rFonts w:ascii="Arial" w:hAnsi="Arial" w:cs="Arial"/>
          <w:sz w:val="22"/>
        </w:rPr>
        <w:t>1. Parlamento Europeo.</w:t>
      </w:r>
    </w:p>
    <w:p>
      <w:pPr>
        <w:spacing w:after="40"/>
        <w:ind w:left="369" w:hanging="227"/>
      </w:pPr>
      <w:r>
        <w:rPr>
          <w:rFonts w:ascii="Arial" w:hAnsi="Arial" w:cs="Arial"/>
          <w:sz w:val="22"/>
        </w:rPr>
        <w:t>2. Consejo Europeo.</w:t>
      </w:r>
    </w:p>
    <w:p>
      <w:pPr>
        <w:spacing w:after="40"/>
        <w:ind w:left="369" w:hanging="227"/>
      </w:pPr>
      <w:r>
        <w:rPr>
          <w:rFonts w:ascii="Arial" w:hAnsi="Arial" w:cs="Arial"/>
          <w:sz w:val="22"/>
        </w:rPr>
        <w:t>3. Consejo.</w:t>
      </w:r>
    </w:p>
    <w:p>
      <w:pPr>
        <w:spacing w:after="40"/>
        <w:ind w:left="369" w:hanging="227"/>
      </w:pPr>
      <w:r>
        <w:rPr>
          <w:rFonts w:ascii="Arial" w:hAnsi="Arial" w:cs="Arial"/>
          <w:sz w:val="22"/>
        </w:rPr>
        <w:t>4. Comisión Europea.</w:t>
      </w:r>
    </w:p>
    <w:p>
      <w:pPr>
        <w:spacing w:after="40"/>
        <w:ind w:left="369" w:hanging="227"/>
      </w:pPr>
      <w:r>
        <w:rPr>
          <w:rFonts w:ascii="Arial" w:hAnsi="Arial" w:cs="Arial"/>
          <w:sz w:val="22"/>
        </w:rPr>
        <w:t>5. Tribunal de Justicia de la Unión Europea.</w:t>
      </w:r>
    </w:p>
    <w:p>
      <w:pPr>
        <w:spacing w:after="40"/>
        <w:ind w:left="369" w:hanging="227"/>
      </w:pPr>
      <w:r>
        <w:rPr>
          <w:rFonts w:ascii="Arial" w:hAnsi="Arial" w:cs="Arial"/>
          <w:sz w:val="22"/>
        </w:rPr>
        <w:t>6. Banco Central Europeo.</w:t>
      </w:r>
    </w:p>
    <w:p>
      <w:pPr>
        <w:spacing w:after="40"/>
        <w:ind w:left="369" w:hanging="227"/>
      </w:pPr>
      <w:r>
        <w:rPr>
          <w:rFonts w:ascii="Arial" w:hAnsi="Arial" w:cs="Arial"/>
          <w:sz w:val="22"/>
        </w:rPr>
        <w:t>7. Tribunal de Cuentas.</w:t>
      </w:r>
    </w:p>
    <w:p>
      <w:pPr>
        <w:jc w:val="both"/>
      </w:pPr>
      <w:r>
        <w:rPr>
          <w:rFonts w:ascii="Arial" w:hAnsi="Arial" w:cs="Arial"/>
          <w:sz w:val="22"/>
        </w:rPr>
        <w:t>El título oficial del tema selecciona cuatro. Que no mencione al Consejo Europeo no significa que este sea un órgano del Consejo: es una institución distinta.</w:t>
      </w:r>
    </w:p>
    <w:p>
      <w:pPr>
        <w:jc w:val="both"/>
      </w:pPr>
      <w:r>
        <w:rPr>
          <w:rFonts w:ascii="Arial" w:hAnsi="Arial" w:cs="Arial"/>
          <w:sz w:val="22"/>
        </w:rPr>
        <w:t xml:space="preserve">Cada institución actúa dentro de las atribuciones que le confieren los Tratados, con arreglo a procedimientos, condiciones y fines establecidos en ellos. Deben mantener entre sí una </w:t>
      </w:r>
      <w:r>
        <w:rPr>
          <w:rFonts w:ascii="Arial" w:hAnsi="Arial" w:cs="Arial"/>
          <w:b/>
          <w:sz w:val="22"/>
        </w:rPr>
        <w:t>cooperación leal</w:t>
      </w:r>
      <w:r>
        <w:rPr>
          <w:rFonts w:ascii="Arial" w:hAnsi="Arial" w:cs="Arial"/>
          <w:sz w:val="22"/>
        </w:rPr>
        <w:t xml:space="preserve">. Este principio se une al de </w:t>
      </w:r>
      <w:r>
        <w:rPr>
          <w:rFonts w:ascii="Arial" w:hAnsi="Arial" w:cs="Arial"/>
          <w:b/>
          <w:sz w:val="22"/>
        </w:rPr>
        <w:t>equilibrio institucional</w:t>
      </w:r>
      <w:r>
        <w:rPr>
          <w:rFonts w:ascii="Arial" w:hAnsi="Arial" w:cs="Arial"/>
          <w:sz w:val="22"/>
        </w:rPr>
        <w:t>: ninguna puede apropiarse de funciones atribuidas a otra y todas deben respetar las prerrogativas ajenas.</w:t>
      </w:r>
    </w:p>
    <w:p>
      <w:pPr>
        <w:pStyle w:val="Heading2"/>
        <w:keepNext/>
      </w:pPr>
      <w:r>
        <w:rPr>
          <w:rFonts w:ascii="Arial" w:hAnsi="Arial" w:cs="Arial"/>
          <w:sz w:val="25"/>
        </w:rPr>
        <w:t>1.2. Representación de intereses</w:t>
      </w:r>
    </w:p>
    <w:tbl>
      <w:tblPr>
        <w:tblStyle w:val="TableGrid"/>
        <w:tblW w:type="dxa" w:w="9026"/>
        <w:jc w:val="left"/>
        <w:tblLayout w:type="fixed"/>
        <w:tblLook w:firstColumn="1" w:firstRow="1" w:lastColumn="0" w:lastRow="0" w:noHBand="0" w:noVBand="1" w:val="04A0"/>
        <w:tblInd w:w="120" w:type="dxa"/>
      </w:tblPr>
      <w:tblGrid>
        <w:gridCol w:w="2233"/>
        <w:gridCol w:w="2698"/>
        <w:gridCol w:w="4095"/>
      </w:tblGrid>
      <w:tr>
        <w:trPr>
          <w:tblHeader w:val="true"/>
        </w:trPr>
        <w:tc>
          <w:tcPr>
            <w:tcW w:type="dxa" w:w="223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Institución</w:t>
            </w:r>
          </w:p>
        </w:tc>
        <w:tc>
          <w:tcPr>
            <w:tcW w:type="dxa" w:w="269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Interés representado</w:t>
            </w:r>
          </w:p>
        </w:tc>
        <w:tc>
          <w:tcPr>
            <w:tcW w:type="dxa" w:w="409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Función característica</w:t>
            </w:r>
          </w:p>
        </w:tc>
      </w:tr>
      <w:tr>
        <w:tc>
          <w:tcPr>
            <w:tcW w:type="dxa" w:w="2233"/>
            <w:tcMar>
              <w:top w:w="80" w:type="dxa"/>
              <w:start w:w="120" w:type="dxa"/>
              <w:bottom w:w="80" w:type="dxa"/>
              <w:end w:w="120" w:type="dxa"/>
            </w:tcMar>
            <w:vAlign w:val="center"/>
          </w:tcPr>
          <w:p>
            <w:pPr>
              <w:spacing w:before="0" w:after="0" w:line="240" w:lineRule="auto"/>
              <w:jc w:val="left"/>
            </w:pPr>
            <w:r/>
            <w:r>
              <w:rPr>
                <w:rFonts w:ascii="Arial" w:hAnsi="Arial" w:cs="Arial"/>
                <w:sz w:val="18"/>
              </w:rPr>
              <w:t>Parlamento Europeo</w:t>
            </w:r>
          </w:p>
        </w:tc>
        <w:tc>
          <w:tcPr>
            <w:tcW w:type="dxa" w:w="2698"/>
            <w:tcMar>
              <w:top w:w="80" w:type="dxa"/>
              <w:start w:w="120" w:type="dxa"/>
              <w:bottom w:w="80" w:type="dxa"/>
              <w:end w:w="120" w:type="dxa"/>
            </w:tcMar>
            <w:vAlign w:val="center"/>
          </w:tcPr>
          <w:p>
            <w:pPr>
              <w:spacing w:before="0" w:after="0" w:line="240" w:lineRule="auto"/>
              <w:jc w:val="left"/>
            </w:pPr>
            <w:r/>
            <w:r>
              <w:rPr>
                <w:rFonts w:ascii="Arial" w:hAnsi="Arial" w:cs="Arial"/>
                <w:sz w:val="18"/>
              </w:rPr>
              <w:t>Ciudadanía de la Unión</w:t>
            </w:r>
          </w:p>
        </w:tc>
        <w:tc>
          <w:tcPr>
            <w:tcW w:type="dxa" w:w="4095"/>
            <w:tcMar>
              <w:top w:w="80" w:type="dxa"/>
              <w:start w:w="120" w:type="dxa"/>
              <w:bottom w:w="80" w:type="dxa"/>
              <w:end w:w="120" w:type="dxa"/>
            </w:tcMar>
            <w:vAlign w:val="center"/>
          </w:tcPr>
          <w:p>
            <w:pPr>
              <w:spacing w:before="0" w:after="0" w:line="240" w:lineRule="auto"/>
              <w:jc w:val="left"/>
            </w:pPr>
            <w:r/>
            <w:r>
              <w:rPr>
                <w:rFonts w:ascii="Arial" w:hAnsi="Arial" w:cs="Arial"/>
                <w:sz w:val="18"/>
              </w:rPr>
              <w:t>Colegislación, presupuesto y control político</w:t>
            </w:r>
          </w:p>
        </w:tc>
      </w:tr>
      <w:tr>
        <w:tc>
          <w:tcPr>
            <w:tcW w:type="dxa" w:w="2233"/>
            <w:tcMar>
              <w:top w:w="80" w:type="dxa"/>
              <w:start w:w="120" w:type="dxa"/>
              <w:bottom w:w="80" w:type="dxa"/>
              <w:end w:w="120" w:type="dxa"/>
            </w:tcMar>
            <w:vAlign w:val="center"/>
          </w:tcPr>
          <w:p>
            <w:pPr>
              <w:spacing w:before="0" w:after="0" w:line="240" w:lineRule="auto"/>
              <w:jc w:val="left"/>
            </w:pPr>
            <w:r/>
            <w:r>
              <w:rPr>
                <w:rFonts w:ascii="Arial" w:hAnsi="Arial" w:cs="Arial"/>
                <w:sz w:val="18"/>
              </w:rPr>
              <w:t>Consejo</w:t>
            </w:r>
          </w:p>
        </w:tc>
        <w:tc>
          <w:tcPr>
            <w:tcW w:type="dxa" w:w="2698"/>
            <w:tcMar>
              <w:top w:w="80" w:type="dxa"/>
              <w:start w:w="120" w:type="dxa"/>
              <w:bottom w:w="80" w:type="dxa"/>
              <w:end w:w="120" w:type="dxa"/>
            </w:tcMar>
            <w:vAlign w:val="center"/>
          </w:tcPr>
          <w:p>
            <w:pPr>
              <w:spacing w:before="0" w:after="0" w:line="240" w:lineRule="auto"/>
              <w:jc w:val="left"/>
            </w:pPr>
            <w:r/>
            <w:r>
              <w:rPr>
                <w:rFonts w:ascii="Arial" w:hAnsi="Arial" w:cs="Arial"/>
                <w:sz w:val="18"/>
              </w:rPr>
              <w:t>Gobiernos de los Estados miembros</w:t>
            </w:r>
          </w:p>
        </w:tc>
        <w:tc>
          <w:tcPr>
            <w:tcW w:type="dxa" w:w="4095"/>
            <w:tcMar>
              <w:top w:w="80" w:type="dxa"/>
              <w:start w:w="120" w:type="dxa"/>
              <w:bottom w:w="80" w:type="dxa"/>
              <w:end w:w="120" w:type="dxa"/>
            </w:tcMar>
            <w:vAlign w:val="center"/>
          </w:tcPr>
          <w:p>
            <w:pPr>
              <w:spacing w:before="0" w:after="0" w:line="240" w:lineRule="auto"/>
              <w:jc w:val="left"/>
            </w:pPr>
            <w:r/>
            <w:r>
              <w:rPr>
                <w:rFonts w:ascii="Arial" w:hAnsi="Arial" w:cs="Arial"/>
                <w:sz w:val="18"/>
              </w:rPr>
              <w:t>Colegislación, coordinación y decisión estatal</w:t>
            </w:r>
          </w:p>
        </w:tc>
      </w:tr>
      <w:tr>
        <w:tc>
          <w:tcPr>
            <w:tcW w:type="dxa" w:w="2233"/>
            <w:tcMar>
              <w:top w:w="80" w:type="dxa"/>
              <w:start w:w="120" w:type="dxa"/>
              <w:bottom w:w="80" w:type="dxa"/>
              <w:end w:w="120" w:type="dxa"/>
            </w:tcMar>
            <w:vAlign w:val="center"/>
          </w:tcPr>
          <w:p>
            <w:pPr>
              <w:spacing w:before="0" w:after="0" w:line="240" w:lineRule="auto"/>
              <w:jc w:val="left"/>
            </w:pPr>
            <w:r/>
            <w:r>
              <w:rPr>
                <w:rFonts w:ascii="Arial" w:hAnsi="Arial" w:cs="Arial"/>
                <w:sz w:val="18"/>
              </w:rPr>
              <w:t>Comisión</w:t>
            </w:r>
          </w:p>
        </w:tc>
        <w:tc>
          <w:tcPr>
            <w:tcW w:type="dxa" w:w="2698"/>
            <w:tcMar>
              <w:top w:w="80" w:type="dxa"/>
              <w:start w:w="120" w:type="dxa"/>
              <w:bottom w:w="80" w:type="dxa"/>
              <w:end w:w="120" w:type="dxa"/>
            </w:tcMar>
            <w:vAlign w:val="center"/>
          </w:tcPr>
          <w:p>
            <w:pPr>
              <w:spacing w:before="0" w:after="0" w:line="240" w:lineRule="auto"/>
              <w:jc w:val="left"/>
            </w:pPr>
            <w:r/>
            <w:r>
              <w:rPr>
                <w:rFonts w:ascii="Arial" w:hAnsi="Arial" w:cs="Arial"/>
                <w:sz w:val="18"/>
              </w:rPr>
              <w:t>Interés general de la Unión</w:t>
            </w:r>
          </w:p>
        </w:tc>
        <w:tc>
          <w:tcPr>
            <w:tcW w:type="dxa" w:w="4095"/>
            <w:tcMar>
              <w:top w:w="80" w:type="dxa"/>
              <w:start w:w="120" w:type="dxa"/>
              <w:bottom w:w="80" w:type="dxa"/>
              <w:end w:w="120" w:type="dxa"/>
            </w:tcMar>
            <w:vAlign w:val="center"/>
          </w:tcPr>
          <w:p>
            <w:pPr>
              <w:spacing w:before="0" w:after="0" w:line="240" w:lineRule="auto"/>
              <w:jc w:val="left"/>
            </w:pPr>
            <w:r/>
            <w:r>
              <w:rPr>
                <w:rFonts w:ascii="Arial" w:hAnsi="Arial" w:cs="Arial"/>
                <w:sz w:val="18"/>
              </w:rPr>
              <w:t>Iniciativa, ejecución y vigilancia del Derecho</w:t>
            </w:r>
          </w:p>
        </w:tc>
      </w:tr>
      <w:tr>
        <w:tc>
          <w:tcPr>
            <w:tcW w:type="dxa" w:w="2233"/>
            <w:tcMar>
              <w:top w:w="80" w:type="dxa"/>
              <w:start w:w="120" w:type="dxa"/>
              <w:bottom w:w="80" w:type="dxa"/>
              <w:end w:w="120" w:type="dxa"/>
            </w:tcMar>
            <w:vAlign w:val="center"/>
          </w:tcPr>
          <w:p>
            <w:pPr>
              <w:spacing w:before="0" w:after="0" w:line="240" w:lineRule="auto"/>
              <w:jc w:val="left"/>
            </w:pPr>
            <w:r/>
            <w:r>
              <w:rPr>
                <w:rFonts w:ascii="Arial" w:hAnsi="Arial" w:cs="Arial"/>
                <w:sz w:val="18"/>
              </w:rPr>
              <w:t>Tribunal de Justicia de la UE</w:t>
            </w:r>
          </w:p>
        </w:tc>
        <w:tc>
          <w:tcPr>
            <w:tcW w:type="dxa" w:w="2698"/>
            <w:tcMar>
              <w:top w:w="80" w:type="dxa"/>
              <w:start w:w="120" w:type="dxa"/>
              <w:bottom w:w="80" w:type="dxa"/>
              <w:end w:w="120" w:type="dxa"/>
            </w:tcMar>
            <w:vAlign w:val="center"/>
          </w:tcPr>
          <w:p>
            <w:pPr>
              <w:spacing w:before="0" w:after="0" w:line="240" w:lineRule="auto"/>
              <w:jc w:val="left"/>
            </w:pPr>
            <w:r/>
            <w:r>
              <w:rPr>
                <w:rFonts w:ascii="Arial" w:hAnsi="Arial" w:cs="Arial"/>
                <w:sz w:val="18"/>
              </w:rPr>
              <w:t>Legalidad de la Unión</w:t>
            </w:r>
          </w:p>
        </w:tc>
        <w:tc>
          <w:tcPr>
            <w:tcW w:type="dxa" w:w="4095"/>
            <w:tcMar>
              <w:top w:w="80" w:type="dxa"/>
              <w:start w:w="120" w:type="dxa"/>
              <w:bottom w:w="80" w:type="dxa"/>
              <w:end w:w="120" w:type="dxa"/>
            </w:tcMar>
            <w:vAlign w:val="center"/>
          </w:tcPr>
          <w:p>
            <w:pPr>
              <w:spacing w:before="0" w:after="0" w:line="240" w:lineRule="auto"/>
              <w:jc w:val="left"/>
            </w:pPr>
            <w:r/>
            <w:r>
              <w:rPr>
                <w:rFonts w:ascii="Arial" w:hAnsi="Arial" w:cs="Arial"/>
                <w:sz w:val="18"/>
              </w:rPr>
              <w:t>Interpretación uniforme y control jurisdiccional</w:t>
            </w:r>
          </w:p>
        </w:tc>
      </w:tr>
    </w:tbl>
    <w:p>
      <w:pPr>
        <w:spacing w:after="40"/>
      </w:pPr>
    </w:p>
    <w:p>
      <w:pPr>
        <w:jc w:val="both"/>
      </w:pPr>
      <w:r>
        <w:rPr>
          <w:rFonts w:ascii="Arial" w:hAnsi="Arial" w:cs="Arial"/>
          <w:sz w:val="22"/>
        </w:rPr>
        <w:t>El esquema no es una separación rígida de poderes. Parlamento y Consejo comparten normalmente la función legislativa y presupuestaria; la Comisión posee iniciativa y funciones ejecutivas; el Tribunal controla la legalidad. Existen además nombramientos y controles cruzados que aseguran legitimidad y responsabilidad.</w:t>
      </w:r>
    </w:p>
    <w:p>
      <w:pPr>
        <w:pStyle w:val="Heading2"/>
        <w:keepNext/>
      </w:pPr>
      <w:r>
        <w:rPr>
          <w:rFonts w:ascii="Arial" w:hAnsi="Arial" w:cs="Arial"/>
          <w:sz w:val="25"/>
        </w:rPr>
        <w:t>1.3. Distinciones terminológicas</w:t>
      </w:r>
    </w:p>
    <w:tbl>
      <w:tblPr>
        <w:tblStyle w:val="TableGrid"/>
        <w:tblW w:type="dxa" w:w="9026"/>
        <w:jc w:val="left"/>
        <w:tblLayout w:type="fixed"/>
        <w:tblLook w:firstColumn="1" w:firstRow="1" w:lastColumn="0" w:lastRow="0" w:noHBand="0" w:noVBand="1" w:val="04A0"/>
        <w:tblInd w:w="120" w:type="dxa"/>
      </w:tblPr>
      <w:tblGrid>
        <w:gridCol w:w="3075"/>
        <w:gridCol w:w="5951"/>
      </w:tblGrid>
      <w:tr>
        <w:trPr>
          <w:tblHeader w:val="true"/>
        </w:trPr>
        <w:tc>
          <w:tcPr>
            <w:tcW w:type="dxa" w:w="307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Denominación</w:t>
            </w:r>
          </w:p>
        </w:tc>
        <w:tc>
          <w:tcPr>
            <w:tcW w:type="dxa" w:w="595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Composición y misión</w:t>
            </w:r>
          </w:p>
        </w:tc>
      </w:tr>
      <w:tr>
        <w:tc>
          <w:tcPr>
            <w:tcW w:type="dxa" w:w="3075"/>
            <w:tcMar>
              <w:top w:w="80" w:type="dxa"/>
              <w:start w:w="120" w:type="dxa"/>
              <w:bottom w:w="80" w:type="dxa"/>
              <w:end w:w="120" w:type="dxa"/>
            </w:tcMar>
            <w:vAlign w:val="center"/>
          </w:tcPr>
          <w:p>
            <w:pPr>
              <w:spacing w:before="0" w:after="0" w:line="240" w:lineRule="auto"/>
              <w:jc w:val="left"/>
            </w:pPr>
            <w:r/>
            <w:r>
              <w:rPr>
                <w:rFonts w:ascii="Arial" w:hAnsi="Arial" w:cs="Arial"/>
                <w:sz w:val="18"/>
              </w:rPr>
              <w:t>Consejo Europeo</w:t>
            </w:r>
          </w:p>
        </w:tc>
        <w:tc>
          <w:tcPr>
            <w:tcW w:type="dxa" w:w="5951"/>
            <w:tcMar>
              <w:top w:w="80" w:type="dxa"/>
              <w:start w:w="120" w:type="dxa"/>
              <w:bottom w:w="80" w:type="dxa"/>
              <w:end w:w="120" w:type="dxa"/>
            </w:tcMar>
            <w:vAlign w:val="center"/>
          </w:tcPr>
          <w:p>
            <w:pPr>
              <w:spacing w:before="0" w:after="0" w:line="240" w:lineRule="auto"/>
              <w:jc w:val="left"/>
            </w:pPr>
            <w:r/>
            <w:r>
              <w:rPr>
                <w:rFonts w:ascii="Arial" w:hAnsi="Arial" w:cs="Arial"/>
                <w:sz w:val="18"/>
              </w:rPr>
              <w:t>Jefes de Estado o de Gobierno; impulsa y fija orientaciones generales, normalmente no legisla</w:t>
            </w:r>
          </w:p>
        </w:tc>
      </w:tr>
      <w:tr>
        <w:tc>
          <w:tcPr>
            <w:tcW w:type="dxa" w:w="3075"/>
            <w:tcMar>
              <w:top w:w="80" w:type="dxa"/>
              <w:start w:w="120" w:type="dxa"/>
              <w:bottom w:w="80" w:type="dxa"/>
              <w:end w:w="120" w:type="dxa"/>
            </w:tcMar>
            <w:vAlign w:val="center"/>
          </w:tcPr>
          <w:p>
            <w:pPr>
              <w:spacing w:before="0" w:after="0" w:line="240" w:lineRule="auto"/>
              <w:jc w:val="left"/>
            </w:pPr>
            <w:r/>
            <w:r>
              <w:rPr>
                <w:rFonts w:ascii="Arial" w:hAnsi="Arial" w:cs="Arial"/>
                <w:sz w:val="18"/>
              </w:rPr>
              <w:t>Consejo de la Unión Europea o Consejo</w:t>
            </w:r>
          </w:p>
        </w:tc>
        <w:tc>
          <w:tcPr>
            <w:tcW w:type="dxa" w:w="5951"/>
            <w:tcMar>
              <w:top w:w="80" w:type="dxa"/>
              <w:start w:w="120" w:type="dxa"/>
              <w:bottom w:w="80" w:type="dxa"/>
              <w:end w:w="120" w:type="dxa"/>
            </w:tcMar>
            <w:vAlign w:val="center"/>
          </w:tcPr>
          <w:p>
            <w:pPr>
              <w:spacing w:before="0" w:after="0" w:line="240" w:lineRule="auto"/>
              <w:jc w:val="left"/>
            </w:pPr>
            <w:r/>
            <w:r>
              <w:rPr>
                <w:rFonts w:ascii="Arial" w:hAnsi="Arial" w:cs="Arial"/>
                <w:sz w:val="18"/>
              </w:rPr>
              <w:t>Ministros nacionales; legisla y coordina políticas</w:t>
            </w:r>
          </w:p>
        </w:tc>
      </w:tr>
      <w:tr>
        <w:tc>
          <w:tcPr>
            <w:tcW w:type="dxa" w:w="3075"/>
            <w:tcMar>
              <w:top w:w="80" w:type="dxa"/>
              <w:start w:w="120" w:type="dxa"/>
              <w:bottom w:w="80" w:type="dxa"/>
              <w:end w:w="120" w:type="dxa"/>
            </w:tcMar>
            <w:vAlign w:val="center"/>
          </w:tcPr>
          <w:p>
            <w:pPr>
              <w:spacing w:before="0" w:after="0" w:line="240" w:lineRule="auto"/>
              <w:jc w:val="left"/>
            </w:pPr>
            <w:r/>
            <w:r>
              <w:rPr>
                <w:rFonts w:ascii="Arial" w:hAnsi="Arial" w:cs="Arial"/>
                <w:sz w:val="18"/>
              </w:rPr>
              <w:t>Consejo de Europa</w:t>
            </w:r>
          </w:p>
        </w:tc>
        <w:tc>
          <w:tcPr>
            <w:tcW w:type="dxa" w:w="5951"/>
            <w:tcMar>
              <w:top w:w="80" w:type="dxa"/>
              <w:start w:w="120" w:type="dxa"/>
              <w:bottom w:w="80" w:type="dxa"/>
              <w:end w:w="120" w:type="dxa"/>
            </w:tcMar>
            <w:vAlign w:val="center"/>
          </w:tcPr>
          <w:p>
            <w:pPr>
              <w:spacing w:before="0" w:after="0" w:line="240" w:lineRule="auto"/>
              <w:jc w:val="left"/>
            </w:pPr>
            <w:r/>
            <w:r>
              <w:rPr>
                <w:rFonts w:ascii="Arial" w:hAnsi="Arial" w:cs="Arial"/>
                <w:sz w:val="18"/>
              </w:rPr>
              <w:t>Organización internacional distinta de la UE, con 46 Estados a la fecha de corte</w:t>
            </w:r>
          </w:p>
        </w:tc>
      </w:tr>
    </w:tbl>
    <w:p>
      <w:pPr>
        <w:spacing w:after="40"/>
      </w:pPr>
    </w:p>
    <w:p>
      <w:pPr>
        <w:jc w:val="both"/>
      </w:pPr>
      <w:r>
        <w:rPr>
          <w:rFonts w:ascii="Arial" w:hAnsi="Arial" w:cs="Arial"/>
          <w:sz w:val="22"/>
        </w:rPr>
        <w:t xml:space="preserve">Asimismo, </w:t>
      </w:r>
      <w:r>
        <w:rPr>
          <w:rFonts w:ascii="Arial" w:hAnsi="Arial" w:cs="Arial"/>
          <w:b/>
          <w:sz w:val="22"/>
        </w:rPr>
        <w:t>Tribunal de Justicia de la Unión Europea —TJUE—</w:t>
      </w:r>
      <w:r>
        <w:rPr>
          <w:rFonts w:ascii="Arial" w:hAnsi="Arial" w:cs="Arial"/>
          <w:sz w:val="22"/>
        </w:rPr>
        <w:t xml:space="preserve"> designa la institución, que comprende el </w:t>
      </w:r>
      <w:r>
        <w:rPr>
          <w:rFonts w:ascii="Arial" w:hAnsi="Arial" w:cs="Arial"/>
          <w:b/>
          <w:sz w:val="22"/>
        </w:rPr>
        <w:t>Tribunal de Justicia</w:t>
      </w:r>
      <w:r>
        <w:rPr>
          <w:rFonts w:ascii="Arial" w:hAnsi="Arial" w:cs="Arial"/>
          <w:sz w:val="22"/>
        </w:rPr>
        <w:t xml:space="preserve"> y el </w:t>
      </w:r>
      <w:r>
        <w:rPr>
          <w:rFonts w:ascii="Arial" w:hAnsi="Arial" w:cs="Arial"/>
          <w:b/>
          <w:sz w:val="22"/>
        </w:rPr>
        <w:t>Tribunal General</w:t>
      </w:r>
      <w:r>
        <w:rPr>
          <w:rFonts w:ascii="Arial" w:hAnsi="Arial" w:cs="Arial"/>
          <w:sz w:val="22"/>
        </w:rPr>
        <w:t>. Llamar “TJUE” solo al órgano superior puede generar confusión en una pregunta precisa.</w:t>
      </w:r>
    </w:p>
    <w:p>
      <w:pPr>
        <w:pStyle w:val="Heading1"/>
        <w:keepNext/>
      </w:pPr>
      <w:r>
        <w:rPr>
          <w:rFonts w:ascii="Arial" w:hAnsi="Arial" w:cs="Arial"/>
          <w:sz w:val="30"/>
        </w:rPr>
        <w:t>2. El Parlamento Europeo</w:t>
      </w:r>
    </w:p>
    <w:p>
      <w:pPr>
        <w:pStyle w:val="Heading2"/>
        <w:keepNext/>
      </w:pPr>
      <w:r>
        <w:rPr>
          <w:rFonts w:ascii="Arial" w:hAnsi="Arial" w:cs="Arial"/>
          <w:sz w:val="25"/>
        </w:rPr>
        <w:t>2.1. Naturaleza y composición</w:t>
      </w:r>
    </w:p>
    <w:p>
      <w:pPr>
        <w:jc w:val="both"/>
      </w:pPr>
      <w:r>
        <w:rPr>
          <w:rFonts w:ascii="Arial" w:hAnsi="Arial" w:cs="Arial"/>
          <w:sz w:val="22"/>
        </w:rPr>
        <w:t xml:space="preserve">El artículo 14 TUE dispone que el Parlamento está compuesto por representantes de los </w:t>
      </w:r>
      <w:r>
        <w:rPr>
          <w:rFonts w:ascii="Arial" w:hAnsi="Arial" w:cs="Arial"/>
          <w:b/>
          <w:sz w:val="22"/>
        </w:rPr>
        <w:t>ciudadanos de la Unión</w:t>
      </w:r>
      <w:r>
        <w:rPr>
          <w:rFonts w:ascii="Arial" w:hAnsi="Arial" w:cs="Arial"/>
          <w:sz w:val="22"/>
        </w:rPr>
        <w:t>, no por delegados de los Parlamentos o Gobiernos nacionales.</w:t>
      </w:r>
    </w:p>
    <w:p>
      <w:pPr>
        <w:jc w:val="both"/>
      </w:pPr>
      <w:r>
        <w:rPr>
          <w:rFonts w:ascii="Arial" w:hAnsi="Arial" w:cs="Arial"/>
          <w:sz w:val="22"/>
        </w:rPr>
        <w:t>Los Tratados fijan estos límites:</w:t>
      </w:r>
    </w:p>
    <w:p>
      <w:pPr>
        <w:pStyle w:val="ListBullet"/>
      </w:pPr>
      <w:r>
        <w:rPr>
          <w:rFonts w:ascii="Arial" w:hAnsi="Arial" w:cs="Arial"/>
          <w:sz w:val="22"/>
        </w:rPr>
        <w:t>Máximo de 750 diputados, más el presidente.</w:t>
      </w:r>
    </w:p>
    <w:p>
      <w:pPr>
        <w:pStyle w:val="ListBullet"/>
      </w:pPr>
      <w:r>
        <w:rPr>
          <w:rFonts w:ascii="Arial" w:hAnsi="Arial" w:cs="Arial"/>
          <w:sz w:val="22"/>
        </w:rPr>
        <w:t>Representación decrecientemente proporcional.</w:t>
      </w:r>
    </w:p>
    <w:p>
      <w:pPr>
        <w:pStyle w:val="ListBullet"/>
      </w:pPr>
      <w:r>
        <w:rPr>
          <w:rFonts w:ascii="Arial" w:hAnsi="Arial" w:cs="Arial"/>
          <w:sz w:val="22"/>
        </w:rPr>
        <w:t>Mínimo de seis escaños por Estado.</w:t>
      </w:r>
    </w:p>
    <w:p>
      <w:pPr>
        <w:pStyle w:val="ListBullet"/>
      </w:pPr>
      <w:r>
        <w:rPr>
          <w:rFonts w:ascii="Arial" w:hAnsi="Arial" w:cs="Arial"/>
          <w:sz w:val="22"/>
        </w:rPr>
        <w:t>Máximo de noventa y seis por Estado.</w:t>
      </w:r>
    </w:p>
    <w:p>
      <w:pPr>
        <w:jc w:val="both"/>
      </w:pPr>
      <w:r>
        <w:rPr>
          <w:rFonts w:ascii="Arial" w:hAnsi="Arial" w:cs="Arial"/>
          <w:sz w:val="22"/>
        </w:rPr>
        <w:t xml:space="preserve">La composición concreta no se deduce automáticamente de esos topes. La fija el Consejo Europeo por unanimidad, a iniciativa del Parlamento y con su aprobación. Para la legislatura </w:t>
      </w:r>
      <w:r>
        <w:rPr>
          <w:rFonts w:ascii="Arial" w:hAnsi="Arial" w:cs="Arial"/>
          <w:b/>
          <w:sz w:val="22"/>
        </w:rPr>
        <w:t>2024-2029</w:t>
      </w:r>
      <w:r>
        <w:rPr>
          <w:rFonts w:ascii="Arial" w:hAnsi="Arial" w:cs="Arial"/>
          <w:sz w:val="22"/>
        </w:rPr>
        <w:t xml:space="preserve">, la Decisión (UE) 2023/2061 estableció </w:t>
      </w:r>
      <w:r>
        <w:rPr>
          <w:rFonts w:ascii="Arial" w:hAnsi="Arial" w:cs="Arial"/>
          <w:b/>
          <w:sz w:val="22"/>
        </w:rPr>
        <w:t>720 representantes</w:t>
      </w:r>
      <w:r>
        <w:rPr>
          <w:rFonts w:ascii="Arial" w:hAnsi="Arial" w:cs="Arial"/>
          <w:sz w:val="22"/>
        </w:rPr>
        <w:t>.</w:t>
      </w:r>
    </w:p>
    <w:p>
      <w:pPr>
        <w:jc w:val="both"/>
      </w:pPr>
      <w:r>
        <w:rPr>
          <w:rFonts w:ascii="Arial" w:hAnsi="Arial" w:cs="Arial"/>
          <w:sz w:val="22"/>
        </w:rPr>
        <w:t>La proporcionalidad decreciente significa que los Estados más poblados tienen más escaños, pero cada diputado de un Estado grande representa, en promedio, a más habitantes que uno de un Estado pequeño. En la composición vigente Alemania tiene 96 escaños, Francia 81, Italia 76 y España 61; Chipre, Luxemburgo y Malta tienen seis cada uno.</w:t>
      </w:r>
    </w:p>
    <w:p>
      <w:pPr>
        <w:spacing w:after="100"/>
        <w:ind w:left="340" w:right="227"/>
        <w:shd w:fill="EAF2F8"/>
      </w:pPr>
      <w:r>
        <w:rPr>
          <w:rFonts w:ascii="Arial" w:hAnsi="Arial" w:cs="Arial"/>
          <w:b/>
          <w:sz w:val="20"/>
        </w:rPr>
        <w:t>Dato de examen:</w:t>
      </w:r>
      <w:r>
        <w:rPr>
          <w:rFonts w:ascii="Arial" w:hAnsi="Arial" w:cs="Arial"/>
          <w:sz w:val="20"/>
        </w:rPr>
        <w:t xml:space="preserve"> el límite del Tratado es 750 más el presidente; la composición efectiva 2024-2029 es 720, incluido el escaño de quien resulte elegido presidente. No deben confundirse límite y número vigente.</w:t>
      </w:r>
    </w:p>
    <w:p>
      <w:pPr>
        <w:pStyle w:val="Heading2"/>
        <w:keepNext/>
      </w:pPr>
      <w:r>
        <w:rPr>
          <w:rFonts w:ascii="Arial" w:hAnsi="Arial" w:cs="Arial"/>
          <w:sz w:val="25"/>
        </w:rPr>
        <w:t>2.2. Elección y mandato</w:t>
      </w:r>
    </w:p>
    <w:p>
      <w:pPr>
        <w:jc w:val="both"/>
      </w:pPr>
      <w:r>
        <w:rPr>
          <w:rFonts w:ascii="Arial" w:hAnsi="Arial" w:cs="Arial"/>
          <w:sz w:val="22"/>
        </w:rPr>
        <w:t>Los diputados son elegidos por sufragio universal directo, libre y secreto para cinco años. El Acta electoral europea establece principios comunes, pero el procedimiento se completa con legislación nacional. La elección es proporcional, admite listas o voto único transferible y se celebra dentro de un período común.</w:t>
      </w:r>
    </w:p>
    <w:p>
      <w:pPr>
        <w:jc w:val="both"/>
      </w:pPr>
      <w:r>
        <w:rPr>
          <w:rFonts w:ascii="Arial" w:hAnsi="Arial" w:cs="Arial"/>
          <w:sz w:val="22"/>
        </w:rPr>
        <w:t>Los diputados ejercen el mandato con independencia. Se agrupan por afinidad política, no por nacionalidad. Conforme al Reglamento interno, un grupo político necesita al menos 23 diputados elegidos en al menos una cuarta parte de los Estados miembros, actualmente siete.</w:t>
      </w:r>
    </w:p>
    <w:p>
      <w:pPr>
        <w:jc w:val="both"/>
      </w:pPr>
      <w:r>
        <w:rPr>
          <w:rFonts w:ascii="Arial" w:hAnsi="Arial" w:cs="Arial"/>
          <w:sz w:val="22"/>
        </w:rPr>
        <w:t>La incompatibilidad alcanza, entre otros, a miembro de Gobierno nacional, miembro de la Comisión, juez, abogado general o secretario del Tribunal de Justicia, miembro del Tribunal de Cuentas, Defensor del Pueblo Europeo y determinados cargos de órganos de la Unión. Un diputado no puede votar mediante mandato imperativo de su Gobierno.</w:t>
      </w:r>
    </w:p>
    <w:p>
      <w:pPr>
        <w:pStyle w:val="Heading2"/>
        <w:keepNext/>
      </w:pPr>
      <w:r>
        <w:rPr>
          <w:rFonts w:ascii="Arial" w:hAnsi="Arial" w:cs="Arial"/>
          <w:sz w:val="25"/>
        </w:rPr>
        <w:t>2.3. Organización interna</w:t>
      </w:r>
    </w:p>
    <w:p>
      <w:pPr>
        <w:jc w:val="both"/>
      </w:pPr>
      <w:r>
        <w:rPr>
          <w:rFonts w:ascii="Arial" w:hAnsi="Arial" w:cs="Arial"/>
          <w:sz w:val="22"/>
        </w:rPr>
        <w:t>El Parlamento elige de entre sus miembros al presidente y a la Mesa. Aunque el mandato parlamentario dura cinco años, por práctica reglamentaria el presidente se elige por dos años y medio, de modo que hay elección al comienzo y a mitad de legislatura.</w:t>
      </w:r>
    </w:p>
    <w:p>
      <w:pPr>
        <w:jc w:val="both"/>
      </w:pPr>
      <w:r>
        <w:rPr>
          <w:rFonts w:ascii="Arial" w:hAnsi="Arial" w:cs="Arial"/>
          <w:sz w:val="22"/>
        </w:rPr>
        <w:t xml:space="preserve">A 30 de julio de 2026 la presidenta es </w:t>
      </w:r>
      <w:r>
        <w:rPr>
          <w:rFonts w:ascii="Arial" w:hAnsi="Arial" w:cs="Arial"/>
          <w:b/>
          <w:sz w:val="22"/>
        </w:rPr>
        <w:t>Roberta Metsola</w:t>
      </w:r>
      <w:r>
        <w:rPr>
          <w:rFonts w:ascii="Arial" w:hAnsi="Arial" w:cs="Arial"/>
          <w:sz w:val="22"/>
        </w:rPr>
        <w:t>, reelegida en julio de 2024 para un segundo mandato de dos años y medio. Representa al Parlamento, dirige los debates, vela por el Reglamento, firma el presupuesto y, con el presidente del Consejo, los actos adoptados por el procedimiento legislativo ordinario.</w:t>
      </w:r>
    </w:p>
    <w:p>
      <w:pPr>
        <w:jc w:val="both"/>
      </w:pPr>
      <w:r>
        <w:rPr>
          <w:rFonts w:ascii="Arial" w:hAnsi="Arial" w:cs="Arial"/>
          <w:sz w:val="22"/>
        </w:rPr>
        <w:t>Los principales órganos son:</w:t>
      </w:r>
    </w:p>
    <w:p>
      <w:pPr>
        <w:pStyle w:val="ListBullet"/>
      </w:pPr>
      <w:r>
        <w:rPr>
          <w:rFonts w:ascii="Arial" w:hAnsi="Arial" w:cs="Arial"/>
          <w:b/>
          <w:sz w:val="22"/>
        </w:rPr>
        <w:t>Mesa:</w:t>
      </w:r>
      <w:r>
        <w:rPr>
          <w:rFonts w:ascii="Arial" w:hAnsi="Arial" w:cs="Arial"/>
          <w:sz w:val="22"/>
        </w:rPr>
        <w:t xml:space="preserve"> presidente y catorce vicepresidentes; adopta decisiones administrativas, organizativas y financieras.</w:t>
      </w:r>
    </w:p>
    <w:p>
      <w:pPr>
        <w:pStyle w:val="ListBullet"/>
      </w:pPr>
      <w:r>
        <w:rPr>
          <w:rFonts w:ascii="Arial" w:hAnsi="Arial" w:cs="Arial"/>
          <w:b/>
          <w:sz w:val="22"/>
        </w:rPr>
        <w:t>Cuestores:</w:t>
      </w:r>
      <w:r>
        <w:rPr>
          <w:rFonts w:ascii="Arial" w:hAnsi="Arial" w:cs="Arial"/>
          <w:sz w:val="22"/>
        </w:rPr>
        <w:t xml:space="preserve"> atienden asuntos administrativos y económicos que afectan a los diputados; tienen voz consultiva en la Mesa.</w:t>
      </w:r>
    </w:p>
    <w:p>
      <w:pPr>
        <w:pStyle w:val="ListBullet"/>
      </w:pPr>
      <w:r>
        <w:rPr>
          <w:rFonts w:ascii="Arial" w:hAnsi="Arial" w:cs="Arial"/>
          <w:b/>
          <w:sz w:val="22"/>
        </w:rPr>
        <w:t>Conferencia de Presidentes:</w:t>
      </w:r>
      <w:r>
        <w:rPr>
          <w:rFonts w:ascii="Arial" w:hAnsi="Arial" w:cs="Arial"/>
          <w:sz w:val="22"/>
        </w:rPr>
        <w:t xml:space="preserve"> presidente del Parlamento y presidentes de grupos; organiza trabajos y agenda política.</w:t>
      </w:r>
    </w:p>
    <w:p>
      <w:pPr>
        <w:pStyle w:val="ListBullet"/>
      </w:pPr>
      <w:r>
        <w:rPr>
          <w:rFonts w:ascii="Arial" w:hAnsi="Arial" w:cs="Arial"/>
          <w:b/>
          <w:sz w:val="22"/>
        </w:rPr>
        <w:t>Comisiones parlamentarias:</w:t>
      </w:r>
      <w:r>
        <w:rPr>
          <w:rFonts w:ascii="Arial" w:hAnsi="Arial" w:cs="Arial"/>
          <w:sz w:val="22"/>
        </w:rPr>
        <w:t xml:space="preserve"> preparan legislación, informes y controles por materias.</w:t>
      </w:r>
    </w:p>
    <w:p>
      <w:pPr>
        <w:pStyle w:val="ListBullet"/>
      </w:pPr>
      <w:r>
        <w:rPr>
          <w:rFonts w:ascii="Arial" w:hAnsi="Arial" w:cs="Arial"/>
          <w:b/>
          <w:sz w:val="22"/>
        </w:rPr>
        <w:t>Delegaciones:</w:t>
      </w:r>
      <w:r>
        <w:rPr>
          <w:rFonts w:ascii="Arial" w:hAnsi="Arial" w:cs="Arial"/>
          <w:sz w:val="22"/>
        </w:rPr>
        <w:t xml:space="preserve"> mantienen relaciones con parlamentos de terceros países y asambleas internacionales.</w:t>
      </w:r>
    </w:p>
    <w:p>
      <w:pPr>
        <w:pStyle w:val="ListBullet"/>
      </w:pPr>
      <w:r>
        <w:rPr>
          <w:rFonts w:ascii="Arial" w:hAnsi="Arial" w:cs="Arial"/>
          <w:b/>
          <w:sz w:val="22"/>
        </w:rPr>
        <w:t>Pleno:</w:t>
      </w:r>
      <w:r>
        <w:rPr>
          <w:rFonts w:ascii="Arial" w:hAnsi="Arial" w:cs="Arial"/>
          <w:sz w:val="22"/>
        </w:rPr>
        <w:t xml:space="preserve"> delibera y adopta las decisiones finales.</w:t>
      </w:r>
    </w:p>
    <w:p>
      <w:pPr>
        <w:jc w:val="both"/>
      </w:pPr>
      <w:r>
        <w:rPr>
          <w:rFonts w:ascii="Arial" w:hAnsi="Arial" w:cs="Arial"/>
          <w:sz w:val="22"/>
        </w:rPr>
        <w:t>El Protocolo n.º 6 fija la sede. Se celebran en Estrasburgo los doce períodos parciales de sesiones plenarias mensuales, incluido el presupuestario; los períodos adicionales y las comisiones se reúnen en Bruselas; la Secretaría General está en Luxemburgo.</w:t>
      </w:r>
    </w:p>
    <w:p>
      <w:pPr>
        <w:pStyle w:val="Heading2"/>
        <w:keepNext/>
      </w:pPr>
      <w:r>
        <w:rPr>
          <w:rFonts w:ascii="Arial" w:hAnsi="Arial" w:cs="Arial"/>
          <w:sz w:val="25"/>
        </w:rPr>
        <w:t>2.4. Funcionamiento y votaciones</w:t>
      </w:r>
    </w:p>
    <w:p>
      <w:pPr>
        <w:jc w:val="both"/>
      </w:pPr>
      <w:r>
        <w:rPr>
          <w:rFonts w:ascii="Arial" w:hAnsi="Arial" w:cs="Arial"/>
          <w:sz w:val="22"/>
        </w:rPr>
        <w:t>Salvo disposición específica, el Parlamento decide por mayoría de los votos emitidos. El Reglamento establece normalmente un cuórum de un tercio de los miembros, aunque la falta de cuórum debe constatarse en la forma reglamentaria.</w:t>
      </w:r>
    </w:p>
    <w:p>
      <w:pPr>
        <w:jc w:val="both"/>
      </w:pPr>
      <w:r>
        <w:rPr>
          <w:rFonts w:ascii="Arial" w:hAnsi="Arial" w:cs="Arial"/>
          <w:sz w:val="22"/>
        </w:rPr>
        <w:t>Los Tratados exigen mayorías reforzadas en casos concretos:</w:t>
      </w:r>
    </w:p>
    <w:tbl>
      <w:tblPr>
        <w:tblStyle w:val="TableGrid"/>
        <w:tblW w:type="dxa" w:w="9026"/>
        <w:jc w:val="left"/>
        <w:tblLayout w:type="fixed"/>
        <w:tblLook w:firstColumn="1" w:firstRow="1" w:lastColumn="0" w:lastRow="0" w:noHBand="0" w:noVBand="1" w:val="04A0"/>
        <w:tblInd w:w="120" w:type="dxa"/>
      </w:tblPr>
      <w:tblGrid>
        <w:gridCol w:w="5109"/>
        <w:gridCol w:w="3917"/>
      </w:tblGrid>
      <w:tr>
        <w:trPr>
          <w:tblHeader w:val="true"/>
        </w:trPr>
        <w:tc>
          <w:tcPr>
            <w:tcW w:type="dxa" w:w="510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Decisión</w:t>
            </w:r>
          </w:p>
        </w:tc>
        <w:tc>
          <w:tcPr>
            <w:tcW w:type="dxa" w:w="391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Mayoría</w:t>
            </w:r>
          </w:p>
        </w:tc>
      </w:tr>
      <w:tr>
        <w:tc>
          <w:tcPr>
            <w:tcW w:type="dxa" w:w="5109"/>
            <w:tcMar>
              <w:top w:w="80" w:type="dxa"/>
              <w:start w:w="120" w:type="dxa"/>
              <w:bottom w:w="80" w:type="dxa"/>
              <w:end w:w="120" w:type="dxa"/>
            </w:tcMar>
            <w:vAlign w:val="center"/>
          </w:tcPr>
          <w:p>
            <w:pPr>
              <w:spacing w:before="0" w:after="0" w:line="240" w:lineRule="auto"/>
              <w:jc w:val="left"/>
            </w:pPr>
            <w:r/>
            <w:r>
              <w:rPr>
                <w:rFonts w:ascii="Arial" w:hAnsi="Arial" w:cs="Arial"/>
                <w:sz w:val="18"/>
              </w:rPr>
              <w:t>Regla general</w:t>
            </w:r>
          </w:p>
        </w:tc>
        <w:tc>
          <w:tcPr>
            <w:tcW w:type="dxa" w:w="3917"/>
            <w:tcMar>
              <w:top w:w="80" w:type="dxa"/>
              <w:start w:w="120" w:type="dxa"/>
              <w:bottom w:w="80" w:type="dxa"/>
              <w:end w:w="120" w:type="dxa"/>
            </w:tcMar>
            <w:vAlign w:val="center"/>
          </w:tcPr>
          <w:p>
            <w:pPr>
              <w:spacing w:before="0" w:after="0" w:line="240" w:lineRule="auto"/>
              <w:jc w:val="center"/>
            </w:pPr>
            <w:r/>
            <w:r>
              <w:rPr>
                <w:rFonts w:ascii="Arial" w:hAnsi="Arial" w:cs="Arial"/>
                <w:sz w:val="18"/>
              </w:rPr>
              <w:t>Votos emitidos</w:t>
            </w:r>
          </w:p>
        </w:tc>
      </w:tr>
      <w:tr>
        <w:tc>
          <w:tcPr>
            <w:tcW w:type="dxa" w:w="5109"/>
            <w:tcMar>
              <w:top w:w="80" w:type="dxa"/>
              <w:start w:w="120" w:type="dxa"/>
              <w:bottom w:w="80" w:type="dxa"/>
              <w:end w:w="120" w:type="dxa"/>
            </w:tcMar>
            <w:vAlign w:val="center"/>
          </w:tcPr>
          <w:p>
            <w:pPr>
              <w:spacing w:before="0" w:after="0" w:line="240" w:lineRule="auto"/>
              <w:jc w:val="left"/>
            </w:pPr>
            <w:r/>
            <w:r>
              <w:rPr>
                <w:rFonts w:ascii="Arial" w:hAnsi="Arial" w:cs="Arial"/>
                <w:sz w:val="18"/>
              </w:rPr>
              <w:t>Elección del presidente de la Comisión</w:t>
            </w:r>
          </w:p>
        </w:tc>
        <w:tc>
          <w:tcPr>
            <w:tcW w:type="dxa" w:w="3917"/>
            <w:tcMar>
              <w:top w:w="80" w:type="dxa"/>
              <w:start w:w="120" w:type="dxa"/>
              <w:bottom w:w="80" w:type="dxa"/>
              <w:end w:w="120" w:type="dxa"/>
            </w:tcMar>
            <w:vAlign w:val="center"/>
          </w:tcPr>
          <w:p>
            <w:pPr>
              <w:spacing w:before="0" w:after="0" w:line="240" w:lineRule="auto"/>
              <w:jc w:val="left"/>
            </w:pPr>
            <w:r/>
            <w:r>
              <w:rPr>
                <w:rFonts w:ascii="Arial" w:hAnsi="Arial" w:cs="Arial"/>
                <w:sz w:val="18"/>
              </w:rPr>
              <w:t>Mayoría de miembros que componen el Parlamento</w:t>
            </w:r>
          </w:p>
        </w:tc>
      </w:tr>
      <w:tr>
        <w:tc>
          <w:tcPr>
            <w:tcW w:type="dxa" w:w="5109"/>
            <w:tcMar>
              <w:top w:w="80" w:type="dxa"/>
              <w:start w:w="120" w:type="dxa"/>
              <w:bottom w:w="80" w:type="dxa"/>
              <w:end w:w="120" w:type="dxa"/>
            </w:tcMar>
            <w:vAlign w:val="center"/>
          </w:tcPr>
          <w:p>
            <w:pPr>
              <w:spacing w:before="0" w:after="0" w:line="240" w:lineRule="auto"/>
              <w:jc w:val="left"/>
            </w:pPr>
            <w:r/>
            <w:r>
              <w:rPr>
                <w:rFonts w:ascii="Arial" w:hAnsi="Arial" w:cs="Arial"/>
                <w:sz w:val="18"/>
              </w:rPr>
              <w:t>Moción de censura a la Comisión</w:t>
            </w:r>
          </w:p>
        </w:tc>
        <w:tc>
          <w:tcPr>
            <w:tcW w:type="dxa" w:w="3917"/>
            <w:tcMar>
              <w:top w:w="80" w:type="dxa"/>
              <w:start w:w="120" w:type="dxa"/>
              <w:bottom w:w="80" w:type="dxa"/>
              <w:end w:w="120" w:type="dxa"/>
            </w:tcMar>
            <w:vAlign w:val="center"/>
          </w:tcPr>
          <w:p>
            <w:pPr>
              <w:spacing w:before="0" w:after="0" w:line="240" w:lineRule="auto"/>
              <w:jc w:val="left"/>
            </w:pPr>
            <w:r/>
            <w:r>
              <w:rPr>
                <w:rFonts w:ascii="Arial" w:hAnsi="Arial" w:cs="Arial"/>
                <w:sz w:val="18"/>
              </w:rPr>
              <w:t>Dos tercios de votos emitidos y mayoría de miembros</w:t>
            </w:r>
          </w:p>
        </w:tc>
      </w:tr>
      <w:tr>
        <w:tc>
          <w:tcPr>
            <w:tcW w:type="dxa" w:w="5109"/>
            <w:tcMar>
              <w:top w:w="80" w:type="dxa"/>
              <w:start w:w="120" w:type="dxa"/>
              <w:bottom w:w="80" w:type="dxa"/>
              <w:end w:w="120" w:type="dxa"/>
            </w:tcMar>
            <w:vAlign w:val="center"/>
          </w:tcPr>
          <w:p>
            <w:pPr>
              <w:spacing w:before="0" w:after="0" w:line="240" w:lineRule="auto"/>
              <w:jc w:val="left"/>
            </w:pPr>
            <w:r/>
            <w:r>
              <w:rPr>
                <w:rFonts w:ascii="Arial" w:hAnsi="Arial" w:cs="Arial"/>
                <w:sz w:val="18"/>
              </w:rPr>
              <w:t>Aprobación de enmiendas en segunda lectura contra posición del Consejo</w:t>
            </w:r>
          </w:p>
        </w:tc>
        <w:tc>
          <w:tcPr>
            <w:tcW w:type="dxa" w:w="3917"/>
            <w:tcMar>
              <w:top w:w="80" w:type="dxa"/>
              <w:start w:w="120" w:type="dxa"/>
              <w:bottom w:w="80" w:type="dxa"/>
              <w:end w:w="120" w:type="dxa"/>
            </w:tcMar>
            <w:vAlign w:val="center"/>
          </w:tcPr>
          <w:p>
            <w:pPr>
              <w:spacing w:before="0" w:after="0" w:line="240" w:lineRule="auto"/>
              <w:jc w:val="left"/>
            </w:pPr>
            <w:r/>
            <w:r>
              <w:rPr>
                <w:rFonts w:ascii="Arial" w:hAnsi="Arial" w:cs="Arial"/>
                <w:sz w:val="18"/>
              </w:rPr>
              <w:t>Mayoría de miembros</w:t>
            </w:r>
          </w:p>
        </w:tc>
      </w:tr>
      <w:tr>
        <w:tc>
          <w:tcPr>
            <w:tcW w:type="dxa" w:w="5109"/>
            <w:tcMar>
              <w:top w:w="80" w:type="dxa"/>
              <w:start w:w="120" w:type="dxa"/>
              <w:bottom w:w="80" w:type="dxa"/>
              <w:end w:w="120" w:type="dxa"/>
            </w:tcMar>
            <w:vAlign w:val="center"/>
          </w:tcPr>
          <w:p>
            <w:pPr>
              <w:spacing w:before="0" w:after="0" w:line="240" w:lineRule="auto"/>
              <w:jc w:val="left"/>
            </w:pPr>
            <w:r/>
            <w:r>
              <w:rPr>
                <w:rFonts w:ascii="Arial" w:hAnsi="Arial" w:cs="Arial"/>
                <w:sz w:val="18"/>
              </w:rPr>
              <w:t>Iniciativa de revisión ordinaria de los Tratados</w:t>
            </w:r>
          </w:p>
        </w:tc>
        <w:tc>
          <w:tcPr>
            <w:tcW w:type="dxa" w:w="3917"/>
            <w:tcMar>
              <w:top w:w="80" w:type="dxa"/>
              <w:start w:w="120" w:type="dxa"/>
              <w:bottom w:w="80" w:type="dxa"/>
              <w:end w:w="120" w:type="dxa"/>
            </w:tcMar>
            <w:vAlign w:val="center"/>
          </w:tcPr>
          <w:p>
            <w:pPr>
              <w:spacing w:before="0" w:after="0" w:line="240" w:lineRule="auto"/>
              <w:jc w:val="left"/>
            </w:pPr>
            <w:r/>
            <w:r>
              <w:rPr>
                <w:rFonts w:ascii="Arial" w:hAnsi="Arial" w:cs="Arial"/>
                <w:sz w:val="18"/>
              </w:rPr>
              <w:t>Mayoría de miembros, según el procedimiento aplicable</w:t>
            </w:r>
          </w:p>
        </w:tc>
      </w:tr>
    </w:tbl>
    <w:p>
      <w:pPr>
        <w:spacing w:after="40"/>
      </w:pPr>
    </w:p>
    <w:p>
      <w:pPr>
        <w:jc w:val="both"/>
      </w:pPr>
      <w:r>
        <w:rPr>
          <w:rFonts w:ascii="Arial" w:hAnsi="Arial" w:cs="Arial"/>
          <w:sz w:val="22"/>
        </w:rPr>
        <w:t xml:space="preserve">Con 720 escaños, la mayoría de los miembros es </w:t>
      </w:r>
      <w:r>
        <w:rPr>
          <w:rFonts w:ascii="Arial" w:hAnsi="Arial" w:cs="Arial"/>
          <w:b/>
          <w:sz w:val="22"/>
        </w:rPr>
        <w:t>361</w:t>
      </w:r>
      <w:r>
        <w:rPr>
          <w:rFonts w:ascii="Arial" w:hAnsi="Arial" w:cs="Arial"/>
          <w:sz w:val="22"/>
        </w:rPr>
        <w:t>. Ese número no sustituye a la fórmula jurídica: si cambia legalmente la composición, cambia el umbral.</w:t>
      </w:r>
    </w:p>
    <w:p>
      <w:pPr>
        <w:pStyle w:val="Heading2"/>
        <w:keepNext/>
      </w:pPr>
      <w:r>
        <w:rPr>
          <w:rFonts w:ascii="Arial" w:hAnsi="Arial" w:cs="Arial"/>
          <w:sz w:val="25"/>
        </w:rPr>
        <w:t>2.5. Funciones legislativas</w:t>
      </w:r>
    </w:p>
    <w:p>
      <w:pPr>
        <w:jc w:val="both"/>
      </w:pPr>
      <w:r>
        <w:rPr>
          <w:rFonts w:ascii="Arial" w:hAnsi="Arial" w:cs="Arial"/>
          <w:sz w:val="22"/>
        </w:rPr>
        <w:t>Parlamento y Consejo ejercen conjuntamente la función legislativa. El procedimiento ordinario del artículo 294 TFUE es el habitual:</w:t>
      </w:r>
    </w:p>
    <w:p>
      <w:pPr>
        <w:spacing w:after="40"/>
        <w:ind w:left="369" w:hanging="227"/>
      </w:pPr>
      <w:r>
        <w:rPr>
          <w:rFonts w:ascii="Arial" w:hAnsi="Arial" w:cs="Arial"/>
          <w:sz w:val="22"/>
        </w:rPr>
        <w:t>1. La Comisión presenta propuesta a Parlamento y Consejo.</w:t>
      </w:r>
    </w:p>
    <w:p>
      <w:pPr>
        <w:spacing w:after="40"/>
        <w:ind w:left="369" w:hanging="227"/>
      </w:pPr>
      <w:r>
        <w:rPr>
          <w:rFonts w:ascii="Arial" w:hAnsi="Arial" w:cs="Arial"/>
          <w:sz w:val="22"/>
        </w:rPr>
        <w:t>2. El Parlamento adopta su posición de primera lectura.</w:t>
      </w:r>
    </w:p>
    <w:p>
      <w:pPr>
        <w:spacing w:after="40"/>
        <w:ind w:left="369" w:hanging="227"/>
      </w:pPr>
      <w:r>
        <w:rPr>
          <w:rFonts w:ascii="Arial" w:hAnsi="Arial" w:cs="Arial"/>
          <w:sz w:val="22"/>
        </w:rPr>
        <w:t>3. Si el Consejo la aprueba, el acto queda adoptado; si no, fija su posición.</w:t>
      </w:r>
    </w:p>
    <w:p>
      <w:pPr>
        <w:spacing w:after="40"/>
        <w:ind w:left="369" w:hanging="227"/>
      </w:pPr>
      <w:r>
        <w:rPr>
          <w:rFonts w:ascii="Arial" w:hAnsi="Arial" w:cs="Arial"/>
          <w:sz w:val="22"/>
        </w:rPr>
        <w:t>4. En segunda lectura, el Parlamento puede aprobar, no pronunciarse, rechazar o enmendar.</w:t>
      </w:r>
    </w:p>
    <w:p>
      <w:pPr>
        <w:spacing w:after="40"/>
        <w:ind w:left="369" w:hanging="227"/>
      </w:pPr>
      <w:r>
        <w:rPr>
          <w:rFonts w:ascii="Arial" w:hAnsi="Arial" w:cs="Arial"/>
          <w:sz w:val="22"/>
        </w:rPr>
        <w:t>5. Si el Consejo no aprueba todas las enmiendas, se convoca un Comité de Conciliación.</w:t>
      </w:r>
    </w:p>
    <w:p>
      <w:pPr>
        <w:spacing w:after="40"/>
        <w:ind w:left="369" w:hanging="227"/>
      </w:pPr>
      <w:r>
        <w:rPr>
          <w:rFonts w:ascii="Arial" w:hAnsi="Arial" w:cs="Arial"/>
          <w:sz w:val="22"/>
        </w:rPr>
        <w:t>6. Si hay texto conjunto, ambas instituciones deben aprobarlo en tercera lectura.</w:t>
      </w:r>
    </w:p>
    <w:p>
      <w:pPr>
        <w:jc w:val="both"/>
      </w:pPr>
      <w:r>
        <w:rPr>
          <w:rFonts w:ascii="Arial" w:hAnsi="Arial" w:cs="Arial"/>
          <w:sz w:val="22"/>
        </w:rPr>
        <w:t>En el procedimiento ordinario son colegisladores en pie de igualdad. En procedimientos legislativos especiales, una institución adopta el acto con participación de la otra mediante consulta o aprobación. La consulta no equivale a consentimiento, pero si es preceptiva debe realizarse correctamente.</w:t>
      </w:r>
    </w:p>
    <w:p>
      <w:pPr>
        <w:jc w:val="both"/>
      </w:pPr>
      <w:r>
        <w:rPr>
          <w:rFonts w:ascii="Arial" w:hAnsi="Arial" w:cs="Arial"/>
          <w:sz w:val="22"/>
        </w:rPr>
        <w:t>El Parlamento carece de un poder general autónomo para presentar proyectos legislativos. Puede solicitar por mayoría de sus miembros que la Comisión presente una propuesta; si esta no lo hace, debe comunicar sus razones. En ámbitos concretos, como su estatuto electoral, sí puede ejercer iniciativa prevista por los Tratados.</w:t>
      </w:r>
    </w:p>
    <w:p>
      <w:pPr>
        <w:pStyle w:val="Heading2"/>
        <w:keepNext/>
      </w:pPr>
      <w:r>
        <w:rPr>
          <w:rFonts w:ascii="Arial" w:hAnsi="Arial" w:cs="Arial"/>
          <w:sz w:val="25"/>
        </w:rPr>
        <w:t>2.6. Función presupuestaria</w:t>
      </w:r>
    </w:p>
    <w:p>
      <w:pPr>
        <w:jc w:val="both"/>
      </w:pPr>
      <w:r>
        <w:rPr>
          <w:rFonts w:ascii="Arial" w:hAnsi="Arial" w:cs="Arial"/>
          <w:sz w:val="22"/>
        </w:rPr>
        <w:t>Parlamento y Consejo establecen el presupuesto anual conforme al artículo 314 TFUE. La Comisión presenta el proyecto. Las dos ramas de la autoridad presupuestaria intervienen y puede reunirse un Comité de Conciliación.</w:t>
      </w:r>
    </w:p>
    <w:p>
      <w:pPr>
        <w:jc w:val="both"/>
      </w:pPr>
      <w:r>
        <w:rPr>
          <w:rFonts w:ascii="Arial" w:hAnsi="Arial" w:cs="Arial"/>
          <w:sz w:val="22"/>
        </w:rPr>
        <w:t>El Parlamento:</w:t>
      </w:r>
    </w:p>
    <w:p>
      <w:pPr>
        <w:pStyle w:val="ListBullet"/>
      </w:pPr>
      <w:r>
        <w:rPr>
          <w:rFonts w:ascii="Arial" w:hAnsi="Arial" w:cs="Arial"/>
          <w:sz w:val="22"/>
        </w:rPr>
        <w:t>Participa en la aprobación del marco financiero plurianual mediante su consentimiento.</w:t>
      </w:r>
    </w:p>
    <w:p>
      <w:pPr>
        <w:pStyle w:val="ListBullet"/>
      </w:pPr>
      <w:r>
        <w:rPr>
          <w:rFonts w:ascii="Arial" w:hAnsi="Arial" w:cs="Arial"/>
          <w:sz w:val="22"/>
        </w:rPr>
        <w:t>Aprueba con el Consejo el presupuesto anual.</w:t>
      </w:r>
    </w:p>
    <w:p>
      <w:pPr>
        <w:pStyle w:val="ListBullet"/>
      </w:pPr>
      <w:r>
        <w:rPr>
          <w:rFonts w:ascii="Arial" w:hAnsi="Arial" w:cs="Arial"/>
          <w:sz w:val="22"/>
        </w:rPr>
        <w:t>Controla su ejecución.</w:t>
      </w:r>
    </w:p>
    <w:p>
      <w:pPr>
        <w:pStyle w:val="ListBullet"/>
      </w:pPr>
      <w:r>
        <w:rPr>
          <w:rFonts w:ascii="Arial" w:hAnsi="Arial" w:cs="Arial"/>
          <w:sz w:val="22"/>
        </w:rPr>
        <w:t xml:space="preserve">Concede a la Comisión la aprobación de la gestión o </w:t>
      </w:r>
      <w:r>
        <w:rPr>
          <w:rFonts w:ascii="Arial" w:hAnsi="Arial" w:cs="Arial"/>
          <w:b/>
          <w:sz w:val="22"/>
        </w:rPr>
        <w:t>descargo</w:t>
      </w:r>
      <w:r>
        <w:rPr>
          <w:rFonts w:ascii="Arial" w:hAnsi="Arial" w:cs="Arial"/>
          <w:sz w:val="22"/>
        </w:rPr>
        <w:t>, previa recomendación del Consejo y examinando informes del Tribunal de Cuentas.</w:t>
      </w:r>
    </w:p>
    <w:p>
      <w:pPr>
        <w:jc w:val="both"/>
      </w:pPr>
      <w:r>
        <w:rPr>
          <w:rFonts w:ascii="Arial" w:hAnsi="Arial" w:cs="Arial"/>
          <w:sz w:val="22"/>
        </w:rPr>
        <w:t>El presidente del Parlamento declara definitivamente adoptado el presupuesto y lo firma.</w:t>
      </w:r>
    </w:p>
    <w:p>
      <w:pPr>
        <w:pStyle w:val="Heading2"/>
        <w:keepNext/>
      </w:pPr>
      <w:r>
        <w:rPr>
          <w:rFonts w:ascii="Arial" w:hAnsi="Arial" w:cs="Arial"/>
          <w:sz w:val="25"/>
        </w:rPr>
        <w:t>2.7. Control político y otras atribuciones</w:t>
      </w:r>
    </w:p>
    <w:p>
      <w:pPr>
        <w:jc w:val="both"/>
      </w:pPr>
      <w:r>
        <w:rPr>
          <w:rFonts w:ascii="Arial" w:hAnsi="Arial" w:cs="Arial"/>
          <w:sz w:val="22"/>
        </w:rPr>
        <w:t>El Parlamento controla a la Comisión mediante:</w:t>
      </w:r>
    </w:p>
    <w:p>
      <w:pPr>
        <w:pStyle w:val="ListBullet"/>
      </w:pPr>
      <w:r>
        <w:rPr>
          <w:rFonts w:ascii="Arial" w:hAnsi="Arial" w:cs="Arial"/>
          <w:sz w:val="22"/>
        </w:rPr>
        <w:t>Elección de su presidente.</w:t>
      </w:r>
    </w:p>
    <w:p>
      <w:pPr>
        <w:pStyle w:val="ListBullet"/>
      </w:pPr>
      <w:r>
        <w:rPr>
          <w:rFonts w:ascii="Arial" w:hAnsi="Arial" w:cs="Arial"/>
          <w:sz w:val="22"/>
        </w:rPr>
        <w:t>Voto de aprobación del Colegio.</w:t>
      </w:r>
    </w:p>
    <w:p>
      <w:pPr>
        <w:pStyle w:val="ListBullet"/>
      </w:pPr>
      <w:r>
        <w:rPr>
          <w:rFonts w:ascii="Arial" w:hAnsi="Arial" w:cs="Arial"/>
          <w:sz w:val="22"/>
        </w:rPr>
        <w:t>Preguntas, comparecencias y debates.</w:t>
      </w:r>
    </w:p>
    <w:p>
      <w:pPr>
        <w:pStyle w:val="ListBullet"/>
      </w:pPr>
      <w:r>
        <w:rPr>
          <w:rFonts w:ascii="Arial" w:hAnsi="Arial" w:cs="Arial"/>
          <w:sz w:val="22"/>
        </w:rPr>
        <w:t>Examen de informes generales y sectoriales.</w:t>
      </w:r>
    </w:p>
    <w:p>
      <w:pPr>
        <w:pStyle w:val="ListBullet"/>
      </w:pPr>
      <w:r>
        <w:rPr>
          <w:rFonts w:ascii="Arial" w:hAnsi="Arial" w:cs="Arial"/>
          <w:sz w:val="22"/>
        </w:rPr>
        <w:t>Comisiones temporales de investigación.</w:t>
      </w:r>
    </w:p>
    <w:p>
      <w:pPr>
        <w:pStyle w:val="ListBullet"/>
      </w:pPr>
      <w:r>
        <w:rPr>
          <w:rFonts w:ascii="Arial" w:hAnsi="Arial" w:cs="Arial"/>
          <w:sz w:val="22"/>
        </w:rPr>
        <w:t>Moción de censura.</w:t>
      </w:r>
    </w:p>
    <w:p>
      <w:pPr>
        <w:jc w:val="both"/>
      </w:pPr>
      <w:r>
        <w:rPr>
          <w:rFonts w:ascii="Arial" w:hAnsi="Arial" w:cs="Arial"/>
          <w:sz w:val="22"/>
        </w:rPr>
        <w:t>La moción de censura no puede votarse hasta transcurridos al menos tres días desde su presentación; la votación es pública. Para aprobarla se necesitan dos tercios de los votos emitidos que representen a la vez la mayoría de los miembros. Sus efectos son colectivos: dimite la Comisión y el Alto Representante cesa en las funciones que ejerce dentro de ella.</w:t>
      </w:r>
    </w:p>
    <w:p>
      <w:pPr>
        <w:jc w:val="both"/>
      </w:pPr>
      <w:r>
        <w:rPr>
          <w:rFonts w:ascii="Arial" w:hAnsi="Arial" w:cs="Arial"/>
          <w:sz w:val="22"/>
        </w:rPr>
        <w:t>Otras facultades:</w:t>
      </w:r>
    </w:p>
    <w:p>
      <w:pPr>
        <w:pStyle w:val="ListBullet"/>
      </w:pPr>
      <w:r>
        <w:rPr>
          <w:rFonts w:ascii="Arial" w:hAnsi="Arial" w:cs="Arial"/>
          <w:sz w:val="22"/>
        </w:rPr>
        <w:t>Elegir al Defensor del Pueblo Europeo.</w:t>
      </w:r>
    </w:p>
    <w:p>
      <w:pPr>
        <w:pStyle w:val="ListBullet"/>
      </w:pPr>
      <w:r>
        <w:rPr>
          <w:rFonts w:ascii="Arial" w:hAnsi="Arial" w:cs="Arial"/>
          <w:sz w:val="22"/>
        </w:rPr>
        <w:t>Recibir peticiones de ciudadanos y residentes.</w:t>
      </w:r>
    </w:p>
    <w:p>
      <w:pPr>
        <w:pStyle w:val="ListBullet"/>
      </w:pPr>
      <w:r>
        <w:rPr>
          <w:rFonts w:ascii="Arial" w:hAnsi="Arial" w:cs="Arial"/>
          <w:sz w:val="22"/>
        </w:rPr>
        <w:t>Aprobar o ser consultado sobre acuerdos internacionales según la materia.</w:t>
      </w:r>
    </w:p>
    <w:p>
      <w:pPr>
        <w:pStyle w:val="ListBullet"/>
      </w:pPr>
      <w:r>
        <w:rPr>
          <w:rFonts w:ascii="Arial" w:hAnsi="Arial" w:cs="Arial"/>
          <w:sz w:val="22"/>
        </w:rPr>
        <w:t>Participar en nombramientos del BCE, Tribunal de Cuentas y otros órganos.</w:t>
      </w:r>
    </w:p>
    <w:p>
      <w:pPr>
        <w:pStyle w:val="ListBullet"/>
      </w:pPr>
      <w:r>
        <w:rPr>
          <w:rFonts w:ascii="Arial" w:hAnsi="Arial" w:cs="Arial"/>
          <w:sz w:val="22"/>
        </w:rPr>
        <w:t>Ejercer control político sobre Consejo y Alto Representante, aunque estos no responden colegiadamente ante él como la Comisión.</w:t>
      </w:r>
    </w:p>
    <w:p>
      <w:pPr>
        <w:pStyle w:val="Heading1"/>
        <w:keepNext/>
      </w:pPr>
      <w:r>
        <w:rPr>
          <w:rFonts w:ascii="Arial" w:hAnsi="Arial" w:cs="Arial"/>
          <w:sz w:val="30"/>
        </w:rPr>
        <w:t>3. El Consejo de la Unión Europea</w:t>
      </w:r>
    </w:p>
    <w:p>
      <w:pPr>
        <w:pStyle w:val="Heading2"/>
        <w:keepNext/>
      </w:pPr>
      <w:r>
        <w:rPr>
          <w:rFonts w:ascii="Arial" w:hAnsi="Arial" w:cs="Arial"/>
          <w:sz w:val="25"/>
        </w:rPr>
        <w:t>3.1. Naturaleza y composición variable</w:t>
      </w:r>
    </w:p>
    <w:p>
      <w:pPr>
        <w:jc w:val="both"/>
      </w:pPr>
      <w:r>
        <w:rPr>
          <w:rFonts w:ascii="Arial" w:hAnsi="Arial" w:cs="Arial"/>
          <w:sz w:val="22"/>
        </w:rPr>
        <w:t xml:space="preserve">El artículo 16 TUE dispone que el Consejo está compuesto por un representante de cada Estado miembro de </w:t>
      </w:r>
      <w:r>
        <w:rPr>
          <w:rFonts w:ascii="Arial" w:hAnsi="Arial" w:cs="Arial"/>
          <w:b/>
          <w:sz w:val="22"/>
        </w:rPr>
        <w:t>rango ministerial</w:t>
      </w:r>
      <w:r>
        <w:rPr>
          <w:rFonts w:ascii="Arial" w:hAnsi="Arial" w:cs="Arial"/>
          <w:sz w:val="22"/>
        </w:rPr>
        <w:t>, facultado para comprometer al Gobierno que representa y ejercer el voto. No exige que sea siempre el ministro nacional formalmente denominado así; puede acudir una autoridad regional con rango ministerial si el orden constitucional del Estado le permite comprometer al Gobierno.</w:t>
      </w:r>
    </w:p>
    <w:p>
      <w:pPr>
        <w:jc w:val="both"/>
      </w:pPr>
      <w:r>
        <w:rPr>
          <w:rFonts w:ascii="Arial" w:hAnsi="Arial" w:cs="Arial"/>
          <w:sz w:val="22"/>
        </w:rPr>
        <w:t>El Consejo es una institución única que se reúne en distintas formaciones según la materia. Actualmente existen diez:</w:t>
      </w:r>
    </w:p>
    <w:p>
      <w:pPr>
        <w:spacing w:after="40"/>
        <w:ind w:left="369" w:hanging="227"/>
      </w:pPr>
      <w:r>
        <w:rPr>
          <w:rFonts w:ascii="Arial" w:hAnsi="Arial" w:cs="Arial"/>
          <w:sz w:val="22"/>
        </w:rPr>
        <w:t>1. Asuntos Generales.</w:t>
      </w:r>
    </w:p>
    <w:p>
      <w:pPr>
        <w:spacing w:after="40"/>
        <w:ind w:left="369" w:hanging="227"/>
      </w:pPr>
      <w:r>
        <w:rPr>
          <w:rFonts w:ascii="Arial" w:hAnsi="Arial" w:cs="Arial"/>
          <w:sz w:val="22"/>
        </w:rPr>
        <w:t>2. Asuntos Exteriores.</w:t>
      </w:r>
    </w:p>
    <w:p>
      <w:pPr>
        <w:spacing w:after="40"/>
        <w:ind w:left="369" w:hanging="227"/>
      </w:pPr>
      <w:r>
        <w:rPr>
          <w:rFonts w:ascii="Arial" w:hAnsi="Arial" w:cs="Arial"/>
          <w:sz w:val="22"/>
        </w:rPr>
        <w:t>3. Asuntos Económicos y Financieros.</w:t>
      </w:r>
    </w:p>
    <w:p>
      <w:pPr>
        <w:spacing w:after="40"/>
        <w:ind w:left="369" w:hanging="227"/>
      </w:pPr>
      <w:r>
        <w:rPr>
          <w:rFonts w:ascii="Arial" w:hAnsi="Arial" w:cs="Arial"/>
          <w:sz w:val="22"/>
        </w:rPr>
        <w:t>4. Justicia y Asuntos de Interior.</w:t>
      </w:r>
    </w:p>
    <w:p>
      <w:pPr>
        <w:spacing w:after="40"/>
        <w:ind w:left="369" w:hanging="227"/>
      </w:pPr>
      <w:r>
        <w:rPr>
          <w:rFonts w:ascii="Arial" w:hAnsi="Arial" w:cs="Arial"/>
          <w:sz w:val="22"/>
        </w:rPr>
        <w:t>5. Empleo, Política Social, Sanidad y Consumidores.</w:t>
      </w:r>
    </w:p>
    <w:p>
      <w:pPr>
        <w:spacing w:after="40"/>
        <w:ind w:left="369" w:hanging="227"/>
      </w:pPr>
      <w:r>
        <w:rPr>
          <w:rFonts w:ascii="Arial" w:hAnsi="Arial" w:cs="Arial"/>
          <w:sz w:val="22"/>
        </w:rPr>
        <w:t>6. Competitividad.</w:t>
      </w:r>
    </w:p>
    <w:p>
      <w:pPr>
        <w:spacing w:after="40"/>
        <w:ind w:left="369" w:hanging="227"/>
      </w:pPr>
      <w:r>
        <w:rPr>
          <w:rFonts w:ascii="Arial" w:hAnsi="Arial" w:cs="Arial"/>
          <w:sz w:val="22"/>
        </w:rPr>
        <w:t>7. Transporte, Telecomunicaciones y Energía.</w:t>
      </w:r>
    </w:p>
    <w:p>
      <w:pPr>
        <w:spacing w:after="40"/>
        <w:ind w:left="369" w:hanging="227"/>
      </w:pPr>
      <w:r>
        <w:rPr>
          <w:rFonts w:ascii="Arial" w:hAnsi="Arial" w:cs="Arial"/>
          <w:sz w:val="22"/>
        </w:rPr>
        <w:t>8. Agricultura y Pesca.</w:t>
      </w:r>
    </w:p>
    <w:p>
      <w:pPr>
        <w:spacing w:after="40"/>
        <w:ind w:left="369" w:hanging="227"/>
      </w:pPr>
      <w:r>
        <w:rPr>
          <w:rFonts w:ascii="Arial" w:hAnsi="Arial" w:cs="Arial"/>
          <w:sz w:val="22"/>
        </w:rPr>
        <w:t>9. Medio Ambiente.</w:t>
      </w:r>
    </w:p>
    <w:p>
      <w:pPr>
        <w:spacing w:after="40"/>
        <w:ind w:left="369" w:hanging="227"/>
      </w:pPr>
      <w:r>
        <w:rPr>
          <w:rFonts w:ascii="Arial" w:hAnsi="Arial" w:cs="Arial"/>
          <w:sz w:val="22"/>
        </w:rPr>
        <w:t>10. Educación, Juventud, Cultura y Deporte.</w:t>
      </w:r>
    </w:p>
    <w:p>
      <w:pPr>
        <w:jc w:val="both"/>
      </w:pPr>
      <w:r>
        <w:rPr>
          <w:rFonts w:ascii="Arial" w:hAnsi="Arial" w:cs="Arial"/>
          <w:sz w:val="22"/>
        </w:rPr>
        <w:t>Asuntos Generales garantiza coherencia entre trabajos y prepara reuniones del Consejo Europeo. Asuntos Exteriores elabora la acción exterior atendiendo a las orientaciones del Consejo Europeo.</w:t>
      </w:r>
    </w:p>
    <w:p>
      <w:pPr>
        <w:jc w:val="both"/>
      </w:pPr>
      <w:r>
        <w:rPr>
          <w:rFonts w:ascii="Arial" w:hAnsi="Arial" w:cs="Arial"/>
          <w:sz w:val="22"/>
        </w:rPr>
        <w:t xml:space="preserve">El </w:t>
      </w:r>
      <w:r>
        <w:rPr>
          <w:rFonts w:ascii="Arial" w:hAnsi="Arial" w:cs="Arial"/>
          <w:b/>
          <w:sz w:val="22"/>
        </w:rPr>
        <w:t>Eurogrupo</w:t>
      </w:r>
      <w:r>
        <w:rPr>
          <w:rFonts w:ascii="Arial" w:hAnsi="Arial" w:cs="Arial"/>
          <w:sz w:val="22"/>
        </w:rPr>
        <w:t xml:space="preserve"> no es una formación del Consejo ni una institución: es la reunión informal de ministros de Economía y Finanzas de los Estados cuya moneda es el euro.</w:t>
      </w:r>
    </w:p>
    <w:p>
      <w:pPr>
        <w:pStyle w:val="Heading2"/>
        <w:keepNext/>
      </w:pPr>
      <w:r>
        <w:rPr>
          <w:rFonts w:ascii="Arial" w:hAnsi="Arial" w:cs="Arial"/>
          <w:sz w:val="25"/>
        </w:rPr>
        <w:t>3.2. Presidencia</w:t>
      </w:r>
    </w:p>
    <w:p>
      <w:pPr>
        <w:jc w:val="both"/>
      </w:pPr>
      <w:r>
        <w:rPr>
          <w:rFonts w:ascii="Arial" w:hAnsi="Arial" w:cs="Arial"/>
          <w:sz w:val="22"/>
        </w:rPr>
        <w:t xml:space="preserve">Salvo Asuntos Exteriores, las formaciones son presididas por representantes de Estados miembros conforme a rotación igual durante seis meses. Los Estados trabajan en grupos de tres o </w:t>
      </w:r>
      <w:r>
        <w:rPr>
          <w:rFonts w:ascii="Arial" w:hAnsi="Arial" w:cs="Arial"/>
          <w:b/>
          <w:sz w:val="22"/>
        </w:rPr>
        <w:t>tríos</w:t>
      </w:r>
      <w:r>
        <w:rPr>
          <w:rFonts w:ascii="Arial" w:hAnsi="Arial" w:cs="Arial"/>
          <w:sz w:val="22"/>
        </w:rPr>
        <w:t xml:space="preserve"> con un programa de dieciocho meses.</w:t>
      </w:r>
    </w:p>
    <w:p>
      <w:pPr>
        <w:jc w:val="both"/>
      </w:pPr>
      <w:r>
        <w:rPr>
          <w:rFonts w:ascii="Arial" w:hAnsi="Arial" w:cs="Arial"/>
          <w:sz w:val="22"/>
        </w:rPr>
        <w:t xml:space="preserve">A la fecha de corte, </w:t>
      </w:r>
      <w:r>
        <w:rPr>
          <w:rFonts w:ascii="Arial" w:hAnsi="Arial" w:cs="Arial"/>
          <w:b/>
          <w:sz w:val="22"/>
        </w:rPr>
        <w:t>Irlanda</w:t>
      </w:r>
      <w:r>
        <w:rPr>
          <w:rFonts w:ascii="Arial" w:hAnsi="Arial" w:cs="Arial"/>
          <w:sz w:val="22"/>
        </w:rPr>
        <w:t xml:space="preserve"> ejerce la presidencia desde el 1 de julio hasta el 31 de diciembre de 2026, dentro de un trío con Lituania y Grecia. Organiza y preside reuniones, impulsa compromisos y representa al Consejo en negociaciones con Parlamento y Comisión.</w:t>
      </w:r>
    </w:p>
    <w:p>
      <w:pPr>
        <w:jc w:val="both"/>
      </w:pPr>
      <w:r>
        <w:rPr>
          <w:rFonts w:ascii="Arial" w:hAnsi="Arial" w:cs="Arial"/>
          <w:sz w:val="22"/>
        </w:rPr>
        <w:t xml:space="preserve">La formación de Asuntos Exteriores no la preside el Estado rotatorio, sino el </w:t>
      </w:r>
      <w:r>
        <w:rPr>
          <w:rFonts w:ascii="Arial" w:hAnsi="Arial" w:cs="Arial"/>
          <w:b/>
          <w:sz w:val="22"/>
        </w:rPr>
        <w:t>Alto Representante de la Unión para Asuntos Exteriores y Política de Seguridad</w:t>
      </w:r>
      <w:r>
        <w:rPr>
          <w:rFonts w:ascii="Arial" w:hAnsi="Arial" w:cs="Arial"/>
          <w:sz w:val="22"/>
        </w:rPr>
        <w:t>, actualmente Kaja Kallas. Esta excepción es un dato frecuente.</w:t>
      </w:r>
    </w:p>
    <w:p>
      <w:pPr>
        <w:pStyle w:val="Heading2"/>
        <w:keepNext/>
      </w:pPr>
      <w:r>
        <w:rPr>
          <w:rFonts w:ascii="Arial" w:hAnsi="Arial" w:cs="Arial"/>
          <w:sz w:val="25"/>
        </w:rPr>
        <w:t>3.3. Estructura preparatoria</w:t>
      </w:r>
    </w:p>
    <w:p>
      <w:pPr>
        <w:jc w:val="both"/>
      </w:pPr>
      <w:r>
        <w:rPr>
          <w:rFonts w:ascii="Arial" w:hAnsi="Arial" w:cs="Arial"/>
          <w:sz w:val="22"/>
        </w:rPr>
        <w:t xml:space="preserve">Antes de llegar a los ministros, los expedientes pasan por grupos de trabajo y comités. El </w:t>
      </w:r>
      <w:r>
        <w:rPr>
          <w:rFonts w:ascii="Arial" w:hAnsi="Arial" w:cs="Arial"/>
          <w:b/>
          <w:sz w:val="22"/>
        </w:rPr>
        <w:t>Comité de Representantes Permanentes —COREPER—</w:t>
      </w:r>
      <w:r>
        <w:rPr>
          <w:rFonts w:ascii="Arial" w:hAnsi="Arial" w:cs="Arial"/>
          <w:sz w:val="22"/>
        </w:rPr>
        <w:t xml:space="preserve"> prepara los trabajos y ejecuta los mandatos del Consejo:</w:t>
      </w:r>
    </w:p>
    <w:p>
      <w:pPr>
        <w:pStyle w:val="ListBullet"/>
      </w:pPr>
      <w:r>
        <w:rPr>
          <w:rFonts w:ascii="Arial" w:hAnsi="Arial" w:cs="Arial"/>
          <w:sz w:val="22"/>
        </w:rPr>
        <w:t>COREPER II reúne representantes permanentes y trata asuntos políticos, institucionales, económicos, exteriores y de justicia.</w:t>
      </w:r>
    </w:p>
    <w:p>
      <w:pPr>
        <w:pStyle w:val="ListBullet"/>
      </w:pPr>
      <w:r>
        <w:rPr>
          <w:rFonts w:ascii="Arial" w:hAnsi="Arial" w:cs="Arial"/>
          <w:sz w:val="22"/>
        </w:rPr>
        <w:t>COREPER I reúne representantes permanentes adjuntos y prepara sectores más técnicos y sociales.</w:t>
      </w:r>
    </w:p>
    <w:p>
      <w:pPr>
        <w:jc w:val="both"/>
      </w:pPr>
      <w:r>
        <w:rPr>
          <w:rFonts w:ascii="Arial" w:hAnsi="Arial" w:cs="Arial"/>
          <w:sz w:val="22"/>
        </w:rPr>
        <w:t>Los asuntos acordados técnicamente pueden figurar como puntos “A”, sin debate ministerial, aunque cualquier miembro puede pedir discusión. Los puntos “B” requieren debate. La decisión sigue siendo del Consejo, no del COREPER.</w:t>
      </w:r>
    </w:p>
    <w:p>
      <w:pPr>
        <w:jc w:val="both"/>
      </w:pPr>
      <w:r>
        <w:rPr>
          <w:rFonts w:ascii="Arial" w:hAnsi="Arial" w:cs="Arial"/>
          <w:sz w:val="22"/>
        </w:rPr>
        <w:t>La Secretaría General asiste al Consejo y al Consejo Europeo y garantiza continuidad administrativa. No debe confundirse con la Comisión ni con la presidencia rotatoria.</w:t>
      </w:r>
    </w:p>
    <w:p>
      <w:pPr>
        <w:pStyle w:val="Heading2"/>
        <w:keepNext/>
      </w:pPr>
      <w:r>
        <w:rPr>
          <w:rFonts w:ascii="Arial" w:hAnsi="Arial" w:cs="Arial"/>
          <w:sz w:val="25"/>
        </w:rPr>
        <w:t>3.4. Funciones</w:t>
      </w:r>
    </w:p>
    <w:p>
      <w:pPr>
        <w:jc w:val="both"/>
      </w:pPr>
      <w:r>
        <w:rPr>
          <w:rFonts w:ascii="Arial" w:hAnsi="Arial" w:cs="Arial"/>
          <w:sz w:val="22"/>
        </w:rPr>
        <w:t>El Consejo ejerce conjuntamente con el Parlamento las funciones legislativa y presupuestaria. Además:</w:t>
      </w:r>
    </w:p>
    <w:p>
      <w:pPr>
        <w:pStyle w:val="ListBullet"/>
      </w:pPr>
      <w:r>
        <w:rPr>
          <w:rFonts w:ascii="Arial" w:hAnsi="Arial" w:cs="Arial"/>
          <w:sz w:val="22"/>
        </w:rPr>
        <w:t>Coordina políticas de los Estados, especialmente económicas y de empleo.</w:t>
      </w:r>
    </w:p>
    <w:p>
      <w:pPr>
        <w:pStyle w:val="ListBullet"/>
      </w:pPr>
      <w:r>
        <w:rPr>
          <w:rFonts w:ascii="Arial" w:hAnsi="Arial" w:cs="Arial"/>
          <w:sz w:val="22"/>
        </w:rPr>
        <w:t>Define y aplica la política exterior y de seguridad común conforme a orientaciones del Consejo Europeo.</w:t>
      </w:r>
    </w:p>
    <w:p>
      <w:pPr>
        <w:pStyle w:val="ListBullet"/>
      </w:pPr>
      <w:r>
        <w:rPr>
          <w:rFonts w:ascii="Arial" w:hAnsi="Arial" w:cs="Arial"/>
          <w:sz w:val="22"/>
        </w:rPr>
        <w:t>Celebra acuerdos internacionales en nombre de la Unión.</w:t>
      </w:r>
    </w:p>
    <w:p>
      <w:pPr>
        <w:pStyle w:val="ListBullet"/>
      </w:pPr>
      <w:r>
        <w:rPr>
          <w:rFonts w:ascii="Arial" w:hAnsi="Arial" w:cs="Arial"/>
          <w:sz w:val="22"/>
        </w:rPr>
        <w:t>Adopta determinadas decisiones de ejecución.</w:t>
      </w:r>
    </w:p>
    <w:p>
      <w:pPr>
        <w:pStyle w:val="ListBullet"/>
      </w:pPr>
      <w:r>
        <w:rPr>
          <w:rFonts w:ascii="Arial" w:hAnsi="Arial" w:cs="Arial"/>
          <w:sz w:val="22"/>
        </w:rPr>
        <w:t>Participa en nombramientos institucionales.</w:t>
      </w:r>
    </w:p>
    <w:p>
      <w:pPr>
        <w:pStyle w:val="ListBullet"/>
      </w:pPr>
      <w:r>
        <w:rPr>
          <w:rFonts w:ascii="Arial" w:hAnsi="Arial" w:cs="Arial"/>
          <w:sz w:val="22"/>
        </w:rPr>
        <w:t>Coordina cooperación policial y judicial en el marco de los Tratados.</w:t>
      </w:r>
    </w:p>
    <w:p>
      <w:pPr>
        <w:jc w:val="both"/>
      </w:pPr>
      <w:r>
        <w:rPr>
          <w:rFonts w:ascii="Arial" w:hAnsi="Arial" w:cs="Arial"/>
          <w:sz w:val="22"/>
        </w:rPr>
        <w:t>Cuando delibera y vota sobre proyectos legislativos se reúne en público. Cada sesión se divide en parte legislativa pública y parte no legislativa. Esta publicidad no convierte en públicas todas las deliberaciones sobre actos no legislativos.</w:t>
      </w:r>
    </w:p>
    <w:p>
      <w:pPr>
        <w:pStyle w:val="Heading2"/>
        <w:keepNext/>
      </w:pPr>
      <w:r>
        <w:rPr>
          <w:rFonts w:ascii="Arial" w:hAnsi="Arial" w:cs="Arial"/>
          <w:sz w:val="25"/>
        </w:rPr>
        <w:t>3.5. Sistemas de votación</w:t>
      </w:r>
    </w:p>
    <w:p>
      <w:pPr>
        <w:jc w:val="both"/>
      </w:pPr>
      <w:r>
        <w:rPr>
          <w:rFonts w:ascii="Arial" w:hAnsi="Arial" w:cs="Arial"/>
          <w:sz w:val="22"/>
        </w:rPr>
        <w:t>El Consejo decide por mayoría cualificada salvo que los Tratados dispongan otra cosa. Existen tres sistemas:</w:t>
      </w:r>
    </w:p>
    <w:p>
      <w:pPr>
        <w:pStyle w:val="Heading3"/>
        <w:keepNext/>
      </w:pPr>
      <w:r>
        <w:rPr>
          <w:rFonts w:ascii="Arial" w:hAnsi="Arial" w:cs="Arial"/>
          <w:sz w:val="23"/>
        </w:rPr>
        <w:t>Mayoría cualificada ordinaria</w:t>
      </w:r>
    </w:p>
    <w:p>
      <w:pPr>
        <w:jc w:val="both"/>
      </w:pPr>
      <w:r>
        <w:rPr>
          <w:rFonts w:ascii="Arial" w:hAnsi="Arial" w:cs="Arial"/>
          <w:sz w:val="22"/>
        </w:rPr>
        <w:t>Cuando actúa a propuesta de la Comisión o del Alto Representante se necesitan simultáneamente:</w:t>
      </w:r>
    </w:p>
    <w:p>
      <w:pPr>
        <w:pStyle w:val="ListBullet"/>
      </w:pPr>
      <w:r>
        <w:rPr>
          <w:rFonts w:ascii="Arial" w:hAnsi="Arial" w:cs="Arial"/>
          <w:sz w:val="22"/>
        </w:rPr>
        <w:t xml:space="preserve">Al menos el 55 % de los miembros: con 27 Estados, </w:t>
      </w:r>
      <w:r>
        <w:rPr>
          <w:rFonts w:ascii="Arial" w:hAnsi="Arial" w:cs="Arial"/>
          <w:b/>
          <w:sz w:val="22"/>
        </w:rPr>
        <w:t>15</w:t>
      </w:r>
      <w:r>
        <w:rPr>
          <w:rFonts w:ascii="Arial" w:hAnsi="Arial" w:cs="Arial"/>
          <w:sz w:val="22"/>
        </w:rPr>
        <w:t>.</w:t>
      </w:r>
    </w:p>
    <w:p>
      <w:pPr>
        <w:pStyle w:val="ListBullet"/>
      </w:pPr>
      <w:r>
        <w:rPr>
          <w:rFonts w:ascii="Arial" w:hAnsi="Arial" w:cs="Arial"/>
          <w:sz w:val="22"/>
        </w:rPr>
        <w:t>Estados favorables que representen al menos el 65 % de la población de la Unión.</w:t>
      </w:r>
    </w:p>
    <w:p>
      <w:pPr>
        <w:jc w:val="both"/>
      </w:pPr>
      <w:r>
        <w:rPr>
          <w:rFonts w:ascii="Arial" w:hAnsi="Arial" w:cs="Arial"/>
          <w:sz w:val="22"/>
        </w:rPr>
        <w:t xml:space="preserve">La minoría de bloqueo debe incluir al menos </w:t>
      </w:r>
      <w:r>
        <w:rPr>
          <w:rFonts w:ascii="Arial" w:hAnsi="Arial" w:cs="Arial"/>
          <w:b/>
          <w:sz w:val="22"/>
        </w:rPr>
        <w:t>cuatro Estados</w:t>
      </w:r>
      <w:r>
        <w:rPr>
          <w:rFonts w:ascii="Arial" w:hAnsi="Arial" w:cs="Arial"/>
          <w:sz w:val="22"/>
        </w:rPr>
        <w:t>. Si se oponen menos de cuatro, se considera alcanzada la mayoría cualificada aunque no lleguen por sí solos al umbral demográfico de bloqueo.</w:t>
      </w:r>
    </w:p>
    <w:p>
      <w:pPr>
        <w:pStyle w:val="Heading3"/>
        <w:keepNext/>
      </w:pPr>
      <w:r>
        <w:rPr>
          <w:rFonts w:ascii="Arial" w:hAnsi="Arial" w:cs="Arial"/>
          <w:sz w:val="23"/>
        </w:rPr>
        <w:t>Mayoría cualificada reforzada</w:t>
      </w:r>
    </w:p>
    <w:p>
      <w:pPr>
        <w:jc w:val="both"/>
      </w:pPr>
      <w:r>
        <w:rPr>
          <w:rFonts w:ascii="Arial" w:hAnsi="Arial" w:cs="Arial"/>
          <w:sz w:val="22"/>
        </w:rPr>
        <w:t>Cuando el Consejo no actúa a propuesta de Comisión ni Alto Representante se exige:</w:t>
      </w:r>
    </w:p>
    <w:p>
      <w:pPr>
        <w:pStyle w:val="ListBullet"/>
      </w:pPr>
      <w:r>
        <w:rPr>
          <w:rFonts w:ascii="Arial" w:hAnsi="Arial" w:cs="Arial"/>
          <w:sz w:val="22"/>
        </w:rPr>
        <w:t xml:space="preserve">Al menos el 72 % de los miembros: con 27, </w:t>
      </w:r>
      <w:r>
        <w:rPr>
          <w:rFonts w:ascii="Arial" w:hAnsi="Arial" w:cs="Arial"/>
          <w:b/>
          <w:sz w:val="22"/>
        </w:rPr>
        <w:t>20</w:t>
      </w:r>
      <w:r>
        <w:rPr>
          <w:rFonts w:ascii="Arial" w:hAnsi="Arial" w:cs="Arial"/>
          <w:sz w:val="22"/>
        </w:rPr>
        <w:t>.</w:t>
      </w:r>
    </w:p>
    <w:p>
      <w:pPr>
        <w:pStyle w:val="ListBullet"/>
      </w:pPr>
      <w:r>
        <w:rPr>
          <w:rFonts w:ascii="Arial" w:hAnsi="Arial" w:cs="Arial"/>
          <w:sz w:val="22"/>
        </w:rPr>
        <w:t>Al menos el 65 % de la población.</w:t>
      </w:r>
    </w:p>
    <w:p>
      <w:pPr>
        <w:jc w:val="both"/>
      </w:pPr>
      <w:r>
        <w:rPr>
          <w:rFonts w:ascii="Arial" w:hAnsi="Arial" w:cs="Arial"/>
          <w:sz w:val="22"/>
        </w:rPr>
        <w:t>Si solo participan algunos Estados, los porcentajes se calculan sobre participantes y población correspondiente, con reglas específicas de minoría de bloqueo.</w:t>
      </w:r>
    </w:p>
    <w:p>
      <w:pPr>
        <w:pStyle w:val="Heading3"/>
        <w:keepNext/>
      </w:pPr>
      <w:r>
        <w:rPr>
          <w:rFonts w:ascii="Arial" w:hAnsi="Arial" w:cs="Arial"/>
          <w:sz w:val="23"/>
        </w:rPr>
        <w:t>Mayoría simple y unanimidad</w:t>
      </w:r>
    </w:p>
    <w:p>
      <w:pPr>
        <w:jc w:val="both"/>
      </w:pPr>
      <w:r>
        <w:rPr>
          <w:rFonts w:ascii="Arial" w:hAnsi="Arial" w:cs="Arial"/>
          <w:sz w:val="22"/>
        </w:rPr>
        <w:t xml:space="preserve">La mayoría simple es la mayoría de los miembros que componen el Consejo: hoy, </w:t>
      </w:r>
      <w:r>
        <w:rPr>
          <w:rFonts w:ascii="Arial" w:hAnsi="Arial" w:cs="Arial"/>
          <w:b/>
          <w:sz w:val="22"/>
        </w:rPr>
        <w:t>14 de 27</w:t>
      </w:r>
      <w:r>
        <w:rPr>
          <w:rFonts w:ascii="Arial" w:hAnsi="Arial" w:cs="Arial"/>
          <w:sz w:val="22"/>
        </w:rPr>
        <w:t>. Se utiliza sobre todo para cuestiones de procedimiento y solicitudes a la Comisión.</w:t>
      </w:r>
    </w:p>
    <w:p>
      <w:pPr>
        <w:jc w:val="both"/>
      </w:pPr>
      <w:r>
        <w:rPr>
          <w:rFonts w:ascii="Arial" w:hAnsi="Arial" w:cs="Arial"/>
          <w:sz w:val="22"/>
        </w:rPr>
        <w:t>La unanimidad se reserva a materias sensibles como determinados aspectos fiscales, política exterior y de seguridad, recursos propios, adhesión o algunas decisiones sociales. La abstención de un miembro presente no impide la unanimidad, aunque en mayoría cualificada la abstención cuenta como falta de apoyo.</w:t>
      </w:r>
    </w:p>
    <w:tbl>
      <w:tblPr>
        <w:tblStyle w:val="TableGrid"/>
        <w:tblW w:type="dxa" w:w="9026"/>
        <w:jc w:val="left"/>
        <w:tblLayout w:type="fixed"/>
        <w:tblLook w:firstColumn="1" w:firstRow="1" w:lastColumn="0" w:lastRow="0" w:noHBand="0" w:noVBand="1" w:val="04A0"/>
        <w:tblInd w:w="120" w:type="dxa"/>
      </w:tblPr>
      <w:tblGrid>
        <w:gridCol w:w="2821"/>
        <w:gridCol w:w="4936"/>
        <w:gridCol w:w="1269"/>
      </w:tblGrid>
      <w:tr>
        <w:trPr>
          <w:tblHeader w:val="true"/>
        </w:trPr>
        <w:tc>
          <w:tcPr>
            <w:tcW w:type="dxa" w:w="282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Sistema</w:t>
            </w:r>
          </w:p>
        </w:tc>
        <w:tc>
          <w:tcPr>
            <w:tcW w:type="dxa" w:w="493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Estados requeridos con 27</w:t>
            </w:r>
          </w:p>
        </w:tc>
        <w:tc>
          <w:tcPr>
            <w:tcW w:type="dxa" w:w="126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Población</w:t>
            </w:r>
          </w:p>
        </w:tc>
      </w:tr>
      <w:tr>
        <w:tc>
          <w:tcPr>
            <w:tcW w:type="dxa" w:w="2821"/>
            <w:tcMar>
              <w:top w:w="80" w:type="dxa"/>
              <w:start w:w="120" w:type="dxa"/>
              <w:bottom w:w="80" w:type="dxa"/>
              <w:end w:w="120" w:type="dxa"/>
            </w:tcMar>
            <w:vAlign w:val="center"/>
          </w:tcPr>
          <w:p>
            <w:pPr>
              <w:spacing w:before="0" w:after="0" w:line="240" w:lineRule="auto"/>
              <w:jc w:val="left"/>
            </w:pPr>
            <w:r/>
            <w:r>
              <w:rPr>
                <w:rFonts w:ascii="Arial" w:hAnsi="Arial" w:cs="Arial"/>
                <w:sz w:val="18"/>
              </w:rPr>
              <w:t>Mayoría simple</w:t>
            </w:r>
          </w:p>
        </w:tc>
        <w:tc>
          <w:tcPr>
            <w:tcW w:type="dxa" w:w="4936"/>
            <w:tcMar>
              <w:top w:w="80" w:type="dxa"/>
              <w:start w:w="120" w:type="dxa"/>
              <w:bottom w:w="80" w:type="dxa"/>
              <w:end w:w="120" w:type="dxa"/>
            </w:tcMar>
            <w:vAlign w:val="center"/>
          </w:tcPr>
          <w:p>
            <w:pPr>
              <w:spacing w:before="0" w:after="0" w:line="240" w:lineRule="auto"/>
              <w:jc w:val="center"/>
            </w:pPr>
            <w:r/>
            <w:r>
              <w:rPr>
                <w:rFonts w:ascii="Arial" w:hAnsi="Arial" w:cs="Arial"/>
                <w:sz w:val="18"/>
              </w:rPr>
              <w:t>14</w:t>
            </w:r>
          </w:p>
        </w:tc>
        <w:tc>
          <w:tcPr>
            <w:tcW w:type="dxa" w:w="1269"/>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r>
      <w:tr>
        <w:tc>
          <w:tcPr>
            <w:tcW w:type="dxa" w:w="2821"/>
            <w:tcMar>
              <w:top w:w="80" w:type="dxa"/>
              <w:start w:w="120" w:type="dxa"/>
              <w:bottom w:w="80" w:type="dxa"/>
              <w:end w:w="120" w:type="dxa"/>
            </w:tcMar>
            <w:vAlign w:val="center"/>
          </w:tcPr>
          <w:p>
            <w:pPr>
              <w:spacing w:before="0" w:after="0" w:line="240" w:lineRule="auto"/>
              <w:jc w:val="left"/>
            </w:pPr>
            <w:r/>
            <w:r>
              <w:rPr>
                <w:rFonts w:ascii="Arial" w:hAnsi="Arial" w:cs="Arial"/>
                <w:sz w:val="18"/>
              </w:rPr>
              <w:t>Cualificada ordinaria</w:t>
            </w:r>
          </w:p>
        </w:tc>
        <w:tc>
          <w:tcPr>
            <w:tcW w:type="dxa" w:w="4936"/>
            <w:tcMar>
              <w:top w:w="80" w:type="dxa"/>
              <w:start w:w="120" w:type="dxa"/>
              <w:bottom w:w="80" w:type="dxa"/>
              <w:end w:w="120" w:type="dxa"/>
            </w:tcMar>
            <w:vAlign w:val="center"/>
          </w:tcPr>
          <w:p>
            <w:pPr>
              <w:spacing w:before="0" w:after="0" w:line="240" w:lineRule="auto"/>
              <w:jc w:val="center"/>
            </w:pPr>
            <w:r/>
            <w:r>
              <w:rPr>
                <w:rFonts w:ascii="Arial" w:hAnsi="Arial" w:cs="Arial"/>
                <w:sz w:val="18"/>
              </w:rPr>
              <w:t>15</w:t>
            </w:r>
          </w:p>
        </w:tc>
        <w:tc>
          <w:tcPr>
            <w:tcW w:type="dxa" w:w="1269"/>
            <w:tcMar>
              <w:top w:w="80" w:type="dxa"/>
              <w:start w:w="120" w:type="dxa"/>
              <w:bottom w:w="80" w:type="dxa"/>
              <w:end w:w="120" w:type="dxa"/>
            </w:tcMar>
            <w:vAlign w:val="center"/>
          </w:tcPr>
          <w:p>
            <w:pPr>
              <w:spacing w:before="0" w:after="0" w:line="240" w:lineRule="auto"/>
              <w:jc w:val="center"/>
            </w:pPr>
            <w:r/>
            <w:r>
              <w:rPr>
                <w:rFonts w:ascii="Arial" w:hAnsi="Arial" w:cs="Arial"/>
                <w:sz w:val="18"/>
              </w:rPr>
              <w:t>65 %</w:t>
            </w:r>
          </w:p>
        </w:tc>
      </w:tr>
      <w:tr>
        <w:tc>
          <w:tcPr>
            <w:tcW w:type="dxa" w:w="2821"/>
            <w:tcMar>
              <w:top w:w="80" w:type="dxa"/>
              <w:start w:w="120" w:type="dxa"/>
              <w:bottom w:w="80" w:type="dxa"/>
              <w:end w:w="120" w:type="dxa"/>
            </w:tcMar>
            <w:vAlign w:val="center"/>
          </w:tcPr>
          <w:p>
            <w:pPr>
              <w:spacing w:before="0" w:after="0" w:line="240" w:lineRule="auto"/>
              <w:jc w:val="left"/>
            </w:pPr>
            <w:r/>
            <w:r>
              <w:rPr>
                <w:rFonts w:ascii="Arial" w:hAnsi="Arial" w:cs="Arial"/>
                <w:sz w:val="18"/>
              </w:rPr>
              <w:t>Cualificada reforzada</w:t>
            </w:r>
          </w:p>
        </w:tc>
        <w:tc>
          <w:tcPr>
            <w:tcW w:type="dxa" w:w="4936"/>
            <w:tcMar>
              <w:top w:w="80" w:type="dxa"/>
              <w:start w:w="120" w:type="dxa"/>
              <w:bottom w:w="80" w:type="dxa"/>
              <w:end w:w="120" w:type="dxa"/>
            </w:tcMar>
            <w:vAlign w:val="center"/>
          </w:tcPr>
          <w:p>
            <w:pPr>
              <w:spacing w:before="0" w:after="0" w:line="240" w:lineRule="auto"/>
              <w:jc w:val="center"/>
            </w:pPr>
            <w:r/>
            <w:r>
              <w:rPr>
                <w:rFonts w:ascii="Arial" w:hAnsi="Arial" w:cs="Arial"/>
                <w:sz w:val="18"/>
              </w:rPr>
              <w:t>20</w:t>
            </w:r>
          </w:p>
        </w:tc>
        <w:tc>
          <w:tcPr>
            <w:tcW w:type="dxa" w:w="1269"/>
            <w:tcMar>
              <w:top w:w="80" w:type="dxa"/>
              <w:start w:w="120" w:type="dxa"/>
              <w:bottom w:w="80" w:type="dxa"/>
              <w:end w:w="120" w:type="dxa"/>
            </w:tcMar>
            <w:vAlign w:val="center"/>
          </w:tcPr>
          <w:p>
            <w:pPr>
              <w:spacing w:before="0" w:after="0" w:line="240" w:lineRule="auto"/>
              <w:jc w:val="center"/>
            </w:pPr>
            <w:r/>
            <w:r>
              <w:rPr>
                <w:rFonts w:ascii="Arial" w:hAnsi="Arial" w:cs="Arial"/>
                <w:sz w:val="18"/>
              </w:rPr>
              <w:t>65 %</w:t>
            </w:r>
          </w:p>
        </w:tc>
      </w:tr>
      <w:tr>
        <w:tc>
          <w:tcPr>
            <w:tcW w:type="dxa" w:w="2821"/>
            <w:tcMar>
              <w:top w:w="80" w:type="dxa"/>
              <w:start w:w="120" w:type="dxa"/>
              <w:bottom w:w="80" w:type="dxa"/>
              <w:end w:w="120" w:type="dxa"/>
            </w:tcMar>
            <w:vAlign w:val="center"/>
          </w:tcPr>
          <w:p>
            <w:pPr>
              <w:spacing w:before="0" w:after="0" w:line="240" w:lineRule="auto"/>
              <w:jc w:val="left"/>
            </w:pPr>
            <w:r/>
            <w:r>
              <w:rPr>
                <w:rFonts w:ascii="Arial" w:hAnsi="Arial" w:cs="Arial"/>
                <w:sz w:val="18"/>
              </w:rPr>
              <w:t>Unanimidad</w:t>
            </w:r>
          </w:p>
        </w:tc>
        <w:tc>
          <w:tcPr>
            <w:tcW w:type="dxa" w:w="4936"/>
            <w:tcMar>
              <w:top w:w="80" w:type="dxa"/>
              <w:start w:w="120" w:type="dxa"/>
              <w:bottom w:w="80" w:type="dxa"/>
              <w:end w:w="120" w:type="dxa"/>
            </w:tcMar>
            <w:vAlign w:val="center"/>
          </w:tcPr>
          <w:p>
            <w:pPr>
              <w:spacing w:before="0" w:after="0" w:line="240" w:lineRule="auto"/>
              <w:jc w:val="left"/>
            </w:pPr>
            <w:r/>
            <w:r>
              <w:rPr>
                <w:rFonts w:ascii="Arial" w:hAnsi="Arial" w:cs="Arial"/>
                <w:sz w:val="18"/>
              </w:rPr>
              <w:t>Todos los que votan; abstención no bloquea</w:t>
            </w:r>
          </w:p>
        </w:tc>
        <w:tc>
          <w:tcPr>
            <w:tcW w:type="dxa" w:w="1269"/>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r>
    </w:tbl>
    <w:p>
      <w:pPr>
        <w:spacing w:after="40"/>
      </w:pPr>
    </w:p>
    <w:p>
      <w:pPr>
        <w:pStyle w:val="Heading1"/>
        <w:keepNext/>
      </w:pPr>
      <w:r>
        <w:rPr>
          <w:rFonts w:ascii="Arial" w:hAnsi="Arial" w:cs="Arial"/>
          <w:sz w:val="30"/>
        </w:rPr>
        <w:t>4. La Comisión Europea</w:t>
      </w:r>
    </w:p>
    <w:p>
      <w:pPr>
        <w:pStyle w:val="Heading2"/>
        <w:keepNext/>
      </w:pPr>
      <w:r>
        <w:rPr>
          <w:rFonts w:ascii="Arial" w:hAnsi="Arial" w:cs="Arial"/>
          <w:sz w:val="25"/>
        </w:rPr>
        <w:t>4.1. Naturaleza e independencia</w:t>
      </w:r>
    </w:p>
    <w:p>
      <w:pPr>
        <w:jc w:val="both"/>
      </w:pPr>
      <w:r>
        <w:rPr>
          <w:rFonts w:ascii="Arial" w:hAnsi="Arial" w:cs="Arial"/>
          <w:sz w:val="22"/>
        </w:rPr>
        <w:t>La Comisión promueve el interés general de la Unión y adopta iniciativas adecuadas. Sus miembros deben ser elegidos por competencia general, compromiso europeo y garantías plenas de independencia.</w:t>
      </w:r>
    </w:p>
    <w:p>
      <w:pPr>
        <w:jc w:val="both"/>
      </w:pPr>
      <w:r>
        <w:rPr>
          <w:rFonts w:ascii="Arial" w:hAnsi="Arial" w:cs="Arial"/>
          <w:sz w:val="22"/>
        </w:rPr>
        <w:t>Los comisarios:</w:t>
      </w:r>
    </w:p>
    <w:p>
      <w:pPr>
        <w:pStyle w:val="ListBullet"/>
      </w:pPr>
      <w:r>
        <w:rPr>
          <w:rFonts w:ascii="Arial" w:hAnsi="Arial" w:cs="Arial"/>
          <w:sz w:val="22"/>
        </w:rPr>
        <w:t>No solicitan ni aceptan instrucciones de Gobiernos, instituciones u otros organismos.</w:t>
      </w:r>
    </w:p>
    <w:p>
      <w:pPr>
        <w:pStyle w:val="ListBullet"/>
      </w:pPr>
      <w:r>
        <w:rPr>
          <w:rFonts w:ascii="Arial" w:hAnsi="Arial" w:cs="Arial"/>
          <w:sz w:val="22"/>
        </w:rPr>
        <w:t>Se abstienen de actos incompatibles con su cargo.</w:t>
      </w:r>
    </w:p>
    <w:p>
      <w:pPr>
        <w:pStyle w:val="ListBullet"/>
      </w:pPr>
      <w:r>
        <w:rPr>
          <w:rFonts w:ascii="Arial" w:hAnsi="Arial" w:cs="Arial"/>
          <w:sz w:val="22"/>
        </w:rPr>
        <w:t>No representan jurídicamente a su Estado de nacionalidad.</w:t>
      </w:r>
    </w:p>
    <w:p>
      <w:pPr>
        <w:pStyle w:val="ListBullet"/>
      </w:pPr>
      <w:r>
        <w:rPr>
          <w:rFonts w:ascii="Arial" w:hAnsi="Arial" w:cs="Arial"/>
          <w:sz w:val="22"/>
        </w:rPr>
        <w:t>Responden colegiadamente ante el Parlamento.</w:t>
      </w:r>
    </w:p>
    <w:p>
      <w:pPr>
        <w:jc w:val="both"/>
      </w:pPr>
      <w:r>
        <w:rPr>
          <w:rFonts w:ascii="Arial" w:hAnsi="Arial" w:cs="Arial"/>
          <w:sz w:val="22"/>
        </w:rPr>
        <w:t>Los Estados deben respetar su independencia y no intentar influir en ellos. La Comisión es una institución política y ejecutiva, pero su independencia funcional la diferencia del Consejo.</w:t>
      </w:r>
    </w:p>
    <w:p>
      <w:pPr>
        <w:pStyle w:val="Heading2"/>
        <w:keepNext/>
      </w:pPr>
      <w:r>
        <w:rPr>
          <w:rFonts w:ascii="Arial" w:hAnsi="Arial" w:cs="Arial"/>
          <w:sz w:val="25"/>
        </w:rPr>
        <w:t>4.2. Composición vigente</w:t>
      </w:r>
    </w:p>
    <w:p>
      <w:pPr>
        <w:jc w:val="both"/>
      </w:pPr>
      <w:r>
        <w:rPr>
          <w:rFonts w:ascii="Arial" w:hAnsi="Arial" w:cs="Arial"/>
          <w:sz w:val="22"/>
        </w:rPr>
        <w:t>El Tratado previó que la Comisión tuviera un número equivalente a dos tercios de los Estados desde 2014, salvo decisión unánime del Consejo Europeo. La Decisión 2013/272/UE mantuvo un nacional por Estado.</w:t>
      </w:r>
    </w:p>
    <w:p>
      <w:pPr>
        <w:jc w:val="both"/>
      </w:pPr>
      <w:r>
        <w:rPr>
          <w:rFonts w:ascii="Arial" w:hAnsi="Arial" w:cs="Arial"/>
          <w:sz w:val="22"/>
        </w:rPr>
        <w:t xml:space="preserve">La Comisión 2024-2029 tiene </w:t>
      </w:r>
      <w:r>
        <w:rPr>
          <w:rFonts w:ascii="Arial" w:hAnsi="Arial" w:cs="Arial"/>
          <w:b/>
          <w:sz w:val="22"/>
        </w:rPr>
        <w:t>27 miembros</w:t>
      </w:r>
      <w:r>
        <w:rPr>
          <w:rFonts w:ascii="Arial" w:hAnsi="Arial" w:cs="Arial"/>
          <w:sz w:val="22"/>
        </w:rPr>
        <w:t>, incluidos:</w:t>
      </w:r>
    </w:p>
    <w:p>
      <w:pPr>
        <w:pStyle w:val="ListBullet"/>
      </w:pPr>
      <w:r>
        <w:rPr>
          <w:rFonts w:ascii="Arial" w:hAnsi="Arial" w:cs="Arial"/>
          <w:sz w:val="22"/>
        </w:rPr>
        <w:t xml:space="preserve">La presidenta, </w:t>
      </w:r>
      <w:r>
        <w:rPr>
          <w:rFonts w:ascii="Arial" w:hAnsi="Arial" w:cs="Arial"/>
          <w:b/>
          <w:sz w:val="22"/>
        </w:rPr>
        <w:t>Ursula von der Leyen</w:t>
      </w:r>
      <w:r>
        <w:rPr>
          <w:rFonts w:ascii="Arial" w:hAnsi="Arial" w:cs="Arial"/>
          <w:sz w:val="22"/>
        </w:rPr>
        <w:t>.</w:t>
      </w:r>
    </w:p>
    <w:p>
      <w:pPr>
        <w:pStyle w:val="ListBullet"/>
      </w:pPr>
      <w:r>
        <w:rPr>
          <w:rFonts w:ascii="Arial" w:hAnsi="Arial" w:cs="Arial"/>
          <w:sz w:val="22"/>
        </w:rPr>
        <w:t xml:space="preserve">El Alto Representante y vicepresidente, </w:t>
      </w:r>
      <w:r>
        <w:rPr>
          <w:rFonts w:ascii="Arial" w:hAnsi="Arial" w:cs="Arial"/>
          <w:b/>
          <w:sz w:val="22"/>
        </w:rPr>
        <w:t>Kaja Kallas</w:t>
      </w:r>
      <w:r>
        <w:rPr>
          <w:rFonts w:ascii="Arial" w:hAnsi="Arial" w:cs="Arial"/>
          <w:sz w:val="22"/>
        </w:rPr>
        <w:t>.</w:t>
      </w:r>
    </w:p>
    <w:p>
      <w:pPr>
        <w:pStyle w:val="ListBullet"/>
      </w:pPr>
      <w:r>
        <w:rPr>
          <w:rFonts w:ascii="Arial" w:hAnsi="Arial" w:cs="Arial"/>
          <w:sz w:val="22"/>
        </w:rPr>
        <w:t>Los demás vicepresidentes y comisarios.</w:t>
      </w:r>
    </w:p>
    <w:p>
      <w:pPr>
        <w:jc w:val="both"/>
      </w:pPr>
      <w:r>
        <w:rPr>
          <w:rFonts w:ascii="Arial" w:hAnsi="Arial" w:cs="Arial"/>
          <w:sz w:val="22"/>
        </w:rPr>
        <w:t>Entró en funciones el 1 de diciembre de 2024 y su mandato ordinario concluye el 30 de noviembre de 2029. “Un comisario por Estado” describe la composición, pero cada miembro debe actuar por el interés europeo, no como delegado nacional.</w:t>
      </w:r>
    </w:p>
    <w:p>
      <w:pPr>
        <w:pStyle w:val="Heading2"/>
        <w:keepNext/>
      </w:pPr>
      <w:r>
        <w:rPr>
          <w:rFonts w:ascii="Arial" w:hAnsi="Arial" w:cs="Arial"/>
          <w:sz w:val="25"/>
        </w:rPr>
        <w:t>4.3. Procedimiento de nombramiento</w:t>
      </w:r>
    </w:p>
    <w:p>
      <w:pPr>
        <w:jc w:val="both"/>
      </w:pPr>
      <w:r>
        <w:rPr>
          <w:rFonts w:ascii="Arial" w:hAnsi="Arial" w:cs="Arial"/>
          <w:sz w:val="22"/>
        </w:rPr>
        <w:t>El nombramiento del Colegio sigue varias etapas:</w:t>
      </w:r>
    </w:p>
    <w:p>
      <w:pPr>
        <w:spacing w:after="40"/>
        <w:ind w:left="369" w:hanging="227"/>
      </w:pPr>
      <w:r>
        <w:rPr>
          <w:rFonts w:ascii="Arial" w:hAnsi="Arial" w:cs="Arial"/>
          <w:sz w:val="22"/>
        </w:rPr>
        <w:t>1. El Consejo Europeo, teniendo en cuenta las elecciones europeas y tras consultas, propone por mayoría cualificada un candidato a presidente.</w:t>
      </w:r>
    </w:p>
    <w:p>
      <w:pPr>
        <w:spacing w:after="40"/>
        <w:ind w:left="369" w:hanging="227"/>
      </w:pPr>
      <w:r>
        <w:rPr>
          <w:rFonts w:ascii="Arial" w:hAnsi="Arial" w:cs="Arial"/>
          <w:sz w:val="22"/>
        </w:rPr>
        <w:t>2. El Parlamento lo elige por mayoría de los miembros que lo componen; con 720, 361.</w:t>
      </w:r>
    </w:p>
    <w:p>
      <w:pPr>
        <w:spacing w:after="40"/>
        <w:ind w:left="369" w:hanging="227"/>
      </w:pPr>
      <w:r>
        <w:rPr>
          <w:rFonts w:ascii="Arial" w:hAnsi="Arial" w:cs="Arial"/>
          <w:sz w:val="22"/>
        </w:rPr>
        <w:t>3. Si no resulta elegido, el Consejo Europeo propone otro en un mes, también por mayoría cualificada.</w:t>
      </w:r>
    </w:p>
    <w:p>
      <w:pPr>
        <w:spacing w:after="40"/>
        <w:ind w:left="369" w:hanging="227"/>
      </w:pPr>
      <w:r>
        <w:rPr>
          <w:rFonts w:ascii="Arial" w:hAnsi="Arial" w:cs="Arial"/>
          <w:sz w:val="22"/>
        </w:rPr>
        <w:t>4. El Consejo, de común acuerdo con el presidente electo, adopta la lista de las demás personas propuestas a partir de candidaturas estatales.</w:t>
      </w:r>
    </w:p>
    <w:p>
      <w:pPr>
        <w:spacing w:after="40"/>
        <w:ind w:left="369" w:hanging="227"/>
      </w:pPr>
      <w:r>
        <w:rPr>
          <w:rFonts w:ascii="Arial" w:hAnsi="Arial" w:cs="Arial"/>
          <w:sz w:val="22"/>
        </w:rPr>
        <w:t>5. Los candidatos comparecen ante comisiones del Parlamento.</w:t>
      </w:r>
    </w:p>
    <w:p>
      <w:pPr>
        <w:spacing w:after="40"/>
        <w:ind w:left="369" w:hanging="227"/>
      </w:pPr>
      <w:r>
        <w:rPr>
          <w:rFonts w:ascii="Arial" w:hAnsi="Arial" w:cs="Arial"/>
          <w:sz w:val="22"/>
        </w:rPr>
        <w:t>6. Presidente, Alto Representante y restantes miembros se someten colegiadamente al voto de aprobación del Parlamento.</w:t>
      </w:r>
    </w:p>
    <w:p>
      <w:pPr>
        <w:spacing w:after="40"/>
        <w:ind w:left="369" w:hanging="227"/>
      </w:pPr>
      <w:r>
        <w:rPr>
          <w:rFonts w:ascii="Arial" w:hAnsi="Arial" w:cs="Arial"/>
          <w:sz w:val="22"/>
        </w:rPr>
        <w:t>7. Tras la aprobación, el Consejo Europeo nombra a la Comisión por mayoría cualificada.</w:t>
      </w:r>
    </w:p>
    <w:p>
      <w:pPr>
        <w:jc w:val="both"/>
      </w:pPr>
      <w:r>
        <w:rPr>
          <w:rFonts w:ascii="Arial" w:hAnsi="Arial" w:cs="Arial"/>
          <w:sz w:val="22"/>
        </w:rPr>
        <w:t>El Alto Representante tiene un procedimiento particular: lo nombra el Consejo Europeo por mayoría cualificada con acuerdo del presidente de la Comisión. Es vicepresidente de la Comisión y preside el Consejo de Asuntos Exteriores, por lo que conecta las dimensiones intergubernamental y supranacional.</w:t>
      </w:r>
    </w:p>
    <w:p>
      <w:pPr>
        <w:pStyle w:val="Heading2"/>
        <w:keepNext/>
      </w:pPr>
      <w:r>
        <w:rPr>
          <w:rFonts w:ascii="Arial" w:hAnsi="Arial" w:cs="Arial"/>
          <w:sz w:val="25"/>
        </w:rPr>
        <w:t>4.4. Presidencia y organización</w:t>
      </w:r>
    </w:p>
    <w:p>
      <w:pPr>
        <w:jc w:val="both"/>
      </w:pPr>
      <w:r>
        <w:rPr>
          <w:rFonts w:ascii="Arial" w:hAnsi="Arial" w:cs="Arial"/>
          <w:sz w:val="22"/>
        </w:rPr>
        <w:t>El presidente:</w:t>
      </w:r>
    </w:p>
    <w:p>
      <w:pPr>
        <w:pStyle w:val="ListBullet"/>
      </w:pPr>
      <w:r>
        <w:rPr>
          <w:rFonts w:ascii="Arial" w:hAnsi="Arial" w:cs="Arial"/>
          <w:sz w:val="22"/>
        </w:rPr>
        <w:t>Define orientaciones para la actuación de la Comisión.</w:t>
      </w:r>
    </w:p>
    <w:p>
      <w:pPr>
        <w:pStyle w:val="ListBullet"/>
      </w:pPr>
      <w:r>
        <w:rPr>
          <w:rFonts w:ascii="Arial" w:hAnsi="Arial" w:cs="Arial"/>
          <w:sz w:val="22"/>
        </w:rPr>
        <w:t>Decide su organización interna para asegurar coherencia, eficacia y colegialidad.</w:t>
      </w:r>
    </w:p>
    <w:p>
      <w:pPr>
        <w:pStyle w:val="ListBullet"/>
      </w:pPr>
      <w:r>
        <w:rPr>
          <w:rFonts w:ascii="Arial" w:hAnsi="Arial" w:cs="Arial"/>
          <w:sz w:val="22"/>
        </w:rPr>
        <w:t>Nombra vicepresidentes, salvo el Alto Representante.</w:t>
      </w:r>
    </w:p>
    <w:p>
      <w:pPr>
        <w:pStyle w:val="ListBullet"/>
      </w:pPr>
      <w:r>
        <w:rPr>
          <w:rFonts w:ascii="Arial" w:hAnsi="Arial" w:cs="Arial"/>
          <w:sz w:val="22"/>
        </w:rPr>
        <w:t>Distribuye y puede reorganizar carteras.</w:t>
      </w:r>
    </w:p>
    <w:p>
      <w:pPr>
        <w:pStyle w:val="ListBullet"/>
      </w:pPr>
      <w:r>
        <w:rPr>
          <w:rFonts w:ascii="Arial" w:hAnsi="Arial" w:cs="Arial"/>
          <w:sz w:val="22"/>
        </w:rPr>
        <w:t>Puede pedir la dimisión de un comisario; este debe presentarla.</w:t>
      </w:r>
    </w:p>
    <w:p>
      <w:pPr>
        <w:jc w:val="both"/>
      </w:pPr>
      <w:r>
        <w:rPr>
          <w:rFonts w:ascii="Arial" w:hAnsi="Arial" w:cs="Arial"/>
          <w:sz w:val="22"/>
        </w:rPr>
        <w:t>Si se trata del Alto Representante, su cese como miembro de la Comisión requiere el procedimiento especial del Consejo Europeo, aunque debe dimitir de sus funciones en la Comisión si lo solicita el presidente con el acuerdo correspondiente.</w:t>
      </w:r>
    </w:p>
    <w:p>
      <w:pPr>
        <w:jc w:val="both"/>
      </w:pPr>
      <w:r>
        <w:rPr>
          <w:rFonts w:ascii="Arial" w:hAnsi="Arial" w:cs="Arial"/>
          <w:sz w:val="22"/>
        </w:rPr>
        <w:t xml:space="preserve">La Comisión funciona conforme al principio de </w:t>
      </w:r>
      <w:r>
        <w:rPr>
          <w:rFonts w:ascii="Arial" w:hAnsi="Arial" w:cs="Arial"/>
          <w:b/>
          <w:sz w:val="22"/>
        </w:rPr>
        <w:t>colegialidad</w:t>
      </w:r>
      <w:r>
        <w:rPr>
          <w:rFonts w:ascii="Arial" w:hAnsi="Arial" w:cs="Arial"/>
          <w:sz w:val="22"/>
        </w:rPr>
        <w:t>: las decisiones se imputan al Colegio, no a un comisario aislado. Según el artículo 250 TFUE, adopta acuerdos por mayoría de sus miembros; con 27, son necesarios 14 votos. La práctica busca consenso, pero la regla jurídica es mayoría.</w:t>
      </w:r>
    </w:p>
    <w:p>
      <w:pPr>
        <w:jc w:val="both"/>
      </w:pPr>
      <w:r>
        <w:rPr>
          <w:rFonts w:ascii="Arial" w:hAnsi="Arial" w:cs="Arial"/>
          <w:sz w:val="22"/>
        </w:rPr>
        <w:t>La organización administrativa se articula en Direcciones Generales y servicios, dirigidos políticamente por los comisarios y administrativamente por altos funcionarios. Los gabinetes apoyan a cada miembro.</w:t>
      </w:r>
    </w:p>
    <w:p>
      <w:pPr>
        <w:pStyle w:val="Heading2"/>
        <w:keepNext/>
      </w:pPr>
      <w:r>
        <w:rPr>
          <w:rFonts w:ascii="Arial" w:hAnsi="Arial" w:cs="Arial"/>
          <w:sz w:val="25"/>
        </w:rPr>
        <w:t>4.5. Funciones</w:t>
      </w:r>
    </w:p>
    <w:p>
      <w:pPr>
        <w:pStyle w:val="Heading3"/>
        <w:keepNext/>
      </w:pPr>
      <w:r>
        <w:rPr>
          <w:rFonts w:ascii="Arial" w:hAnsi="Arial" w:cs="Arial"/>
          <w:sz w:val="23"/>
        </w:rPr>
        <w:t>Iniciativa legislativa</w:t>
      </w:r>
    </w:p>
    <w:p>
      <w:pPr>
        <w:jc w:val="both"/>
      </w:pPr>
      <w:r>
        <w:rPr>
          <w:rFonts w:ascii="Arial" w:hAnsi="Arial" w:cs="Arial"/>
          <w:sz w:val="22"/>
        </w:rPr>
        <w:t>Los actos legislativos se adoptan normalmente a propuesta de la Comisión, salvo excepción de los Tratados. No es un monopolio absoluto: existen iniciativas del Parlamento, Estados, BCE, Banco Europeo de Inversiones o Tribunal de Justicia en ámbitos determinados.</w:t>
      </w:r>
    </w:p>
    <w:p>
      <w:pPr>
        <w:jc w:val="both"/>
      </w:pPr>
      <w:r>
        <w:rPr>
          <w:rFonts w:ascii="Arial" w:hAnsi="Arial" w:cs="Arial"/>
          <w:sz w:val="22"/>
        </w:rPr>
        <w:t>La Comisión prepara propuestas mediante evaluación técnica, consultas e impacto. Mientras el Consejo no se haya pronunciado, puede modificar su propuesta. Como regla, el Consejo solo puede modificar una propuesta de la Comisión por unanimidad, con excepciones tratadas por el TFUE.</w:t>
      </w:r>
    </w:p>
    <w:p>
      <w:pPr>
        <w:pStyle w:val="Heading3"/>
        <w:keepNext/>
      </w:pPr>
      <w:r>
        <w:rPr>
          <w:rFonts w:ascii="Arial" w:hAnsi="Arial" w:cs="Arial"/>
          <w:sz w:val="23"/>
        </w:rPr>
        <w:t>Guardiana de los Tratados</w:t>
      </w:r>
    </w:p>
    <w:p>
      <w:pPr>
        <w:jc w:val="both"/>
      </w:pPr>
      <w:r>
        <w:rPr>
          <w:rFonts w:ascii="Arial" w:hAnsi="Arial" w:cs="Arial"/>
          <w:sz w:val="22"/>
        </w:rPr>
        <w:t>Vigila la aplicación de Tratados y actos de la Unión bajo control del Tribunal. Si considera que un Estado incumple:</w:t>
      </w:r>
    </w:p>
    <w:p>
      <w:pPr>
        <w:spacing w:after="40"/>
        <w:ind w:left="369" w:hanging="227"/>
      </w:pPr>
      <w:r>
        <w:rPr>
          <w:rFonts w:ascii="Arial" w:hAnsi="Arial" w:cs="Arial"/>
          <w:sz w:val="22"/>
        </w:rPr>
        <w:t>1. Abre una fase precontenciosa y permite observaciones.</w:t>
      </w:r>
    </w:p>
    <w:p>
      <w:pPr>
        <w:spacing w:after="40"/>
        <w:ind w:left="369" w:hanging="227"/>
      </w:pPr>
      <w:r>
        <w:rPr>
          <w:rFonts w:ascii="Arial" w:hAnsi="Arial" w:cs="Arial"/>
          <w:sz w:val="22"/>
        </w:rPr>
        <w:t>2. Emite dictamen motivado.</w:t>
      </w:r>
    </w:p>
    <w:p>
      <w:pPr>
        <w:spacing w:after="40"/>
        <w:ind w:left="369" w:hanging="227"/>
      </w:pPr>
      <w:r>
        <w:rPr>
          <w:rFonts w:ascii="Arial" w:hAnsi="Arial" w:cs="Arial"/>
          <w:sz w:val="22"/>
        </w:rPr>
        <w:t>3. Puede interponer recurso por incumplimiento ante el Tribunal de Justicia.</w:t>
      </w:r>
    </w:p>
    <w:p>
      <w:pPr>
        <w:jc w:val="both"/>
      </w:pPr>
      <w:r>
        <w:rPr>
          <w:rFonts w:ascii="Arial" w:hAnsi="Arial" w:cs="Arial"/>
          <w:sz w:val="22"/>
        </w:rPr>
        <w:t>También controla ayudas estatales, competencia y otras áreas cuando los Tratados le otorgan poderes directos. La Comisión no dicta por sí sola la sentencia de incumplimiento.</w:t>
      </w:r>
    </w:p>
    <w:p>
      <w:pPr>
        <w:pStyle w:val="Heading3"/>
        <w:keepNext/>
      </w:pPr>
      <w:r>
        <w:rPr>
          <w:rFonts w:ascii="Arial" w:hAnsi="Arial" w:cs="Arial"/>
          <w:sz w:val="23"/>
        </w:rPr>
        <w:t>Ejecución y gestión</w:t>
      </w:r>
    </w:p>
    <w:p>
      <w:pPr>
        <w:jc w:val="both"/>
      </w:pPr>
      <w:r>
        <w:rPr>
          <w:rFonts w:ascii="Arial" w:hAnsi="Arial" w:cs="Arial"/>
          <w:sz w:val="22"/>
        </w:rPr>
        <w:t>Ejecuta el presupuesto y gestiona programas. Los Estados aplican gran parte del Derecho europeo, pero la Comisión coordina, supervisa fondos y adopta medidas de ejecución cuando se le confieren.</w:t>
      </w:r>
    </w:p>
    <w:p>
      <w:pPr>
        <w:jc w:val="both"/>
      </w:pPr>
      <w:r>
        <w:rPr>
          <w:rFonts w:ascii="Arial" w:hAnsi="Arial" w:cs="Arial"/>
          <w:sz w:val="22"/>
        </w:rPr>
        <w:t>Los actos no legislativos pueden ser:</w:t>
      </w:r>
    </w:p>
    <w:p>
      <w:pPr>
        <w:pStyle w:val="ListBullet"/>
      </w:pPr>
      <w:r>
        <w:rPr>
          <w:rFonts w:ascii="Arial" w:hAnsi="Arial" w:cs="Arial"/>
          <w:b/>
          <w:sz w:val="22"/>
        </w:rPr>
        <w:t>Delegados</w:t>
      </w:r>
      <w:r>
        <w:rPr>
          <w:rFonts w:ascii="Arial" w:hAnsi="Arial" w:cs="Arial"/>
          <w:sz w:val="22"/>
        </w:rPr>
        <w:t>, artículo 290 TFUE: completan o modifican elementos no esenciales de un acto legislativo; Parlamento y Consejo controlan mediante revocación u objeción.</w:t>
      </w:r>
    </w:p>
    <w:p>
      <w:pPr>
        <w:pStyle w:val="ListBullet"/>
      </w:pPr>
      <w:r>
        <w:rPr>
          <w:rFonts w:ascii="Arial" w:hAnsi="Arial" w:cs="Arial"/>
          <w:b/>
          <w:sz w:val="22"/>
        </w:rPr>
        <w:t>De ejecución</w:t>
      </w:r>
      <w:r>
        <w:rPr>
          <w:rFonts w:ascii="Arial" w:hAnsi="Arial" w:cs="Arial"/>
          <w:sz w:val="22"/>
        </w:rPr>
        <w:t>, artículo 291 TFUE: garantizan condiciones uniformes; los Estados controlan normalmente mediante comités.</w:t>
      </w:r>
    </w:p>
    <w:p>
      <w:pPr>
        <w:pStyle w:val="Heading3"/>
        <w:keepNext/>
      </w:pPr>
      <w:r>
        <w:rPr>
          <w:rFonts w:ascii="Arial" w:hAnsi="Arial" w:cs="Arial"/>
          <w:sz w:val="23"/>
        </w:rPr>
        <w:t>Representación y programación</w:t>
      </w:r>
    </w:p>
    <w:p>
      <w:pPr>
        <w:jc w:val="both"/>
      </w:pPr>
      <w:r>
        <w:rPr>
          <w:rFonts w:ascii="Arial" w:hAnsi="Arial" w:cs="Arial"/>
          <w:sz w:val="22"/>
        </w:rPr>
        <w:t>Representa exteriormente a la Unión excepto en política exterior y de seguridad común y otros casos. Negocia muchos acuerdos internacionales siguiendo autorización y directrices del Consejo. Adopta iniciativas de programación anual y plurianual para alcanzar acuerdos interinstitucionales.</w:t>
      </w:r>
    </w:p>
    <w:p>
      <w:pPr>
        <w:pStyle w:val="Heading2"/>
        <w:keepNext/>
      </w:pPr>
      <w:r>
        <w:rPr>
          <w:rFonts w:ascii="Arial" w:hAnsi="Arial" w:cs="Arial"/>
          <w:sz w:val="25"/>
        </w:rPr>
        <w:t>4.6. Responsabilidad, cese y sustitución</w:t>
      </w:r>
    </w:p>
    <w:p>
      <w:pPr>
        <w:jc w:val="both"/>
      </w:pPr>
      <w:r>
        <w:rPr>
          <w:rFonts w:ascii="Arial" w:hAnsi="Arial" w:cs="Arial"/>
          <w:sz w:val="22"/>
        </w:rPr>
        <w:t>La Comisión responde colegiadamente ante el Parlamento. Si prospera una moción de censura, todos los miembros dimiten colectivamente y continúan despachando asuntos corrientes hasta su sustitución.</w:t>
      </w:r>
    </w:p>
    <w:p>
      <w:pPr>
        <w:jc w:val="both"/>
      </w:pPr>
      <w:r>
        <w:rPr>
          <w:rFonts w:ascii="Arial" w:hAnsi="Arial" w:cs="Arial"/>
          <w:sz w:val="22"/>
        </w:rPr>
        <w:t>Un comisario puede cesar por:</w:t>
      </w:r>
    </w:p>
    <w:p>
      <w:pPr>
        <w:pStyle w:val="ListBullet"/>
      </w:pPr>
      <w:r>
        <w:rPr>
          <w:rFonts w:ascii="Arial" w:hAnsi="Arial" w:cs="Arial"/>
          <w:sz w:val="22"/>
        </w:rPr>
        <w:t>Fin del mandato.</w:t>
      </w:r>
    </w:p>
    <w:p>
      <w:pPr>
        <w:pStyle w:val="ListBullet"/>
      </w:pPr>
      <w:r>
        <w:rPr>
          <w:rFonts w:ascii="Arial" w:hAnsi="Arial" w:cs="Arial"/>
          <w:sz w:val="22"/>
        </w:rPr>
        <w:t>Dimisión voluntaria o solicitada por el presidente.</w:t>
      </w:r>
    </w:p>
    <w:p>
      <w:pPr>
        <w:pStyle w:val="ListBullet"/>
      </w:pPr>
      <w:r>
        <w:rPr>
          <w:rFonts w:ascii="Arial" w:hAnsi="Arial" w:cs="Arial"/>
          <w:sz w:val="22"/>
        </w:rPr>
        <w:t>Fallecimiento.</w:t>
      </w:r>
    </w:p>
    <w:p>
      <w:pPr>
        <w:pStyle w:val="ListBullet"/>
      </w:pPr>
      <w:r>
        <w:rPr>
          <w:rFonts w:ascii="Arial" w:hAnsi="Arial" w:cs="Arial"/>
          <w:sz w:val="22"/>
        </w:rPr>
        <w:t>Cese de oficio por el Tribunal de Justicia si deja de reunir condiciones o comete falta grave.</w:t>
      </w:r>
    </w:p>
    <w:p>
      <w:pPr>
        <w:jc w:val="both"/>
      </w:pPr>
      <w:r>
        <w:rPr>
          <w:rFonts w:ascii="Arial" w:hAnsi="Arial" w:cs="Arial"/>
          <w:sz w:val="22"/>
        </w:rPr>
        <w:t>Una vacante ordinaria se cubre por el resto del mandato por un nuevo miembro de la misma nacionalidad, nombrado por el Consejo de común acuerdo con el presidente, tras consultar al Parlamento, salvo que el Consejo decida por unanimidad no cubrirla. Hay reglas especiales para presidente y Alto Representante.</w:t>
      </w:r>
    </w:p>
    <w:p>
      <w:pPr>
        <w:pStyle w:val="Heading1"/>
        <w:keepNext/>
      </w:pPr>
      <w:r>
        <w:rPr>
          <w:rFonts w:ascii="Arial" w:hAnsi="Arial" w:cs="Arial"/>
          <w:sz w:val="30"/>
        </w:rPr>
        <w:t>5. El Tribunal de Justicia de la Unión Europea</w:t>
      </w:r>
    </w:p>
    <w:p>
      <w:pPr>
        <w:pStyle w:val="Heading2"/>
        <w:keepNext/>
      </w:pPr>
      <w:r>
        <w:rPr>
          <w:rFonts w:ascii="Arial" w:hAnsi="Arial" w:cs="Arial"/>
          <w:sz w:val="25"/>
        </w:rPr>
        <w:t>5.1. Institución y misión</w:t>
      </w:r>
    </w:p>
    <w:p>
      <w:pPr>
        <w:jc w:val="both"/>
      </w:pPr>
      <w:r>
        <w:rPr>
          <w:rFonts w:ascii="Arial" w:hAnsi="Arial" w:cs="Arial"/>
          <w:sz w:val="22"/>
        </w:rPr>
        <w:t>El artículo 19 TUE establece que el TJUE comprende:</w:t>
      </w:r>
    </w:p>
    <w:p>
      <w:pPr>
        <w:pStyle w:val="ListBullet"/>
      </w:pPr>
      <w:r>
        <w:rPr>
          <w:rFonts w:ascii="Arial" w:hAnsi="Arial" w:cs="Arial"/>
          <w:sz w:val="22"/>
        </w:rPr>
        <w:t>Tribunal de Justicia.</w:t>
      </w:r>
    </w:p>
    <w:p>
      <w:pPr>
        <w:pStyle w:val="ListBullet"/>
      </w:pPr>
      <w:r>
        <w:rPr>
          <w:rFonts w:ascii="Arial" w:hAnsi="Arial" w:cs="Arial"/>
          <w:sz w:val="22"/>
        </w:rPr>
        <w:t>Tribunal General.</w:t>
      </w:r>
    </w:p>
    <w:p>
      <w:pPr>
        <w:pStyle w:val="ListBullet"/>
      </w:pPr>
      <w:r>
        <w:rPr>
          <w:rFonts w:ascii="Arial" w:hAnsi="Arial" w:cs="Arial"/>
          <w:sz w:val="22"/>
        </w:rPr>
        <w:t>Tribunales especializados que puedan crearse.</w:t>
      </w:r>
    </w:p>
    <w:p>
      <w:pPr>
        <w:jc w:val="both"/>
      </w:pPr>
      <w:r>
        <w:rPr>
          <w:rFonts w:ascii="Arial" w:hAnsi="Arial" w:cs="Arial"/>
          <w:sz w:val="22"/>
        </w:rPr>
        <w:t>Actualmente no existe ningún tribunal especializado separado. El antiguo Tribunal de la Función Pública dejó de funcionar en 2016 y sus competencias pasaron al Tribunal General.</w:t>
      </w:r>
    </w:p>
    <w:p>
      <w:pPr>
        <w:jc w:val="both"/>
      </w:pPr>
      <w:r>
        <w:rPr>
          <w:rFonts w:ascii="Arial" w:hAnsi="Arial" w:cs="Arial"/>
          <w:sz w:val="22"/>
        </w:rPr>
        <w:t>La misión es garantizar el respeto del Derecho en la interpretación y aplicación de los Tratados. Los Estados deben establecer vías de recurso suficientes para garantizar tutela judicial efectiva en los ámbitos cubiertos por Derecho de la Unión.</w:t>
      </w:r>
    </w:p>
    <w:p>
      <w:pPr>
        <w:pStyle w:val="Heading2"/>
        <w:keepNext/>
      </w:pPr>
      <w:r>
        <w:rPr>
          <w:rFonts w:ascii="Arial" w:hAnsi="Arial" w:cs="Arial"/>
          <w:sz w:val="25"/>
        </w:rPr>
        <w:t>5.2. Tribunal de Justicia: composición</w:t>
      </w:r>
    </w:p>
    <w:p>
      <w:pPr>
        <w:jc w:val="both"/>
      </w:pPr>
      <w:r>
        <w:rPr>
          <w:rFonts w:ascii="Arial" w:hAnsi="Arial" w:cs="Arial"/>
          <w:sz w:val="22"/>
        </w:rPr>
        <w:t xml:space="preserve">Hay </w:t>
      </w:r>
      <w:r>
        <w:rPr>
          <w:rFonts w:ascii="Arial" w:hAnsi="Arial" w:cs="Arial"/>
          <w:b/>
          <w:sz w:val="22"/>
        </w:rPr>
        <w:t>un juez por Estado miembro</w:t>
      </w:r>
      <w:r>
        <w:rPr>
          <w:rFonts w:ascii="Arial" w:hAnsi="Arial" w:cs="Arial"/>
          <w:sz w:val="22"/>
        </w:rPr>
        <w:t xml:space="preserve">, actualmente 27, y </w:t>
      </w:r>
      <w:r>
        <w:rPr>
          <w:rFonts w:ascii="Arial" w:hAnsi="Arial" w:cs="Arial"/>
          <w:b/>
          <w:sz w:val="22"/>
        </w:rPr>
        <w:t>11 abogados generales</w:t>
      </w:r>
      <w:r>
        <w:rPr>
          <w:rFonts w:ascii="Arial" w:hAnsi="Arial" w:cs="Arial"/>
          <w:sz w:val="22"/>
        </w:rPr>
        <w:t>. El artículo 252 TFUE menciona ocho abogados generales y permite que el Consejo, por unanimidad y a petición del Tribunal, aumente su número; una decisión del Consejo lo elevó a once.</w:t>
      </w:r>
    </w:p>
    <w:p>
      <w:pPr>
        <w:jc w:val="both"/>
      </w:pPr>
      <w:r>
        <w:rPr>
          <w:rFonts w:ascii="Arial" w:hAnsi="Arial" w:cs="Arial"/>
          <w:sz w:val="22"/>
        </w:rPr>
        <w:t>Los abogados generales presentan con imparcialidad e independencia conclusiones motivadas en asuntos que lo requieren. No son abogados de parte ni miembros de la Comisión. Las conclusiones no vinculan a los jueces, aunque suelen orientar el debate jurídico.</w:t>
      </w:r>
    </w:p>
    <w:p>
      <w:pPr>
        <w:jc w:val="both"/>
      </w:pPr>
      <w:r>
        <w:rPr>
          <w:rFonts w:ascii="Arial" w:hAnsi="Arial" w:cs="Arial"/>
          <w:sz w:val="22"/>
        </w:rPr>
        <w:t xml:space="preserve">Los jueces eligen de entre ellos presidente y vicepresidente por tres años renovables. A la fecha de corte el presidente es </w:t>
      </w:r>
      <w:r>
        <w:rPr>
          <w:rFonts w:ascii="Arial" w:hAnsi="Arial" w:cs="Arial"/>
          <w:b/>
          <w:sz w:val="22"/>
        </w:rPr>
        <w:t>Koen Lenaerts</w:t>
      </w:r>
      <w:r>
        <w:rPr>
          <w:rFonts w:ascii="Arial" w:hAnsi="Arial" w:cs="Arial"/>
          <w:sz w:val="22"/>
        </w:rPr>
        <w:t>, reelegido para el período del 8 de octubre de 2024 al 6 de octubre de 2027.</w:t>
      </w:r>
    </w:p>
    <w:p>
      <w:pPr>
        <w:jc w:val="both"/>
      </w:pPr>
      <w:r>
        <w:rPr>
          <w:rFonts w:ascii="Arial" w:hAnsi="Arial" w:cs="Arial"/>
          <w:sz w:val="22"/>
        </w:rPr>
        <w:t>El Tribunal actúa en:</w:t>
      </w:r>
    </w:p>
    <w:p>
      <w:pPr>
        <w:pStyle w:val="ListBullet"/>
      </w:pPr>
      <w:r>
        <w:rPr>
          <w:rFonts w:ascii="Arial" w:hAnsi="Arial" w:cs="Arial"/>
          <w:sz w:val="22"/>
        </w:rPr>
        <w:t>Salas de tres jueces.</w:t>
      </w:r>
    </w:p>
    <w:p>
      <w:pPr>
        <w:pStyle w:val="ListBullet"/>
      </w:pPr>
      <w:r>
        <w:rPr>
          <w:rFonts w:ascii="Arial" w:hAnsi="Arial" w:cs="Arial"/>
          <w:sz w:val="22"/>
        </w:rPr>
        <w:t>Salas de cinco.</w:t>
      </w:r>
    </w:p>
    <w:p>
      <w:pPr>
        <w:pStyle w:val="ListBullet"/>
      </w:pPr>
      <w:r>
        <w:rPr>
          <w:rFonts w:ascii="Arial" w:hAnsi="Arial" w:cs="Arial"/>
          <w:sz w:val="22"/>
        </w:rPr>
        <w:t>Gran Sala de quince.</w:t>
      </w:r>
    </w:p>
    <w:p>
      <w:pPr>
        <w:pStyle w:val="ListBullet"/>
      </w:pPr>
      <w:r>
        <w:rPr>
          <w:rFonts w:ascii="Arial" w:hAnsi="Arial" w:cs="Arial"/>
          <w:sz w:val="22"/>
        </w:rPr>
        <w:t>Pleno en supuestos excepcionales previstos.</w:t>
      </w:r>
    </w:p>
    <w:p>
      <w:pPr>
        <w:jc w:val="both"/>
      </w:pPr>
      <w:r>
        <w:rPr>
          <w:rFonts w:ascii="Arial" w:hAnsi="Arial" w:cs="Arial"/>
          <w:sz w:val="22"/>
        </w:rPr>
        <w:t>El secretario dirige la Secretaría y apoya el funcionamiento jurisdiccional bajo autoridad del presidente.</w:t>
      </w:r>
    </w:p>
    <w:p>
      <w:pPr>
        <w:pStyle w:val="Heading2"/>
        <w:keepNext/>
      </w:pPr>
      <w:r>
        <w:rPr>
          <w:rFonts w:ascii="Arial" w:hAnsi="Arial" w:cs="Arial"/>
          <w:sz w:val="25"/>
        </w:rPr>
        <w:t>5.3. Tribunal General</w:t>
      </w:r>
    </w:p>
    <w:p>
      <w:pPr>
        <w:jc w:val="both"/>
      </w:pPr>
      <w:r>
        <w:rPr>
          <w:rFonts w:ascii="Arial" w:hAnsi="Arial" w:cs="Arial"/>
          <w:sz w:val="22"/>
        </w:rPr>
        <w:t xml:space="preserve">El Tratado exige al menos un juez por Estado. El Estatuto fija </w:t>
      </w:r>
      <w:r>
        <w:rPr>
          <w:rFonts w:ascii="Arial" w:hAnsi="Arial" w:cs="Arial"/>
          <w:b/>
          <w:sz w:val="22"/>
        </w:rPr>
        <w:t>dos por Estado</w:t>
      </w:r>
      <w:r>
        <w:rPr>
          <w:rFonts w:ascii="Arial" w:hAnsi="Arial" w:cs="Arial"/>
          <w:sz w:val="22"/>
        </w:rPr>
        <w:t>, por lo que en 2026 son 54. No cuenta con abogados generales permanentes, aunque un juez puede ejercer esa función en determinados asuntos, especialmente tras la reforma prejudicial.</w:t>
      </w:r>
    </w:p>
    <w:p>
      <w:pPr>
        <w:jc w:val="both"/>
      </w:pPr>
      <w:r>
        <w:rPr>
          <w:rFonts w:ascii="Arial" w:hAnsi="Arial" w:cs="Arial"/>
          <w:sz w:val="22"/>
        </w:rPr>
        <w:t>Conoce en primera instancia de gran parte de los recursos directos interpuestos por personas físicas o jurídicas y de determinadas acciones de Estados e instituciones: competencia, ayudas, comercio, marcas, contratación, acceso a documentos, función pública y responsabilidad, entre otras.</w:t>
      </w:r>
    </w:p>
    <w:p>
      <w:pPr>
        <w:jc w:val="both"/>
      </w:pPr>
      <w:r>
        <w:rPr>
          <w:rFonts w:ascii="Arial" w:hAnsi="Arial" w:cs="Arial"/>
          <w:sz w:val="22"/>
        </w:rPr>
        <w:t>Sus resoluciones pueden ser objeto de recurso de casación ante el Tribunal de Justicia limitado a cuestiones de Derecho. Casación no significa repetir íntegramente los hechos y la prueba.</w:t>
      </w:r>
    </w:p>
    <w:p>
      <w:pPr>
        <w:pStyle w:val="Heading2"/>
        <w:keepNext/>
      </w:pPr>
      <w:r>
        <w:rPr>
          <w:rFonts w:ascii="Arial" w:hAnsi="Arial" w:cs="Arial"/>
          <w:sz w:val="25"/>
        </w:rPr>
        <w:t>5.4. Nombramiento e independencia</w:t>
      </w:r>
    </w:p>
    <w:p>
      <w:pPr>
        <w:jc w:val="both"/>
      </w:pPr>
      <w:r>
        <w:rPr>
          <w:rFonts w:ascii="Arial" w:hAnsi="Arial" w:cs="Arial"/>
          <w:sz w:val="22"/>
        </w:rPr>
        <w:t>Jueces y abogados generales son elegidos entre personas cuya independencia esté fuera de duda y que reúnan condiciones para las más altas funciones jurisdiccionales nacionales o sean jurisconsultos de reconocida competencia.</w:t>
      </w:r>
    </w:p>
    <w:p>
      <w:pPr>
        <w:jc w:val="both"/>
      </w:pPr>
      <w:r>
        <w:rPr>
          <w:rFonts w:ascii="Arial" w:hAnsi="Arial" w:cs="Arial"/>
          <w:sz w:val="22"/>
        </w:rPr>
        <w:t>Son nombrados de común acuerdo por los Gobiernos de los Estados miembros por seis años, después de consultar al comité del artículo 255 TFUE. El comité, formado por siete personalidades, dictamina la idoneidad de candidatos. Los mandatos son renovables y cada tres años hay renovación parcial.</w:t>
      </w:r>
    </w:p>
    <w:p>
      <w:pPr>
        <w:jc w:val="both"/>
      </w:pPr>
      <w:r>
        <w:rPr>
          <w:rFonts w:ascii="Arial" w:hAnsi="Arial" w:cs="Arial"/>
          <w:sz w:val="22"/>
        </w:rPr>
        <w:t>No son elegidos por el Parlamento ni nombrados individualmente por el Gobierno del Estado cuya nacionalidad poseen. El acuerdo de todos los Gobiernos y las garantías de independencia son elementos esenciales.</w:t>
      </w:r>
    </w:p>
    <w:p>
      <w:pPr>
        <w:jc w:val="both"/>
      </w:pPr>
      <w:r>
        <w:rPr>
          <w:rFonts w:ascii="Arial" w:hAnsi="Arial" w:cs="Arial"/>
          <w:sz w:val="22"/>
        </w:rPr>
        <w:t>Los miembros prestan juramento, no pueden ejercer funciones políticas o administrativas ni actividades profesionales incompatibles y gozan de inmunidades funcionales en los términos del Estatuto.</w:t>
      </w:r>
    </w:p>
    <w:p>
      <w:pPr>
        <w:pStyle w:val="Heading2"/>
        <w:keepNext/>
      </w:pPr>
      <w:r>
        <w:rPr>
          <w:rFonts w:ascii="Arial" w:hAnsi="Arial" w:cs="Arial"/>
          <w:sz w:val="25"/>
        </w:rPr>
        <w:t>5.5. Principales procedimientos</w:t>
      </w:r>
    </w:p>
    <w:p>
      <w:pPr>
        <w:pStyle w:val="Heading3"/>
        <w:keepNext/>
      </w:pPr>
      <w:r>
        <w:rPr>
          <w:rFonts w:ascii="Arial" w:hAnsi="Arial" w:cs="Arial"/>
          <w:sz w:val="23"/>
        </w:rPr>
        <w:t>Recurso por incumplimiento</w:t>
      </w:r>
    </w:p>
    <w:p>
      <w:pPr>
        <w:jc w:val="both"/>
      </w:pPr>
      <w:r>
        <w:rPr>
          <w:rFonts w:ascii="Arial" w:hAnsi="Arial" w:cs="Arial"/>
          <w:sz w:val="22"/>
        </w:rPr>
        <w:t>La Comisión puede demandar a un Estado por incumplir el Derecho de la Unión tras la fase precontenciosa del artículo 258. Un Estado puede demandar a otro conforme al artículo 259, normalmente después de someter el asunto a la Comisión.</w:t>
      </w:r>
    </w:p>
    <w:p>
      <w:pPr>
        <w:jc w:val="both"/>
      </w:pPr>
      <w:r>
        <w:rPr>
          <w:rFonts w:ascii="Arial" w:hAnsi="Arial" w:cs="Arial"/>
          <w:sz w:val="22"/>
        </w:rPr>
        <w:t>Si el Estado no cumple la sentencia, el Tribunal puede imponer suma a tanto alzado o multa coercitiva a propuesta de la Comisión. En falta de comunicación de medidas de transposición de una directiva legislativa, puede solicitarse sanción ya en el primer procedimiento dentro de los límites indicados.</w:t>
      </w:r>
    </w:p>
    <w:p>
      <w:pPr>
        <w:pStyle w:val="Heading3"/>
        <w:keepNext/>
      </w:pPr>
      <w:r>
        <w:rPr>
          <w:rFonts w:ascii="Arial" w:hAnsi="Arial" w:cs="Arial"/>
          <w:sz w:val="23"/>
        </w:rPr>
        <w:t>Recurso de anulación</w:t>
      </w:r>
    </w:p>
    <w:p>
      <w:pPr>
        <w:jc w:val="both"/>
      </w:pPr>
      <w:r>
        <w:rPr>
          <w:rFonts w:ascii="Arial" w:hAnsi="Arial" w:cs="Arial"/>
          <w:sz w:val="22"/>
        </w:rPr>
        <w:t>El artículo 263 permite controlar actos legislativos y actos de instituciones, órganos u organismos destinados a producir efectos jurídicos. Motivos:</w:t>
      </w:r>
    </w:p>
    <w:p>
      <w:pPr>
        <w:pStyle w:val="ListBullet"/>
      </w:pPr>
      <w:r>
        <w:rPr>
          <w:rFonts w:ascii="Arial" w:hAnsi="Arial" w:cs="Arial"/>
          <w:sz w:val="22"/>
        </w:rPr>
        <w:t>Incompetencia.</w:t>
      </w:r>
    </w:p>
    <w:p>
      <w:pPr>
        <w:pStyle w:val="ListBullet"/>
      </w:pPr>
      <w:r>
        <w:rPr>
          <w:rFonts w:ascii="Arial" w:hAnsi="Arial" w:cs="Arial"/>
          <w:sz w:val="22"/>
        </w:rPr>
        <w:t>Vicios sustanciales de forma.</w:t>
      </w:r>
    </w:p>
    <w:p>
      <w:pPr>
        <w:pStyle w:val="ListBullet"/>
      </w:pPr>
      <w:r>
        <w:rPr>
          <w:rFonts w:ascii="Arial" w:hAnsi="Arial" w:cs="Arial"/>
          <w:sz w:val="22"/>
        </w:rPr>
        <w:t>Violación de Tratados o normas relativas a su aplicación.</w:t>
      </w:r>
    </w:p>
    <w:p>
      <w:pPr>
        <w:pStyle w:val="ListBullet"/>
      </w:pPr>
      <w:r>
        <w:rPr>
          <w:rFonts w:ascii="Arial" w:hAnsi="Arial" w:cs="Arial"/>
          <w:sz w:val="22"/>
        </w:rPr>
        <w:t>Desviación de poder.</w:t>
      </w:r>
    </w:p>
    <w:p>
      <w:pPr>
        <w:jc w:val="both"/>
      </w:pPr>
      <w:r>
        <w:rPr>
          <w:rFonts w:ascii="Arial" w:hAnsi="Arial" w:cs="Arial"/>
          <w:sz w:val="22"/>
        </w:rPr>
        <w:t>Estados, Parlamento, Consejo y Comisión son demandantes privilegiados y no deben demostrar interés. Tribunal de Cuentas, BCE y Comité de las Regiones pueden recurrir para proteger prerrogativas. Las personas físicas y jurídicas tienen legitimación en los supuestos más restringidos del artículo 263. El plazo general es de dos meses.</w:t>
      </w:r>
    </w:p>
    <w:p>
      <w:pPr>
        <w:jc w:val="both"/>
      </w:pPr>
      <w:r>
        <w:rPr>
          <w:rFonts w:ascii="Arial" w:hAnsi="Arial" w:cs="Arial"/>
          <w:sz w:val="22"/>
        </w:rPr>
        <w:t>Si se anula el acto, la institución autora debe adoptar medidas para ejecutar la sentencia. El Tribunal puede mantener algunos efectos por seguridad jurídica.</w:t>
      </w:r>
    </w:p>
    <w:p>
      <w:pPr>
        <w:pStyle w:val="Heading3"/>
        <w:keepNext/>
      </w:pPr>
      <w:r>
        <w:rPr>
          <w:rFonts w:ascii="Arial" w:hAnsi="Arial" w:cs="Arial"/>
          <w:sz w:val="23"/>
        </w:rPr>
        <w:t>Recurso por omisión y responsabilidad</w:t>
      </w:r>
    </w:p>
    <w:p>
      <w:pPr>
        <w:jc w:val="both"/>
      </w:pPr>
      <w:r>
        <w:rPr>
          <w:rFonts w:ascii="Arial" w:hAnsi="Arial" w:cs="Arial"/>
          <w:sz w:val="22"/>
        </w:rPr>
        <w:t>El recurso por omisión del artículo 265 controla la abstención contraria a los Tratados, previa invitación a actuar. La responsabilidad extracontractual permite reclamar daños causados por instituciones o agentes conforme a principios comunes de los Derechos nacionales.</w:t>
      </w:r>
    </w:p>
    <w:p>
      <w:pPr>
        <w:pStyle w:val="Heading3"/>
        <w:keepNext/>
      </w:pPr>
      <w:r>
        <w:rPr>
          <w:rFonts w:ascii="Arial" w:hAnsi="Arial" w:cs="Arial"/>
          <w:sz w:val="23"/>
        </w:rPr>
        <w:t>Cuestión prejudicial</w:t>
      </w:r>
    </w:p>
    <w:p>
      <w:pPr>
        <w:jc w:val="both"/>
      </w:pPr>
      <w:r>
        <w:rPr>
          <w:rFonts w:ascii="Arial" w:hAnsi="Arial" w:cs="Arial"/>
          <w:sz w:val="22"/>
        </w:rPr>
        <w:t>El artículo 267 crea un diálogo entre jueces nacionales y jurisdicciones de la Unión sobre:</w:t>
      </w:r>
    </w:p>
    <w:p>
      <w:pPr>
        <w:pStyle w:val="ListBullet"/>
      </w:pPr>
      <w:r>
        <w:rPr>
          <w:rFonts w:ascii="Arial" w:hAnsi="Arial" w:cs="Arial"/>
          <w:sz w:val="22"/>
        </w:rPr>
        <w:t>Interpretación de los Tratados.</w:t>
      </w:r>
    </w:p>
    <w:p>
      <w:pPr>
        <w:pStyle w:val="ListBullet"/>
      </w:pPr>
      <w:r>
        <w:rPr>
          <w:rFonts w:ascii="Arial" w:hAnsi="Arial" w:cs="Arial"/>
          <w:sz w:val="22"/>
        </w:rPr>
        <w:t>Validez e interpretación de actos de instituciones, órganos u organismos.</w:t>
      </w:r>
    </w:p>
    <w:p>
      <w:pPr>
        <w:jc w:val="both"/>
      </w:pPr>
      <w:r>
        <w:rPr>
          <w:rFonts w:ascii="Arial" w:hAnsi="Arial" w:cs="Arial"/>
          <w:sz w:val="22"/>
        </w:rPr>
        <w:t>Un órgano nacional puede plantearla si necesita la respuesta para resolver. Si sus decisiones no son susceptibles de recurso interno, debe plantearla, salvo excepciones jurisprudenciales. Si una cuestión de validez presenta dudas, el juez nacional no puede declarar inválido por sí mismo el acto europeo: debe remitirla.</w:t>
      </w:r>
    </w:p>
    <w:p>
      <w:pPr>
        <w:jc w:val="both"/>
      </w:pPr>
      <w:r>
        <w:rPr>
          <w:rFonts w:ascii="Arial" w:hAnsi="Arial" w:cs="Arial"/>
          <w:sz w:val="22"/>
        </w:rPr>
        <w:t>La respuesta prejudicial interpreta el Derecho para que el juez nacional resuelva el litigio. No es un recurso de apelación contra la sentencia nacional.</w:t>
      </w:r>
    </w:p>
    <w:p>
      <w:pPr>
        <w:pStyle w:val="Heading3"/>
        <w:keepNext/>
      </w:pPr>
      <w:r>
        <w:rPr>
          <w:rFonts w:ascii="Arial" w:hAnsi="Arial" w:cs="Arial"/>
          <w:sz w:val="23"/>
        </w:rPr>
        <w:t>Otros procedimientos</w:t>
      </w:r>
    </w:p>
    <w:p>
      <w:pPr>
        <w:jc w:val="both"/>
      </w:pPr>
      <w:r>
        <w:rPr>
          <w:rFonts w:ascii="Arial" w:hAnsi="Arial" w:cs="Arial"/>
          <w:sz w:val="22"/>
        </w:rPr>
        <w:t>El Tribunal conoce recursos de casación contra resoluciones del Tribunal General, dictámenes sobre compatibilidad de acuerdos internacionales proyectados, litigios interinstitucionales y otros asuntos atribuidos. La competencia en política exterior y de seguridad común es limitada, con excepciones expresas.</w:t>
      </w:r>
    </w:p>
    <w:p>
      <w:pPr>
        <w:pStyle w:val="Heading2"/>
        <w:keepNext/>
      </w:pPr>
      <w:r>
        <w:rPr>
          <w:rFonts w:ascii="Arial" w:hAnsi="Arial" w:cs="Arial"/>
          <w:sz w:val="25"/>
        </w:rPr>
        <w:t>5.6. Reforma judicial aplicable desde 2024</w:t>
      </w:r>
    </w:p>
    <w:p>
      <w:pPr>
        <w:jc w:val="both"/>
      </w:pPr>
      <w:r>
        <w:rPr>
          <w:rFonts w:ascii="Arial" w:hAnsi="Arial" w:cs="Arial"/>
          <w:sz w:val="22"/>
        </w:rPr>
        <w:t xml:space="preserve">El Reglamento (UE, Euratom) 2024/2019 modificó el Estatuto. Desde el 1 de octubre de 2024 el Tribunal General conoce de peticiones prejudiciales que pertenezcan </w:t>
      </w:r>
      <w:r>
        <w:rPr>
          <w:rFonts w:ascii="Arial" w:hAnsi="Arial" w:cs="Arial"/>
          <w:b/>
          <w:sz w:val="22"/>
        </w:rPr>
        <w:t>exclusivamente</w:t>
      </w:r>
      <w:r>
        <w:rPr>
          <w:rFonts w:ascii="Arial" w:hAnsi="Arial" w:cs="Arial"/>
          <w:sz w:val="22"/>
        </w:rPr>
        <w:t xml:space="preserve"> a una o varias de seis áreas:</w:t>
      </w:r>
    </w:p>
    <w:p>
      <w:pPr>
        <w:spacing w:after="40"/>
        <w:ind w:left="369" w:hanging="227"/>
      </w:pPr>
      <w:r>
        <w:rPr>
          <w:rFonts w:ascii="Arial" w:hAnsi="Arial" w:cs="Arial"/>
          <w:sz w:val="22"/>
        </w:rPr>
        <w:t>1. Sistema común del IVA.</w:t>
      </w:r>
    </w:p>
    <w:p>
      <w:pPr>
        <w:spacing w:after="40"/>
        <w:ind w:left="369" w:hanging="227"/>
      </w:pPr>
      <w:r>
        <w:rPr>
          <w:rFonts w:ascii="Arial" w:hAnsi="Arial" w:cs="Arial"/>
          <w:sz w:val="22"/>
        </w:rPr>
        <w:t>2. Impuestos especiales.</w:t>
      </w:r>
    </w:p>
    <w:p>
      <w:pPr>
        <w:spacing w:after="40"/>
        <w:ind w:left="369" w:hanging="227"/>
      </w:pPr>
      <w:r>
        <w:rPr>
          <w:rFonts w:ascii="Arial" w:hAnsi="Arial" w:cs="Arial"/>
          <w:sz w:val="22"/>
        </w:rPr>
        <w:t>3. Código Aduanero.</w:t>
      </w:r>
    </w:p>
    <w:p>
      <w:pPr>
        <w:spacing w:after="40"/>
        <w:ind w:left="369" w:hanging="227"/>
      </w:pPr>
      <w:r>
        <w:rPr>
          <w:rFonts w:ascii="Arial" w:hAnsi="Arial" w:cs="Arial"/>
          <w:sz w:val="22"/>
        </w:rPr>
        <w:t>4. Clasificación arancelaria de mercancías en la nomenclatura combinada.</w:t>
      </w:r>
    </w:p>
    <w:p>
      <w:pPr>
        <w:spacing w:after="40"/>
        <w:ind w:left="369" w:hanging="227"/>
      </w:pPr>
      <w:r>
        <w:rPr>
          <w:rFonts w:ascii="Arial" w:hAnsi="Arial" w:cs="Arial"/>
          <w:sz w:val="22"/>
        </w:rPr>
        <w:t>5. Compensación y asistencia a pasajeros por denegación de embarque, retraso o cancelación de servicios de transporte.</w:t>
      </w:r>
    </w:p>
    <w:p>
      <w:pPr>
        <w:spacing w:after="40"/>
        <w:ind w:left="369" w:hanging="227"/>
      </w:pPr>
      <w:r>
        <w:rPr>
          <w:rFonts w:ascii="Arial" w:hAnsi="Arial" w:cs="Arial"/>
          <w:sz w:val="22"/>
        </w:rPr>
        <w:t>6. Régimen para el comercio de derechos de emisión de gases de efecto invernadero.</w:t>
      </w:r>
    </w:p>
    <w:p>
      <w:pPr>
        <w:jc w:val="both"/>
      </w:pPr>
      <w:r>
        <w:rPr>
          <w:rFonts w:ascii="Arial" w:hAnsi="Arial" w:cs="Arial"/>
          <w:sz w:val="22"/>
        </w:rPr>
        <w:t>Todas las peticiones se presentan inicialmente ante el Tribunal de Justicia, que determina cuál debe conocer. El Tribunal de Justicia conserva la petición si suscita además cuestiones independientes de interpretación del Derecho primario, Derecho internacional público, principios generales o Carta de Derechos Fundamentales.</w:t>
      </w:r>
    </w:p>
    <w:p>
      <w:pPr>
        <w:jc w:val="both"/>
      </w:pPr>
      <w:r>
        <w:rPr>
          <w:rFonts w:ascii="Arial" w:hAnsi="Arial" w:cs="Arial"/>
          <w:sz w:val="22"/>
        </w:rPr>
        <w:t>Las resoluciones prejudiciales del Tribunal General pueden ser excepcionalmente reexaminadas por el Tribunal de Justicia cuando exista riesgo grave para la unidad o coherencia del Derecho. La reforma no significa que todas las cuestiones prejudiciales hayan pasado al Tribunal General.</w:t>
      </w:r>
    </w:p>
    <w:p>
      <w:pPr>
        <w:pStyle w:val="Heading1"/>
        <w:keepNext/>
      </w:pPr>
      <w:r>
        <w:rPr>
          <w:rFonts w:ascii="Arial" w:hAnsi="Arial" w:cs="Arial"/>
          <w:sz w:val="30"/>
        </w:rPr>
        <w:t>6. Equilibrio y cooperación entre las cuatro instituciones</w:t>
      </w:r>
    </w:p>
    <w:p>
      <w:pPr>
        <w:pStyle w:val="Heading2"/>
        <w:keepNext/>
      </w:pPr>
      <w:r>
        <w:rPr>
          <w:rFonts w:ascii="Arial" w:hAnsi="Arial" w:cs="Arial"/>
          <w:sz w:val="25"/>
        </w:rPr>
        <w:t>6.1. Ciclo legislativo ordinario</w:t>
      </w:r>
    </w:p>
    <w:p>
      <w:pPr>
        <w:jc w:val="both"/>
      </w:pPr>
      <w:r>
        <w:rPr>
          <w:rFonts w:ascii="Arial" w:hAnsi="Arial" w:cs="Arial"/>
          <w:sz w:val="22"/>
        </w:rPr>
        <w:t xml:space="preserve">text Comisión: propuesta ↓ Parlamento: posición de la ciudadanía ↕ negociación Consejo: posición de los Gobiernos ↓ Acto adoptado, firmado y publicado ↓ Comisión y Estados: ejecución ↓ TJUE: control e interpretación cuando es requerido </w:t>
      </w:r>
    </w:p>
    <w:p>
      <w:pPr>
        <w:jc w:val="both"/>
      </w:pPr>
      <w:r>
        <w:rPr>
          <w:rFonts w:ascii="Arial" w:hAnsi="Arial" w:cs="Arial"/>
          <w:sz w:val="22"/>
        </w:rPr>
        <w:t>La Comisión no adopta por sí sola las leyes ordinarias; Parlamento y Consejo no suelen legislar sin propuesta; el Tribunal no inicia políticas, sino que resuelve litigios y cuestiones dentro de su competencia.</w:t>
      </w:r>
    </w:p>
    <w:p>
      <w:pPr>
        <w:jc w:val="both"/>
      </w:pPr>
      <w:r>
        <w:rPr>
          <w:rFonts w:ascii="Arial" w:hAnsi="Arial" w:cs="Arial"/>
          <w:sz w:val="22"/>
        </w:rPr>
        <w:t xml:space="preserve">Los </w:t>
      </w:r>
      <w:r>
        <w:rPr>
          <w:rFonts w:ascii="Arial" w:hAnsi="Arial" w:cs="Arial"/>
          <w:b/>
          <w:sz w:val="22"/>
        </w:rPr>
        <w:t>trílogos</w:t>
      </w:r>
      <w:r>
        <w:rPr>
          <w:rFonts w:ascii="Arial" w:hAnsi="Arial" w:cs="Arial"/>
          <w:sz w:val="22"/>
        </w:rPr>
        <w:t xml:space="preserve"> son negociaciones informales entre representantes de Parlamento, Consejo y Comisión para aproximar posiciones. El acuerdo político debe ser aprobado después por los procedimientos formales de cada institución.</w:t>
      </w:r>
    </w:p>
    <w:p>
      <w:pPr>
        <w:pStyle w:val="Heading2"/>
        <w:keepNext/>
      </w:pPr>
      <w:r>
        <w:rPr>
          <w:rFonts w:ascii="Arial" w:hAnsi="Arial" w:cs="Arial"/>
          <w:sz w:val="25"/>
        </w:rPr>
        <w:t>6.2. Nombramientos y controles cruzados</w:t>
      </w:r>
    </w:p>
    <w:tbl>
      <w:tblPr>
        <w:tblStyle w:val="TableGrid"/>
        <w:tblW w:type="dxa" w:w="9026"/>
        <w:jc w:val="left"/>
        <w:tblLayout w:type="fixed"/>
        <w:tblLook w:firstColumn="1" w:firstRow="1" w:lastColumn="0" w:lastRow="0" w:noHBand="0" w:noVBand="1" w:val="04A0"/>
        <w:tblInd w:w="120" w:type="dxa"/>
      </w:tblPr>
      <w:tblGrid>
        <w:gridCol w:w="3233"/>
        <w:gridCol w:w="5793"/>
      </w:tblGrid>
      <w:tr>
        <w:trPr>
          <w:tblHeader w:val="true"/>
        </w:trPr>
        <w:tc>
          <w:tcPr>
            <w:tcW w:type="dxa" w:w="323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Relación</w:t>
            </w:r>
          </w:p>
        </w:tc>
        <w:tc>
          <w:tcPr>
            <w:tcW w:type="dxa" w:w="579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Manifestación</w:t>
            </w:r>
          </w:p>
        </w:tc>
      </w:tr>
      <w:tr>
        <w:tc>
          <w:tcPr>
            <w:tcW w:type="dxa" w:w="3233"/>
            <w:tcMar>
              <w:top w:w="80" w:type="dxa"/>
              <w:start w:w="120" w:type="dxa"/>
              <w:bottom w:w="80" w:type="dxa"/>
              <w:end w:w="120" w:type="dxa"/>
            </w:tcMar>
            <w:vAlign w:val="center"/>
          </w:tcPr>
          <w:p>
            <w:pPr>
              <w:spacing w:before="0" w:after="0" w:line="240" w:lineRule="auto"/>
              <w:jc w:val="left"/>
            </w:pPr>
            <w:r/>
            <w:r>
              <w:rPr>
                <w:rFonts w:ascii="Arial" w:hAnsi="Arial" w:cs="Arial"/>
                <w:sz w:val="18"/>
              </w:rPr>
              <w:t>Consejo Europeo-Parlamento</w:t>
            </w:r>
          </w:p>
        </w:tc>
        <w:tc>
          <w:tcPr>
            <w:tcW w:type="dxa" w:w="5793"/>
            <w:tcMar>
              <w:top w:w="80" w:type="dxa"/>
              <w:start w:w="120" w:type="dxa"/>
              <w:bottom w:w="80" w:type="dxa"/>
              <w:end w:w="120" w:type="dxa"/>
            </w:tcMar>
            <w:vAlign w:val="center"/>
          </w:tcPr>
          <w:p>
            <w:pPr>
              <w:spacing w:before="0" w:after="0" w:line="240" w:lineRule="auto"/>
              <w:jc w:val="left"/>
            </w:pPr>
            <w:r/>
            <w:r>
              <w:rPr>
                <w:rFonts w:ascii="Arial" w:hAnsi="Arial" w:cs="Arial"/>
                <w:sz w:val="18"/>
              </w:rPr>
              <w:t>Propuesta y elección del presidente de la Comisión</w:t>
            </w:r>
          </w:p>
        </w:tc>
      </w:tr>
      <w:tr>
        <w:tc>
          <w:tcPr>
            <w:tcW w:type="dxa" w:w="3233"/>
            <w:tcMar>
              <w:top w:w="80" w:type="dxa"/>
              <w:start w:w="120" w:type="dxa"/>
              <w:bottom w:w="80" w:type="dxa"/>
              <w:end w:w="120" w:type="dxa"/>
            </w:tcMar>
            <w:vAlign w:val="center"/>
          </w:tcPr>
          <w:p>
            <w:pPr>
              <w:spacing w:before="0" w:after="0" w:line="240" w:lineRule="auto"/>
              <w:jc w:val="left"/>
            </w:pPr>
            <w:r/>
            <w:r>
              <w:rPr>
                <w:rFonts w:ascii="Arial" w:hAnsi="Arial" w:cs="Arial"/>
                <w:sz w:val="18"/>
              </w:rPr>
              <w:t>Consejo-presidente electo</w:t>
            </w:r>
          </w:p>
        </w:tc>
        <w:tc>
          <w:tcPr>
            <w:tcW w:type="dxa" w:w="5793"/>
            <w:tcMar>
              <w:top w:w="80" w:type="dxa"/>
              <w:start w:w="120" w:type="dxa"/>
              <w:bottom w:w="80" w:type="dxa"/>
              <w:end w:w="120" w:type="dxa"/>
            </w:tcMar>
            <w:vAlign w:val="center"/>
          </w:tcPr>
          <w:p>
            <w:pPr>
              <w:spacing w:before="0" w:after="0" w:line="240" w:lineRule="auto"/>
              <w:jc w:val="left"/>
            </w:pPr>
            <w:r/>
            <w:r>
              <w:rPr>
                <w:rFonts w:ascii="Arial" w:hAnsi="Arial" w:cs="Arial"/>
                <w:sz w:val="18"/>
              </w:rPr>
              <w:t>Lista de candidatos a comisarios</w:t>
            </w:r>
          </w:p>
        </w:tc>
      </w:tr>
      <w:tr>
        <w:tc>
          <w:tcPr>
            <w:tcW w:type="dxa" w:w="3233"/>
            <w:tcMar>
              <w:top w:w="80" w:type="dxa"/>
              <w:start w:w="120" w:type="dxa"/>
              <w:bottom w:w="80" w:type="dxa"/>
              <w:end w:w="120" w:type="dxa"/>
            </w:tcMar>
            <w:vAlign w:val="center"/>
          </w:tcPr>
          <w:p>
            <w:pPr>
              <w:spacing w:before="0" w:after="0" w:line="240" w:lineRule="auto"/>
              <w:jc w:val="left"/>
            </w:pPr>
            <w:r/>
            <w:r>
              <w:rPr>
                <w:rFonts w:ascii="Arial" w:hAnsi="Arial" w:cs="Arial"/>
                <w:sz w:val="18"/>
              </w:rPr>
              <w:t>Parlamento-Comisión</w:t>
            </w:r>
          </w:p>
        </w:tc>
        <w:tc>
          <w:tcPr>
            <w:tcW w:type="dxa" w:w="5793"/>
            <w:tcMar>
              <w:top w:w="80" w:type="dxa"/>
              <w:start w:w="120" w:type="dxa"/>
              <w:bottom w:w="80" w:type="dxa"/>
              <w:end w:w="120" w:type="dxa"/>
            </w:tcMar>
            <w:vAlign w:val="center"/>
          </w:tcPr>
          <w:p>
            <w:pPr>
              <w:spacing w:before="0" w:after="0" w:line="240" w:lineRule="auto"/>
              <w:jc w:val="left"/>
            </w:pPr>
            <w:r/>
            <w:r>
              <w:rPr>
                <w:rFonts w:ascii="Arial" w:hAnsi="Arial" w:cs="Arial"/>
                <w:sz w:val="18"/>
              </w:rPr>
              <w:t>Aprobación inicial, preguntas, control y censura</w:t>
            </w:r>
          </w:p>
        </w:tc>
      </w:tr>
      <w:tr>
        <w:tc>
          <w:tcPr>
            <w:tcW w:type="dxa" w:w="3233"/>
            <w:tcMar>
              <w:top w:w="80" w:type="dxa"/>
              <w:start w:w="120" w:type="dxa"/>
              <w:bottom w:w="80" w:type="dxa"/>
              <w:end w:w="120" w:type="dxa"/>
            </w:tcMar>
            <w:vAlign w:val="center"/>
          </w:tcPr>
          <w:p>
            <w:pPr>
              <w:spacing w:before="0" w:after="0" w:line="240" w:lineRule="auto"/>
              <w:jc w:val="left"/>
            </w:pPr>
            <w:r/>
            <w:r>
              <w:rPr>
                <w:rFonts w:ascii="Arial" w:hAnsi="Arial" w:cs="Arial"/>
                <w:sz w:val="18"/>
              </w:rPr>
              <w:t>Comisión-Estados</w:t>
            </w:r>
          </w:p>
        </w:tc>
        <w:tc>
          <w:tcPr>
            <w:tcW w:type="dxa" w:w="5793"/>
            <w:tcMar>
              <w:top w:w="80" w:type="dxa"/>
              <w:start w:w="120" w:type="dxa"/>
              <w:bottom w:w="80" w:type="dxa"/>
              <w:end w:w="120" w:type="dxa"/>
            </w:tcMar>
            <w:vAlign w:val="center"/>
          </w:tcPr>
          <w:p>
            <w:pPr>
              <w:spacing w:before="0" w:after="0" w:line="240" w:lineRule="auto"/>
              <w:jc w:val="left"/>
            </w:pPr>
            <w:r/>
            <w:r>
              <w:rPr>
                <w:rFonts w:ascii="Arial" w:hAnsi="Arial" w:cs="Arial"/>
                <w:sz w:val="18"/>
              </w:rPr>
              <w:t>Vigilancia y recurso por incumplimiento</w:t>
            </w:r>
          </w:p>
        </w:tc>
      </w:tr>
      <w:tr>
        <w:tc>
          <w:tcPr>
            <w:tcW w:type="dxa" w:w="3233"/>
            <w:tcMar>
              <w:top w:w="80" w:type="dxa"/>
              <w:start w:w="120" w:type="dxa"/>
              <w:bottom w:w="80" w:type="dxa"/>
              <w:end w:w="120" w:type="dxa"/>
            </w:tcMar>
            <w:vAlign w:val="center"/>
          </w:tcPr>
          <w:p>
            <w:pPr>
              <w:spacing w:before="0" w:after="0" w:line="240" w:lineRule="auto"/>
              <w:jc w:val="left"/>
            </w:pPr>
            <w:r/>
            <w:r>
              <w:rPr>
                <w:rFonts w:ascii="Arial" w:hAnsi="Arial" w:cs="Arial"/>
                <w:sz w:val="18"/>
              </w:rPr>
              <w:t>Parlamento-Consejo</w:t>
            </w:r>
          </w:p>
        </w:tc>
        <w:tc>
          <w:tcPr>
            <w:tcW w:type="dxa" w:w="5793"/>
            <w:tcMar>
              <w:top w:w="80" w:type="dxa"/>
              <w:start w:w="120" w:type="dxa"/>
              <w:bottom w:w="80" w:type="dxa"/>
              <w:end w:w="120" w:type="dxa"/>
            </w:tcMar>
            <w:vAlign w:val="center"/>
          </w:tcPr>
          <w:p>
            <w:pPr>
              <w:spacing w:before="0" w:after="0" w:line="240" w:lineRule="auto"/>
              <w:jc w:val="left"/>
            </w:pPr>
            <w:r/>
            <w:r>
              <w:rPr>
                <w:rFonts w:ascii="Arial" w:hAnsi="Arial" w:cs="Arial"/>
                <w:sz w:val="18"/>
              </w:rPr>
              <w:t>Colegislación y presupuesto</w:t>
            </w:r>
          </w:p>
        </w:tc>
      </w:tr>
      <w:tr>
        <w:tc>
          <w:tcPr>
            <w:tcW w:type="dxa" w:w="3233"/>
            <w:tcMar>
              <w:top w:w="80" w:type="dxa"/>
              <w:start w:w="120" w:type="dxa"/>
              <w:bottom w:w="80" w:type="dxa"/>
              <w:end w:w="120" w:type="dxa"/>
            </w:tcMar>
            <w:vAlign w:val="center"/>
          </w:tcPr>
          <w:p>
            <w:pPr>
              <w:spacing w:before="0" w:after="0" w:line="240" w:lineRule="auto"/>
              <w:jc w:val="left"/>
            </w:pPr>
            <w:r/>
            <w:r>
              <w:rPr>
                <w:rFonts w:ascii="Arial" w:hAnsi="Arial" w:cs="Arial"/>
                <w:sz w:val="18"/>
              </w:rPr>
              <w:t>TJUE-instituciones</w:t>
            </w:r>
          </w:p>
        </w:tc>
        <w:tc>
          <w:tcPr>
            <w:tcW w:type="dxa" w:w="5793"/>
            <w:tcMar>
              <w:top w:w="80" w:type="dxa"/>
              <w:start w:w="120" w:type="dxa"/>
              <w:bottom w:w="80" w:type="dxa"/>
              <w:end w:w="120" w:type="dxa"/>
            </w:tcMar>
            <w:vAlign w:val="center"/>
          </w:tcPr>
          <w:p>
            <w:pPr>
              <w:spacing w:before="0" w:after="0" w:line="240" w:lineRule="auto"/>
              <w:jc w:val="left"/>
            </w:pPr>
            <w:r/>
            <w:r>
              <w:rPr>
                <w:rFonts w:ascii="Arial" w:hAnsi="Arial" w:cs="Arial"/>
                <w:sz w:val="18"/>
              </w:rPr>
              <w:t>Control de legalidad y omisión</w:t>
            </w:r>
          </w:p>
        </w:tc>
      </w:tr>
      <w:tr>
        <w:tc>
          <w:tcPr>
            <w:tcW w:type="dxa" w:w="3233"/>
            <w:tcMar>
              <w:top w:w="80" w:type="dxa"/>
              <w:start w:w="120" w:type="dxa"/>
              <w:bottom w:w="80" w:type="dxa"/>
              <w:end w:w="120" w:type="dxa"/>
            </w:tcMar>
            <w:vAlign w:val="center"/>
          </w:tcPr>
          <w:p>
            <w:pPr>
              <w:spacing w:before="0" w:after="0" w:line="240" w:lineRule="auto"/>
              <w:jc w:val="left"/>
            </w:pPr>
            <w:r/>
            <w:r>
              <w:rPr>
                <w:rFonts w:ascii="Arial" w:hAnsi="Arial" w:cs="Arial"/>
                <w:sz w:val="18"/>
              </w:rPr>
              <w:t>Tribunales nacionales-TJUE</w:t>
            </w:r>
          </w:p>
        </w:tc>
        <w:tc>
          <w:tcPr>
            <w:tcW w:type="dxa" w:w="5793"/>
            <w:tcMar>
              <w:top w:w="80" w:type="dxa"/>
              <w:start w:w="120" w:type="dxa"/>
              <w:bottom w:w="80" w:type="dxa"/>
              <w:end w:w="120" w:type="dxa"/>
            </w:tcMar>
            <w:vAlign w:val="center"/>
          </w:tcPr>
          <w:p>
            <w:pPr>
              <w:spacing w:before="0" w:after="0" w:line="240" w:lineRule="auto"/>
              <w:jc w:val="left"/>
            </w:pPr>
            <w:r/>
            <w:r>
              <w:rPr>
                <w:rFonts w:ascii="Arial" w:hAnsi="Arial" w:cs="Arial"/>
                <w:sz w:val="18"/>
              </w:rPr>
              <w:t>Cooperación prejudicial</w:t>
            </w:r>
          </w:p>
        </w:tc>
      </w:tr>
    </w:tbl>
    <w:p>
      <w:pPr>
        <w:spacing w:after="40"/>
      </w:pPr>
    </w:p>
    <w:p>
      <w:pPr>
        <w:jc w:val="both"/>
      </w:pPr>
      <w:r>
        <w:rPr>
          <w:rFonts w:ascii="Arial" w:hAnsi="Arial" w:cs="Arial"/>
          <w:sz w:val="22"/>
        </w:rPr>
        <w:t>La legitimidad del sistema es doble: ciudadanos representados en el Parlamento y Estados representados en Consejo y Consejo Europeo. La Comisión añade independencia e interés general; el Tribunal, garantía jurídica.</w:t>
      </w:r>
    </w:p>
    <w:p>
      <w:pPr>
        <w:pStyle w:val="Heading1"/>
        <w:keepNext/>
      </w:pPr>
      <w:r>
        <w:rPr>
          <w:rFonts w:ascii="Arial" w:hAnsi="Arial" w:cs="Arial"/>
          <w:sz w:val="30"/>
        </w:rPr>
        <w:t>7. Cuadros de repaso</w:t>
      </w:r>
    </w:p>
    <w:p>
      <w:pPr>
        <w:pStyle w:val="Heading2"/>
        <w:keepNext/>
      </w:pPr>
      <w:r>
        <w:rPr>
          <w:rFonts w:ascii="Arial" w:hAnsi="Arial" w:cs="Arial"/>
          <w:sz w:val="25"/>
        </w:rPr>
        <w:t>7.1. Composición y mandato a 30-07-2026</w:t>
      </w:r>
    </w:p>
    <w:tbl>
      <w:tblPr>
        <w:tblStyle w:val="TableGrid"/>
        <w:tblW w:type="dxa" w:w="9026"/>
        <w:jc w:val="left"/>
        <w:tblLayout w:type="fixed"/>
        <w:tblLook w:firstColumn="1" w:firstRow="1" w:lastColumn="0" w:lastRow="0" w:noHBand="0" w:noVBand="1" w:val="04A0"/>
        <w:tblInd w:w="120" w:type="dxa"/>
      </w:tblPr>
      <w:tblGrid>
        <w:gridCol w:w="2006"/>
        <w:gridCol w:w="3928"/>
        <w:gridCol w:w="3092"/>
      </w:tblGrid>
      <w:tr>
        <w:trPr>
          <w:tblHeader w:val="true"/>
        </w:trPr>
        <w:tc>
          <w:tcPr>
            <w:tcW w:type="dxa" w:w="200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Institución</w:t>
            </w:r>
          </w:p>
        </w:tc>
        <w:tc>
          <w:tcPr>
            <w:tcW w:type="dxa" w:w="392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Composición</w:t>
            </w:r>
          </w:p>
        </w:tc>
        <w:tc>
          <w:tcPr>
            <w:tcW w:type="dxa" w:w="309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Mandato o rotación</w:t>
            </w:r>
          </w:p>
        </w:tc>
      </w:tr>
      <w:tr>
        <w:tc>
          <w:tcPr>
            <w:tcW w:type="dxa" w:w="2006"/>
            <w:tcMar>
              <w:top w:w="80" w:type="dxa"/>
              <w:start w:w="120" w:type="dxa"/>
              <w:bottom w:w="80" w:type="dxa"/>
              <w:end w:w="120" w:type="dxa"/>
            </w:tcMar>
            <w:vAlign w:val="center"/>
          </w:tcPr>
          <w:p>
            <w:pPr>
              <w:spacing w:before="0" w:after="0" w:line="240" w:lineRule="auto"/>
              <w:jc w:val="left"/>
            </w:pPr>
            <w:r/>
            <w:r>
              <w:rPr>
                <w:rFonts w:ascii="Arial" w:hAnsi="Arial" w:cs="Arial"/>
                <w:sz w:val="18"/>
              </w:rPr>
              <w:t>Parlamento</w:t>
            </w:r>
          </w:p>
        </w:tc>
        <w:tc>
          <w:tcPr>
            <w:tcW w:type="dxa" w:w="3928"/>
            <w:tcMar>
              <w:top w:w="80" w:type="dxa"/>
              <w:start w:w="120" w:type="dxa"/>
              <w:bottom w:w="80" w:type="dxa"/>
              <w:end w:w="120" w:type="dxa"/>
            </w:tcMar>
            <w:vAlign w:val="center"/>
          </w:tcPr>
          <w:p>
            <w:pPr>
              <w:spacing w:before="0" w:after="0" w:line="240" w:lineRule="auto"/>
              <w:jc w:val="center"/>
            </w:pPr>
            <w:r/>
            <w:r>
              <w:rPr>
                <w:rFonts w:ascii="Arial" w:hAnsi="Arial" w:cs="Arial"/>
                <w:sz w:val="18"/>
              </w:rPr>
              <w:t>720 diputados</w:t>
            </w:r>
          </w:p>
        </w:tc>
        <w:tc>
          <w:tcPr>
            <w:tcW w:type="dxa" w:w="3092"/>
            <w:tcMar>
              <w:top w:w="80" w:type="dxa"/>
              <w:start w:w="120" w:type="dxa"/>
              <w:bottom w:w="80" w:type="dxa"/>
              <w:end w:w="120" w:type="dxa"/>
            </w:tcMar>
            <w:vAlign w:val="center"/>
          </w:tcPr>
          <w:p>
            <w:pPr>
              <w:spacing w:before="0" w:after="0" w:line="240" w:lineRule="auto"/>
              <w:jc w:val="left"/>
            </w:pPr>
            <w:r/>
            <w:r>
              <w:rPr>
                <w:rFonts w:ascii="Arial" w:hAnsi="Arial" w:cs="Arial"/>
                <w:sz w:val="18"/>
              </w:rPr>
              <w:t>Cinco años, legislatura 2024-2029</w:t>
            </w:r>
          </w:p>
        </w:tc>
      </w:tr>
      <w:tr>
        <w:tc>
          <w:tcPr>
            <w:tcW w:type="dxa" w:w="2006"/>
            <w:tcMar>
              <w:top w:w="80" w:type="dxa"/>
              <w:start w:w="120" w:type="dxa"/>
              <w:bottom w:w="80" w:type="dxa"/>
              <w:end w:w="120" w:type="dxa"/>
            </w:tcMar>
            <w:vAlign w:val="center"/>
          </w:tcPr>
          <w:p>
            <w:pPr>
              <w:spacing w:before="0" w:after="0" w:line="240" w:lineRule="auto"/>
              <w:jc w:val="left"/>
            </w:pPr>
            <w:r/>
            <w:r>
              <w:rPr>
                <w:rFonts w:ascii="Arial" w:hAnsi="Arial" w:cs="Arial"/>
                <w:sz w:val="18"/>
              </w:rPr>
              <w:t>Presidencia del Parlamento</w:t>
            </w:r>
          </w:p>
        </w:tc>
        <w:tc>
          <w:tcPr>
            <w:tcW w:type="dxa" w:w="3928"/>
            <w:tcMar>
              <w:top w:w="80" w:type="dxa"/>
              <w:start w:w="120" w:type="dxa"/>
              <w:bottom w:w="80" w:type="dxa"/>
              <w:end w:w="120" w:type="dxa"/>
            </w:tcMar>
            <w:vAlign w:val="center"/>
          </w:tcPr>
          <w:p>
            <w:pPr>
              <w:spacing w:before="0" w:after="0" w:line="240" w:lineRule="auto"/>
              <w:jc w:val="center"/>
            </w:pPr>
            <w:r/>
            <w:r>
              <w:rPr>
                <w:rFonts w:ascii="Arial" w:hAnsi="Arial" w:cs="Arial"/>
                <w:sz w:val="18"/>
              </w:rPr>
              <w:t>Roberta Metsola</w:t>
            </w:r>
          </w:p>
        </w:tc>
        <w:tc>
          <w:tcPr>
            <w:tcW w:type="dxa" w:w="3092"/>
            <w:tcMar>
              <w:top w:w="80" w:type="dxa"/>
              <w:start w:w="120" w:type="dxa"/>
              <w:bottom w:w="80" w:type="dxa"/>
              <w:end w:w="120" w:type="dxa"/>
            </w:tcMar>
            <w:vAlign w:val="center"/>
          </w:tcPr>
          <w:p>
            <w:pPr>
              <w:spacing w:before="0" w:after="0" w:line="240" w:lineRule="auto"/>
              <w:jc w:val="left"/>
            </w:pPr>
            <w:r/>
            <w:r>
              <w:rPr>
                <w:rFonts w:ascii="Arial" w:hAnsi="Arial" w:cs="Arial"/>
                <w:sz w:val="18"/>
              </w:rPr>
              <w:t>Dos años y medio; mandato iniciado julio 2024</w:t>
            </w:r>
          </w:p>
        </w:tc>
      </w:tr>
      <w:tr>
        <w:tc>
          <w:tcPr>
            <w:tcW w:type="dxa" w:w="2006"/>
            <w:tcMar>
              <w:top w:w="80" w:type="dxa"/>
              <w:start w:w="120" w:type="dxa"/>
              <w:bottom w:w="80" w:type="dxa"/>
              <w:end w:w="120" w:type="dxa"/>
            </w:tcMar>
            <w:vAlign w:val="center"/>
          </w:tcPr>
          <w:p>
            <w:pPr>
              <w:spacing w:before="0" w:after="0" w:line="240" w:lineRule="auto"/>
              <w:jc w:val="left"/>
            </w:pPr>
            <w:r/>
            <w:r>
              <w:rPr>
                <w:rFonts w:ascii="Arial" w:hAnsi="Arial" w:cs="Arial"/>
                <w:sz w:val="18"/>
              </w:rPr>
              <w:t>Consejo</w:t>
            </w:r>
          </w:p>
        </w:tc>
        <w:tc>
          <w:tcPr>
            <w:tcW w:type="dxa" w:w="3928"/>
            <w:tcMar>
              <w:top w:w="80" w:type="dxa"/>
              <w:start w:w="120" w:type="dxa"/>
              <w:bottom w:w="80" w:type="dxa"/>
              <w:end w:w="120" w:type="dxa"/>
            </w:tcMar>
            <w:vAlign w:val="center"/>
          </w:tcPr>
          <w:p>
            <w:pPr>
              <w:spacing w:before="0" w:after="0" w:line="240" w:lineRule="auto"/>
              <w:jc w:val="left"/>
            </w:pPr>
            <w:r/>
            <w:r>
              <w:rPr>
                <w:rFonts w:ascii="Arial" w:hAnsi="Arial" w:cs="Arial"/>
                <w:sz w:val="18"/>
              </w:rPr>
              <w:t>Un representante ministerial por cada uno de 27 Estados</w:t>
            </w:r>
          </w:p>
        </w:tc>
        <w:tc>
          <w:tcPr>
            <w:tcW w:type="dxa" w:w="3092"/>
            <w:tcMar>
              <w:top w:w="80" w:type="dxa"/>
              <w:start w:w="120" w:type="dxa"/>
              <w:bottom w:w="80" w:type="dxa"/>
              <w:end w:w="120" w:type="dxa"/>
            </w:tcMar>
            <w:vAlign w:val="center"/>
          </w:tcPr>
          <w:p>
            <w:pPr>
              <w:spacing w:before="0" w:after="0" w:line="240" w:lineRule="auto"/>
              <w:jc w:val="left"/>
            </w:pPr>
            <w:r/>
            <w:r>
              <w:rPr>
                <w:rFonts w:ascii="Arial" w:hAnsi="Arial" w:cs="Arial"/>
                <w:sz w:val="18"/>
              </w:rPr>
              <w:t>Presidencia rotatoria semestral</w:t>
            </w:r>
          </w:p>
        </w:tc>
      </w:tr>
      <w:tr>
        <w:tc>
          <w:tcPr>
            <w:tcW w:type="dxa" w:w="2006"/>
            <w:tcMar>
              <w:top w:w="80" w:type="dxa"/>
              <w:start w:w="120" w:type="dxa"/>
              <w:bottom w:w="80" w:type="dxa"/>
              <w:end w:w="120" w:type="dxa"/>
            </w:tcMar>
            <w:vAlign w:val="center"/>
          </w:tcPr>
          <w:p>
            <w:pPr>
              <w:spacing w:before="0" w:after="0" w:line="240" w:lineRule="auto"/>
              <w:jc w:val="left"/>
            </w:pPr>
            <w:r/>
            <w:r>
              <w:rPr>
                <w:rFonts w:ascii="Arial" w:hAnsi="Arial" w:cs="Arial"/>
                <w:sz w:val="18"/>
              </w:rPr>
              <w:t>Presidencia rotatoria</w:t>
            </w:r>
          </w:p>
        </w:tc>
        <w:tc>
          <w:tcPr>
            <w:tcW w:type="dxa" w:w="3928"/>
            <w:tcMar>
              <w:top w:w="80" w:type="dxa"/>
              <w:start w:w="120" w:type="dxa"/>
              <w:bottom w:w="80" w:type="dxa"/>
              <w:end w:w="120" w:type="dxa"/>
            </w:tcMar>
            <w:vAlign w:val="center"/>
          </w:tcPr>
          <w:p>
            <w:pPr>
              <w:spacing w:before="0" w:after="0" w:line="240" w:lineRule="auto"/>
              <w:jc w:val="center"/>
            </w:pPr>
            <w:r/>
            <w:r>
              <w:rPr>
                <w:rFonts w:ascii="Arial" w:hAnsi="Arial" w:cs="Arial"/>
                <w:sz w:val="18"/>
              </w:rPr>
              <w:t>Irlanda</w:t>
            </w:r>
          </w:p>
        </w:tc>
        <w:tc>
          <w:tcPr>
            <w:tcW w:type="dxa" w:w="3092"/>
            <w:tcMar>
              <w:top w:w="80" w:type="dxa"/>
              <w:start w:w="120" w:type="dxa"/>
              <w:bottom w:w="80" w:type="dxa"/>
              <w:end w:w="120" w:type="dxa"/>
            </w:tcMar>
            <w:vAlign w:val="center"/>
          </w:tcPr>
          <w:p>
            <w:pPr>
              <w:spacing w:before="0" w:after="0" w:line="240" w:lineRule="auto"/>
              <w:jc w:val="left"/>
            </w:pPr>
            <w:r/>
            <w:r>
              <w:rPr>
                <w:rFonts w:ascii="Arial" w:hAnsi="Arial" w:cs="Arial"/>
                <w:sz w:val="18"/>
              </w:rPr>
              <w:t>1 julio-31 diciembre 2026</w:t>
            </w:r>
          </w:p>
        </w:tc>
      </w:tr>
      <w:tr>
        <w:tc>
          <w:tcPr>
            <w:tcW w:type="dxa" w:w="2006"/>
            <w:tcMar>
              <w:top w:w="80" w:type="dxa"/>
              <w:start w:w="120" w:type="dxa"/>
              <w:bottom w:w="80" w:type="dxa"/>
              <w:end w:w="120" w:type="dxa"/>
            </w:tcMar>
            <w:vAlign w:val="center"/>
          </w:tcPr>
          <w:p>
            <w:pPr>
              <w:spacing w:before="0" w:after="0" w:line="240" w:lineRule="auto"/>
              <w:jc w:val="left"/>
            </w:pPr>
            <w:r/>
            <w:r>
              <w:rPr>
                <w:rFonts w:ascii="Arial" w:hAnsi="Arial" w:cs="Arial"/>
                <w:sz w:val="18"/>
              </w:rPr>
              <w:t>Comisión</w:t>
            </w:r>
          </w:p>
        </w:tc>
        <w:tc>
          <w:tcPr>
            <w:tcW w:type="dxa" w:w="3928"/>
            <w:tcMar>
              <w:top w:w="80" w:type="dxa"/>
              <w:start w:w="120" w:type="dxa"/>
              <w:bottom w:w="80" w:type="dxa"/>
              <w:end w:w="120" w:type="dxa"/>
            </w:tcMar>
            <w:vAlign w:val="center"/>
          </w:tcPr>
          <w:p>
            <w:pPr>
              <w:spacing w:before="0" w:after="0" w:line="240" w:lineRule="auto"/>
              <w:jc w:val="center"/>
            </w:pPr>
            <w:r/>
            <w:r>
              <w:rPr>
                <w:rFonts w:ascii="Arial" w:hAnsi="Arial" w:cs="Arial"/>
                <w:sz w:val="18"/>
              </w:rPr>
              <w:t>27 miembros</w:t>
            </w:r>
          </w:p>
        </w:tc>
        <w:tc>
          <w:tcPr>
            <w:tcW w:type="dxa" w:w="3092"/>
            <w:tcMar>
              <w:top w:w="80" w:type="dxa"/>
              <w:start w:w="120" w:type="dxa"/>
              <w:bottom w:w="80" w:type="dxa"/>
              <w:end w:w="120" w:type="dxa"/>
            </w:tcMar>
            <w:vAlign w:val="center"/>
          </w:tcPr>
          <w:p>
            <w:pPr>
              <w:spacing w:before="0" w:after="0" w:line="240" w:lineRule="auto"/>
              <w:jc w:val="left"/>
            </w:pPr>
            <w:r/>
            <w:r>
              <w:rPr>
                <w:rFonts w:ascii="Arial" w:hAnsi="Arial" w:cs="Arial"/>
                <w:sz w:val="18"/>
              </w:rPr>
              <w:t>Cinco años, 1-12-2024 a 30-11-2029</w:t>
            </w:r>
          </w:p>
        </w:tc>
      </w:tr>
      <w:tr>
        <w:tc>
          <w:tcPr>
            <w:tcW w:type="dxa" w:w="2006"/>
            <w:tcMar>
              <w:top w:w="80" w:type="dxa"/>
              <w:start w:w="120" w:type="dxa"/>
              <w:bottom w:w="80" w:type="dxa"/>
              <w:end w:w="120" w:type="dxa"/>
            </w:tcMar>
            <w:vAlign w:val="center"/>
          </w:tcPr>
          <w:p>
            <w:pPr>
              <w:spacing w:before="0" w:after="0" w:line="240" w:lineRule="auto"/>
              <w:jc w:val="left"/>
            </w:pPr>
            <w:r/>
            <w:r>
              <w:rPr>
                <w:rFonts w:ascii="Arial" w:hAnsi="Arial" w:cs="Arial"/>
                <w:sz w:val="18"/>
              </w:rPr>
              <w:t>Tribunal de Justicia</w:t>
            </w:r>
          </w:p>
        </w:tc>
        <w:tc>
          <w:tcPr>
            <w:tcW w:type="dxa" w:w="3928"/>
            <w:tcMar>
              <w:top w:w="80" w:type="dxa"/>
              <w:start w:w="120" w:type="dxa"/>
              <w:bottom w:w="80" w:type="dxa"/>
              <w:end w:w="120" w:type="dxa"/>
            </w:tcMar>
            <w:vAlign w:val="center"/>
          </w:tcPr>
          <w:p>
            <w:pPr>
              <w:spacing w:before="0" w:after="0" w:line="240" w:lineRule="auto"/>
              <w:jc w:val="left"/>
            </w:pPr>
            <w:r/>
            <w:r>
              <w:rPr>
                <w:rFonts w:ascii="Arial" w:hAnsi="Arial" w:cs="Arial"/>
                <w:sz w:val="18"/>
              </w:rPr>
              <w:t>27 jueces y 11 abogados generales</w:t>
            </w:r>
          </w:p>
        </w:tc>
        <w:tc>
          <w:tcPr>
            <w:tcW w:type="dxa" w:w="3092"/>
            <w:tcMar>
              <w:top w:w="80" w:type="dxa"/>
              <w:start w:w="120" w:type="dxa"/>
              <w:bottom w:w="80" w:type="dxa"/>
              <w:end w:w="120" w:type="dxa"/>
            </w:tcMar>
            <w:vAlign w:val="center"/>
          </w:tcPr>
          <w:p>
            <w:pPr>
              <w:spacing w:before="0" w:after="0" w:line="240" w:lineRule="auto"/>
              <w:jc w:val="left"/>
            </w:pPr>
            <w:r/>
            <w:r>
              <w:rPr>
                <w:rFonts w:ascii="Arial" w:hAnsi="Arial" w:cs="Arial"/>
                <w:sz w:val="18"/>
              </w:rPr>
              <w:t>Seis años renovables</w:t>
            </w:r>
          </w:p>
        </w:tc>
      </w:tr>
      <w:tr>
        <w:tc>
          <w:tcPr>
            <w:tcW w:type="dxa" w:w="2006"/>
            <w:tcMar>
              <w:top w:w="80" w:type="dxa"/>
              <w:start w:w="120" w:type="dxa"/>
              <w:bottom w:w="80" w:type="dxa"/>
              <w:end w:w="120" w:type="dxa"/>
            </w:tcMar>
            <w:vAlign w:val="center"/>
          </w:tcPr>
          <w:p>
            <w:pPr>
              <w:spacing w:before="0" w:after="0" w:line="240" w:lineRule="auto"/>
              <w:jc w:val="left"/>
            </w:pPr>
            <w:r/>
            <w:r>
              <w:rPr>
                <w:rFonts w:ascii="Arial" w:hAnsi="Arial" w:cs="Arial"/>
                <w:sz w:val="18"/>
              </w:rPr>
              <w:t>Tribunal General</w:t>
            </w:r>
          </w:p>
        </w:tc>
        <w:tc>
          <w:tcPr>
            <w:tcW w:type="dxa" w:w="3928"/>
            <w:tcMar>
              <w:top w:w="80" w:type="dxa"/>
              <w:start w:w="120" w:type="dxa"/>
              <w:bottom w:w="80" w:type="dxa"/>
              <w:end w:w="120" w:type="dxa"/>
            </w:tcMar>
            <w:vAlign w:val="center"/>
          </w:tcPr>
          <w:p>
            <w:pPr>
              <w:spacing w:before="0" w:after="0" w:line="240" w:lineRule="auto"/>
              <w:jc w:val="center"/>
            </w:pPr>
            <w:r/>
            <w:r>
              <w:rPr>
                <w:rFonts w:ascii="Arial" w:hAnsi="Arial" w:cs="Arial"/>
                <w:sz w:val="18"/>
              </w:rPr>
              <w:t>54 jueces</w:t>
            </w:r>
          </w:p>
        </w:tc>
        <w:tc>
          <w:tcPr>
            <w:tcW w:type="dxa" w:w="3092"/>
            <w:tcMar>
              <w:top w:w="80" w:type="dxa"/>
              <w:start w:w="120" w:type="dxa"/>
              <w:bottom w:w="80" w:type="dxa"/>
              <w:end w:w="120" w:type="dxa"/>
            </w:tcMar>
            <w:vAlign w:val="center"/>
          </w:tcPr>
          <w:p>
            <w:pPr>
              <w:spacing w:before="0" w:after="0" w:line="240" w:lineRule="auto"/>
              <w:jc w:val="left"/>
            </w:pPr>
            <w:r/>
            <w:r>
              <w:rPr>
                <w:rFonts w:ascii="Arial" w:hAnsi="Arial" w:cs="Arial"/>
                <w:sz w:val="18"/>
              </w:rPr>
              <w:t>Seis años renovables</w:t>
            </w:r>
          </w:p>
        </w:tc>
      </w:tr>
    </w:tbl>
    <w:p>
      <w:pPr>
        <w:spacing w:after="40"/>
      </w:pPr>
    </w:p>
    <w:p>
      <w:pPr>
        <w:pStyle w:val="Heading2"/>
        <w:keepNext/>
      </w:pPr>
      <w:r>
        <w:rPr>
          <w:rFonts w:ascii="Arial" w:hAnsi="Arial" w:cs="Arial"/>
          <w:sz w:val="25"/>
        </w:rPr>
        <w:t>7.2. Mayorías esenciales</w:t>
      </w:r>
    </w:p>
    <w:tbl>
      <w:tblPr>
        <w:tblStyle w:val="TableGrid"/>
        <w:tblW w:type="dxa" w:w="9026"/>
        <w:jc w:val="left"/>
        <w:tblLayout w:type="fixed"/>
        <w:tblLook w:firstColumn="1" w:firstRow="1" w:lastColumn="0" w:lastRow="0" w:noHBand="0" w:noVBand="1" w:val="04A0"/>
        <w:tblInd w:w="120" w:type="dxa"/>
      </w:tblPr>
      <w:tblGrid>
        <w:gridCol w:w="1601"/>
        <w:gridCol w:w="2912"/>
        <w:gridCol w:w="4513"/>
      </w:tblGrid>
      <w:tr>
        <w:trPr>
          <w:tblHeader w:val="true"/>
        </w:trPr>
        <w:tc>
          <w:tcPr>
            <w:tcW w:type="dxa" w:w="160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Institución</w:t>
            </w:r>
          </w:p>
        </w:tc>
        <w:tc>
          <w:tcPr>
            <w:tcW w:type="dxa" w:w="291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Decisión</w:t>
            </w:r>
          </w:p>
        </w:tc>
        <w:tc>
          <w:tcPr>
            <w:tcW w:type="dxa" w:w="451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Regla</w:t>
            </w:r>
          </w:p>
        </w:tc>
      </w:tr>
      <w:tr>
        <w:tc>
          <w:tcPr>
            <w:tcW w:type="dxa" w:w="1601"/>
            <w:tcMar>
              <w:top w:w="80" w:type="dxa"/>
              <w:start w:w="120" w:type="dxa"/>
              <w:bottom w:w="80" w:type="dxa"/>
              <w:end w:w="120" w:type="dxa"/>
            </w:tcMar>
            <w:vAlign w:val="center"/>
          </w:tcPr>
          <w:p>
            <w:pPr>
              <w:spacing w:before="0" w:after="0" w:line="240" w:lineRule="auto"/>
              <w:jc w:val="left"/>
            </w:pPr>
            <w:r/>
            <w:r>
              <w:rPr>
                <w:rFonts w:ascii="Arial" w:hAnsi="Arial" w:cs="Arial"/>
                <w:sz w:val="18"/>
              </w:rPr>
              <w:t>Parlamento</w:t>
            </w:r>
          </w:p>
        </w:tc>
        <w:tc>
          <w:tcPr>
            <w:tcW w:type="dxa" w:w="2912"/>
            <w:tcMar>
              <w:top w:w="80" w:type="dxa"/>
              <w:start w:w="120" w:type="dxa"/>
              <w:bottom w:w="80" w:type="dxa"/>
              <w:end w:w="120" w:type="dxa"/>
            </w:tcMar>
            <w:vAlign w:val="center"/>
          </w:tcPr>
          <w:p>
            <w:pPr>
              <w:spacing w:before="0" w:after="0" w:line="240" w:lineRule="auto"/>
              <w:jc w:val="center"/>
            </w:pPr>
            <w:r/>
            <w:r>
              <w:rPr>
                <w:rFonts w:ascii="Arial" w:hAnsi="Arial" w:cs="Arial"/>
                <w:sz w:val="18"/>
              </w:rPr>
              <w:t>Ordinaria</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Mayoría de votos emitidos</w:t>
            </w:r>
          </w:p>
        </w:tc>
      </w:tr>
      <w:tr>
        <w:tc>
          <w:tcPr>
            <w:tcW w:type="dxa" w:w="1601"/>
            <w:tcMar>
              <w:top w:w="80" w:type="dxa"/>
              <w:start w:w="120" w:type="dxa"/>
              <w:bottom w:w="80" w:type="dxa"/>
              <w:end w:w="120" w:type="dxa"/>
            </w:tcMar>
            <w:vAlign w:val="center"/>
          </w:tcPr>
          <w:p>
            <w:pPr>
              <w:spacing w:before="0" w:after="0" w:line="240" w:lineRule="auto"/>
              <w:jc w:val="left"/>
            </w:pPr>
            <w:r/>
            <w:r>
              <w:rPr>
                <w:rFonts w:ascii="Arial" w:hAnsi="Arial" w:cs="Arial"/>
                <w:sz w:val="18"/>
              </w:rPr>
              <w:t>Parlamento</w:t>
            </w:r>
          </w:p>
        </w:tc>
        <w:tc>
          <w:tcPr>
            <w:tcW w:type="dxa" w:w="2912"/>
            <w:tcMar>
              <w:top w:w="80" w:type="dxa"/>
              <w:start w:w="120" w:type="dxa"/>
              <w:bottom w:w="80" w:type="dxa"/>
              <w:end w:w="120" w:type="dxa"/>
            </w:tcMar>
            <w:vAlign w:val="center"/>
          </w:tcPr>
          <w:p>
            <w:pPr>
              <w:spacing w:before="0" w:after="0" w:line="240" w:lineRule="auto"/>
              <w:jc w:val="left"/>
            </w:pPr>
            <w:r/>
            <w:r>
              <w:rPr>
                <w:rFonts w:ascii="Arial" w:hAnsi="Arial" w:cs="Arial"/>
                <w:sz w:val="18"/>
              </w:rPr>
              <w:t>Presidente Comisión</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Mayoría de componentes: 361 de 720</w:t>
            </w:r>
          </w:p>
        </w:tc>
      </w:tr>
      <w:tr>
        <w:tc>
          <w:tcPr>
            <w:tcW w:type="dxa" w:w="1601"/>
            <w:tcMar>
              <w:top w:w="80" w:type="dxa"/>
              <w:start w:w="120" w:type="dxa"/>
              <w:bottom w:w="80" w:type="dxa"/>
              <w:end w:w="120" w:type="dxa"/>
            </w:tcMar>
            <w:vAlign w:val="center"/>
          </w:tcPr>
          <w:p>
            <w:pPr>
              <w:spacing w:before="0" w:after="0" w:line="240" w:lineRule="auto"/>
              <w:jc w:val="left"/>
            </w:pPr>
            <w:r/>
            <w:r>
              <w:rPr>
                <w:rFonts w:ascii="Arial" w:hAnsi="Arial" w:cs="Arial"/>
                <w:sz w:val="18"/>
              </w:rPr>
              <w:t>Parlamento</w:t>
            </w:r>
          </w:p>
        </w:tc>
        <w:tc>
          <w:tcPr>
            <w:tcW w:type="dxa" w:w="2912"/>
            <w:tcMar>
              <w:top w:w="80" w:type="dxa"/>
              <w:start w:w="120" w:type="dxa"/>
              <w:bottom w:w="80" w:type="dxa"/>
              <w:end w:w="120" w:type="dxa"/>
            </w:tcMar>
            <w:vAlign w:val="center"/>
          </w:tcPr>
          <w:p>
            <w:pPr>
              <w:spacing w:before="0" w:after="0" w:line="240" w:lineRule="auto"/>
              <w:jc w:val="center"/>
            </w:pPr>
            <w:r/>
            <w:r>
              <w:rPr>
                <w:rFonts w:ascii="Arial" w:hAnsi="Arial" w:cs="Arial"/>
                <w:sz w:val="18"/>
              </w:rPr>
              <w:t>Censura</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2/3 emitidos + mayoría de componentes</w:t>
            </w:r>
          </w:p>
        </w:tc>
      </w:tr>
      <w:tr>
        <w:tc>
          <w:tcPr>
            <w:tcW w:type="dxa" w:w="1601"/>
            <w:tcMar>
              <w:top w:w="80" w:type="dxa"/>
              <w:start w:w="120" w:type="dxa"/>
              <w:bottom w:w="80" w:type="dxa"/>
              <w:end w:w="120" w:type="dxa"/>
            </w:tcMar>
            <w:vAlign w:val="center"/>
          </w:tcPr>
          <w:p>
            <w:pPr>
              <w:spacing w:before="0" w:after="0" w:line="240" w:lineRule="auto"/>
              <w:jc w:val="left"/>
            </w:pPr>
            <w:r/>
            <w:r>
              <w:rPr>
                <w:rFonts w:ascii="Arial" w:hAnsi="Arial" w:cs="Arial"/>
                <w:sz w:val="18"/>
              </w:rPr>
              <w:t>Consejo</w:t>
            </w:r>
          </w:p>
        </w:tc>
        <w:tc>
          <w:tcPr>
            <w:tcW w:type="dxa" w:w="2912"/>
            <w:tcMar>
              <w:top w:w="80" w:type="dxa"/>
              <w:start w:w="120" w:type="dxa"/>
              <w:bottom w:w="80" w:type="dxa"/>
              <w:end w:w="120" w:type="dxa"/>
            </w:tcMar>
            <w:vAlign w:val="center"/>
          </w:tcPr>
          <w:p>
            <w:pPr>
              <w:spacing w:before="0" w:after="0" w:line="240" w:lineRule="auto"/>
              <w:jc w:val="center"/>
            </w:pPr>
            <w:r/>
            <w:r>
              <w:rPr>
                <w:rFonts w:ascii="Arial" w:hAnsi="Arial" w:cs="Arial"/>
                <w:sz w:val="18"/>
              </w:rPr>
              <w:t>Simple</w:t>
            </w:r>
          </w:p>
        </w:tc>
        <w:tc>
          <w:tcPr>
            <w:tcW w:type="dxa" w:w="4513"/>
            <w:tcMar>
              <w:top w:w="80" w:type="dxa"/>
              <w:start w:w="120" w:type="dxa"/>
              <w:bottom w:w="80" w:type="dxa"/>
              <w:end w:w="120" w:type="dxa"/>
            </w:tcMar>
            <w:vAlign w:val="center"/>
          </w:tcPr>
          <w:p>
            <w:pPr>
              <w:spacing w:before="0" w:after="0" w:line="240" w:lineRule="auto"/>
              <w:jc w:val="center"/>
            </w:pPr>
            <w:r/>
            <w:r>
              <w:rPr>
                <w:rFonts w:ascii="Arial" w:hAnsi="Arial" w:cs="Arial"/>
                <w:sz w:val="18"/>
              </w:rPr>
              <w:t>14 de 27</w:t>
            </w:r>
          </w:p>
        </w:tc>
      </w:tr>
      <w:tr>
        <w:tc>
          <w:tcPr>
            <w:tcW w:type="dxa" w:w="1601"/>
            <w:tcMar>
              <w:top w:w="80" w:type="dxa"/>
              <w:start w:w="120" w:type="dxa"/>
              <w:bottom w:w="80" w:type="dxa"/>
              <w:end w:w="120" w:type="dxa"/>
            </w:tcMar>
            <w:vAlign w:val="center"/>
          </w:tcPr>
          <w:p>
            <w:pPr>
              <w:spacing w:before="0" w:after="0" w:line="240" w:lineRule="auto"/>
              <w:jc w:val="left"/>
            </w:pPr>
            <w:r/>
            <w:r>
              <w:rPr>
                <w:rFonts w:ascii="Arial" w:hAnsi="Arial" w:cs="Arial"/>
                <w:sz w:val="18"/>
              </w:rPr>
              <w:t>Consejo</w:t>
            </w:r>
          </w:p>
        </w:tc>
        <w:tc>
          <w:tcPr>
            <w:tcW w:type="dxa" w:w="2912"/>
            <w:tcMar>
              <w:top w:w="80" w:type="dxa"/>
              <w:start w:w="120" w:type="dxa"/>
              <w:bottom w:w="80" w:type="dxa"/>
              <w:end w:w="120" w:type="dxa"/>
            </w:tcMar>
            <w:vAlign w:val="center"/>
          </w:tcPr>
          <w:p>
            <w:pPr>
              <w:spacing w:before="0" w:after="0" w:line="240" w:lineRule="auto"/>
              <w:jc w:val="left"/>
            </w:pPr>
            <w:r/>
            <w:r>
              <w:rPr>
                <w:rFonts w:ascii="Arial" w:hAnsi="Arial" w:cs="Arial"/>
                <w:sz w:val="18"/>
              </w:rPr>
              <w:t>Cualificada ordinaria</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15 de 27 + 65 % población; bloqueo mínimo 4</w:t>
            </w:r>
          </w:p>
        </w:tc>
      </w:tr>
      <w:tr>
        <w:tc>
          <w:tcPr>
            <w:tcW w:type="dxa" w:w="1601"/>
            <w:tcMar>
              <w:top w:w="80" w:type="dxa"/>
              <w:start w:w="120" w:type="dxa"/>
              <w:bottom w:w="80" w:type="dxa"/>
              <w:end w:w="120" w:type="dxa"/>
            </w:tcMar>
            <w:vAlign w:val="center"/>
          </w:tcPr>
          <w:p>
            <w:pPr>
              <w:spacing w:before="0" w:after="0" w:line="240" w:lineRule="auto"/>
              <w:jc w:val="left"/>
            </w:pPr>
            <w:r/>
            <w:r>
              <w:rPr>
                <w:rFonts w:ascii="Arial" w:hAnsi="Arial" w:cs="Arial"/>
                <w:sz w:val="18"/>
              </w:rPr>
              <w:t>Consejo</w:t>
            </w:r>
          </w:p>
        </w:tc>
        <w:tc>
          <w:tcPr>
            <w:tcW w:type="dxa" w:w="2912"/>
            <w:tcMar>
              <w:top w:w="80" w:type="dxa"/>
              <w:start w:w="120" w:type="dxa"/>
              <w:bottom w:w="80" w:type="dxa"/>
              <w:end w:w="120" w:type="dxa"/>
            </w:tcMar>
            <w:vAlign w:val="center"/>
          </w:tcPr>
          <w:p>
            <w:pPr>
              <w:spacing w:before="0" w:after="0" w:line="240" w:lineRule="auto"/>
              <w:jc w:val="left"/>
            </w:pPr>
            <w:r/>
            <w:r>
              <w:rPr>
                <w:rFonts w:ascii="Arial" w:hAnsi="Arial" w:cs="Arial"/>
                <w:sz w:val="18"/>
              </w:rPr>
              <w:t>Cualificada reforzada</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20 de 27 + 65 % población</w:t>
            </w:r>
          </w:p>
        </w:tc>
      </w:tr>
      <w:tr>
        <w:tc>
          <w:tcPr>
            <w:tcW w:type="dxa" w:w="1601"/>
            <w:tcMar>
              <w:top w:w="80" w:type="dxa"/>
              <w:start w:w="120" w:type="dxa"/>
              <w:bottom w:w="80" w:type="dxa"/>
              <w:end w:w="120" w:type="dxa"/>
            </w:tcMar>
            <w:vAlign w:val="center"/>
          </w:tcPr>
          <w:p>
            <w:pPr>
              <w:spacing w:before="0" w:after="0" w:line="240" w:lineRule="auto"/>
              <w:jc w:val="left"/>
            </w:pPr>
            <w:r/>
            <w:r>
              <w:rPr>
                <w:rFonts w:ascii="Arial" w:hAnsi="Arial" w:cs="Arial"/>
                <w:sz w:val="18"/>
              </w:rPr>
              <w:t>Comisión</w:t>
            </w:r>
          </w:p>
        </w:tc>
        <w:tc>
          <w:tcPr>
            <w:tcW w:type="dxa" w:w="2912"/>
            <w:tcMar>
              <w:top w:w="80" w:type="dxa"/>
              <w:start w:w="120" w:type="dxa"/>
              <w:bottom w:w="80" w:type="dxa"/>
              <w:end w:w="120" w:type="dxa"/>
            </w:tcMar>
            <w:vAlign w:val="center"/>
          </w:tcPr>
          <w:p>
            <w:pPr>
              <w:spacing w:before="0" w:after="0" w:line="240" w:lineRule="auto"/>
              <w:jc w:val="center"/>
            </w:pPr>
            <w:r/>
            <w:r>
              <w:rPr>
                <w:rFonts w:ascii="Arial" w:hAnsi="Arial" w:cs="Arial"/>
                <w:sz w:val="18"/>
              </w:rPr>
              <w:t>Acuerdos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Mayoría de miembros: 14 de 27</w:t>
            </w:r>
          </w:p>
        </w:tc>
      </w:tr>
    </w:tbl>
    <w:p>
      <w:pPr>
        <w:spacing w:after="40"/>
      </w:pPr>
    </w:p>
    <w:p>
      <w:pPr>
        <w:pStyle w:val="Heading2"/>
        <w:keepNext/>
      </w:pPr>
      <w:r>
        <w:rPr>
          <w:rFonts w:ascii="Arial" w:hAnsi="Arial" w:cs="Arial"/>
          <w:sz w:val="25"/>
        </w:rPr>
        <w:t>7.3. Artículos imprescindibles</w:t>
      </w:r>
    </w:p>
    <w:tbl>
      <w:tblPr>
        <w:tblStyle w:val="TableGrid"/>
        <w:tblW w:type="dxa" w:w="9026"/>
        <w:jc w:val="left"/>
        <w:tblLayout w:type="fixed"/>
        <w:tblLook w:firstColumn="1" w:firstRow="1" w:lastColumn="0" w:lastRow="0" w:noHBand="0" w:noVBand="1" w:val="04A0"/>
        <w:tblInd w:w="120" w:type="dxa"/>
      </w:tblPr>
      <w:tblGrid>
        <w:gridCol w:w="2837"/>
        <w:gridCol w:w="2063"/>
        <w:gridCol w:w="4126"/>
      </w:tblGrid>
      <w:tr>
        <w:trPr>
          <w:tblHeader w:val="true"/>
        </w:trPr>
        <w:tc>
          <w:tcPr>
            <w:tcW w:type="dxa" w:w="283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Institución</w:t>
            </w:r>
          </w:p>
        </w:tc>
        <w:tc>
          <w:tcPr>
            <w:tcW w:type="dxa" w:w="206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TUE</w:t>
            </w:r>
          </w:p>
        </w:tc>
        <w:tc>
          <w:tcPr>
            <w:tcW w:type="dxa" w:w="412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TFUE</w:t>
            </w:r>
          </w:p>
        </w:tc>
      </w:tr>
      <w:tr>
        <w:tc>
          <w:tcPr>
            <w:tcW w:type="dxa" w:w="2837"/>
            <w:tcMar>
              <w:top w:w="80" w:type="dxa"/>
              <w:start w:w="120" w:type="dxa"/>
              <w:bottom w:w="80" w:type="dxa"/>
              <w:end w:w="120" w:type="dxa"/>
            </w:tcMar>
            <w:vAlign w:val="center"/>
          </w:tcPr>
          <w:p>
            <w:pPr>
              <w:spacing w:before="0" w:after="0" w:line="240" w:lineRule="auto"/>
              <w:jc w:val="left"/>
            </w:pPr>
            <w:r/>
            <w:r>
              <w:rPr>
                <w:rFonts w:ascii="Arial" w:hAnsi="Arial" w:cs="Arial"/>
                <w:sz w:val="18"/>
              </w:rPr>
              <w:t>Parlamento</w:t>
            </w:r>
          </w:p>
        </w:tc>
        <w:tc>
          <w:tcPr>
            <w:tcW w:type="dxa" w:w="2063"/>
            <w:tcMar>
              <w:top w:w="80" w:type="dxa"/>
              <w:start w:w="120" w:type="dxa"/>
              <w:bottom w:w="80" w:type="dxa"/>
              <w:end w:w="120" w:type="dxa"/>
            </w:tcMar>
            <w:vAlign w:val="center"/>
          </w:tcPr>
          <w:p>
            <w:pPr>
              <w:spacing w:before="0" w:after="0" w:line="240" w:lineRule="auto"/>
              <w:jc w:val="center"/>
            </w:pPr>
            <w:r/>
            <w:r>
              <w:rPr>
                <w:rFonts w:ascii="Arial" w:hAnsi="Arial" w:cs="Arial"/>
                <w:sz w:val="18"/>
              </w:rPr>
              <w:t>14</w:t>
            </w:r>
          </w:p>
        </w:tc>
        <w:tc>
          <w:tcPr>
            <w:tcW w:type="dxa" w:w="4126"/>
            <w:tcMar>
              <w:top w:w="80" w:type="dxa"/>
              <w:start w:w="120" w:type="dxa"/>
              <w:bottom w:w="80" w:type="dxa"/>
              <w:end w:w="120" w:type="dxa"/>
            </w:tcMar>
            <w:vAlign w:val="center"/>
          </w:tcPr>
          <w:p>
            <w:pPr>
              <w:spacing w:before="0" w:after="0" w:line="240" w:lineRule="auto"/>
              <w:jc w:val="center"/>
            </w:pPr>
            <w:r/>
            <w:r>
              <w:rPr>
                <w:rFonts w:ascii="Arial" w:hAnsi="Arial" w:cs="Arial"/>
                <w:sz w:val="18"/>
              </w:rPr>
              <w:t>223-234 y 294</w:t>
            </w:r>
          </w:p>
        </w:tc>
      </w:tr>
      <w:tr>
        <w:tc>
          <w:tcPr>
            <w:tcW w:type="dxa" w:w="2837"/>
            <w:tcMar>
              <w:top w:w="80" w:type="dxa"/>
              <w:start w:w="120" w:type="dxa"/>
              <w:bottom w:w="80" w:type="dxa"/>
              <w:end w:w="120" w:type="dxa"/>
            </w:tcMar>
            <w:vAlign w:val="center"/>
          </w:tcPr>
          <w:p>
            <w:pPr>
              <w:spacing w:before="0" w:after="0" w:line="240" w:lineRule="auto"/>
              <w:jc w:val="left"/>
            </w:pPr>
            <w:r/>
            <w:r>
              <w:rPr>
                <w:rFonts w:ascii="Arial" w:hAnsi="Arial" w:cs="Arial"/>
                <w:sz w:val="18"/>
              </w:rPr>
              <w:t>Consejo</w:t>
            </w:r>
          </w:p>
        </w:tc>
        <w:tc>
          <w:tcPr>
            <w:tcW w:type="dxa" w:w="2063"/>
            <w:tcMar>
              <w:top w:w="80" w:type="dxa"/>
              <w:start w:w="120" w:type="dxa"/>
              <w:bottom w:w="80" w:type="dxa"/>
              <w:end w:w="120" w:type="dxa"/>
            </w:tcMar>
            <w:vAlign w:val="center"/>
          </w:tcPr>
          <w:p>
            <w:pPr>
              <w:spacing w:before="0" w:after="0" w:line="240" w:lineRule="auto"/>
              <w:jc w:val="center"/>
            </w:pPr>
            <w:r/>
            <w:r>
              <w:rPr>
                <w:rFonts w:ascii="Arial" w:hAnsi="Arial" w:cs="Arial"/>
                <w:sz w:val="18"/>
              </w:rPr>
              <w:t>16</w:t>
            </w:r>
          </w:p>
        </w:tc>
        <w:tc>
          <w:tcPr>
            <w:tcW w:type="dxa" w:w="4126"/>
            <w:tcMar>
              <w:top w:w="80" w:type="dxa"/>
              <w:start w:w="120" w:type="dxa"/>
              <w:bottom w:w="80" w:type="dxa"/>
              <w:end w:w="120" w:type="dxa"/>
            </w:tcMar>
            <w:vAlign w:val="center"/>
          </w:tcPr>
          <w:p>
            <w:pPr>
              <w:spacing w:before="0" w:after="0" w:line="240" w:lineRule="auto"/>
              <w:jc w:val="center"/>
            </w:pPr>
            <w:r/>
            <w:r>
              <w:rPr>
                <w:rFonts w:ascii="Arial" w:hAnsi="Arial" w:cs="Arial"/>
                <w:sz w:val="18"/>
              </w:rPr>
              <w:t>237-243 y 294</w:t>
            </w:r>
          </w:p>
        </w:tc>
      </w:tr>
      <w:tr>
        <w:tc>
          <w:tcPr>
            <w:tcW w:type="dxa" w:w="2837"/>
            <w:tcMar>
              <w:top w:w="80" w:type="dxa"/>
              <w:start w:w="120" w:type="dxa"/>
              <w:bottom w:w="80" w:type="dxa"/>
              <w:end w:w="120" w:type="dxa"/>
            </w:tcMar>
            <w:vAlign w:val="center"/>
          </w:tcPr>
          <w:p>
            <w:pPr>
              <w:spacing w:before="0" w:after="0" w:line="240" w:lineRule="auto"/>
              <w:jc w:val="left"/>
            </w:pPr>
            <w:r/>
            <w:r>
              <w:rPr>
                <w:rFonts w:ascii="Arial" w:hAnsi="Arial" w:cs="Arial"/>
                <w:sz w:val="18"/>
              </w:rPr>
              <w:t>Comisión</w:t>
            </w:r>
          </w:p>
        </w:tc>
        <w:tc>
          <w:tcPr>
            <w:tcW w:type="dxa" w:w="2063"/>
            <w:tcMar>
              <w:top w:w="80" w:type="dxa"/>
              <w:start w:w="120" w:type="dxa"/>
              <w:bottom w:w="80" w:type="dxa"/>
              <w:end w:w="120" w:type="dxa"/>
            </w:tcMar>
            <w:vAlign w:val="center"/>
          </w:tcPr>
          <w:p>
            <w:pPr>
              <w:spacing w:before="0" w:after="0" w:line="240" w:lineRule="auto"/>
              <w:jc w:val="center"/>
            </w:pPr>
            <w:r/>
            <w:r>
              <w:rPr>
                <w:rFonts w:ascii="Arial" w:hAnsi="Arial" w:cs="Arial"/>
                <w:sz w:val="18"/>
              </w:rPr>
              <w:t>17</w:t>
            </w:r>
          </w:p>
        </w:tc>
        <w:tc>
          <w:tcPr>
            <w:tcW w:type="dxa" w:w="4126"/>
            <w:tcMar>
              <w:top w:w="80" w:type="dxa"/>
              <w:start w:w="120" w:type="dxa"/>
              <w:bottom w:w="80" w:type="dxa"/>
              <w:end w:w="120" w:type="dxa"/>
            </w:tcMar>
            <w:vAlign w:val="center"/>
          </w:tcPr>
          <w:p>
            <w:pPr>
              <w:spacing w:before="0" w:after="0" w:line="240" w:lineRule="auto"/>
              <w:jc w:val="left"/>
            </w:pPr>
            <w:r/>
            <w:r>
              <w:rPr>
                <w:rFonts w:ascii="Arial" w:hAnsi="Arial" w:cs="Arial"/>
                <w:sz w:val="18"/>
              </w:rPr>
              <w:t>244-250, 258 y 290-291</w:t>
            </w:r>
          </w:p>
        </w:tc>
      </w:tr>
      <w:tr>
        <w:tc>
          <w:tcPr>
            <w:tcW w:type="dxa" w:w="2837"/>
            <w:tcMar>
              <w:top w:w="80" w:type="dxa"/>
              <w:start w:w="120" w:type="dxa"/>
              <w:bottom w:w="80" w:type="dxa"/>
              <w:end w:w="120" w:type="dxa"/>
            </w:tcMar>
            <w:vAlign w:val="center"/>
          </w:tcPr>
          <w:p>
            <w:pPr>
              <w:spacing w:before="0" w:after="0" w:line="240" w:lineRule="auto"/>
              <w:jc w:val="left"/>
            </w:pPr>
            <w:r/>
            <w:r>
              <w:rPr>
                <w:rFonts w:ascii="Arial" w:hAnsi="Arial" w:cs="Arial"/>
                <w:sz w:val="18"/>
              </w:rPr>
              <w:t>TJUE</w:t>
            </w:r>
          </w:p>
        </w:tc>
        <w:tc>
          <w:tcPr>
            <w:tcW w:type="dxa" w:w="2063"/>
            <w:tcMar>
              <w:top w:w="80" w:type="dxa"/>
              <w:start w:w="120" w:type="dxa"/>
              <w:bottom w:w="80" w:type="dxa"/>
              <w:end w:w="120" w:type="dxa"/>
            </w:tcMar>
            <w:vAlign w:val="center"/>
          </w:tcPr>
          <w:p>
            <w:pPr>
              <w:spacing w:before="0" w:after="0" w:line="240" w:lineRule="auto"/>
              <w:jc w:val="center"/>
            </w:pPr>
            <w:r/>
            <w:r>
              <w:rPr>
                <w:rFonts w:ascii="Arial" w:hAnsi="Arial" w:cs="Arial"/>
                <w:sz w:val="18"/>
              </w:rPr>
              <w:t>19</w:t>
            </w:r>
          </w:p>
        </w:tc>
        <w:tc>
          <w:tcPr>
            <w:tcW w:type="dxa" w:w="4126"/>
            <w:tcMar>
              <w:top w:w="80" w:type="dxa"/>
              <w:start w:w="120" w:type="dxa"/>
              <w:bottom w:w="80" w:type="dxa"/>
              <w:end w:w="120" w:type="dxa"/>
            </w:tcMar>
            <w:vAlign w:val="center"/>
          </w:tcPr>
          <w:p>
            <w:pPr>
              <w:spacing w:before="0" w:after="0" w:line="240" w:lineRule="auto"/>
              <w:jc w:val="center"/>
            </w:pPr>
            <w:r/>
            <w:r>
              <w:rPr>
                <w:rFonts w:ascii="Arial" w:hAnsi="Arial" w:cs="Arial"/>
                <w:sz w:val="18"/>
              </w:rPr>
              <w:t>251-281</w:t>
            </w:r>
          </w:p>
        </w:tc>
      </w:tr>
    </w:tbl>
    <w:p>
      <w:pPr>
        <w:spacing w:after="40"/>
      </w:pPr>
    </w:p>
    <w:p>
      <w:pPr>
        <w:pStyle w:val="Heading1"/>
        <w:keepNext/>
      </w:pPr>
      <w:r>
        <w:rPr>
          <w:rFonts w:ascii="Arial" w:hAnsi="Arial" w:cs="Arial"/>
          <w:sz w:val="30"/>
        </w:rPr>
        <w:t>8. Confusiones frecuentes</w:t>
      </w:r>
    </w:p>
    <w:p>
      <w:pPr>
        <w:spacing w:after="40"/>
        <w:ind w:left="369" w:hanging="227"/>
      </w:pPr>
      <w:r>
        <w:rPr>
          <w:rFonts w:ascii="Arial" w:hAnsi="Arial" w:cs="Arial"/>
          <w:sz w:val="22"/>
        </w:rPr>
        <w:t xml:space="preserve">1. </w:t>
      </w:r>
      <w:r>
        <w:rPr>
          <w:rFonts w:ascii="Arial" w:hAnsi="Arial" w:cs="Arial"/>
          <w:b/>
          <w:sz w:val="22"/>
        </w:rPr>
        <w:t>Consejo y Consejo Europeo:</w:t>
      </w:r>
      <w:r>
        <w:rPr>
          <w:rFonts w:ascii="Arial" w:hAnsi="Arial" w:cs="Arial"/>
          <w:sz w:val="22"/>
        </w:rPr>
        <w:t xml:space="preserve"> ministros frente a jefes de Estado o Gobierno.</w:t>
      </w:r>
    </w:p>
    <w:p>
      <w:pPr>
        <w:spacing w:after="40"/>
        <w:ind w:left="369" w:hanging="227"/>
      </w:pPr>
      <w:r>
        <w:rPr>
          <w:rFonts w:ascii="Arial" w:hAnsi="Arial" w:cs="Arial"/>
          <w:sz w:val="22"/>
        </w:rPr>
        <w:t xml:space="preserve">2. </w:t>
      </w:r>
      <w:r>
        <w:rPr>
          <w:rFonts w:ascii="Arial" w:hAnsi="Arial" w:cs="Arial"/>
          <w:b/>
          <w:sz w:val="22"/>
        </w:rPr>
        <w:t>Consejo de Europa:</w:t>
      </w:r>
      <w:r>
        <w:rPr>
          <w:rFonts w:ascii="Arial" w:hAnsi="Arial" w:cs="Arial"/>
          <w:sz w:val="22"/>
        </w:rPr>
        <w:t xml:space="preserve"> no pertenece a la Unión.</w:t>
      </w:r>
    </w:p>
    <w:p>
      <w:pPr>
        <w:spacing w:after="40"/>
        <w:ind w:left="369" w:hanging="227"/>
      </w:pPr>
      <w:r>
        <w:rPr>
          <w:rFonts w:ascii="Arial" w:hAnsi="Arial" w:cs="Arial"/>
          <w:sz w:val="22"/>
        </w:rPr>
        <w:t xml:space="preserve">3. </w:t>
      </w:r>
      <w:r>
        <w:rPr>
          <w:rFonts w:ascii="Arial" w:hAnsi="Arial" w:cs="Arial"/>
          <w:b/>
          <w:sz w:val="22"/>
        </w:rPr>
        <w:t>Parlamento vigente:</w:t>
      </w:r>
      <w:r>
        <w:rPr>
          <w:rFonts w:ascii="Arial" w:hAnsi="Arial" w:cs="Arial"/>
          <w:sz w:val="22"/>
        </w:rPr>
        <w:t xml:space="preserve"> 720, no 705, 751 ni el máximo 750 más presidente.</w:t>
      </w:r>
    </w:p>
    <w:p>
      <w:pPr>
        <w:spacing w:after="40"/>
        <w:ind w:left="369" w:hanging="227"/>
      </w:pPr>
      <w:r>
        <w:rPr>
          <w:rFonts w:ascii="Arial" w:hAnsi="Arial" w:cs="Arial"/>
          <w:sz w:val="22"/>
        </w:rPr>
        <w:t xml:space="preserve">4. </w:t>
      </w:r>
      <w:r>
        <w:rPr>
          <w:rFonts w:ascii="Arial" w:hAnsi="Arial" w:cs="Arial"/>
          <w:b/>
          <w:sz w:val="22"/>
        </w:rPr>
        <w:t>Representación parlamentaria:</w:t>
      </w:r>
      <w:r>
        <w:rPr>
          <w:rFonts w:ascii="Arial" w:hAnsi="Arial" w:cs="Arial"/>
          <w:sz w:val="22"/>
        </w:rPr>
        <w:t xml:space="preserve"> ciudadanos, no Estados.</w:t>
      </w:r>
    </w:p>
    <w:p>
      <w:pPr>
        <w:spacing w:after="40"/>
        <w:ind w:left="369" w:hanging="227"/>
      </w:pPr>
      <w:r>
        <w:rPr>
          <w:rFonts w:ascii="Arial" w:hAnsi="Arial" w:cs="Arial"/>
          <w:sz w:val="22"/>
        </w:rPr>
        <w:t xml:space="preserve">5. </w:t>
      </w:r>
      <w:r>
        <w:rPr>
          <w:rFonts w:ascii="Arial" w:hAnsi="Arial" w:cs="Arial"/>
          <w:b/>
          <w:sz w:val="22"/>
        </w:rPr>
        <w:t>Mandato:</w:t>
      </w:r>
      <w:r>
        <w:rPr>
          <w:rFonts w:ascii="Arial" w:hAnsi="Arial" w:cs="Arial"/>
          <w:sz w:val="22"/>
        </w:rPr>
        <w:t xml:space="preserve"> diputados cinco años; presidente parlamentario, dos años y medio.</w:t>
      </w:r>
    </w:p>
    <w:p>
      <w:pPr>
        <w:spacing w:after="40"/>
        <w:ind w:left="369" w:hanging="227"/>
      </w:pPr>
      <w:r>
        <w:rPr>
          <w:rFonts w:ascii="Arial" w:hAnsi="Arial" w:cs="Arial"/>
          <w:sz w:val="22"/>
        </w:rPr>
        <w:t xml:space="preserve">6. </w:t>
      </w:r>
      <w:r>
        <w:rPr>
          <w:rFonts w:ascii="Arial" w:hAnsi="Arial" w:cs="Arial"/>
          <w:b/>
          <w:sz w:val="22"/>
        </w:rPr>
        <w:t>Sedes:</w:t>
      </w:r>
      <w:r>
        <w:rPr>
          <w:rFonts w:ascii="Arial" w:hAnsi="Arial" w:cs="Arial"/>
          <w:sz w:val="22"/>
        </w:rPr>
        <w:t xml:space="preserve"> plenarios mensuales en Estrasburgo; trabajo adicional y comisiones en Bruselas; Secretaría en Luxemburgo.</w:t>
      </w:r>
    </w:p>
    <w:p>
      <w:pPr>
        <w:spacing w:after="40"/>
        <w:ind w:left="369" w:hanging="227"/>
      </w:pPr>
      <w:r>
        <w:rPr>
          <w:rFonts w:ascii="Arial" w:hAnsi="Arial" w:cs="Arial"/>
          <w:sz w:val="22"/>
        </w:rPr>
        <w:t xml:space="preserve">7. </w:t>
      </w:r>
      <w:r>
        <w:rPr>
          <w:rFonts w:ascii="Arial" w:hAnsi="Arial" w:cs="Arial"/>
          <w:b/>
          <w:sz w:val="22"/>
        </w:rPr>
        <w:t>Iniciativa:</w:t>
      </w:r>
      <w:r>
        <w:rPr>
          <w:rFonts w:ascii="Arial" w:hAnsi="Arial" w:cs="Arial"/>
          <w:sz w:val="22"/>
        </w:rPr>
        <w:t xml:space="preserve"> la Comisión la posee normalmente, no de forma absoluta.</w:t>
      </w:r>
    </w:p>
    <w:p>
      <w:pPr>
        <w:spacing w:after="40"/>
        <w:ind w:left="369" w:hanging="227"/>
      </w:pPr>
      <w:r>
        <w:rPr>
          <w:rFonts w:ascii="Arial" w:hAnsi="Arial" w:cs="Arial"/>
          <w:sz w:val="22"/>
        </w:rPr>
        <w:t xml:space="preserve">8. </w:t>
      </w:r>
      <w:r>
        <w:rPr>
          <w:rFonts w:ascii="Arial" w:hAnsi="Arial" w:cs="Arial"/>
          <w:b/>
          <w:sz w:val="22"/>
        </w:rPr>
        <w:t>Colegislación:</w:t>
      </w:r>
      <w:r>
        <w:rPr>
          <w:rFonts w:ascii="Arial" w:hAnsi="Arial" w:cs="Arial"/>
          <w:sz w:val="22"/>
        </w:rPr>
        <w:t xml:space="preserve"> Parlamento y Consejo son iguales en procedimiento ordinario.</w:t>
      </w:r>
    </w:p>
    <w:p>
      <w:pPr>
        <w:spacing w:after="40"/>
        <w:ind w:left="369" w:hanging="227"/>
      </w:pPr>
      <w:r>
        <w:rPr>
          <w:rFonts w:ascii="Arial" w:hAnsi="Arial" w:cs="Arial"/>
          <w:sz w:val="22"/>
        </w:rPr>
        <w:t xml:space="preserve">9. </w:t>
      </w:r>
      <w:r>
        <w:rPr>
          <w:rFonts w:ascii="Arial" w:hAnsi="Arial" w:cs="Arial"/>
          <w:b/>
          <w:sz w:val="22"/>
        </w:rPr>
        <w:t>Consejo único:</w:t>
      </w:r>
      <w:r>
        <w:rPr>
          <w:rFonts w:ascii="Arial" w:hAnsi="Arial" w:cs="Arial"/>
          <w:sz w:val="22"/>
        </w:rPr>
        <w:t xml:space="preserve"> sus diez formaciones no son diez instituciones.</w:t>
      </w:r>
    </w:p>
    <w:p>
      <w:pPr>
        <w:spacing w:after="40"/>
        <w:ind w:left="369" w:hanging="227"/>
      </w:pPr>
      <w:r>
        <w:rPr>
          <w:rFonts w:ascii="Arial" w:hAnsi="Arial" w:cs="Arial"/>
          <w:sz w:val="22"/>
        </w:rPr>
        <w:t xml:space="preserve">10. </w:t>
      </w:r>
      <w:r>
        <w:rPr>
          <w:rFonts w:ascii="Arial" w:hAnsi="Arial" w:cs="Arial"/>
          <w:b/>
          <w:sz w:val="22"/>
        </w:rPr>
        <w:t>Miembro del Consejo:</w:t>
      </w:r>
      <w:r>
        <w:rPr>
          <w:rFonts w:ascii="Arial" w:hAnsi="Arial" w:cs="Arial"/>
          <w:sz w:val="22"/>
        </w:rPr>
        <w:t xml:space="preserve"> rango ministerial y capacidad de comprometer al Gobierno.</w:t>
      </w:r>
    </w:p>
    <w:p>
      <w:pPr>
        <w:spacing w:after="40"/>
        <w:ind w:left="369" w:hanging="227"/>
      </w:pPr>
      <w:r>
        <w:rPr>
          <w:rFonts w:ascii="Arial" w:hAnsi="Arial" w:cs="Arial"/>
          <w:sz w:val="22"/>
        </w:rPr>
        <w:t xml:space="preserve">11. </w:t>
      </w:r>
      <w:r>
        <w:rPr>
          <w:rFonts w:ascii="Arial" w:hAnsi="Arial" w:cs="Arial"/>
          <w:b/>
          <w:sz w:val="22"/>
        </w:rPr>
        <w:t>Presidencia:</w:t>
      </w:r>
      <w:r>
        <w:rPr>
          <w:rFonts w:ascii="Arial" w:hAnsi="Arial" w:cs="Arial"/>
          <w:sz w:val="22"/>
        </w:rPr>
        <w:t xml:space="preserve"> Irlanda en el segundo semestre de 2026; Asuntos Exteriores la preside el Alto Representante.</w:t>
      </w:r>
    </w:p>
    <w:p>
      <w:pPr>
        <w:spacing w:after="40"/>
        <w:ind w:left="369" w:hanging="227"/>
      </w:pPr>
      <w:r>
        <w:rPr>
          <w:rFonts w:ascii="Arial" w:hAnsi="Arial" w:cs="Arial"/>
          <w:sz w:val="22"/>
        </w:rPr>
        <w:t xml:space="preserve">12. </w:t>
      </w:r>
      <w:r>
        <w:rPr>
          <w:rFonts w:ascii="Arial" w:hAnsi="Arial" w:cs="Arial"/>
          <w:b/>
          <w:sz w:val="22"/>
        </w:rPr>
        <w:t>COREPER:</w:t>
      </w:r>
      <w:r>
        <w:rPr>
          <w:rFonts w:ascii="Arial" w:hAnsi="Arial" w:cs="Arial"/>
          <w:sz w:val="22"/>
        </w:rPr>
        <w:t xml:space="preserve"> prepara, pero no sustituye al Consejo.</w:t>
      </w:r>
    </w:p>
    <w:p>
      <w:pPr>
        <w:spacing w:after="40"/>
        <w:ind w:left="369" w:hanging="227"/>
      </w:pPr>
      <w:r>
        <w:rPr>
          <w:rFonts w:ascii="Arial" w:hAnsi="Arial" w:cs="Arial"/>
          <w:sz w:val="22"/>
        </w:rPr>
        <w:t xml:space="preserve">13. </w:t>
      </w:r>
      <w:r>
        <w:rPr>
          <w:rFonts w:ascii="Arial" w:hAnsi="Arial" w:cs="Arial"/>
          <w:b/>
          <w:sz w:val="22"/>
        </w:rPr>
        <w:t>Mayoría cualificada:</w:t>
      </w:r>
      <w:r>
        <w:rPr>
          <w:rFonts w:ascii="Arial" w:hAnsi="Arial" w:cs="Arial"/>
          <w:sz w:val="22"/>
        </w:rPr>
        <w:t xml:space="preserve"> necesita Estados y población.</w:t>
      </w:r>
    </w:p>
    <w:p>
      <w:pPr>
        <w:spacing w:after="40"/>
        <w:ind w:left="369" w:hanging="227"/>
      </w:pPr>
      <w:r>
        <w:rPr>
          <w:rFonts w:ascii="Arial" w:hAnsi="Arial" w:cs="Arial"/>
          <w:sz w:val="22"/>
        </w:rPr>
        <w:t xml:space="preserve">14. </w:t>
      </w:r>
      <w:r>
        <w:rPr>
          <w:rFonts w:ascii="Arial" w:hAnsi="Arial" w:cs="Arial"/>
          <w:b/>
          <w:sz w:val="22"/>
        </w:rPr>
        <w:t>Bloqueo:</w:t>
      </w:r>
      <w:r>
        <w:rPr>
          <w:rFonts w:ascii="Arial" w:hAnsi="Arial" w:cs="Arial"/>
          <w:sz w:val="22"/>
        </w:rPr>
        <w:t xml:space="preserve"> como regla, al menos cuatro Estados.</w:t>
      </w:r>
    </w:p>
    <w:p>
      <w:pPr>
        <w:spacing w:after="40"/>
        <w:ind w:left="369" w:hanging="227"/>
      </w:pPr>
      <w:r>
        <w:rPr>
          <w:rFonts w:ascii="Arial" w:hAnsi="Arial" w:cs="Arial"/>
          <w:sz w:val="22"/>
        </w:rPr>
        <w:t xml:space="preserve">15. </w:t>
      </w:r>
      <w:r>
        <w:rPr>
          <w:rFonts w:ascii="Arial" w:hAnsi="Arial" w:cs="Arial"/>
          <w:b/>
          <w:sz w:val="22"/>
        </w:rPr>
        <w:t>Abstención:</w:t>
      </w:r>
      <w:r>
        <w:rPr>
          <w:rFonts w:ascii="Arial" w:hAnsi="Arial" w:cs="Arial"/>
          <w:sz w:val="22"/>
        </w:rPr>
        <w:t xml:space="preserve"> no bloquea unanimidad, pero no es voto favorable en mayoría cualificada.</w:t>
      </w:r>
    </w:p>
    <w:p>
      <w:pPr>
        <w:spacing w:after="40"/>
        <w:ind w:left="369" w:hanging="227"/>
      </w:pPr>
      <w:r>
        <w:rPr>
          <w:rFonts w:ascii="Arial" w:hAnsi="Arial" w:cs="Arial"/>
          <w:sz w:val="22"/>
        </w:rPr>
        <w:t xml:space="preserve">16. </w:t>
      </w:r>
      <w:r>
        <w:rPr>
          <w:rFonts w:ascii="Arial" w:hAnsi="Arial" w:cs="Arial"/>
          <w:b/>
          <w:sz w:val="22"/>
        </w:rPr>
        <w:t>Comisarios:</w:t>
      </w:r>
      <w:r>
        <w:rPr>
          <w:rFonts w:ascii="Arial" w:hAnsi="Arial" w:cs="Arial"/>
          <w:sz w:val="22"/>
        </w:rPr>
        <w:t xml:space="preserve"> son 27, pero no representan a sus Estados.</w:t>
      </w:r>
    </w:p>
    <w:p>
      <w:pPr>
        <w:spacing w:after="40"/>
        <w:ind w:left="369" w:hanging="227"/>
      </w:pPr>
      <w:r>
        <w:rPr>
          <w:rFonts w:ascii="Arial" w:hAnsi="Arial" w:cs="Arial"/>
          <w:sz w:val="22"/>
        </w:rPr>
        <w:t xml:space="preserve">17. </w:t>
      </w:r>
      <w:r>
        <w:rPr>
          <w:rFonts w:ascii="Arial" w:hAnsi="Arial" w:cs="Arial"/>
          <w:b/>
          <w:sz w:val="22"/>
        </w:rPr>
        <w:t>Comisión:</w:t>
      </w:r>
      <w:r>
        <w:rPr>
          <w:rFonts w:ascii="Arial" w:hAnsi="Arial" w:cs="Arial"/>
          <w:sz w:val="22"/>
        </w:rPr>
        <w:t xml:space="preserve"> incluye presidente y Alto Representante en los 27.</w:t>
      </w:r>
    </w:p>
    <w:p>
      <w:pPr>
        <w:spacing w:after="40"/>
        <w:ind w:left="369" w:hanging="227"/>
      </w:pPr>
      <w:r>
        <w:rPr>
          <w:rFonts w:ascii="Arial" w:hAnsi="Arial" w:cs="Arial"/>
          <w:sz w:val="22"/>
        </w:rPr>
        <w:t xml:space="preserve">18. </w:t>
      </w:r>
      <w:r>
        <w:rPr>
          <w:rFonts w:ascii="Arial" w:hAnsi="Arial" w:cs="Arial"/>
          <w:b/>
          <w:sz w:val="22"/>
        </w:rPr>
        <w:t>Nombramiento:</w:t>
      </w:r>
      <w:r>
        <w:rPr>
          <w:rFonts w:ascii="Arial" w:hAnsi="Arial" w:cs="Arial"/>
          <w:sz w:val="22"/>
        </w:rPr>
        <w:t xml:space="preserve"> Parlamento elige presidente y aprueba Colegio; Consejo Europeo nombra Comisión.</w:t>
      </w:r>
    </w:p>
    <w:p>
      <w:pPr>
        <w:spacing w:after="40"/>
        <w:ind w:left="369" w:hanging="227"/>
      </w:pPr>
      <w:r>
        <w:rPr>
          <w:rFonts w:ascii="Arial" w:hAnsi="Arial" w:cs="Arial"/>
          <w:sz w:val="22"/>
        </w:rPr>
        <w:t xml:space="preserve">19. </w:t>
      </w:r>
      <w:r>
        <w:rPr>
          <w:rFonts w:ascii="Arial" w:hAnsi="Arial" w:cs="Arial"/>
          <w:b/>
          <w:sz w:val="22"/>
        </w:rPr>
        <w:t>Decisiones del Colegio:</w:t>
      </w:r>
      <w:r>
        <w:rPr>
          <w:rFonts w:ascii="Arial" w:hAnsi="Arial" w:cs="Arial"/>
          <w:sz w:val="22"/>
        </w:rPr>
        <w:t xml:space="preserve"> 14 de 27, no unanimidad.</w:t>
      </w:r>
    </w:p>
    <w:p>
      <w:pPr>
        <w:spacing w:after="40"/>
        <w:ind w:left="369" w:hanging="227"/>
      </w:pPr>
      <w:r>
        <w:rPr>
          <w:rFonts w:ascii="Arial" w:hAnsi="Arial" w:cs="Arial"/>
          <w:sz w:val="22"/>
        </w:rPr>
        <w:t xml:space="preserve">20. </w:t>
      </w:r>
      <w:r>
        <w:rPr>
          <w:rFonts w:ascii="Arial" w:hAnsi="Arial" w:cs="Arial"/>
          <w:b/>
          <w:sz w:val="22"/>
        </w:rPr>
        <w:t>Censura:</w:t>
      </w:r>
      <w:r>
        <w:rPr>
          <w:rFonts w:ascii="Arial" w:hAnsi="Arial" w:cs="Arial"/>
          <w:sz w:val="22"/>
        </w:rPr>
        <w:t xml:space="preserve"> afecta al Colegio entero, no solo a un comisario.</w:t>
      </w:r>
    </w:p>
    <w:p>
      <w:pPr>
        <w:spacing w:after="40"/>
        <w:ind w:left="369" w:hanging="227"/>
      </w:pPr>
      <w:r>
        <w:rPr>
          <w:rFonts w:ascii="Arial" w:hAnsi="Arial" w:cs="Arial"/>
          <w:sz w:val="22"/>
        </w:rPr>
        <w:t xml:space="preserve">21. </w:t>
      </w:r>
      <w:r>
        <w:rPr>
          <w:rFonts w:ascii="Arial" w:hAnsi="Arial" w:cs="Arial"/>
          <w:b/>
          <w:sz w:val="22"/>
        </w:rPr>
        <w:t>TJUE:</w:t>
      </w:r>
      <w:r>
        <w:rPr>
          <w:rFonts w:ascii="Arial" w:hAnsi="Arial" w:cs="Arial"/>
          <w:sz w:val="22"/>
        </w:rPr>
        <w:t xml:space="preserve"> institución formada por Tribunal de Justicia y Tribunal General.</w:t>
      </w:r>
    </w:p>
    <w:p>
      <w:pPr>
        <w:spacing w:after="40"/>
        <w:ind w:left="369" w:hanging="227"/>
      </w:pPr>
      <w:r>
        <w:rPr>
          <w:rFonts w:ascii="Arial" w:hAnsi="Arial" w:cs="Arial"/>
          <w:sz w:val="22"/>
        </w:rPr>
        <w:t xml:space="preserve">22. </w:t>
      </w:r>
      <w:r>
        <w:rPr>
          <w:rFonts w:ascii="Arial" w:hAnsi="Arial" w:cs="Arial"/>
          <w:b/>
          <w:sz w:val="22"/>
        </w:rPr>
        <w:t>Jueces:</w:t>
      </w:r>
      <w:r>
        <w:rPr>
          <w:rFonts w:ascii="Arial" w:hAnsi="Arial" w:cs="Arial"/>
          <w:sz w:val="22"/>
        </w:rPr>
        <w:t xml:space="preserve"> 27 en Tribunal de Justicia y 54 en Tribunal General.</w:t>
      </w:r>
    </w:p>
    <w:p>
      <w:pPr>
        <w:spacing w:after="40"/>
        <w:ind w:left="369" w:hanging="227"/>
      </w:pPr>
      <w:r>
        <w:rPr>
          <w:rFonts w:ascii="Arial" w:hAnsi="Arial" w:cs="Arial"/>
          <w:sz w:val="22"/>
        </w:rPr>
        <w:t xml:space="preserve">23. </w:t>
      </w:r>
      <w:r>
        <w:rPr>
          <w:rFonts w:ascii="Arial" w:hAnsi="Arial" w:cs="Arial"/>
          <w:b/>
          <w:sz w:val="22"/>
        </w:rPr>
        <w:t>Abogados generales:</w:t>
      </w:r>
      <w:r>
        <w:rPr>
          <w:rFonts w:ascii="Arial" w:hAnsi="Arial" w:cs="Arial"/>
          <w:sz w:val="22"/>
        </w:rPr>
        <w:t xml:space="preserve"> 11 en Tribunal de Justicia; no son fiscales ni abogados de los Estados.</w:t>
      </w:r>
    </w:p>
    <w:p>
      <w:pPr>
        <w:spacing w:after="40"/>
        <w:ind w:left="369" w:hanging="227"/>
      </w:pPr>
      <w:r>
        <w:rPr>
          <w:rFonts w:ascii="Arial" w:hAnsi="Arial" w:cs="Arial"/>
          <w:sz w:val="22"/>
        </w:rPr>
        <w:t xml:space="preserve">24. </w:t>
      </w:r>
      <w:r>
        <w:rPr>
          <w:rFonts w:ascii="Arial" w:hAnsi="Arial" w:cs="Arial"/>
          <w:b/>
          <w:sz w:val="22"/>
        </w:rPr>
        <w:t>Nombramiento judicial:</w:t>
      </w:r>
      <w:r>
        <w:rPr>
          <w:rFonts w:ascii="Arial" w:hAnsi="Arial" w:cs="Arial"/>
          <w:sz w:val="22"/>
        </w:rPr>
        <w:t xml:space="preserve"> común acuerdo de Gobiernos, seis años, tras comité 255.</w:t>
      </w:r>
    </w:p>
    <w:p>
      <w:pPr>
        <w:spacing w:after="40"/>
        <w:ind w:left="369" w:hanging="227"/>
      </w:pPr>
      <w:r>
        <w:rPr>
          <w:rFonts w:ascii="Arial" w:hAnsi="Arial" w:cs="Arial"/>
          <w:sz w:val="22"/>
        </w:rPr>
        <w:t xml:space="preserve">25. </w:t>
      </w:r>
      <w:r>
        <w:rPr>
          <w:rFonts w:ascii="Arial" w:hAnsi="Arial" w:cs="Arial"/>
          <w:b/>
          <w:sz w:val="22"/>
        </w:rPr>
        <w:t>Cuestión prejudicial:</w:t>
      </w:r>
      <w:r>
        <w:rPr>
          <w:rFonts w:ascii="Arial" w:hAnsi="Arial" w:cs="Arial"/>
          <w:sz w:val="22"/>
        </w:rPr>
        <w:t xml:space="preserve"> no es un recurso contra el juez nacional.</w:t>
      </w:r>
    </w:p>
    <w:p>
      <w:pPr>
        <w:spacing w:after="40"/>
        <w:ind w:left="369" w:hanging="227"/>
      </w:pPr>
      <w:r>
        <w:rPr>
          <w:rFonts w:ascii="Arial" w:hAnsi="Arial" w:cs="Arial"/>
          <w:sz w:val="22"/>
        </w:rPr>
        <w:t xml:space="preserve">26. </w:t>
      </w:r>
      <w:r>
        <w:rPr>
          <w:rFonts w:ascii="Arial" w:hAnsi="Arial" w:cs="Arial"/>
          <w:b/>
          <w:sz w:val="22"/>
        </w:rPr>
        <w:t>Invalidez:</w:t>
      </w:r>
      <w:r>
        <w:rPr>
          <w:rFonts w:ascii="Arial" w:hAnsi="Arial" w:cs="Arial"/>
          <w:sz w:val="22"/>
        </w:rPr>
        <w:t xml:space="preserve"> el juez nacional consulta; no declara inválido por sí solo un acto de la UE.</w:t>
      </w:r>
    </w:p>
    <w:p>
      <w:pPr>
        <w:spacing w:after="40"/>
        <w:ind w:left="369" w:hanging="227"/>
      </w:pPr>
      <w:r>
        <w:rPr>
          <w:rFonts w:ascii="Arial" w:hAnsi="Arial" w:cs="Arial"/>
          <w:sz w:val="22"/>
        </w:rPr>
        <w:t xml:space="preserve">27. </w:t>
      </w:r>
      <w:r>
        <w:rPr>
          <w:rFonts w:ascii="Arial" w:hAnsi="Arial" w:cs="Arial"/>
          <w:b/>
          <w:sz w:val="22"/>
        </w:rPr>
        <w:t>Reforma 2024:</w:t>
      </w:r>
      <w:r>
        <w:rPr>
          <w:rFonts w:ascii="Arial" w:hAnsi="Arial" w:cs="Arial"/>
          <w:sz w:val="22"/>
        </w:rPr>
        <w:t xml:space="preserve"> solo seis áreas prejudiciales pasan al Tribunal General.</w:t>
      </w:r>
    </w:p>
    <w:p>
      <w:pPr>
        <w:spacing w:after="40"/>
        <w:ind w:left="369" w:hanging="227"/>
      </w:pPr>
      <w:r>
        <w:rPr>
          <w:rFonts w:ascii="Arial" w:hAnsi="Arial" w:cs="Arial"/>
          <w:sz w:val="22"/>
        </w:rPr>
        <w:t xml:space="preserve">28. </w:t>
      </w:r>
      <w:r>
        <w:rPr>
          <w:rFonts w:ascii="Arial" w:hAnsi="Arial" w:cs="Arial"/>
          <w:b/>
          <w:sz w:val="22"/>
        </w:rPr>
        <w:t>Casación:</w:t>
      </w:r>
      <w:r>
        <w:rPr>
          <w:rFonts w:ascii="Arial" w:hAnsi="Arial" w:cs="Arial"/>
          <w:sz w:val="22"/>
        </w:rPr>
        <w:t xml:space="preserve"> se limita a cuestiones de Derecho.</w:t>
      </w:r>
    </w:p>
    <w:p>
      <w:pPr>
        <w:pStyle w:val="Heading1"/>
        <w:keepNext/>
      </w:pPr>
      <w:r>
        <w:rPr>
          <w:rFonts w:ascii="Arial" w:hAnsi="Arial" w:cs="Arial"/>
          <w:sz w:val="30"/>
        </w:rPr>
        <w:t>9. Resumen final de memoria</w:t>
      </w:r>
    </w:p>
    <w:p>
      <w:pPr>
        <w:jc w:val="both"/>
      </w:pPr>
      <w:r>
        <w:rPr>
          <w:rFonts w:ascii="Arial" w:hAnsi="Arial" w:cs="Arial"/>
          <w:sz w:val="22"/>
        </w:rPr>
        <w:t>El Parlamento representa a la ciudadanía, cuenta con 720 diputados en 2024-2029 y comparte legislación y presupuesto con el Consejo. Controla a la Comisión, elige a su presidente y puede censurar al Colegio. Su regla ordinaria es mayoría de votos emitidos; la elección del presidente de la Comisión requiere mayoría de miembros.</w:t>
      </w:r>
    </w:p>
    <w:p>
      <w:pPr>
        <w:jc w:val="both"/>
      </w:pPr>
      <w:r>
        <w:rPr>
          <w:rFonts w:ascii="Arial" w:hAnsi="Arial" w:cs="Arial"/>
          <w:sz w:val="22"/>
        </w:rPr>
        <w:t>El Consejo representa a los Gobiernos mediante un miembro de rango ministerial por Estado. Se reúne en diez formaciones. Irlanda lo preside de julio a diciembre de 2026, salvo Asuntos Exteriores, presidido por el Alto Representante. Su mayoría cualificada ordinaria es 55 % de Estados —15 de 27— y 65 % de población, con minoría de bloqueo mínima de cuatro.</w:t>
      </w:r>
    </w:p>
    <w:p>
      <w:pPr>
        <w:jc w:val="both"/>
      </w:pPr>
      <w:r>
        <w:rPr>
          <w:rFonts w:ascii="Arial" w:hAnsi="Arial" w:cs="Arial"/>
          <w:sz w:val="22"/>
        </w:rPr>
        <w:t>La Comisión, con 27 miembros, promueve el interés general, propone legislación, vigila los Tratados, ejecuta presupuesto y programas y representa exteriormente a la Unión salvo excepciones. Su Colegio 2024-2029 está presidido por Ursula von der Leyen. Decide por mayoría de miembros —14— y responde colegiadamente ante el Parlamento.</w:t>
      </w:r>
    </w:p>
    <w:p>
      <w:pPr>
        <w:jc w:val="both"/>
      </w:pPr>
      <w:r>
        <w:rPr>
          <w:rFonts w:ascii="Arial" w:hAnsi="Arial" w:cs="Arial"/>
          <w:sz w:val="22"/>
        </w:rPr>
        <w:t>El TJUE garantiza el respeto del Derecho. La institución comprende Tribunal de Justicia —27 jueces y 11 abogados generales— y Tribunal General —54 jueces—. Sus miembros se nombran de común acuerdo por los Gobiernos para seis años, tras dictamen del comité 255. Conoce incumplimientos, anulación, omisión, responsabilidad, cuestiones prejudiciales y casación. Desde octubre de 2024 el Tribunal General resuelve cuestiones prejudiciales exclusivamente referidas a seis áreas técnicas.</w:t>
      </w:r>
    </w:p>
    <w:p>
      <w:pPr>
        <w:pStyle w:val="Heading1"/>
        <w:keepNext/>
      </w:pPr>
      <w:r>
        <w:rPr>
          <w:rFonts w:ascii="Arial" w:hAnsi="Arial" w:cs="Arial"/>
          <w:sz w:val="30"/>
        </w:rPr>
        <w:t>10. Datos preguntables</w:t>
      </w:r>
    </w:p>
    <w:p>
      <w:pPr>
        <w:pStyle w:val="ListBullet"/>
      </w:pPr>
      <w:r>
        <w:rPr>
          <w:rFonts w:ascii="Arial" w:hAnsi="Arial" w:cs="Arial"/>
          <w:sz w:val="22"/>
        </w:rPr>
        <w:t>Artículo 13 TUE: siete instituciones.</w:t>
      </w:r>
    </w:p>
    <w:p>
      <w:pPr>
        <w:pStyle w:val="ListBullet"/>
      </w:pPr>
      <w:r>
        <w:rPr>
          <w:rFonts w:ascii="Arial" w:hAnsi="Arial" w:cs="Arial"/>
          <w:sz w:val="22"/>
        </w:rPr>
        <w:t>Parlamento: artículo 14 TUE.</w:t>
      </w:r>
    </w:p>
    <w:p>
      <w:pPr>
        <w:pStyle w:val="ListBullet"/>
      </w:pPr>
      <w:r>
        <w:rPr>
          <w:rFonts w:ascii="Arial" w:hAnsi="Arial" w:cs="Arial"/>
          <w:sz w:val="22"/>
        </w:rPr>
        <w:t>Consejo: artículo 16 TUE.</w:t>
      </w:r>
    </w:p>
    <w:p>
      <w:pPr>
        <w:pStyle w:val="ListBullet"/>
      </w:pPr>
      <w:r>
        <w:rPr>
          <w:rFonts w:ascii="Arial" w:hAnsi="Arial" w:cs="Arial"/>
          <w:sz w:val="22"/>
        </w:rPr>
        <w:t>Comisión: artículo 17 TUE.</w:t>
      </w:r>
    </w:p>
    <w:p>
      <w:pPr>
        <w:pStyle w:val="ListBullet"/>
      </w:pPr>
      <w:r>
        <w:rPr>
          <w:rFonts w:ascii="Arial" w:hAnsi="Arial" w:cs="Arial"/>
          <w:sz w:val="22"/>
        </w:rPr>
        <w:t>TJUE: artículo 19 TUE.</w:t>
      </w:r>
    </w:p>
    <w:p>
      <w:pPr>
        <w:pStyle w:val="ListBullet"/>
      </w:pPr>
      <w:r>
        <w:rPr>
          <w:rFonts w:ascii="Arial" w:hAnsi="Arial" w:cs="Arial"/>
          <w:sz w:val="22"/>
        </w:rPr>
        <w:t>Parlamento vigente: 720 escaños, legislatura 2024-2029.</w:t>
      </w:r>
    </w:p>
    <w:p>
      <w:pPr>
        <w:pStyle w:val="ListBullet"/>
      </w:pPr>
      <w:r>
        <w:rPr>
          <w:rFonts w:ascii="Arial" w:hAnsi="Arial" w:cs="Arial"/>
          <w:sz w:val="22"/>
        </w:rPr>
        <w:t>Límite: 750 más presidente; mínimo estatal 6 y máximo 96.</w:t>
      </w:r>
    </w:p>
    <w:p>
      <w:pPr>
        <w:pStyle w:val="ListBullet"/>
      </w:pPr>
      <w:r>
        <w:rPr>
          <w:rFonts w:ascii="Arial" w:hAnsi="Arial" w:cs="Arial"/>
          <w:sz w:val="22"/>
        </w:rPr>
        <w:t>Elección parlamentaria: sufragio universal directo, libre y secreto; cinco años.</w:t>
      </w:r>
    </w:p>
    <w:p>
      <w:pPr>
        <w:pStyle w:val="ListBullet"/>
      </w:pPr>
      <w:r>
        <w:rPr>
          <w:rFonts w:ascii="Arial" w:hAnsi="Arial" w:cs="Arial"/>
          <w:sz w:val="22"/>
        </w:rPr>
        <w:t>Presidenta a 30-07-2026: Roberta Metsola.</w:t>
      </w:r>
    </w:p>
    <w:p>
      <w:pPr>
        <w:pStyle w:val="ListBullet"/>
      </w:pPr>
      <w:r>
        <w:rPr>
          <w:rFonts w:ascii="Arial" w:hAnsi="Arial" w:cs="Arial"/>
          <w:sz w:val="22"/>
        </w:rPr>
        <w:t>Presidente parlamentario: mandato práctico de dos años y medio.</w:t>
      </w:r>
    </w:p>
    <w:p>
      <w:pPr>
        <w:pStyle w:val="ListBullet"/>
      </w:pPr>
      <w:r>
        <w:rPr>
          <w:rFonts w:ascii="Arial" w:hAnsi="Arial" w:cs="Arial"/>
          <w:sz w:val="22"/>
        </w:rPr>
        <w:t>Mayoría ordinaria Parlamento: votos emitidos.</w:t>
      </w:r>
    </w:p>
    <w:p>
      <w:pPr>
        <w:pStyle w:val="ListBullet"/>
      </w:pPr>
      <w:r>
        <w:rPr>
          <w:rFonts w:ascii="Arial" w:hAnsi="Arial" w:cs="Arial"/>
          <w:sz w:val="22"/>
        </w:rPr>
        <w:t>Presidente Comisión: mayoría de componentes, 361 de 720.</w:t>
      </w:r>
    </w:p>
    <w:p>
      <w:pPr>
        <w:pStyle w:val="ListBullet"/>
      </w:pPr>
      <w:r>
        <w:rPr>
          <w:rFonts w:ascii="Arial" w:hAnsi="Arial" w:cs="Arial"/>
          <w:sz w:val="22"/>
        </w:rPr>
        <w:t>Censura: dos tercios emitidos y mayoría de componentes.</w:t>
      </w:r>
    </w:p>
    <w:p>
      <w:pPr>
        <w:pStyle w:val="ListBullet"/>
      </w:pPr>
      <w:r>
        <w:rPr>
          <w:rFonts w:ascii="Arial" w:hAnsi="Arial" w:cs="Arial"/>
          <w:sz w:val="22"/>
        </w:rPr>
        <w:t>Consejo: un representante de rango ministerial por Estado.</w:t>
      </w:r>
    </w:p>
    <w:p>
      <w:pPr>
        <w:pStyle w:val="ListBullet"/>
      </w:pPr>
      <w:r>
        <w:rPr>
          <w:rFonts w:ascii="Arial" w:hAnsi="Arial" w:cs="Arial"/>
          <w:sz w:val="22"/>
        </w:rPr>
        <w:t>Formaciones: 10.</w:t>
      </w:r>
    </w:p>
    <w:p>
      <w:pPr>
        <w:pStyle w:val="ListBullet"/>
      </w:pPr>
      <w:r>
        <w:rPr>
          <w:rFonts w:ascii="Arial" w:hAnsi="Arial" w:cs="Arial"/>
          <w:sz w:val="22"/>
        </w:rPr>
        <w:t>Presidencia rotatoria: seis meses.</w:t>
      </w:r>
    </w:p>
    <w:p>
      <w:pPr>
        <w:pStyle w:val="ListBullet"/>
      </w:pPr>
      <w:r>
        <w:rPr>
          <w:rFonts w:ascii="Arial" w:hAnsi="Arial" w:cs="Arial"/>
          <w:sz w:val="22"/>
        </w:rPr>
        <w:t>Irlanda: 1-07 a 31-12-2026.</w:t>
      </w:r>
    </w:p>
    <w:p>
      <w:pPr>
        <w:pStyle w:val="ListBullet"/>
      </w:pPr>
      <w:r>
        <w:rPr>
          <w:rFonts w:ascii="Arial" w:hAnsi="Arial" w:cs="Arial"/>
          <w:sz w:val="22"/>
        </w:rPr>
        <w:t>Asuntos Exteriores: Alto Representante.</w:t>
      </w:r>
    </w:p>
    <w:p>
      <w:pPr>
        <w:pStyle w:val="ListBullet"/>
      </w:pPr>
      <w:r>
        <w:rPr>
          <w:rFonts w:ascii="Arial" w:hAnsi="Arial" w:cs="Arial"/>
          <w:sz w:val="22"/>
        </w:rPr>
        <w:t>Mayoría simple Consejo: 14 de 27.</w:t>
      </w:r>
    </w:p>
    <w:p>
      <w:pPr>
        <w:pStyle w:val="ListBullet"/>
      </w:pPr>
      <w:r>
        <w:rPr>
          <w:rFonts w:ascii="Arial" w:hAnsi="Arial" w:cs="Arial"/>
          <w:sz w:val="22"/>
        </w:rPr>
        <w:t>Cualificada ordinaria: 15 de 27 y 65 % población.</w:t>
      </w:r>
    </w:p>
    <w:p>
      <w:pPr>
        <w:pStyle w:val="ListBullet"/>
      </w:pPr>
      <w:r>
        <w:rPr>
          <w:rFonts w:ascii="Arial" w:hAnsi="Arial" w:cs="Arial"/>
          <w:sz w:val="22"/>
        </w:rPr>
        <w:t>Minoría de bloqueo: 4 Estados.</w:t>
      </w:r>
    </w:p>
    <w:p>
      <w:pPr>
        <w:pStyle w:val="ListBullet"/>
      </w:pPr>
      <w:r>
        <w:rPr>
          <w:rFonts w:ascii="Arial" w:hAnsi="Arial" w:cs="Arial"/>
          <w:sz w:val="22"/>
        </w:rPr>
        <w:t>Cualificada reforzada: 20 de 27 y 65 %.</w:t>
      </w:r>
    </w:p>
    <w:p>
      <w:pPr>
        <w:pStyle w:val="ListBullet"/>
      </w:pPr>
      <w:r>
        <w:rPr>
          <w:rFonts w:ascii="Arial" w:hAnsi="Arial" w:cs="Arial"/>
          <w:sz w:val="22"/>
        </w:rPr>
        <w:t>Abstención no impide unanimidad.</w:t>
      </w:r>
    </w:p>
    <w:p>
      <w:pPr>
        <w:pStyle w:val="ListBullet"/>
      </w:pPr>
      <w:r>
        <w:rPr>
          <w:rFonts w:ascii="Arial" w:hAnsi="Arial" w:cs="Arial"/>
          <w:sz w:val="22"/>
        </w:rPr>
        <w:t>Comisión: 27 miembros y mandato de cinco años.</w:t>
      </w:r>
    </w:p>
    <w:p>
      <w:pPr>
        <w:pStyle w:val="ListBullet"/>
      </w:pPr>
      <w:r>
        <w:rPr>
          <w:rFonts w:ascii="Arial" w:hAnsi="Arial" w:cs="Arial"/>
          <w:sz w:val="22"/>
        </w:rPr>
        <w:t>Presidenta Comisión: Ursula von der Leyen.</w:t>
      </w:r>
    </w:p>
    <w:p>
      <w:pPr>
        <w:pStyle w:val="ListBullet"/>
      </w:pPr>
      <w:r>
        <w:rPr>
          <w:rFonts w:ascii="Arial" w:hAnsi="Arial" w:cs="Arial"/>
          <w:sz w:val="22"/>
        </w:rPr>
        <w:t>Alto Representante/vicepresidenta: Kaja Kallas.</w:t>
      </w:r>
    </w:p>
    <w:p>
      <w:pPr>
        <w:pStyle w:val="ListBullet"/>
      </w:pPr>
      <w:r>
        <w:rPr>
          <w:rFonts w:ascii="Arial" w:hAnsi="Arial" w:cs="Arial"/>
          <w:sz w:val="22"/>
        </w:rPr>
        <w:t>Comisión actual: 1-12-2024 a 30-11-2029.</w:t>
      </w:r>
    </w:p>
    <w:p>
      <w:pPr>
        <w:pStyle w:val="ListBullet"/>
      </w:pPr>
      <w:r>
        <w:rPr>
          <w:rFonts w:ascii="Arial" w:hAnsi="Arial" w:cs="Arial"/>
          <w:sz w:val="22"/>
        </w:rPr>
        <w:t>Colegio decide: 14 de 27.</w:t>
      </w:r>
    </w:p>
    <w:p>
      <w:pPr>
        <w:pStyle w:val="ListBullet"/>
      </w:pPr>
      <w:r>
        <w:rPr>
          <w:rFonts w:ascii="Arial" w:hAnsi="Arial" w:cs="Arial"/>
          <w:sz w:val="22"/>
        </w:rPr>
        <w:t>Consejo Europeo propone presidente por mayoría cualificada; Parlamento lo elige.</w:t>
      </w:r>
    </w:p>
    <w:p>
      <w:pPr>
        <w:pStyle w:val="ListBullet"/>
      </w:pPr>
      <w:r>
        <w:rPr>
          <w:rFonts w:ascii="Arial" w:hAnsi="Arial" w:cs="Arial"/>
          <w:sz w:val="22"/>
        </w:rPr>
        <w:t>Parlamento aprueba Colegio; Consejo Europeo lo nombra por mayoría cualificada.</w:t>
      </w:r>
    </w:p>
    <w:p>
      <w:pPr>
        <w:pStyle w:val="ListBullet"/>
      </w:pPr>
      <w:r>
        <w:rPr>
          <w:rFonts w:ascii="Arial" w:hAnsi="Arial" w:cs="Arial"/>
          <w:sz w:val="22"/>
        </w:rPr>
        <w:t>Tribunal de Justicia: 27 jueces y 11 abogados generales.</w:t>
      </w:r>
    </w:p>
    <w:p>
      <w:pPr>
        <w:pStyle w:val="ListBullet"/>
      </w:pPr>
      <w:r>
        <w:rPr>
          <w:rFonts w:ascii="Arial" w:hAnsi="Arial" w:cs="Arial"/>
          <w:sz w:val="22"/>
        </w:rPr>
        <w:t>Tribunal General: 54 jueces.</w:t>
      </w:r>
    </w:p>
    <w:p>
      <w:pPr>
        <w:pStyle w:val="ListBullet"/>
      </w:pPr>
      <w:r>
        <w:rPr>
          <w:rFonts w:ascii="Arial" w:hAnsi="Arial" w:cs="Arial"/>
          <w:sz w:val="22"/>
        </w:rPr>
        <w:t>Mandato judicial: seis años renovables; renovación parcial cada tres.</w:t>
      </w:r>
    </w:p>
    <w:p>
      <w:pPr>
        <w:pStyle w:val="ListBullet"/>
      </w:pPr>
      <w:r>
        <w:rPr>
          <w:rFonts w:ascii="Arial" w:hAnsi="Arial" w:cs="Arial"/>
          <w:sz w:val="22"/>
        </w:rPr>
        <w:t>Comité de idoneidad: artículo 255 TFUE, siete personalidades.</w:t>
      </w:r>
    </w:p>
    <w:p>
      <w:pPr>
        <w:pStyle w:val="ListBullet"/>
      </w:pPr>
      <w:r>
        <w:rPr>
          <w:rFonts w:ascii="Arial" w:hAnsi="Arial" w:cs="Arial"/>
          <w:sz w:val="22"/>
        </w:rPr>
        <w:t>Presidente del Tribunal: Koen Lenaerts, hasta 6-10-2027.</w:t>
      </w:r>
    </w:p>
    <w:p>
      <w:pPr>
        <w:pStyle w:val="ListBullet"/>
      </w:pPr>
      <w:r>
        <w:rPr>
          <w:rFonts w:ascii="Arial" w:hAnsi="Arial" w:cs="Arial"/>
          <w:sz w:val="22"/>
        </w:rPr>
        <w:t>Gran Sala: 15 jueces.</w:t>
      </w:r>
    </w:p>
    <w:p>
      <w:pPr>
        <w:pStyle w:val="ListBullet"/>
      </w:pPr>
      <w:r>
        <w:rPr>
          <w:rFonts w:ascii="Arial" w:hAnsi="Arial" w:cs="Arial"/>
          <w:sz w:val="22"/>
        </w:rPr>
        <w:t>Incumplimiento: artículos 258-260 TFUE.</w:t>
      </w:r>
    </w:p>
    <w:p>
      <w:pPr>
        <w:pStyle w:val="ListBullet"/>
      </w:pPr>
      <w:r>
        <w:rPr>
          <w:rFonts w:ascii="Arial" w:hAnsi="Arial" w:cs="Arial"/>
          <w:sz w:val="22"/>
        </w:rPr>
        <w:t>Anulación: artículo 263; plazo ordinario dos meses.</w:t>
      </w:r>
    </w:p>
    <w:p>
      <w:pPr>
        <w:pStyle w:val="ListBullet"/>
      </w:pPr>
      <w:r>
        <w:rPr>
          <w:rFonts w:ascii="Arial" w:hAnsi="Arial" w:cs="Arial"/>
          <w:sz w:val="22"/>
        </w:rPr>
        <w:t>Omisión: artículo 265.</w:t>
      </w:r>
    </w:p>
    <w:p>
      <w:pPr>
        <w:pStyle w:val="ListBullet"/>
      </w:pPr>
      <w:r>
        <w:rPr>
          <w:rFonts w:ascii="Arial" w:hAnsi="Arial" w:cs="Arial"/>
          <w:sz w:val="22"/>
        </w:rPr>
        <w:t>Prejudicial: artículo 267.</w:t>
      </w:r>
    </w:p>
    <w:p>
      <w:pPr>
        <w:pStyle w:val="ListBullet"/>
      </w:pPr>
      <w:r>
        <w:rPr>
          <w:rFonts w:ascii="Arial" w:hAnsi="Arial" w:cs="Arial"/>
          <w:sz w:val="22"/>
        </w:rPr>
        <w:t>Reforma 2024: seis áreas prejudiciales y aplicación desde 1-10-2024.</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G10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4, 2026: 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7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bl>
    <w:p>
      <w:pPr>
        <w:spacing w:after="40"/>
      </w:pPr>
    </w:p>
    <w:p>
      <w:pPr>
        <w:jc w:val="both"/>
      </w:pPr>
      <w:r>
        <w:rPr>
          <w:rFonts w:ascii="Arial" w:hAnsi="Arial" w:cs="Arial"/>
          <w:b/>
          <w:sz w:val="22"/>
        </w:rPr>
        <w:t>Normas que más aparecen:</w:t>
      </w:r>
      <w:r>
        <w:rPr>
          <w:rFonts w:ascii="Arial" w:hAnsi="Arial" w:cs="Arial"/>
          <w:sz w:val="22"/>
        </w:rPr>
        <w:t xml:space="preserve"> Tratado de Funcionamiento de la Unión Europea (4); Tratado de la Unión Europea (3).</w:t>
      </w:r>
    </w:p>
    <w:p>
      <w:pPr>
        <w:jc w:val="both"/>
      </w:pPr>
      <w:r>
        <w:rPr>
          <w:rFonts w:ascii="Arial" w:hAnsi="Arial" w:cs="Arial"/>
          <w:b/>
          <w:sz w:val="22"/>
        </w:rPr>
        <w:t>Artículos o preceptos más repetidos:</w:t>
      </w:r>
      <w:r>
        <w:rPr>
          <w:rFonts w:ascii="Arial" w:hAnsi="Arial" w:cs="Arial"/>
          <w:sz w:val="22"/>
        </w:rPr>
        <w:t xml:space="preserve"> 14 (2); 3 (1); 4 (1); 17 (1).</w:t>
      </w:r>
    </w:p>
    <w:p>
      <w:pPr>
        <w:jc w:val="both"/>
      </w:pPr>
      <w:r>
        <w:rPr>
          <w:rFonts w:ascii="Arial" w:hAnsi="Arial" w:cs="Arial"/>
          <w:b/>
          <w:sz w:val="22"/>
        </w:rPr>
        <w:t>Formas de pregunta predominantes:</w:t>
      </w:r>
      <w:r>
        <w:rPr>
          <w:rFonts w:ascii="Arial" w:hAnsi="Arial" w:cs="Arial"/>
          <w:sz w:val="22"/>
        </w:rPr>
        <w:t xml:space="preserve"> Artículos literales (3); Competencias (2); Órganos (2).</w:t>
      </w:r>
    </w:p>
    <w:p>
      <w:pPr>
        <w:pStyle w:val="Heading2"/>
        <w:keepNext/>
      </w:pPr>
      <w:r>
        <w:rPr>
          <w:rFonts w:ascii="Arial" w:hAnsi="Arial" w:cs="Arial"/>
          <w:sz w:val="25"/>
        </w:rPr>
        <w:t>Patrones observados</w:t>
      </w:r>
    </w:p>
    <w:p>
      <w:pPr>
        <w:pStyle w:val="ListBullet"/>
      </w:pPr>
      <w:r>
        <w:rPr>
          <w:rFonts w:ascii="Arial" w:hAnsi="Arial" w:cs="Arial"/>
          <w:b/>
          <w:sz w:val="22"/>
        </w:rPr>
        <w:t>2025, teoría 71, reserva:</w:t>
      </w:r>
      <w:r>
        <w:rPr>
          <w:rFonts w:ascii="Arial" w:hAnsi="Arial" w:cs="Arial"/>
          <w:sz w:val="22"/>
        </w:rPr>
        <w:t xml:space="preserve"> De acuerdo con lo fijado en el Capítulo 3, sobre Órganos Consultivos de la Unión, del Tratado de Funcionamiento de la Unión Europea, en relación con el Comité de las Regiones:</w:t>
      </w:r>
    </w:p>
    <w:p>
      <w:pPr>
        <w:pStyle w:val="ListBullet"/>
      </w:pPr>
      <w:r>
        <w:rPr>
          <w:rFonts w:ascii="Arial" w:hAnsi="Arial" w:cs="Arial"/>
          <w:b/>
          <w:sz w:val="22"/>
        </w:rPr>
        <w:t>2024, teoría 10:</w:t>
      </w:r>
      <w:r>
        <w:rPr>
          <w:rFonts w:ascii="Arial" w:hAnsi="Arial" w:cs="Arial"/>
          <w:sz w:val="22"/>
        </w:rPr>
        <w:t xml:space="preserve"> Indique cuál de las siguientes NO es una competencia exclusiva de la Unión Europea, de acuerdo con el artículo 3 del Tratado de Funcionamiento de la Unión Europea.</w:t>
      </w:r>
    </w:p>
    <w:p>
      <w:pPr>
        <w:pStyle w:val="ListBullet"/>
      </w:pPr>
      <w:r>
        <w:rPr>
          <w:rFonts w:ascii="Arial" w:hAnsi="Arial" w:cs="Arial"/>
          <w:b/>
          <w:sz w:val="22"/>
        </w:rPr>
        <w:t>2025, teoría 10:</w:t>
      </w:r>
      <w:r>
        <w:rPr>
          <w:rFonts w:ascii="Arial" w:hAnsi="Arial" w:cs="Arial"/>
          <w:sz w:val="22"/>
        </w:rPr>
        <w:t xml:space="preserve"> De acuerdo con el artículo 14, apartado 2, del Tratado de la Unión Europea, los Estados miembro tendrán, en el Parlamento Europeo:</w:t>
      </w:r>
    </w:p>
    <w:p>
      <w:pPr>
        <w:pStyle w:val="ListBullet"/>
      </w:pPr>
      <w:r>
        <w:rPr>
          <w:rFonts w:ascii="Arial" w:hAnsi="Arial" w:cs="Arial"/>
          <w:b/>
          <w:sz w:val="22"/>
        </w:rPr>
        <w:t>2025, teoría 10:</w:t>
      </w:r>
      <w:r>
        <w:rPr>
          <w:rFonts w:ascii="Arial" w:hAnsi="Arial" w:cs="Arial"/>
          <w:sz w:val="22"/>
        </w:rPr>
        <w:t xml:space="preserve"> De acuerdo con 10 fijado en el Capítulo 3, sobre Órganos Consultivos de la Unión, del Tratado de Funcionamiento de la Unión Europea, en relación con el Comité Económico y Social:</w:t>
      </w:r>
    </w:p>
    <w:p>
      <w:pPr>
        <w:pStyle w:val="ListBullet"/>
      </w:pPr>
      <w:r>
        <w:rPr>
          <w:rFonts w:ascii="Arial" w:hAnsi="Arial" w:cs="Arial"/>
          <w:b/>
          <w:sz w:val="22"/>
        </w:rPr>
        <w:t>2025, teoría 10:</w:t>
      </w:r>
      <w:r>
        <w:rPr>
          <w:rFonts w:ascii="Arial" w:hAnsi="Arial" w:cs="Arial"/>
          <w:sz w:val="22"/>
        </w:rPr>
        <w:t xml:space="preserve"> De acuerdo con el artículo 4 del Tratado de Funcionamiento de la Unión Europea, la Unión y los Estados Miembros dispondrán de competencia compartida en los ámbitos siguientes :</w:t>
      </w:r>
    </w:p>
    <w:p>
      <w:pPr>
        <w:pStyle w:val="ListBullet"/>
      </w:pPr>
      <w:r>
        <w:rPr>
          <w:rFonts w:ascii="Arial" w:hAnsi="Arial" w:cs="Arial"/>
          <w:b/>
          <w:sz w:val="22"/>
        </w:rPr>
        <w:t>2026, teoría 14:</w:t>
      </w:r>
      <w:r>
        <w:rPr>
          <w:rFonts w:ascii="Arial" w:hAnsi="Arial" w:cs="Arial"/>
          <w:sz w:val="22"/>
        </w:rPr>
        <w:t xml:space="preserve"> De acuerdo con eI artículo 14, apartado 1, del Tratado de la Unión Europea, eI Parlamento Europeo ejercerá, conjuntamente con el Consejo:</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1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Fuentes oficiales utilizadas</w:t>
      </w:r>
    </w:p>
    <w:p>
      <w:pPr>
        <w:pStyle w:val="ListBullet"/>
        <w:ind w:left="397" w:hanging="198"/>
      </w:pPr>
      <w:r>
        <w:rPr>
          <w:rFonts w:ascii="Arial" w:hAnsi="Arial" w:cs="Arial"/>
          <w:sz w:val="18"/>
        </w:rPr>
        <w:t>Tratado de la Unión Europea, versión consolidada: https://eur-lex.europa.eu/legal-content/ES/TXT/?uri=CELEX:12016M/TXT</w:t>
      </w:r>
    </w:p>
    <w:p>
      <w:pPr>
        <w:pStyle w:val="ListBullet"/>
        <w:ind w:left="397" w:hanging="198"/>
      </w:pPr>
      <w:r>
        <w:rPr>
          <w:rFonts w:ascii="Arial" w:hAnsi="Arial" w:cs="Arial"/>
          <w:sz w:val="18"/>
        </w:rPr>
        <w:t>Tratado de Funcionamiento de la Unión Europea, versión consolidada: https://eur-lex.europa.eu/legal-content/ES/TXT/?uri=CELEX:12016E/TXT</w:t>
      </w:r>
    </w:p>
    <w:p>
      <w:pPr>
        <w:pStyle w:val="ListBullet"/>
        <w:ind w:left="397" w:hanging="198"/>
      </w:pPr>
      <w:r>
        <w:rPr>
          <w:rFonts w:ascii="Arial" w:hAnsi="Arial" w:cs="Arial"/>
          <w:sz w:val="18"/>
        </w:rPr>
        <w:t>Protocolo n.º 3 sobre el Estatuto del Tribunal de Justicia de la Unión Europea: https://eur-lex.europa.eu/legal-content/ES/TXT/?uri=CELEX:12016E/PRO/03</w:t>
      </w:r>
    </w:p>
    <w:p>
      <w:pPr>
        <w:pStyle w:val="ListBullet"/>
        <w:ind w:left="397" w:hanging="198"/>
      </w:pPr>
      <w:r>
        <w:rPr>
          <w:rFonts w:ascii="Arial" w:hAnsi="Arial" w:cs="Arial"/>
          <w:sz w:val="18"/>
        </w:rPr>
        <w:t>Protocolo n.º 6 sobre las sedes de las instituciones: https://eur-lex.europa.eu/legal-content/ES/TXT/?uri=CELEX:12016E/PRO/06</w:t>
      </w:r>
    </w:p>
    <w:p>
      <w:pPr>
        <w:pStyle w:val="ListBullet"/>
        <w:ind w:left="397" w:hanging="198"/>
      </w:pPr>
      <w:r>
        <w:rPr>
          <w:rFonts w:ascii="Arial" w:hAnsi="Arial" w:cs="Arial"/>
          <w:sz w:val="18"/>
        </w:rPr>
        <w:t>Decisión (UE) 2023/2061 del Consejo Europeo, composición del Parlamento 2024-2029: https://eur-lex.europa.eu/eli/dec/2023/2061/oj</w:t>
      </w:r>
    </w:p>
    <w:p>
      <w:pPr>
        <w:pStyle w:val="ListBullet"/>
        <w:ind w:left="397" w:hanging="198"/>
      </w:pPr>
      <w:r>
        <w:rPr>
          <w:rFonts w:ascii="Arial" w:hAnsi="Arial" w:cs="Arial"/>
          <w:sz w:val="18"/>
        </w:rPr>
        <w:t>Parlamento Europeo, organización y presidencia: https://www.europarl.europa.eu/about-parliament/es/organisation-and-rules</w:t>
      </w:r>
    </w:p>
    <w:p>
      <w:pPr>
        <w:pStyle w:val="ListBullet"/>
        <w:ind w:left="397" w:hanging="198"/>
      </w:pPr>
      <w:r>
        <w:rPr>
          <w:rFonts w:ascii="Arial" w:hAnsi="Arial" w:cs="Arial"/>
          <w:sz w:val="18"/>
        </w:rPr>
        <w:t>Reglamento interno del Parlamento Europeo, 10.ª legislatura: https://www.europarl.europa.eu/doceo/document/RULES-10-2025-05-05-TOC_ES.html</w:t>
      </w:r>
    </w:p>
    <w:p>
      <w:pPr>
        <w:pStyle w:val="ListBullet"/>
        <w:ind w:left="397" w:hanging="198"/>
      </w:pPr>
      <w:r>
        <w:rPr>
          <w:rFonts w:ascii="Arial" w:hAnsi="Arial" w:cs="Arial"/>
          <w:sz w:val="18"/>
        </w:rPr>
        <w:t>Consejo de la Unión Europea, funcionamiento y sistemas de voto: https://www.consilium.europa.eu/es/council-eu/</w:t>
      </w:r>
    </w:p>
    <w:p>
      <w:pPr>
        <w:pStyle w:val="ListBullet"/>
        <w:ind w:left="397" w:hanging="198"/>
      </w:pPr>
      <w:r>
        <w:rPr>
          <w:rFonts w:ascii="Arial" w:hAnsi="Arial" w:cs="Arial"/>
          <w:sz w:val="18"/>
        </w:rPr>
        <w:t>Presidencia irlandesa del Consejo, julio-diciembre de 2026: https://irish-presidency.consilium.europa.eu/en/</w:t>
      </w:r>
    </w:p>
    <w:p>
      <w:pPr>
        <w:pStyle w:val="ListBullet"/>
        <w:ind w:left="397" w:hanging="198"/>
      </w:pPr>
      <w:r>
        <w:rPr>
          <w:rFonts w:ascii="Arial" w:hAnsi="Arial" w:cs="Arial"/>
          <w:sz w:val="18"/>
        </w:rPr>
        <w:t>Decisión 2009/937/UE, Reglamento interno del Consejo, texto consolidado: https://eur-lex.europa.eu/legal-content/ES/TXT/?uri=CELEX:02009D0937-20220101</w:t>
      </w:r>
    </w:p>
    <w:p>
      <w:pPr>
        <w:pStyle w:val="ListBullet"/>
        <w:ind w:left="397" w:hanging="198"/>
      </w:pPr>
      <w:r>
        <w:rPr>
          <w:rFonts w:ascii="Arial" w:hAnsi="Arial" w:cs="Arial"/>
          <w:sz w:val="18"/>
        </w:rPr>
        <w:t>Decisión 2013/272/UE del Consejo Europeo, número de miembros de la Comisión: https://eur-lex.europa.eu/eli/dec/2013/272/oj</w:t>
      </w:r>
    </w:p>
    <w:p>
      <w:pPr>
        <w:pStyle w:val="ListBullet"/>
        <w:ind w:left="397" w:hanging="198"/>
      </w:pPr>
      <w:r>
        <w:rPr>
          <w:rFonts w:ascii="Arial" w:hAnsi="Arial" w:cs="Arial"/>
          <w:sz w:val="18"/>
        </w:rPr>
        <w:t>Comisión Europea, Colegio 2024-2029: https://commission.europa.eu/about/organisation/college-commissioners_es</w:t>
      </w:r>
    </w:p>
    <w:p>
      <w:pPr>
        <w:pStyle w:val="ListBullet"/>
        <w:ind w:left="397" w:hanging="198"/>
      </w:pPr>
      <w:r>
        <w:rPr>
          <w:rFonts w:ascii="Arial" w:hAnsi="Arial" w:cs="Arial"/>
          <w:sz w:val="18"/>
        </w:rPr>
        <w:t>Tribunal de Justicia de la Unión Europea, composición y actividad: https://curia.europa.eu/site/jcms/d2_5083/es/</w:t>
      </w:r>
    </w:p>
    <w:p>
      <w:pPr>
        <w:pStyle w:val="ListBullet"/>
        <w:ind w:left="397" w:hanging="198"/>
      </w:pPr>
      <w:r>
        <w:rPr>
          <w:rFonts w:ascii="Arial" w:hAnsi="Arial" w:cs="Arial"/>
          <w:sz w:val="18"/>
        </w:rPr>
        <w:t>Reglamento (UE, Euratom) 2024/2019, reforma del Estatuto del TJUE: https://eur-lex.europa.eu/eli/reg/2024/2019/oj</w:t>
      </w:r>
    </w:p>
    <w:p>
      <w:pPr>
        <w:pStyle w:val="ListBullet"/>
        <w:ind w:left="397" w:hanging="198"/>
      </w:pPr>
      <w:r>
        <w:rPr>
          <w:rFonts w:ascii="Arial" w:hAnsi="Arial" w:cs="Arial"/>
          <w:sz w:val="18"/>
        </w:rPr>
        <w:t>Comunicado oficial sobre transferencia prejudicial aplicable desde 1 de octubre de 2024: https://curia.europa.eu/jcms/upload/docs/application/pdf/2024-08/cp240125es.pdf</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G10 · Tema 10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10. Las Instituciones de la Unión Europea - El Consejo, el Parlamento Europeo, la Comisión, el Tribunal de Justicia</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