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11</w:t>
      </w:r>
    </w:p>
    <w:p>
      <w:pPr>
        <w:keepNext/>
        <w:spacing w:before="0" w:after="280"/>
        <w:pBdr>
          <w:bottom w:val="single" w:sz="12" w:space="1" w:color="2F75B5"/>
        </w:pBdr>
      </w:pPr>
      <w:r>
        <w:rPr>
          <w:rFonts w:ascii="Arial" w:hAnsi="Arial" w:cs="Arial"/>
          <w:b/>
          <w:color w:val="17365D"/>
          <w:sz w:val="40"/>
        </w:rPr>
        <w:t>Las fuentes del derecho de la Unión Europea. Derecho originario. Derecho derivado: Reglamentos, directivas y decisiones. Otras fuentes. Las relaciones entre el Derecho de la Unión Europea y el ordenamiento jurídico de los Estados miembros.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Derecho de la Unión Europea constituye un ordenamiento propio, integrado en los ordenamientos de los Estados miembros y aplicado tanto por las instituciones de la Unión como por las autoridades y jueces nacionales. No es simplemente Derecho internacional que opere solo entre Estados: crea competencias, obligaciones y, cuando se cumplen los requisitos establecidos por los Tratados y la jurisprudencia, derechos invocables por los particulares. El sistema se explica a partir de tres ideas que no deben confundirse: </w:t>
      </w:r>
      <w:r>
        <w:rPr>
          <w:rFonts w:ascii="Arial" w:hAnsi="Arial" w:cs="Arial"/>
          <w:b/>
          <w:sz w:val="22"/>
        </w:rPr>
        <w:t>atribución de competencias</w:t>
      </w:r>
      <w:r>
        <w:rPr>
          <w:rFonts w:ascii="Arial" w:hAnsi="Arial" w:cs="Arial"/>
          <w:sz w:val="22"/>
        </w:rPr>
        <w:t xml:space="preserve">, </w:t>
      </w:r>
      <w:r>
        <w:rPr>
          <w:rFonts w:ascii="Arial" w:hAnsi="Arial" w:cs="Arial"/>
          <w:b/>
          <w:sz w:val="22"/>
        </w:rPr>
        <w:t>primacía</w:t>
      </w:r>
      <w:r>
        <w:rPr>
          <w:rFonts w:ascii="Arial" w:hAnsi="Arial" w:cs="Arial"/>
          <w:sz w:val="22"/>
        </w:rPr>
        <w:t xml:space="preserve"> y </w:t>
      </w:r>
      <w:r>
        <w:rPr>
          <w:rFonts w:ascii="Arial" w:hAnsi="Arial" w:cs="Arial"/>
          <w:b/>
          <w:sz w:val="22"/>
        </w:rPr>
        <w:t>eficacia de cada norma</w:t>
      </w:r>
      <w:r>
        <w:rPr>
          <w:rFonts w:ascii="Arial" w:hAnsi="Arial" w:cs="Arial"/>
          <w:sz w:val="22"/>
        </w:rPr>
        <w:t xml:space="preserve">. La exposición se ajusta al Derecho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Ordenamiento de la Unión y atribución de competencias</w:t>
      </w:r>
    </w:p>
    <w:p>
      <w:pPr>
        <w:pStyle w:val="Heading2"/>
        <w:keepNext/>
      </w:pPr>
      <w:r>
        <w:rPr>
          <w:rFonts w:ascii="Arial" w:hAnsi="Arial" w:cs="Arial"/>
          <w:sz w:val="25"/>
        </w:rPr>
        <w:t>1.1. Autonomía y unidad</w:t>
      </w:r>
    </w:p>
    <w:p>
      <w:pPr>
        <w:jc w:val="both"/>
      </w:pPr>
      <w:r>
        <w:rPr>
          <w:rFonts w:ascii="Arial" w:hAnsi="Arial" w:cs="Arial"/>
          <w:sz w:val="22"/>
        </w:rPr>
        <w:t xml:space="preserve">En </w:t>
      </w:r>
      <w:r>
        <w:rPr>
          <w:rFonts w:ascii="Arial" w:hAnsi="Arial" w:cs="Arial"/>
          <w:i/>
          <w:sz w:val="22"/>
        </w:rPr>
        <w:t>Van Gend en Loos</w:t>
      </w:r>
      <w:r>
        <w:rPr>
          <w:rFonts w:ascii="Arial" w:hAnsi="Arial" w:cs="Arial"/>
          <w:sz w:val="22"/>
        </w:rPr>
        <w:t xml:space="preserve"> el Tribunal de Justicia afirmó que la entonces Comunidad constituía un nuevo ordenamiento jurídico cuyos sujetos son los Estados miembros y también sus nacionales. En </w:t>
      </w:r>
      <w:r>
        <w:rPr>
          <w:rFonts w:ascii="Arial" w:hAnsi="Arial" w:cs="Arial"/>
          <w:i/>
          <w:sz w:val="22"/>
        </w:rPr>
        <w:t>Costa/ENEL</w:t>
      </w:r>
      <w:r>
        <w:rPr>
          <w:rFonts w:ascii="Arial" w:hAnsi="Arial" w:cs="Arial"/>
          <w:sz w:val="22"/>
        </w:rPr>
        <w:t xml:space="preserve"> añadió que la transferencia de competencias realizada por los Estados limita de modo definitivo, en los ámbitos atribuidos, la posibilidad de hacer prevalecer una medida unilateral nacional incompatible. De estas decisiones nacen, respectivamente, las construcciones del efecto directo y de la primacía.</w:t>
      </w:r>
    </w:p>
    <w:p>
      <w:pPr>
        <w:jc w:val="both"/>
      </w:pPr>
      <w:r>
        <w:rPr>
          <w:rFonts w:ascii="Arial" w:hAnsi="Arial" w:cs="Arial"/>
          <w:sz w:val="22"/>
        </w:rPr>
        <w:t>La autonomía no significa aislamiento. El Derecho de la Unión se aplica de forma descentralizada: las Administraciones y órganos jurisdiccionales nacionales son jueces ordinarios de ese Derecho. Deben garantizar su plena eficacia, con arreglo a sus reglas procesales internas cuando la Unión no haya armonizado el procedimiento, pero respetando los principios de equivalencia y efectividad y el derecho a la tutela judicial efectiva.</w:t>
      </w:r>
    </w:p>
    <w:p>
      <w:pPr>
        <w:pStyle w:val="Heading2"/>
        <w:keepNext/>
      </w:pPr>
      <w:r>
        <w:rPr>
          <w:rFonts w:ascii="Arial" w:hAnsi="Arial" w:cs="Arial"/>
          <w:sz w:val="25"/>
        </w:rPr>
        <w:t>1.2. Principio de atribución</w:t>
      </w:r>
    </w:p>
    <w:p>
      <w:pPr>
        <w:jc w:val="both"/>
      </w:pPr>
      <w:r>
        <w:rPr>
          <w:rFonts w:ascii="Arial" w:hAnsi="Arial" w:cs="Arial"/>
          <w:sz w:val="22"/>
        </w:rPr>
        <w:t>El artículo 5 TUE dispone que la Unión actúa dentro de los límites de las competencias que los Estados miembros le atribuyen en los Tratados para alcanzar los objetivos fijados en ellos. Toda competencia no atribuida corresponde a los Estados. Por ello, un acto de la Unión necesita:</w:t>
      </w:r>
    </w:p>
    <w:p>
      <w:pPr>
        <w:pStyle w:val="ListBullet"/>
      </w:pPr>
      <w:r>
        <w:rPr>
          <w:rFonts w:ascii="Arial" w:hAnsi="Arial" w:cs="Arial"/>
          <w:sz w:val="22"/>
        </w:rPr>
        <w:t xml:space="preserve">Una </w:t>
      </w:r>
      <w:r>
        <w:rPr>
          <w:rFonts w:ascii="Arial" w:hAnsi="Arial" w:cs="Arial"/>
          <w:b/>
          <w:sz w:val="22"/>
        </w:rPr>
        <w:t>base jurídica</w:t>
      </w:r>
      <w:r>
        <w:rPr>
          <w:rFonts w:ascii="Arial" w:hAnsi="Arial" w:cs="Arial"/>
          <w:sz w:val="22"/>
        </w:rPr>
        <w:t xml:space="preserve"> en los Tratados.</w:t>
      </w:r>
    </w:p>
    <w:p>
      <w:pPr>
        <w:pStyle w:val="ListBullet"/>
      </w:pPr>
      <w:r>
        <w:rPr>
          <w:rFonts w:ascii="Arial" w:hAnsi="Arial" w:cs="Arial"/>
          <w:sz w:val="22"/>
        </w:rPr>
        <w:t>El procedimiento y la mayoría que esa base jurídica determine.</w:t>
      </w:r>
    </w:p>
    <w:p>
      <w:pPr>
        <w:pStyle w:val="ListBullet"/>
      </w:pPr>
      <w:r>
        <w:rPr>
          <w:rFonts w:ascii="Arial" w:hAnsi="Arial" w:cs="Arial"/>
          <w:sz w:val="22"/>
        </w:rPr>
        <w:t>Respeto a los límites materiales y a los principios generales.</w:t>
      </w:r>
    </w:p>
    <w:p>
      <w:pPr>
        <w:jc w:val="both"/>
      </w:pPr>
      <w:r>
        <w:rPr>
          <w:rFonts w:ascii="Arial" w:hAnsi="Arial" w:cs="Arial"/>
          <w:sz w:val="22"/>
        </w:rPr>
        <w:t>La elección de la base jurídica se realiza atendiendo al objetivo y al contenido del acto, elementos susceptibles de control jurisdiccional. Si un acto persigue varios objetivos inseparables puede requerir más de una base, siempre que los procedimientos sean compatibles; si uno es principal y otro accesorio, se utiliza la base correspondiente al principal.</w:t>
      </w:r>
    </w:p>
    <w:p>
      <w:pPr>
        <w:jc w:val="both"/>
      </w:pPr>
      <w:r>
        <w:rPr>
          <w:rFonts w:ascii="Arial" w:hAnsi="Arial" w:cs="Arial"/>
          <w:sz w:val="22"/>
        </w:rPr>
        <w:t xml:space="preserve">En competencias no exclusivas operan subsidiariedad y proporcionalidad. La </w:t>
      </w:r>
      <w:r>
        <w:rPr>
          <w:rFonts w:ascii="Arial" w:hAnsi="Arial" w:cs="Arial"/>
          <w:b/>
          <w:sz w:val="22"/>
        </w:rPr>
        <w:t>subsidiariedad</w:t>
      </w:r>
      <w:r>
        <w:rPr>
          <w:rFonts w:ascii="Arial" w:hAnsi="Arial" w:cs="Arial"/>
          <w:sz w:val="22"/>
        </w:rPr>
        <w:t xml:space="preserve"> exige que los objetivos no puedan ser alcanzados suficientemente por los Estados y puedan lograrse mejor a escala de la Unión. La </w:t>
      </w:r>
      <w:r>
        <w:rPr>
          <w:rFonts w:ascii="Arial" w:hAnsi="Arial" w:cs="Arial"/>
          <w:b/>
          <w:sz w:val="22"/>
        </w:rPr>
        <w:t>proporcionalidad</w:t>
      </w:r>
      <w:r>
        <w:rPr>
          <w:rFonts w:ascii="Arial" w:hAnsi="Arial" w:cs="Arial"/>
          <w:sz w:val="22"/>
        </w:rPr>
        <w:t xml:space="preserve"> exige que el contenido y la forma de la acción no excedan de lo necesario. Esta última limita toda actuación de la Unión, también en competencias exclusivas.</w:t>
      </w:r>
    </w:p>
    <w:p>
      <w:pPr>
        <w:jc w:val="both"/>
      </w:pPr>
      <w:r>
        <w:rPr>
          <w:rFonts w:ascii="Arial" w:hAnsi="Arial" w:cs="Arial"/>
          <w:sz w:val="22"/>
        </w:rPr>
        <w:t>El artículo 4.3 TUE consagra la cooperación leal: Unión y Estados se respetan y asisten; los Estados adoptan las medidas necesarias para cumplir el Derecho de la Unión y se abstienen de comprometer sus objetivos. No es una fórmula política sin efectos, sino fundamento de deberes concretos de actuación, cooperación y corrección de incumplimientos.</w:t>
      </w:r>
    </w:p>
    <w:p>
      <w:pPr>
        <w:pStyle w:val="Heading1"/>
        <w:keepNext/>
      </w:pPr>
      <w:r>
        <w:rPr>
          <w:rFonts w:ascii="Arial" w:hAnsi="Arial" w:cs="Arial"/>
          <w:sz w:val="30"/>
        </w:rPr>
        <w:t>2. Sistema de fuentes y jerarquía</w:t>
      </w:r>
    </w:p>
    <w:p>
      <w:pPr>
        <w:jc w:val="both"/>
      </w:pPr>
      <w:r>
        <w:rPr>
          <w:rFonts w:ascii="Arial" w:hAnsi="Arial" w:cs="Arial"/>
          <w:sz w:val="22"/>
        </w:rPr>
        <w:t>No existe en los Tratados una tabla única que ordene todas las fuentes, pero puede reconstruirse una jerarquía funcional:</w:t>
      </w:r>
    </w:p>
    <w:p>
      <w:pPr>
        <w:spacing w:after="40"/>
        <w:ind w:left="369" w:hanging="227"/>
      </w:pPr>
      <w:r>
        <w:rPr>
          <w:rFonts w:ascii="Arial" w:hAnsi="Arial" w:cs="Arial"/>
          <w:sz w:val="22"/>
        </w:rPr>
        <w:t xml:space="preserve">1. </w:t>
      </w:r>
      <w:r>
        <w:rPr>
          <w:rFonts w:ascii="Arial" w:hAnsi="Arial" w:cs="Arial"/>
          <w:b/>
          <w:sz w:val="22"/>
        </w:rPr>
        <w:t>Derecho originario:</w:t>
      </w:r>
      <w:r>
        <w:rPr>
          <w:rFonts w:ascii="Arial" w:hAnsi="Arial" w:cs="Arial"/>
          <w:sz w:val="22"/>
        </w:rPr>
        <w:t xml:space="preserve"> Tratados constitutivos y modificativos, protocolos y anexos, Tratados de adhesión y Carta de los Derechos Fundamentales.</w:t>
      </w:r>
    </w:p>
    <w:p>
      <w:pPr>
        <w:spacing w:after="40"/>
        <w:ind w:left="369" w:hanging="227"/>
      </w:pPr>
      <w:r>
        <w:rPr>
          <w:rFonts w:ascii="Arial" w:hAnsi="Arial" w:cs="Arial"/>
          <w:sz w:val="22"/>
        </w:rPr>
        <w:t xml:space="preserve">2. </w:t>
      </w:r>
      <w:r>
        <w:rPr>
          <w:rFonts w:ascii="Arial" w:hAnsi="Arial" w:cs="Arial"/>
          <w:b/>
          <w:sz w:val="22"/>
        </w:rPr>
        <w:t>Principios generales del Derecho de la Unión</w:t>
      </w:r>
      <w:r>
        <w:rPr>
          <w:rFonts w:ascii="Arial" w:hAnsi="Arial" w:cs="Arial"/>
          <w:sz w:val="22"/>
        </w:rPr>
        <w:t>, que sirven de parámetro de interpretación y validez.</w:t>
      </w:r>
    </w:p>
    <w:p>
      <w:pPr>
        <w:spacing w:after="40"/>
        <w:ind w:left="369" w:hanging="227"/>
      </w:pPr>
      <w:r>
        <w:rPr>
          <w:rFonts w:ascii="Arial" w:hAnsi="Arial" w:cs="Arial"/>
          <w:sz w:val="22"/>
        </w:rPr>
        <w:t xml:space="preserve">3. </w:t>
      </w:r>
      <w:r>
        <w:rPr>
          <w:rFonts w:ascii="Arial" w:hAnsi="Arial" w:cs="Arial"/>
          <w:b/>
          <w:sz w:val="22"/>
        </w:rPr>
        <w:t>Acuerdos internacionales celebrados por la Unión</w:t>
      </w:r>
      <w:r>
        <w:rPr>
          <w:rFonts w:ascii="Arial" w:hAnsi="Arial" w:cs="Arial"/>
          <w:sz w:val="22"/>
        </w:rPr>
        <w:t>, vinculantes para sus instituciones y Estados miembros.</w:t>
      </w:r>
    </w:p>
    <w:p>
      <w:pPr>
        <w:spacing w:after="40"/>
        <w:ind w:left="369" w:hanging="227"/>
      </w:pPr>
      <w:r>
        <w:rPr>
          <w:rFonts w:ascii="Arial" w:hAnsi="Arial" w:cs="Arial"/>
          <w:sz w:val="22"/>
        </w:rPr>
        <w:t xml:space="preserve">4. </w:t>
      </w:r>
      <w:r>
        <w:rPr>
          <w:rFonts w:ascii="Arial" w:hAnsi="Arial" w:cs="Arial"/>
          <w:b/>
          <w:sz w:val="22"/>
        </w:rPr>
        <w:t>Derecho derivado:</w:t>
      </w:r>
      <w:r>
        <w:rPr>
          <w:rFonts w:ascii="Arial" w:hAnsi="Arial" w:cs="Arial"/>
          <w:sz w:val="22"/>
        </w:rPr>
        <w:t xml:space="preserve"> actos legislativos y no legislativos adoptados sobre la base de los Tratados.</w:t>
      </w:r>
    </w:p>
    <w:p>
      <w:pPr>
        <w:spacing w:after="40"/>
        <w:ind w:left="369" w:hanging="227"/>
      </w:pPr>
      <w:r>
        <w:rPr>
          <w:rFonts w:ascii="Arial" w:hAnsi="Arial" w:cs="Arial"/>
          <w:sz w:val="22"/>
        </w:rPr>
        <w:t xml:space="preserve">5. </w:t>
      </w:r>
      <w:r>
        <w:rPr>
          <w:rFonts w:ascii="Arial" w:hAnsi="Arial" w:cs="Arial"/>
          <w:b/>
          <w:sz w:val="22"/>
        </w:rPr>
        <w:t>Actos de ejecución, orientaciones y otros instrumentos</w:t>
      </w:r>
      <w:r>
        <w:rPr>
          <w:rFonts w:ascii="Arial" w:hAnsi="Arial" w:cs="Arial"/>
          <w:sz w:val="22"/>
        </w:rPr>
        <w:t>, cuya posición y fuerza dependen de su base y contenido.</w:t>
      </w:r>
    </w:p>
    <w:p>
      <w:pPr>
        <w:jc w:val="both"/>
      </w:pPr>
      <w:r>
        <w:rPr>
          <w:rFonts w:ascii="Arial" w:hAnsi="Arial" w:cs="Arial"/>
          <w:sz w:val="22"/>
        </w:rPr>
        <w:t>Esta ordenación requiere matices. Los principios generales tienen valor superior al Derecho derivado y pueden determinar su invalidez. Los acuerdos internacionales de la Unión no pueden contrariar el Derecho originario, pero vinculan a las instituciones y condicionan la validez o interpretación del Derecho derivado cuando concurren los requisitos jurisprudenciales. Un reglamento de ejecución debe respetar el acto básico; un acto delegado no puede alterar sus elementos esenciales.</w:t>
      </w:r>
    </w:p>
    <w:p>
      <w:pPr>
        <w:spacing w:after="100"/>
        <w:ind w:left="340" w:right="227"/>
        <w:shd w:fill="EAF2F8"/>
      </w:pPr>
      <w:r>
        <w:rPr>
          <w:rFonts w:ascii="Arial" w:hAnsi="Arial" w:cs="Arial"/>
          <w:b/>
          <w:sz w:val="20"/>
        </w:rPr>
        <w:t>Trampa frecuente:</w:t>
      </w:r>
      <w:r>
        <w:rPr>
          <w:rFonts w:ascii="Arial" w:hAnsi="Arial" w:cs="Arial"/>
          <w:sz w:val="20"/>
        </w:rPr>
        <w:t xml:space="preserve"> «acto legislativo» no es sinónimo de «reglamento». Reglamento, directiva y decisión son </w:t>
      </w:r>
      <w:r>
        <w:rPr>
          <w:rFonts w:ascii="Arial" w:hAnsi="Arial" w:cs="Arial"/>
          <w:b/>
          <w:sz w:val="20"/>
        </w:rPr>
        <w:t>formas</w:t>
      </w:r>
      <w:r>
        <w:rPr>
          <w:rFonts w:ascii="Arial" w:hAnsi="Arial" w:cs="Arial"/>
          <w:sz w:val="20"/>
        </w:rPr>
        <w:t xml:space="preserve"> del artículo 288 TFUE. Cualquiera de ellas será legislativa si se adopta mediante un procedimiento legislativo; también puede ser un acto delegado, de ejecución o un acto no legislativo basado directamente en el Tratado.</w:t>
      </w:r>
    </w:p>
    <w:p>
      <w:pPr>
        <w:pStyle w:val="Heading1"/>
        <w:keepNext/>
      </w:pPr>
      <w:r>
        <w:rPr>
          <w:rFonts w:ascii="Arial" w:hAnsi="Arial" w:cs="Arial"/>
          <w:sz w:val="30"/>
        </w:rPr>
        <w:t>3. Derecho originario</w:t>
      </w:r>
    </w:p>
    <w:p>
      <w:pPr>
        <w:pStyle w:val="Heading2"/>
        <w:keepNext/>
      </w:pPr>
      <w:r>
        <w:rPr>
          <w:rFonts w:ascii="Arial" w:hAnsi="Arial" w:cs="Arial"/>
          <w:sz w:val="25"/>
        </w:rPr>
        <w:t>3.1. Composición</w:t>
      </w:r>
    </w:p>
    <w:p>
      <w:pPr>
        <w:jc w:val="both"/>
      </w:pPr>
      <w:r>
        <w:rPr>
          <w:rFonts w:ascii="Arial" w:hAnsi="Arial" w:cs="Arial"/>
          <w:sz w:val="22"/>
        </w:rPr>
        <w:t>El núcleo lo forman el Tratado de la Unión Europea —TUE— y el Tratado de Funcionamiento de la Unión Europea —TFUE—. Ambos tienen el mismo valor jurídico. Junto a ellos permanece el Tratado constitutivo de la Comunidad Europea de la Energía Atómica. Integran también el Derecho originario:</w:t>
      </w:r>
    </w:p>
    <w:p>
      <w:pPr>
        <w:pStyle w:val="ListBullet"/>
      </w:pPr>
      <w:r>
        <w:rPr>
          <w:rFonts w:ascii="Arial" w:hAnsi="Arial" w:cs="Arial"/>
          <w:sz w:val="22"/>
        </w:rPr>
        <w:t>Los protocolos y anexos de los Tratados, que forman parte integrante de ellos.</w:t>
      </w:r>
    </w:p>
    <w:p>
      <w:pPr>
        <w:pStyle w:val="ListBullet"/>
      </w:pPr>
      <w:r>
        <w:rPr>
          <w:rFonts w:ascii="Arial" w:hAnsi="Arial" w:cs="Arial"/>
          <w:sz w:val="22"/>
        </w:rPr>
        <w:t>Los Tratados de adhesión y sus actas, con las adaptaciones y períodos transitorios correspondientes.</w:t>
      </w:r>
    </w:p>
    <w:p>
      <w:pPr>
        <w:pStyle w:val="ListBullet"/>
      </w:pPr>
      <w:r>
        <w:rPr>
          <w:rFonts w:ascii="Arial" w:hAnsi="Arial" w:cs="Arial"/>
          <w:sz w:val="22"/>
        </w:rPr>
        <w:t>Los Tratados de reforma, como Maastricht, Ámsterdam, Niza y Lisboa.</w:t>
      </w:r>
    </w:p>
    <w:p>
      <w:pPr>
        <w:pStyle w:val="ListBullet"/>
      </w:pPr>
      <w:r>
        <w:rPr>
          <w:rFonts w:ascii="Arial" w:hAnsi="Arial" w:cs="Arial"/>
          <w:sz w:val="22"/>
        </w:rPr>
        <w:t>La Carta de los Derechos Fundamentales de la Unión Europea, a la que el artículo 6.1 TUE reconoce el mismo valor jurídico que a los Tratados.</w:t>
      </w:r>
    </w:p>
    <w:p>
      <w:pPr>
        <w:jc w:val="both"/>
      </w:pPr>
      <w:r>
        <w:rPr>
          <w:rFonts w:ascii="Arial" w:hAnsi="Arial" w:cs="Arial"/>
          <w:sz w:val="22"/>
        </w:rPr>
        <w:t>Las declaraciones anejas al Acta Final no tienen, por sí mismas, idéntico valor vinculante que los Tratados, aunque pueden ayudar a interpretarlos. La Declaración número 17 relativa a la primacía recuerda la jurisprudencia constante del Tribunal de Justicia y adjunta el dictamen del Servicio Jurídico del Consejo; no es la disposición constitutiva de la primacía, que ya derivaba de la jurisprudencia y de la naturaleza del ordenamiento.</w:t>
      </w:r>
    </w:p>
    <w:p>
      <w:pPr>
        <w:pStyle w:val="Heading2"/>
        <w:keepNext/>
      </w:pPr>
      <w:r>
        <w:rPr>
          <w:rFonts w:ascii="Arial" w:hAnsi="Arial" w:cs="Arial"/>
          <w:sz w:val="25"/>
        </w:rPr>
        <w:t>3.2. Revisión e interpretación</w:t>
      </w:r>
    </w:p>
    <w:p>
      <w:pPr>
        <w:jc w:val="both"/>
      </w:pPr>
      <w:r>
        <w:rPr>
          <w:rFonts w:ascii="Arial" w:hAnsi="Arial" w:cs="Arial"/>
          <w:sz w:val="22"/>
        </w:rPr>
        <w:t>Los Tratados se modifican mediante los procedimientos del artículo 48 TUE. El procedimiento ordinario incluye convención cuando proceda, conferencia intergubernamental y ratificación por todos los Estados conforme a sus normas constitucionales. Los procedimientos simplificados permiten determinadas revisiones internas, pero no pueden aumentar las competencias atribuidas a la Unión.</w:t>
      </w:r>
    </w:p>
    <w:p>
      <w:pPr>
        <w:jc w:val="both"/>
      </w:pPr>
      <w:r>
        <w:rPr>
          <w:rFonts w:ascii="Arial" w:hAnsi="Arial" w:cs="Arial"/>
          <w:sz w:val="22"/>
        </w:rPr>
        <w:t>El Derecho originario se interpreta atendiendo a su tenor, contexto, finalidad y estructura. Todas las versiones lingüísticas auténticas tienen igual valor; una divergencia no se resuelve privilegiando automáticamente una lengua, sino buscando una interpretación coherente con la economía y el objetivo de la norma. La integración europea explica el empleo frecuente de la interpretación autónoma y del efecto útil.</w:t>
      </w:r>
    </w:p>
    <w:p>
      <w:pPr>
        <w:pStyle w:val="Heading2"/>
        <w:keepNext/>
      </w:pPr>
      <w:r>
        <w:rPr>
          <w:rFonts w:ascii="Arial" w:hAnsi="Arial" w:cs="Arial"/>
          <w:sz w:val="25"/>
        </w:rPr>
        <w:t>3.3. Carta de los Derechos Fundamentales</w:t>
      </w:r>
    </w:p>
    <w:p>
      <w:pPr>
        <w:jc w:val="both"/>
      </w:pPr>
      <w:r>
        <w:rPr>
          <w:rFonts w:ascii="Arial" w:hAnsi="Arial" w:cs="Arial"/>
          <w:sz w:val="22"/>
        </w:rPr>
        <w:t xml:space="preserve">La Carta vincula a las instituciones, órganos y organismos de la Unión y a los Estados miembros </w:t>
      </w:r>
      <w:r>
        <w:rPr>
          <w:rFonts w:ascii="Arial" w:hAnsi="Arial" w:cs="Arial"/>
          <w:b/>
          <w:sz w:val="22"/>
        </w:rPr>
        <w:t>únicamente cuando aplican Derecho de la Unión</w:t>
      </w:r>
      <w:r>
        <w:rPr>
          <w:rFonts w:ascii="Arial" w:hAnsi="Arial" w:cs="Arial"/>
          <w:sz w:val="22"/>
        </w:rPr>
        <w:t xml:space="preserve"> —artículo 51—. No amplía las competencias de la Unión. Por tanto, no todo acto nacional está sometido a la Carta: debe existir un vínculo suficiente con el ámbito del Derecho de la Unión.</w:t>
      </w:r>
    </w:p>
    <w:p>
      <w:pPr>
        <w:jc w:val="both"/>
      </w:pPr>
      <w:r>
        <w:rPr>
          <w:rFonts w:ascii="Arial" w:hAnsi="Arial" w:cs="Arial"/>
          <w:sz w:val="22"/>
        </w:rPr>
        <w:t>El artículo 52 diferencia derechos y principios. Los derechos pueden ser invocados en las condiciones previstas; los principios se observan en la legislación y ejecución y su invocación jurisdiccional se dirige, en esencia, a interpretar y controlar la legalidad de esos actos. Cuando un derecho corresponde a uno garantizado por el Convenio Europeo de Derechos Humanos, su sentido y alcance son, como mínimo, los del Convenio, sin impedir una protección más extensa de la Unión. Los derechos pueden limitarse por ley, respetando su contenido esencial, la proporcionalidad y objetivos de interés general o derechos ajenos.</w:t>
      </w:r>
    </w:p>
    <w:p>
      <w:pPr>
        <w:spacing w:after="100"/>
        <w:ind w:left="340" w:right="227"/>
        <w:shd w:fill="EAF2F8"/>
      </w:pPr>
      <w:r>
        <w:rPr>
          <w:rFonts w:ascii="Arial" w:hAnsi="Arial" w:cs="Arial"/>
          <w:b/>
          <w:sz w:val="20"/>
        </w:rPr>
        <w:t>Trampa frecuente:</w:t>
      </w:r>
      <w:r>
        <w:rPr>
          <w:rFonts w:ascii="Arial" w:hAnsi="Arial" w:cs="Arial"/>
          <w:sz w:val="20"/>
        </w:rPr>
        <w:t xml:space="preserve"> que la Carta tenga el mismo valor que los Tratados no significa que todos sus artículos produzcan automáticamente efecto directo, ni que pueda aplicarse a una situación puramente interna ajena al Derecho de la Unión.</w:t>
      </w:r>
    </w:p>
    <w:p>
      <w:pPr>
        <w:pStyle w:val="Heading1"/>
        <w:keepNext/>
      </w:pPr>
      <w:r>
        <w:rPr>
          <w:rFonts w:ascii="Arial" w:hAnsi="Arial" w:cs="Arial"/>
          <w:sz w:val="30"/>
        </w:rPr>
        <w:t>4. Principios generales del Derecho de la Unión</w:t>
      </w:r>
    </w:p>
    <w:p>
      <w:pPr>
        <w:jc w:val="both"/>
      </w:pPr>
      <w:r>
        <w:rPr>
          <w:rFonts w:ascii="Arial" w:hAnsi="Arial" w:cs="Arial"/>
          <w:sz w:val="22"/>
        </w:rPr>
        <w:t>Los principios generales completan el ordenamiento, orientan su interpretación y constituyen parámetro de validez y de responsabilidad. Algunos están hoy positivizados en los Tratados o en la Carta, pero conservan su función jurisprudencial. Entre los principales se encuentran:</w:t>
      </w:r>
    </w:p>
    <w:p>
      <w:pPr>
        <w:pStyle w:val="ListBullet"/>
      </w:pPr>
      <w:r>
        <w:rPr>
          <w:rFonts w:ascii="Arial" w:hAnsi="Arial" w:cs="Arial"/>
          <w:sz w:val="22"/>
        </w:rPr>
        <w:t>Legalidad y respeto de la competencia atribuida.</w:t>
      </w:r>
    </w:p>
    <w:p>
      <w:pPr>
        <w:pStyle w:val="ListBullet"/>
      </w:pPr>
      <w:r>
        <w:rPr>
          <w:rFonts w:ascii="Arial" w:hAnsi="Arial" w:cs="Arial"/>
          <w:sz w:val="22"/>
        </w:rPr>
        <w:t>Igualdad y no discriminación.</w:t>
      </w:r>
    </w:p>
    <w:p>
      <w:pPr>
        <w:pStyle w:val="ListBullet"/>
      </w:pPr>
      <w:r>
        <w:rPr>
          <w:rFonts w:ascii="Arial" w:hAnsi="Arial" w:cs="Arial"/>
          <w:sz w:val="22"/>
        </w:rPr>
        <w:t>Proporcionalidad.</w:t>
      </w:r>
    </w:p>
    <w:p>
      <w:pPr>
        <w:pStyle w:val="ListBullet"/>
      </w:pPr>
      <w:r>
        <w:rPr>
          <w:rFonts w:ascii="Arial" w:hAnsi="Arial" w:cs="Arial"/>
          <w:sz w:val="22"/>
        </w:rPr>
        <w:t>Seguridad jurídica e irretroactividad de normas sancionadoras desfavorables.</w:t>
      </w:r>
    </w:p>
    <w:p>
      <w:pPr>
        <w:pStyle w:val="ListBullet"/>
      </w:pPr>
      <w:r>
        <w:rPr>
          <w:rFonts w:ascii="Arial" w:hAnsi="Arial" w:cs="Arial"/>
          <w:sz w:val="22"/>
        </w:rPr>
        <w:t>Protección de la confianza legítima.</w:t>
      </w:r>
    </w:p>
    <w:p>
      <w:pPr>
        <w:pStyle w:val="ListBullet"/>
      </w:pPr>
      <w:r>
        <w:rPr>
          <w:rFonts w:ascii="Arial" w:hAnsi="Arial" w:cs="Arial"/>
          <w:sz w:val="22"/>
        </w:rPr>
        <w:t>Respeto de los derechos de defensa, audiencia y buena administración.</w:t>
      </w:r>
    </w:p>
    <w:p>
      <w:pPr>
        <w:pStyle w:val="ListBullet"/>
      </w:pPr>
      <w:r>
        <w:rPr>
          <w:rFonts w:ascii="Arial" w:hAnsi="Arial" w:cs="Arial"/>
          <w:sz w:val="22"/>
        </w:rPr>
        <w:t>Tutela judicial efectiva.</w:t>
      </w:r>
    </w:p>
    <w:p>
      <w:pPr>
        <w:pStyle w:val="ListBullet"/>
      </w:pPr>
      <w:r>
        <w:rPr>
          <w:rFonts w:ascii="Arial" w:hAnsi="Arial" w:cs="Arial"/>
          <w:sz w:val="22"/>
        </w:rPr>
        <w:t>Responsabilidad de los poderes públicos.</w:t>
      </w:r>
    </w:p>
    <w:p>
      <w:pPr>
        <w:jc w:val="both"/>
      </w:pPr>
      <w:r>
        <w:rPr>
          <w:rFonts w:ascii="Arial" w:hAnsi="Arial" w:cs="Arial"/>
          <w:sz w:val="22"/>
        </w:rPr>
        <w:t>El artículo 6.3 TUE dispone que los derechos fundamentales garantizados por el Convenio Europeo y los resultantes de las tradiciones constitucionales comunes forman parte del Derecho de la Unión como principios generales. La Unión no se confunde, sin embargo, con el sistema del Convenio: el Tribunal de Justicia interpreta el Derecho de la Unión y el Tribunal Europeo de Derechos Humanos controla el Convenio.</w:t>
      </w:r>
    </w:p>
    <w:p>
      <w:pPr>
        <w:jc w:val="both"/>
      </w:pPr>
      <w:r>
        <w:rPr>
          <w:rFonts w:ascii="Arial" w:hAnsi="Arial" w:cs="Arial"/>
          <w:sz w:val="22"/>
        </w:rPr>
        <w:t>La confianza legítima exige garantías concretas, incondicionales y concordantes procedentes de fuentes autorizadas; no protege una expectativa contraria a una norma clara ni impide toda modificación normativa. La proporcionalidad comporta comprobar idoneidad, necesidad y, cuando proceda, ponderación de las cargas. La seguridad jurídica reclama normas claras, previsibles y accesibles, especialmente cuando producen consecuencias desfavorables.</w:t>
      </w:r>
    </w:p>
    <w:p>
      <w:pPr>
        <w:pStyle w:val="Heading1"/>
        <w:keepNext/>
      </w:pPr>
      <w:r>
        <w:rPr>
          <w:rFonts w:ascii="Arial" w:hAnsi="Arial" w:cs="Arial"/>
          <w:sz w:val="30"/>
        </w:rPr>
        <w:t>5. Acuerdos internacionales y otras fuentes</w:t>
      </w:r>
    </w:p>
    <w:p>
      <w:pPr>
        <w:pStyle w:val="Heading2"/>
        <w:keepNext/>
      </w:pPr>
      <w:r>
        <w:rPr>
          <w:rFonts w:ascii="Arial" w:hAnsi="Arial" w:cs="Arial"/>
          <w:sz w:val="25"/>
        </w:rPr>
        <w:t>5.1. Acuerdos celebrados por la Unión</w:t>
      </w:r>
    </w:p>
    <w:p>
      <w:pPr>
        <w:jc w:val="both"/>
      </w:pPr>
      <w:r>
        <w:rPr>
          <w:rFonts w:ascii="Arial" w:hAnsi="Arial" w:cs="Arial"/>
          <w:sz w:val="22"/>
        </w:rPr>
        <w:t xml:space="preserve">Según el artículo 216.2 TFUE, los acuerdos celebrados por la Unión vinculan a sus instituciones y a los Estados miembros. Desde su entrada en vigor forman parte del ordenamiento de la Unión. Pueden ser exclusivos de la Unión o </w:t>
      </w:r>
      <w:r>
        <w:rPr>
          <w:rFonts w:ascii="Arial" w:hAnsi="Arial" w:cs="Arial"/>
          <w:b/>
          <w:sz w:val="22"/>
        </w:rPr>
        <w:t>mixtos</w:t>
      </w:r>
      <w:r>
        <w:rPr>
          <w:rFonts w:ascii="Arial" w:hAnsi="Arial" w:cs="Arial"/>
          <w:sz w:val="22"/>
        </w:rPr>
        <w:t>, cuando también participan los Estados por afectar a competencias compartidas o estatales.</w:t>
      </w:r>
    </w:p>
    <w:p>
      <w:pPr>
        <w:jc w:val="both"/>
      </w:pPr>
      <w:r>
        <w:rPr>
          <w:rFonts w:ascii="Arial" w:hAnsi="Arial" w:cs="Arial"/>
          <w:sz w:val="22"/>
        </w:rPr>
        <w:t>Su posición es inferior a los Tratados: un acuerdo proyectado incompatible con ellos exige modificar el proyecto o, antes de concluirlo, revisar los Tratados. A la vez, las instituciones deben respetarlo al adoptar Derecho derivado. Para que una disposición de un acuerdo pueda ser invocada directamente se examinan sus términos, objeto y naturaleza, y si contiene una obligación clara y precisa no subordinada a medidas posteriores.</w:t>
      </w:r>
    </w:p>
    <w:p>
      <w:pPr>
        <w:jc w:val="both"/>
      </w:pPr>
      <w:r>
        <w:rPr>
          <w:rFonts w:ascii="Arial" w:hAnsi="Arial" w:cs="Arial"/>
          <w:sz w:val="22"/>
        </w:rPr>
        <w:t>El Derecho internacional consuetudinario puede vincular a las instituciones y utilizarse para interpretar competencias y actos. No toda regla internacional invocada por una parte permite automáticamente controlar un acto de la Unión: debe atenderse a la naturaleza de la regla, a la estructura del acuerdo y a las condiciones definidas por la jurisprudencia.</w:t>
      </w:r>
    </w:p>
    <w:p>
      <w:pPr>
        <w:pStyle w:val="Heading2"/>
        <w:keepNext/>
      </w:pPr>
      <w:r>
        <w:rPr>
          <w:rFonts w:ascii="Arial" w:hAnsi="Arial" w:cs="Arial"/>
          <w:sz w:val="25"/>
        </w:rPr>
        <w:t>5.2. Jurisprudencia</w:t>
      </w:r>
    </w:p>
    <w:p>
      <w:pPr>
        <w:jc w:val="both"/>
      </w:pPr>
      <w:r>
        <w:rPr>
          <w:rFonts w:ascii="Arial" w:hAnsi="Arial" w:cs="Arial"/>
          <w:sz w:val="22"/>
        </w:rPr>
        <w:t>Las sentencias del Tribunal de Justicia no son una «ley» general en el sentido formal, pero su interpretación del Derecho de la Unión vincula en el asunto y orienta obligatoriamente su aplicación uniforme. En una cuestión prejudicial de interpretación, el Tribunal aclara el significado que la norma tiene desde su entrada en vigor; excepcionalmente puede limitar efectos temporales por exigencias imperiosas de seguridad jurídica.</w:t>
      </w:r>
    </w:p>
    <w:p>
      <w:pPr>
        <w:jc w:val="both"/>
      </w:pPr>
      <w:r>
        <w:rPr>
          <w:rFonts w:ascii="Arial" w:hAnsi="Arial" w:cs="Arial"/>
          <w:sz w:val="22"/>
        </w:rPr>
        <w:t>La jurisprudencia ha construido principios estructurales —primacía, efecto directo, responsabilidad del Estado— que no aparecen formulados de manera completa en un único artículo. Conocer solo el texto de los Tratados resulta, por ello, insuficiente.</w:t>
      </w:r>
    </w:p>
    <w:p>
      <w:pPr>
        <w:pStyle w:val="Heading2"/>
        <w:keepNext/>
      </w:pPr>
      <w:r>
        <w:rPr>
          <w:rFonts w:ascii="Arial" w:hAnsi="Arial" w:cs="Arial"/>
          <w:sz w:val="25"/>
        </w:rPr>
        <w:t xml:space="preserve">5.3. Derecho complementario y </w:t>
      </w:r>
      <w:r>
        <w:rPr>
          <w:rFonts w:ascii="Arial" w:hAnsi="Arial" w:cs="Arial"/>
          <w:i/>
          <w:sz w:val="25"/>
        </w:rPr>
        <w:t>soft law</w:t>
      </w:r>
    </w:p>
    <w:p>
      <w:pPr>
        <w:jc w:val="both"/>
      </w:pPr>
      <w:r>
        <w:rPr>
          <w:rFonts w:ascii="Arial" w:hAnsi="Arial" w:cs="Arial"/>
          <w:sz w:val="22"/>
        </w:rPr>
        <w:t>Los representantes de los Gobiernos reunidos en el Consejo pueden adoptar acuerdos en ámbitos que conservan naturaleza intergubernamental. También existen acuerdos interinstitucionales, normas internas de las instituciones y actos de organizaciones creadas por convenios. Su fuerza depende de la competencia, procedimiento y voluntad jurídica manifestada.</w:t>
      </w:r>
    </w:p>
    <w:p>
      <w:pPr>
        <w:jc w:val="both"/>
      </w:pPr>
      <w:r>
        <w:rPr>
          <w:rFonts w:ascii="Arial" w:hAnsi="Arial" w:cs="Arial"/>
          <w:sz w:val="22"/>
        </w:rPr>
        <w:t>Comunicaciones, libros verdes o blancos, conclusiones, códigos de conducta, directrices y marcos pueden orientar la actuación sin pertenecer necesariamente a las cinco formas del artículo 288. Su denominación no decide por sí sola los efectos: ha de examinarse contenido, contexto y competencia. Una institución que publica directrices y autolimita su discrecionalidad debe respetarlas mientras no las modifique legítimamente, en virtud de igualdad, confianza legítima y buena administración.</w:t>
      </w:r>
    </w:p>
    <w:p>
      <w:pPr>
        <w:jc w:val="both"/>
      </w:pPr>
      <w:r>
        <w:rPr>
          <w:rFonts w:ascii="Arial" w:hAnsi="Arial" w:cs="Arial"/>
          <w:sz w:val="22"/>
        </w:rPr>
        <w:t xml:space="preserve">Las recomendaciones y dictámenes no son vinculantes. No obstante, </w:t>
      </w:r>
      <w:r>
        <w:rPr>
          <w:rFonts w:ascii="Arial" w:hAnsi="Arial" w:cs="Arial"/>
          <w:i/>
          <w:sz w:val="22"/>
        </w:rPr>
        <w:t>Grimaldi</w:t>
      </w:r>
      <w:r>
        <w:rPr>
          <w:rFonts w:ascii="Arial" w:hAnsi="Arial" w:cs="Arial"/>
          <w:sz w:val="22"/>
        </w:rPr>
        <w:t xml:space="preserve"> exige a los jueces nacionales tomarlos en consideración para interpretar medidas nacionales de aplicación o completar otras disposiciones. «No vinculante» no equivale siempre a «jurídicamente irrelevante».</w:t>
      </w:r>
    </w:p>
    <w:p>
      <w:pPr>
        <w:pStyle w:val="Heading1"/>
        <w:keepNext/>
      </w:pPr>
      <w:r>
        <w:rPr>
          <w:rFonts w:ascii="Arial" w:hAnsi="Arial" w:cs="Arial"/>
          <w:sz w:val="30"/>
        </w:rPr>
        <w:t>6. Derecho derivado: artículo 288 TFUE</w:t>
      </w:r>
    </w:p>
    <w:p>
      <w:pPr>
        <w:pStyle w:val="Heading2"/>
        <w:keepNext/>
      </w:pPr>
      <w:r>
        <w:rPr>
          <w:rFonts w:ascii="Arial" w:hAnsi="Arial" w:cs="Arial"/>
          <w:sz w:val="25"/>
        </w:rPr>
        <w:t>6.1. Reglamento</w:t>
      </w:r>
    </w:p>
    <w:p>
      <w:pPr>
        <w:jc w:val="both"/>
      </w:pPr>
      <w:r>
        <w:rPr>
          <w:rFonts w:ascii="Arial" w:hAnsi="Arial" w:cs="Arial"/>
          <w:sz w:val="22"/>
        </w:rPr>
        <w:t>El reglamento:</w:t>
      </w:r>
    </w:p>
    <w:p>
      <w:pPr>
        <w:pStyle w:val="ListBullet"/>
      </w:pPr>
      <w:r>
        <w:rPr>
          <w:rFonts w:ascii="Arial" w:hAnsi="Arial" w:cs="Arial"/>
          <w:sz w:val="22"/>
        </w:rPr>
        <w:t>Tiene alcance general.</w:t>
      </w:r>
    </w:p>
    <w:p>
      <w:pPr>
        <w:pStyle w:val="ListBullet"/>
      </w:pPr>
      <w:r>
        <w:rPr>
          <w:rFonts w:ascii="Arial" w:hAnsi="Arial" w:cs="Arial"/>
          <w:sz w:val="22"/>
        </w:rPr>
        <w:t>Es obligatorio en todos sus elementos.</w:t>
      </w:r>
    </w:p>
    <w:p>
      <w:pPr>
        <w:pStyle w:val="ListBullet"/>
      </w:pPr>
      <w:r>
        <w:rPr>
          <w:rFonts w:ascii="Arial" w:hAnsi="Arial" w:cs="Arial"/>
          <w:sz w:val="22"/>
        </w:rPr>
        <w:t>Es directamente aplicable en cada Estado miembro.</w:t>
      </w:r>
    </w:p>
    <w:p>
      <w:pPr>
        <w:jc w:val="both"/>
      </w:pPr>
      <w:r>
        <w:rPr>
          <w:rFonts w:ascii="Arial" w:hAnsi="Arial" w:cs="Arial"/>
          <w:sz w:val="22"/>
        </w:rPr>
        <w:t>El alcance general implica que regula situaciones objetivamente determinadas y produce efectos para categorías consideradas de manera general y abstracta. Que pueda identificarse cuántas personas quedan afectadas no transforma necesariamente el acto en una decisión.</w:t>
      </w:r>
    </w:p>
    <w:p>
      <w:pPr>
        <w:jc w:val="both"/>
      </w:pPr>
      <w:r>
        <w:rPr>
          <w:rFonts w:ascii="Arial" w:hAnsi="Arial" w:cs="Arial"/>
          <w:sz w:val="22"/>
        </w:rPr>
        <w:t xml:space="preserve">La </w:t>
      </w:r>
      <w:r>
        <w:rPr>
          <w:rFonts w:ascii="Arial" w:hAnsi="Arial" w:cs="Arial"/>
          <w:b/>
          <w:sz w:val="22"/>
        </w:rPr>
        <w:t>aplicabilidad directa</w:t>
      </w:r>
      <w:r>
        <w:rPr>
          <w:rFonts w:ascii="Arial" w:hAnsi="Arial" w:cs="Arial"/>
          <w:sz w:val="22"/>
        </w:rPr>
        <w:t xml:space="preserve"> significa que se incorpora al ordenamiento nacional por su propia fuerza, sin necesidad de una ley de recepción. Los Estados no deben reproducirlo de modo que oculten su naturaleza europea o alteren su entrada en vigor. Sí pueden adoptar medidas nacionales complementarias cuando el propio reglamento las exige o deja un margen ejecutivo, siempre sin modificarlo ni obstaculizarlo.</w:t>
      </w:r>
    </w:p>
    <w:p>
      <w:pPr>
        <w:jc w:val="both"/>
      </w:pPr>
      <w:r>
        <w:rPr>
          <w:rFonts w:ascii="Arial" w:hAnsi="Arial" w:cs="Arial"/>
          <w:sz w:val="22"/>
        </w:rPr>
        <w:t>Aplicabilidad directa y efecto directo no son idénticos. La primera es una cualidad general de la forma «reglamento»; para que una concreta disposición sea invocada como fuente inmediata de una pretensión debe ser suficientemente clara, precisa e incondicional. Un reglamento puede contener mandatos que necesiten concreción y que, en esa parte, no permitan por sí solos resolver el litigio.</w:t>
      </w:r>
    </w:p>
    <w:p>
      <w:pPr>
        <w:jc w:val="both"/>
      </w:pPr>
      <w:r>
        <w:rPr>
          <w:rFonts w:ascii="Arial" w:hAnsi="Arial" w:cs="Arial"/>
          <w:sz w:val="22"/>
        </w:rPr>
        <w:t>Los reglamentos pueden desplegar efecto vertical y horizontal si su disposición reúne esos requisitos. También vinculan a Administraciones, legisladores y jueces.</w:t>
      </w:r>
    </w:p>
    <w:p>
      <w:pPr>
        <w:pStyle w:val="Heading2"/>
        <w:keepNext/>
      </w:pPr>
      <w:r>
        <w:rPr>
          <w:rFonts w:ascii="Arial" w:hAnsi="Arial" w:cs="Arial"/>
          <w:sz w:val="25"/>
        </w:rPr>
        <w:t>6.2. Directiva</w:t>
      </w:r>
    </w:p>
    <w:p>
      <w:pPr>
        <w:jc w:val="both"/>
      </w:pPr>
      <w:r>
        <w:rPr>
          <w:rFonts w:ascii="Arial" w:hAnsi="Arial" w:cs="Arial"/>
          <w:sz w:val="22"/>
        </w:rPr>
        <w:t>La directiva obliga al Estado miembro destinatario en cuanto al resultado, dejando a las autoridades nacionales la elección de la forma y de los medios. Normalmente se dirige a todos los Estados y fija un plazo de transposición. La transposición debe ser completa, clara y jurídicamente vinculante; una mera práctica administrativa modificable no suele bastar.</w:t>
      </w:r>
    </w:p>
    <w:p>
      <w:pPr>
        <w:jc w:val="both"/>
      </w:pPr>
      <w:r>
        <w:rPr>
          <w:rFonts w:ascii="Arial" w:hAnsi="Arial" w:cs="Arial"/>
          <w:sz w:val="22"/>
        </w:rPr>
        <w:t>Antes de vencer el plazo, el Estado conserva margen para elegir cómo alcanzar el resultado, pero debe abstenerse de adoptar disposiciones que comprometan gravemente el resultado prescrito. Vencido el plazo, la falta o incorrección de transposición constituye incumplimiento y activa distintos mecanismos: procedimiento por incumplimiento, interpretación conforme, posible efecto directo vertical y responsabilidad patrimonial.</w:t>
      </w:r>
    </w:p>
    <w:p>
      <w:pPr>
        <w:jc w:val="both"/>
      </w:pPr>
      <w:r>
        <w:rPr>
          <w:rFonts w:ascii="Arial" w:hAnsi="Arial" w:cs="Arial"/>
          <w:sz w:val="22"/>
        </w:rPr>
        <w:t xml:space="preserve">La directiva no es directamente aplicable como un reglamento. Sin embargo, una disposición suya puede tener </w:t>
      </w:r>
      <w:r>
        <w:rPr>
          <w:rFonts w:ascii="Arial" w:hAnsi="Arial" w:cs="Arial"/>
          <w:b/>
          <w:sz w:val="22"/>
        </w:rPr>
        <w:t>efecto directo vertical</w:t>
      </w:r>
      <w:r>
        <w:rPr>
          <w:rFonts w:ascii="Arial" w:hAnsi="Arial" w:cs="Arial"/>
          <w:sz w:val="22"/>
        </w:rPr>
        <w:t xml:space="preserve"> cuando:</w:t>
      </w:r>
    </w:p>
    <w:p>
      <w:pPr>
        <w:spacing w:after="40"/>
        <w:ind w:left="369" w:hanging="227"/>
      </w:pPr>
      <w:r>
        <w:rPr>
          <w:rFonts w:ascii="Arial" w:hAnsi="Arial" w:cs="Arial"/>
          <w:sz w:val="22"/>
        </w:rPr>
        <w:t>1. Ha expirado el plazo de transposición.</w:t>
      </w:r>
    </w:p>
    <w:p>
      <w:pPr>
        <w:spacing w:after="40"/>
        <w:ind w:left="369" w:hanging="227"/>
      </w:pPr>
      <w:r>
        <w:rPr>
          <w:rFonts w:ascii="Arial" w:hAnsi="Arial" w:cs="Arial"/>
          <w:sz w:val="22"/>
        </w:rPr>
        <w:t>2. No se ha transpuesto o se ha hecho incorrectamente.</w:t>
      </w:r>
    </w:p>
    <w:p>
      <w:pPr>
        <w:spacing w:after="40"/>
        <w:ind w:left="369" w:hanging="227"/>
      </w:pPr>
      <w:r>
        <w:rPr>
          <w:rFonts w:ascii="Arial" w:hAnsi="Arial" w:cs="Arial"/>
          <w:sz w:val="22"/>
        </w:rPr>
        <w:t>3. La disposición es clara, precisa e incondicional.</w:t>
      </w:r>
    </w:p>
    <w:p>
      <w:pPr>
        <w:spacing w:after="40"/>
        <w:ind w:left="369" w:hanging="227"/>
      </w:pPr>
      <w:r>
        <w:rPr>
          <w:rFonts w:ascii="Arial" w:hAnsi="Arial" w:cs="Arial"/>
          <w:sz w:val="22"/>
        </w:rPr>
        <w:t>4. Se invoca frente al Estado o una entidad equiparable, no para imponer por sí sola una obligación a otro particular.</w:t>
      </w:r>
    </w:p>
    <w:p>
      <w:pPr>
        <w:jc w:val="both"/>
      </w:pPr>
      <w:r>
        <w:rPr>
          <w:rFonts w:ascii="Arial" w:hAnsi="Arial" w:cs="Arial"/>
          <w:sz w:val="22"/>
        </w:rPr>
        <w:t>El concepto de Estado es funcional. Abarca Administraciones y autoridades públicas y, conforme a la doctrina de la «emanación del Estado», entidades sometidas a autoridad o control público o dotadas de facultades exorbitantes para prestar una misión de interés público, según la formulación jurisprudencial aplicable. El Estado no puede obtener ventaja de su propio incumplimiento.</w:t>
      </w:r>
    </w:p>
    <w:p>
      <w:pPr>
        <w:jc w:val="both"/>
      </w:pPr>
      <w:r>
        <w:rPr>
          <w:rFonts w:ascii="Arial" w:hAnsi="Arial" w:cs="Arial"/>
          <w:sz w:val="22"/>
        </w:rPr>
        <w:t xml:space="preserve">No existe efecto directo vertical </w:t>
      </w:r>
      <w:r>
        <w:rPr>
          <w:rFonts w:ascii="Arial" w:hAnsi="Arial" w:cs="Arial"/>
          <w:b/>
          <w:sz w:val="22"/>
        </w:rPr>
        <w:t>inverso</w:t>
      </w:r>
      <w:r>
        <w:rPr>
          <w:rFonts w:ascii="Arial" w:hAnsi="Arial" w:cs="Arial"/>
          <w:sz w:val="22"/>
        </w:rPr>
        <w:t xml:space="preserve">: el Estado no puede fundar exclusivamente en una directiva no transpuesta una obligación o sanción contra un particular. Tampoco hay, como regla, efecto directo </w:t>
      </w:r>
      <w:r>
        <w:rPr>
          <w:rFonts w:ascii="Arial" w:hAnsi="Arial" w:cs="Arial"/>
          <w:b/>
          <w:sz w:val="22"/>
        </w:rPr>
        <w:t>horizontal</w:t>
      </w:r>
      <w:r>
        <w:rPr>
          <w:rFonts w:ascii="Arial" w:hAnsi="Arial" w:cs="Arial"/>
          <w:sz w:val="22"/>
        </w:rPr>
        <w:t xml:space="preserve"> de la directiva: en un litigio entre particulares no puede imponerse a uno una obligación nacida solo de ella.</w:t>
      </w:r>
    </w:p>
    <w:p>
      <w:pPr>
        <w:pStyle w:val="Heading2"/>
        <w:keepNext/>
      </w:pPr>
      <w:r>
        <w:rPr>
          <w:rFonts w:ascii="Arial" w:hAnsi="Arial" w:cs="Arial"/>
          <w:sz w:val="25"/>
        </w:rPr>
        <w:t>6.3. Decisión</w:t>
      </w:r>
    </w:p>
    <w:p>
      <w:pPr>
        <w:jc w:val="both"/>
      </w:pPr>
      <w:r>
        <w:rPr>
          <w:rFonts w:ascii="Arial" w:hAnsi="Arial" w:cs="Arial"/>
          <w:sz w:val="22"/>
        </w:rPr>
        <w:t>La decisión es obligatoria en todos sus elementos. Cuando designa destinatarios, solo obliga a estos. Desde Lisboa puede existir también una decisión sin destinatarios expresos, por ejemplo en materias institucionales o de política exterior.</w:t>
      </w:r>
    </w:p>
    <w:p>
      <w:pPr>
        <w:jc w:val="both"/>
      </w:pPr>
      <w:r>
        <w:rPr>
          <w:rFonts w:ascii="Arial" w:hAnsi="Arial" w:cs="Arial"/>
          <w:sz w:val="22"/>
        </w:rPr>
        <w:t>Una decisión dirigida a un Estado puede, si sus disposiciones son claras, precisas e incondicionales, ser invocada por un particular frente a ese Estado. No debe deducirse de ello que toda decisión tenga idéntico ámbito subjetivo: hay que atender a sus destinatarios y contenido.</w:t>
      </w:r>
    </w:p>
    <w:p>
      <w:pPr>
        <w:pStyle w:val="Heading2"/>
        <w:keepNext/>
      </w:pPr>
      <w:r>
        <w:rPr>
          <w:rFonts w:ascii="Arial" w:hAnsi="Arial" w:cs="Arial"/>
          <w:sz w:val="25"/>
        </w:rPr>
        <w:t>6.4. Recomendaciones y dictámenes</w:t>
      </w:r>
    </w:p>
    <w:p>
      <w:pPr>
        <w:jc w:val="both"/>
      </w:pPr>
      <w:r>
        <w:rPr>
          <w:rFonts w:ascii="Arial" w:hAnsi="Arial" w:cs="Arial"/>
          <w:sz w:val="22"/>
        </w:rPr>
        <w:t>No son vinculantes. La recomendación propone una conducta; el dictamen expresa una valoración. Pueden cumplir funciones consultivas, interpretativas o de coordinación y, como se ha indicado, producir efectos indirectos. No pueden, por sí solos, crear obligaciones cuya imposición exija un acto vinculante.</w:t>
      </w:r>
    </w:p>
    <w:tbl>
      <w:tblPr>
        <w:tblStyle w:val="TableGrid"/>
        <w:tblW w:type="dxa" w:w="9026"/>
        <w:jc w:val="left"/>
        <w:tblLayout w:type="fixed"/>
        <w:tblLook w:firstColumn="1" w:firstRow="1" w:lastColumn="0" w:lastRow="0" w:noHBand="0" w:noVBand="1" w:val="04A0"/>
        <w:tblInd w:w="120" w:type="dxa"/>
      </w:tblPr>
      <w:tblGrid>
        <w:gridCol w:w="900"/>
        <w:gridCol w:w="1681"/>
        <w:gridCol w:w="1867"/>
        <w:gridCol w:w="1307"/>
        <w:gridCol w:w="3271"/>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Forma</w:t>
            </w:r>
          </w:p>
        </w:tc>
        <w:tc>
          <w:tcPr>
            <w:tcW w:type="dxa" w:w="168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Alcance y destinatario</w:t>
            </w:r>
          </w:p>
        </w:tc>
        <w:tc>
          <w:tcPr>
            <w:tcW w:type="dxa" w:w="186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Fuerza</w:t>
            </w:r>
          </w:p>
        </w:tc>
        <w:tc>
          <w:tcPr>
            <w:tcW w:type="dxa" w:w="13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Incorporación nacional</w:t>
            </w:r>
          </w:p>
        </w:tc>
        <w:tc>
          <w:tcPr>
            <w:tcW w:type="dxa" w:w="327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Posible invocación</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Reglamento</w:t>
            </w:r>
          </w:p>
        </w:tc>
        <w:tc>
          <w:tcPr>
            <w:tcW w:type="dxa" w:w="1681"/>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1867"/>
            <w:tcMar>
              <w:top w:w="80" w:type="dxa"/>
              <w:start w:w="120" w:type="dxa"/>
              <w:bottom w:w="80" w:type="dxa"/>
              <w:end w:w="120" w:type="dxa"/>
            </w:tcMar>
            <w:vAlign w:val="center"/>
          </w:tcPr>
          <w:p>
            <w:pPr>
              <w:spacing w:before="0" w:after="0" w:line="240" w:lineRule="auto"/>
              <w:jc w:val="left"/>
            </w:pPr>
            <w:r/>
            <w:r>
              <w:rPr>
                <w:rFonts w:ascii="Arial" w:hAnsi="Arial" w:cs="Arial"/>
                <w:sz w:val="18"/>
              </w:rPr>
              <w:t>Obligatorio en todos sus elementos</w:t>
            </w:r>
          </w:p>
        </w:tc>
        <w:tc>
          <w:tcPr>
            <w:tcW w:type="dxa" w:w="1307"/>
            <w:tcMar>
              <w:top w:w="80" w:type="dxa"/>
              <w:start w:w="120" w:type="dxa"/>
              <w:bottom w:w="80" w:type="dxa"/>
              <w:end w:w="120" w:type="dxa"/>
            </w:tcMar>
            <w:vAlign w:val="center"/>
          </w:tcPr>
          <w:p>
            <w:pPr>
              <w:spacing w:before="0" w:after="0" w:line="240" w:lineRule="auto"/>
              <w:jc w:val="left"/>
            </w:pPr>
            <w:r/>
            <w:r>
              <w:rPr>
                <w:rFonts w:ascii="Arial" w:hAnsi="Arial" w:cs="Arial"/>
                <w:sz w:val="18"/>
              </w:rPr>
              <w:t>Directamente aplicable</w:t>
            </w:r>
          </w:p>
        </w:tc>
        <w:tc>
          <w:tcPr>
            <w:tcW w:type="dxa" w:w="3271"/>
            <w:tcMar>
              <w:top w:w="80" w:type="dxa"/>
              <w:start w:w="120" w:type="dxa"/>
              <w:bottom w:w="80" w:type="dxa"/>
              <w:end w:w="120" w:type="dxa"/>
            </w:tcMar>
            <w:vAlign w:val="center"/>
          </w:tcPr>
          <w:p>
            <w:pPr>
              <w:spacing w:before="0" w:after="0" w:line="240" w:lineRule="auto"/>
              <w:jc w:val="left"/>
            </w:pPr>
            <w:r/>
            <w:r>
              <w:rPr>
                <w:rFonts w:ascii="Arial" w:hAnsi="Arial" w:cs="Arial"/>
                <w:sz w:val="18"/>
              </w:rPr>
              <w:t>Vertical y horizontal si la disposición es apta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Directiva</w:t>
            </w:r>
          </w:p>
        </w:tc>
        <w:tc>
          <w:tcPr>
            <w:tcW w:type="dxa" w:w="1681"/>
            <w:tcMar>
              <w:top w:w="80" w:type="dxa"/>
              <w:start w:w="120" w:type="dxa"/>
              <w:bottom w:w="80" w:type="dxa"/>
              <w:end w:w="120" w:type="dxa"/>
            </w:tcMar>
            <w:vAlign w:val="center"/>
          </w:tcPr>
          <w:p>
            <w:pPr>
              <w:spacing w:before="0" w:after="0" w:line="240" w:lineRule="auto"/>
              <w:jc w:val="left"/>
            </w:pPr>
            <w:r/>
            <w:r>
              <w:rPr>
                <w:rFonts w:ascii="Arial" w:hAnsi="Arial" w:cs="Arial"/>
                <w:sz w:val="18"/>
              </w:rPr>
              <w:t>Estado o Estados destinatarios</w:t>
            </w:r>
          </w:p>
        </w:tc>
        <w:tc>
          <w:tcPr>
            <w:tcW w:type="dxa" w:w="1867"/>
            <w:tcMar>
              <w:top w:w="80" w:type="dxa"/>
              <w:start w:w="120" w:type="dxa"/>
              <w:bottom w:w="80" w:type="dxa"/>
              <w:end w:w="120" w:type="dxa"/>
            </w:tcMar>
            <w:vAlign w:val="center"/>
          </w:tcPr>
          <w:p>
            <w:pPr>
              <w:spacing w:before="0" w:after="0" w:line="240" w:lineRule="auto"/>
              <w:jc w:val="left"/>
            </w:pPr>
            <w:r/>
            <w:r>
              <w:rPr>
                <w:rFonts w:ascii="Arial" w:hAnsi="Arial" w:cs="Arial"/>
                <w:sz w:val="18"/>
              </w:rPr>
              <w:t>Obliga en el resultado</w:t>
            </w:r>
          </w:p>
        </w:tc>
        <w:tc>
          <w:tcPr>
            <w:tcW w:type="dxa" w:w="1307"/>
            <w:tcMar>
              <w:top w:w="80" w:type="dxa"/>
              <w:start w:w="120" w:type="dxa"/>
              <w:bottom w:w="80" w:type="dxa"/>
              <w:end w:w="120" w:type="dxa"/>
            </w:tcMar>
            <w:vAlign w:val="center"/>
          </w:tcPr>
          <w:p>
            <w:pPr>
              <w:spacing w:before="0" w:after="0" w:line="240" w:lineRule="auto"/>
              <w:jc w:val="left"/>
            </w:pPr>
            <w:r/>
            <w:r>
              <w:rPr>
                <w:rFonts w:ascii="Arial" w:hAnsi="Arial" w:cs="Arial"/>
                <w:sz w:val="18"/>
              </w:rPr>
              <w:t>Requiere transposición</w:t>
            </w:r>
          </w:p>
        </w:tc>
        <w:tc>
          <w:tcPr>
            <w:tcW w:type="dxa" w:w="3271"/>
            <w:tcMar>
              <w:top w:w="80" w:type="dxa"/>
              <w:start w:w="120" w:type="dxa"/>
              <w:bottom w:w="80" w:type="dxa"/>
              <w:end w:w="120" w:type="dxa"/>
            </w:tcMar>
            <w:vAlign w:val="center"/>
          </w:tcPr>
          <w:p>
            <w:pPr>
              <w:spacing w:before="0" w:after="0" w:line="240" w:lineRule="auto"/>
              <w:jc w:val="left"/>
            </w:pPr>
            <w:r/>
            <w:r>
              <w:rPr>
                <w:rFonts w:ascii="Arial" w:hAnsi="Arial" w:cs="Arial"/>
                <w:sz w:val="18"/>
              </w:rPr>
              <w:t>Vertical tras el plazo y con requisitos; no horizontal por sí sola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Decisión</w:t>
            </w:r>
          </w:p>
        </w:tc>
        <w:tc>
          <w:tcPr>
            <w:tcW w:type="dxa" w:w="1681"/>
            <w:tcMar>
              <w:top w:w="80" w:type="dxa"/>
              <w:start w:w="120" w:type="dxa"/>
              <w:bottom w:w="80" w:type="dxa"/>
              <w:end w:w="120" w:type="dxa"/>
            </w:tcMar>
            <w:vAlign w:val="center"/>
          </w:tcPr>
          <w:p>
            <w:pPr>
              <w:spacing w:before="0" w:after="0" w:line="240" w:lineRule="auto"/>
              <w:jc w:val="left"/>
            </w:pPr>
            <w:r/>
            <w:r>
              <w:rPr>
                <w:rFonts w:ascii="Arial" w:hAnsi="Arial" w:cs="Arial"/>
                <w:sz w:val="18"/>
              </w:rPr>
              <w:t>Puede designar destinatarios</w:t>
            </w:r>
          </w:p>
        </w:tc>
        <w:tc>
          <w:tcPr>
            <w:tcW w:type="dxa" w:w="1867"/>
            <w:tcMar>
              <w:top w:w="80" w:type="dxa"/>
              <w:start w:w="120" w:type="dxa"/>
              <w:bottom w:w="80" w:type="dxa"/>
              <w:end w:w="120" w:type="dxa"/>
            </w:tcMar>
            <w:vAlign w:val="center"/>
          </w:tcPr>
          <w:p>
            <w:pPr>
              <w:spacing w:before="0" w:after="0" w:line="240" w:lineRule="auto"/>
              <w:jc w:val="left"/>
            </w:pPr>
            <w:r/>
            <w:r>
              <w:rPr>
                <w:rFonts w:ascii="Arial" w:hAnsi="Arial" w:cs="Arial"/>
                <w:sz w:val="18"/>
              </w:rPr>
              <w:t>Obligatoria en todos sus elementos</w:t>
            </w:r>
          </w:p>
        </w:tc>
        <w:tc>
          <w:tcPr>
            <w:tcW w:type="dxa" w:w="1307"/>
            <w:tcMar>
              <w:top w:w="80" w:type="dxa"/>
              <w:start w:w="120" w:type="dxa"/>
              <w:bottom w:w="80" w:type="dxa"/>
              <w:end w:w="120" w:type="dxa"/>
            </w:tcMar>
            <w:vAlign w:val="center"/>
          </w:tcPr>
          <w:p>
            <w:pPr>
              <w:spacing w:before="0" w:after="0" w:line="240" w:lineRule="auto"/>
              <w:jc w:val="left"/>
            </w:pPr>
            <w:r/>
            <w:r>
              <w:rPr>
                <w:rFonts w:ascii="Arial" w:hAnsi="Arial" w:cs="Arial"/>
                <w:sz w:val="18"/>
              </w:rPr>
              <w:t>Depende de su contenido</w:t>
            </w:r>
          </w:p>
        </w:tc>
        <w:tc>
          <w:tcPr>
            <w:tcW w:type="dxa" w:w="3271"/>
            <w:tcMar>
              <w:top w:w="80" w:type="dxa"/>
              <w:start w:w="120" w:type="dxa"/>
              <w:bottom w:w="80" w:type="dxa"/>
              <w:end w:w="120" w:type="dxa"/>
            </w:tcMar>
            <w:vAlign w:val="center"/>
          </w:tcPr>
          <w:p>
            <w:pPr>
              <w:spacing w:before="0" w:after="0" w:line="240" w:lineRule="auto"/>
              <w:jc w:val="left"/>
            </w:pPr>
            <w:r/>
            <w:r>
              <w:rPr>
                <w:rFonts w:ascii="Arial" w:hAnsi="Arial" w:cs="Arial"/>
                <w:sz w:val="18"/>
              </w:rPr>
              <w:t>Posible frente al destinatario si la norma es apta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Recomendación</w:t>
            </w:r>
          </w:p>
        </w:tc>
        <w:tc>
          <w:tcPr>
            <w:tcW w:type="dxa" w:w="1681"/>
            <w:tcMar>
              <w:top w:w="80" w:type="dxa"/>
              <w:start w:w="120" w:type="dxa"/>
              <w:bottom w:w="80" w:type="dxa"/>
              <w:end w:w="120" w:type="dxa"/>
            </w:tcMar>
            <w:vAlign w:val="center"/>
          </w:tcPr>
          <w:p>
            <w:pPr>
              <w:spacing w:before="0" w:after="0" w:line="240" w:lineRule="auto"/>
              <w:jc w:val="left"/>
            </w:pPr>
            <w:r/>
            <w:r>
              <w:rPr>
                <w:rFonts w:ascii="Arial" w:hAnsi="Arial" w:cs="Arial"/>
                <w:sz w:val="18"/>
              </w:rPr>
              <w:t>Destinatarios variables</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No vinculante</w:t>
            </w:r>
          </w:p>
        </w:tc>
        <w:tc>
          <w:tcPr>
            <w:tcW w:type="dxa" w:w="1307"/>
            <w:tcMar>
              <w:top w:w="80" w:type="dxa"/>
              <w:start w:w="120" w:type="dxa"/>
              <w:bottom w:w="80" w:type="dxa"/>
              <w:end w:w="120" w:type="dxa"/>
            </w:tcMar>
            <w:vAlign w:val="center"/>
          </w:tcPr>
          <w:p>
            <w:pPr>
              <w:spacing w:before="0" w:after="0" w:line="240" w:lineRule="auto"/>
              <w:jc w:val="left"/>
            </w:pPr>
            <w:r/>
            <w:r>
              <w:rPr>
                <w:rFonts w:ascii="Arial" w:hAnsi="Arial" w:cs="Arial"/>
                <w:sz w:val="18"/>
              </w:rPr>
              <w:t>No exige transposición</w:t>
            </w:r>
          </w:p>
        </w:tc>
        <w:tc>
          <w:tcPr>
            <w:tcW w:type="dxa" w:w="3271"/>
            <w:tcMar>
              <w:top w:w="80" w:type="dxa"/>
              <w:start w:w="120" w:type="dxa"/>
              <w:bottom w:w="80" w:type="dxa"/>
              <w:end w:w="120" w:type="dxa"/>
            </w:tcMar>
            <w:vAlign w:val="center"/>
          </w:tcPr>
          <w:p>
            <w:pPr>
              <w:spacing w:before="0" w:after="0" w:line="240" w:lineRule="auto"/>
              <w:jc w:val="left"/>
            </w:pPr>
            <w:r/>
            <w:r>
              <w:rPr>
                <w:rFonts w:ascii="Arial" w:hAnsi="Arial" w:cs="Arial"/>
                <w:sz w:val="18"/>
              </w:rPr>
              <w:t>Debe considerarse como elemento interpretativo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Dictamen</w:t>
            </w:r>
          </w:p>
        </w:tc>
        <w:tc>
          <w:tcPr>
            <w:tcW w:type="dxa" w:w="1681"/>
            <w:tcMar>
              <w:top w:w="80" w:type="dxa"/>
              <w:start w:w="120" w:type="dxa"/>
              <w:bottom w:w="80" w:type="dxa"/>
              <w:end w:w="120" w:type="dxa"/>
            </w:tcMar>
            <w:vAlign w:val="center"/>
          </w:tcPr>
          <w:p>
            <w:pPr>
              <w:spacing w:before="0" w:after="0" w:line="240" w:lineRule="auto"/>
              <w:jc w:val="left"/>
            </w:pPr>
            <w:r/>
            <w:r>
              <w:rPr>
                <w:rFonts w:ascii="Arial" w:hAnsi="Arial" w:cs="Arial"/>
                <w:sz w:val="18"/>
              </w:rPr>
              <w:t>Destinatarios variables</w:t>
            </w:r>
          </w:p>
        </w:tc>
        <w:tc>
          <w:tcPr>
            <w:tcW w:type="dxa" w:w="1867"/>
            <w:tcMar>
              <w:top w:w="80" w:type="dxa"/>
              <w:start w:w="120" w:type="dxa"/>
              <w:bottom w:w="80" w:type="dxa"/>
              <w:end w:w="120" w:type="dxa"/>
            </w:tcMar>
            <w:vAlign w:val="center"/>
          </w:tcPr>
          <w:p>
            <w:pPr>
              <w:spacing w:before="0" w:after="0" w:line="240" w:lineRule="auto"/>
              <w:jc w:val="center"/>
            </w:pPr>
            <w:r/>
            <w:r>
              <w:rPr>
                <w:rFonts w:ascii="Arial" w:hAnsi="Arial" w:cs="Arial"/>
                <w:sz w:val="18"/>
              </w:rPr>
              <w:t>No vinculante</w:t>
            </w:r>
          </w:p>
        </w:tc>
        <w:tc>
          <w:tcPr>
            <w:tcW w:type="dxa" w:w="1307"/>
            <w:tcMar>
              <w:top w:w="80" w:type="dxa"/>
              <w:start w:w="120" w:type="dxa"/>
              <w:bottom w:w="80" w:type="dxa"/>
              <w:end w:w="120" w:type="dxa"/>
            </w:tcMar>
            <w:vAlign w:val="center"/>
          </w:tcPr>
          <w:p>
            <w:pPr>
              <w:spacing w:before="0" w:after="0" w:line="240" w:lineRule="auto"/>
              <w:jc w:val="left"/>
            </w:pPr>
            <w:r/>
            <w:r>
              <w:rPr>
                <w:rFonts w:ascii="Arial" w:hAnsi="Arial" w:cs="Arial"/>
                <w:sz w:val="18"/>
              </w:rPr>
              <w:t>No exige transposición</w:t>
            </w:r>
          </w:p>
        </w:tc>
        <w:tc>
          <w:tcPr>
            <w:tcW w:type="dxa" w:w="3271"/>
            <w:tcMar>
              <w:top w:w="80" w:type="dxa"/>
              <w:start w:w="120" w:type="dxa"/>
              <w:bottom w:w="80" w:type="dxa"/>
              <w:end w:w="120" w:type="dxa"/>
            </w:tcMar>
            <w:vAlign w:val="center"/>
          </w:tcPr>
          <w:p>
            <w:pPr>
              <w:spacing w:before="0" w:after="0" w:line="240" w:lineRule="auto"/>
              <w:jc w:val="left"/>
            </w:pPr>
            <w:r/>
            <w:r>
              <w:rPr>
                <w:rFonts w:ascii="Arial" w:hAnsi="Arial" w:cs="Arial"/>
                <w:sz w:val="18"/>
              </w:rPr>
              <w:t>Valor orientador o procedimental</w:t>
            </w:r>
          </w:p>
        </w:tc>
      </w:tr>
    </w:tbl>
    <w:p>
      <w:pPr>
        <w:spacing w:after="40"/>
      </w:pPr>
    </w:p>
    <w:p>
      <w:pPr>
        <w:pStyle w:val="Heading1"/>
        <w:keepNext/>
      </w:pPr>
      <w:r>
        <w:rPr>
          <w:rFonts w:ascii="Arial" w:hAnsi="Arial" w:cs="Arial"/>
          <w:sz w:val="30"/>
        </w:rPr>
        <w:t>7. Actos legislativos, delegados y de ejecución</w:t>
      </w:r>
    </w:p>
    <w:p>
      <w:pPr>
        <w:pStyle w:val="Heading2"/>
        <w:keepNext/>
      </w:pPr>
      <w:r>
        <w:rPr>
          <w:rFonts w:ascii="Arial" w:hAnsi="Arial" w:cs="Arial"/>
          <w:sz w:val="25"/>
        </w:rPr>
        <w:t>7.1. Actos legislativos</w:t>
      </w:r>
    </w:p>
    <w:p>
      <w:pPr>
        <w:jc w:val="both"/>
      </w:pPr>
      <w:r>
        <w:rPr>
          <w:rFonts w:ascii="Arial" w:hAnsi="Arial" w:cs="Arial"/>
          <w:sz w:val="22"/>
        </w:rPr>
        <w:t>Son actos legislativos los adoptados mediante procedimiento legislativo —artículo 289.3 TFUE—. El procedimiento legislativo ordinario consiste, en síntesis, en adopción conjunta por Parlamento Europeo y Consejo a propuesta de la Comisión. Los procedimientos especiales atribuyen la adopción al Parlamento con participación del Consejo o al Consejo con participación del Parlamento.</w:t>
      </w:r>
    </w:p>
    <w:p>
      <w:pPr>
        <w:jc w:val="both"/>
      </w:pPr>
      <w:r>
        <w:rPr>
          <w:rFonts w:ascii="Arial" w:hAnsi="Arial" w:cs="Arial"/>
          <w:sz w:val="22"/>
        </w:rPr>
        <w:t>Que un acto sea legislativo depende del procedimiento previsto por la base jurídica, no de su importancia política ni de que se llame reglamento. Los actos legislativos están sometidos a reglas específicas de publicidad, motivación, participación de parlamentos nacionales y control de subsidiariedad.</w:t>
      </w:r>
    </w:p>
    <w:p>
      <w:pPr>
        <w:pStyle w:val="Heading2"/>
        <w:keepNext/>
      </w:pPr>
      <w:r>
        <w:rPr>
          <w:rFonts w:ascii="Arial" w:hAnsi="Arial" w:cs="Arial"/>
          <w:sz w:val="25"/>
        </w:rPr>
        <w:t>7.2. Actos delegados</w:t>
      </w:r>
    </w:p>
    <w:p>
      <w:pPr>
        <w:jc w:val="both"/>
      </w:pPr>
      <w:r>
        <w:rPr>
          <w:rFonts w:ascii="Arial" w:hAnsi="Arial" w:cs="Arial"/>
          <w:sz w:val="22"/>
        </w:rPr>
        <w:t xml:space="preserve">El artículo 290 TFUE permite que un acto legislativo delegue en la Comisión la potestad de adoptar actos no legislativos de alcance general que </w:t>
      </w:r>
      <w:r>
        <w:rPr>
          <w:rFonts w:ascii="Arial" w:hAnsi="Arial" w:cs="Arial"/>
          <w:b/>
          <w:sz w:val="22"/>
        </w:rPr>
        <w:t>completen o modifiquen elementos no esenciales</w:t>
      </w:r>
      <w:r>
        <w:rPr>
          <w:rFonts w:ascii="Arial" w:hAnsi="Arial" w:cs="Arial"/>
          <w:sz w:val="22"/>
        </w:rPr>
        <w:t>. El acto legislativo debe delimitar objetivos, contenido, alcance y duración de la delegación. Parlamento o Consejo pueden revocarla, y el acto delegado puede quedar sujeto a objeción en las condiciones fijadas.</w:t>
      </w:r>
    </w:p>
    <w:p>
      <w:pPr>
        <w:jc w:val="both"/>
      </w:pPr>
      <w:r>
        <w:rPr>
          <w:rFonts w:ascii="Arial" w:hAnsi="Arial" w:cs="Arial"/>
          <w:sz w:val="22"/>
        </w:rPr>
        <w:t>Los elementos esenciales de una materia deben reservarse al legislador y no pueden delegarse. El acto se titula «delegado» o «delegada».</w:t>
      </w:r>
    </w:p>
    <w:p>
      <w:pPr>
        <w:pStyle w:val="Heading2"/>
        <w:keepNext/>
      </w:pPr>
      <w:r>
        <w:rPr>
          <w:rFonts w:ascii="Arial" w:hAnsi="Arial" w:cs="Arial"/>
          <w:sz w:val="25"/>
        </w:rPr>
        <w:t>7.3. Actos de ejecución</w:t>
      </w:r>
    </w:p>
    <w:p>
      <w:pPr>
        <w:jc w:val="both"/>
      </w:pPr>
      <w:r>
        <w:rPr>
          <w:rFonts w:ascii="Arial" w:hAnsi="Arial" w:cs="Arial"/>
          <w:sz w:val="22"/>
        </w:rPr>
        <w:t>Según el artículo 291, los Estados adoptan las medidas de Derecho interno necesarias para ejecutar los actos jurídicamente vinculantes. Cuando se requieren condiciones uniformes, esos actos confieren competencias de ejecución a la Comisión o, en casos específicos justificados y en política exterior y de seguridad común, al Consejo. Los Estados controlan a la Comisión mediante los mecanismos de comitología establecidos por el legislador.</w:t>
      </w:r>
    </w:p>
    <w:p>
      <w:pPr>
        <w:jc w:val="both"/>
      </w:pPr>
      <w:r>
        <w:rPr>
          <w:rFonts w:ascii="Arial" w:hAnsi="Arial" w:cs="Arial"/>
          <w:sz w:val="22"/>
        </w:rPr>
        <w:t>Un acto de ejecución no puede completar o modificar el marco normativo como lo hace, dentro de límites, un acto delegado: concreta su aplicación uniforme. El acto se titula «de ejecución».</w:t>
      </w:r>
    </w:p>
    <w:tbl>
      <w:tblPr>
        <w:tblStyle w:val="TableGrid"/>
        <w:tblW w:type="dxa" w:w="9026"/>
        <w:jc w:val="left"/>
        <w:tblLayout w:type="fixed"/>
        <w:tblLook w:firstColumn="1" w:firstRow="1" w:lastColumn="0" w:lastRow="0" w:noHBand="0" w:noVBand="1" w:val="04A0"/>
        <w:tblInd w:w="120" w:type="dxa"/>
      </w:tblPr>
      <w:tblGrid>
        <w:gridCol w:w="1715"/>
        <w:gridCol w:w="3610"/>
        <w:gridCol w:w="3701"/>
      </w:tblGrid>
      <w:tr>
        <w:trPr>
          <w:tblHeader w:val="true"/>
        </w:trPr>
        <w:tc>
          <w:tcPr>
            <w:tcW w:type="dxa" w:w="17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361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 delegado, art. 290</w:t>
            </w:r>
          </w:p>
        </w:tc>
        <w:tc>
          <w:tcPr>
            <w:tcW w:type="dxa" w:w="37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 de ejecución, art. 291</w:t>
            </w:r>
          </w:p>
        </w:tc>
      </w:tr>
      <w:tr>
        <w:tc>
          <w:tcPr>
            <w:tcW w:type="dxa" w:w="1715"/>
            <w:tcMar>
              <w:top w:w="80" w:type="dxa"/>
              <w:start w:w="120" w:type="dxa"/>
              <w:bottom w:w="80" w:type="dxa"/>
              <w:end w:w="120" w:type="dxa"/>
            </w:tcMar>
            <w:vAlign w:val="center"/>
          </w:tcPr>
          <w:p>
            <w:pPr>
              <w:spacing w:before="0" w:after="0" w:line="240" w:lineRule="auto"/>
              <w:jc w:val="left"/>
            </w:pPr>
            <w:r/>
            <w:r>
              <w:rPr>
                <w:rFonts w:ascii="Arial" w:hAnsi="Arial" w:cs="Arial"/>
                <w:sz w:val="18"/>
              </w:rPr>
              <w:t>Acto básico</w:t>
            </w:r>
          </w:p>
        </w:tc>
        <w:tc>
          <w:tcPr>
            <w:tcW w:type="dxa" w:w="3610"/>
            <w:tcMar>
              <w:top w:w="80" w:type="dxa"/>
              <w:start w:w="120" w:type="dxa"/>
              <w:bottom w:w="80" w:type="dxa"/>
              <w:end w:w="120" w:type="dxa"/>
            </w:tcMar>
            <w:vAlign w:val="center"/>
          </w:tcPr>
          <w:p>
            <w:pPr>
              <w:spacing w:before="0" w:after="0" w:line="240" w:lineRule="auto"/>
              <w:jc w:val="left"/>
            </w:pPr>
            <w:r/>
            <w:r>
              <w:rPr>
                <w:rFonts w:ascii="Arial" w:hAnsi="Arial" w:cs="Arial"/>
                <w:sz w:val="18"/>
              </w:rPr>
              <w:t>Siempre legislativo</w:t>
            </w:r>
          </w:p>
        </w:tc>
        <w:tc>
          <w:tcPr>
            <w:tcW w:type="dxa" w:w="3701"/>
            <w:tcMar>
              <w:top w:w="80" w:type="dxa"/>
              <w:start w:w="120" w:type="dxa"/>
              <w:bottom w:w="80" w:type="dxa"/>
              <w:end w:w="120" w:type="dxa"/>
            </w:tcMar>
            <w:vAlign w:val="center"/>
          </w:tcPr>
          <w:p>
            <w:pPr>
              <w:spacing w:before="0" w:after="0" w:line="240" w:lineRule="auto"/>
              <w:jc w:val="left"/>
            </w:pPr>
            <w:r/>
            <w:r>
              <w:rPr>
                <w:rFonts w:ascii="Arial" w:hAnsi="Arial" w:cs="Arial"/>
                <w:sz w:val="18"/>
              </w:rPr>
              <w:t>Acto jurídicamente vinculante</w:t>
            </w:r>
          </w:p>
        </w:tc>
      </w:tr>
      <w:tr>
        <w:tc>
          <w:tcPr>
            <w:tcW w:type="dxa" w:w="1715"/>
            <w:tcMar>
              <w:top w:w="80" w:type="dxa"/>
              <w:start w:w="120" w:type="dxa"/>
              <w:bottom w:w="80" w:type="dxa"/>
              <w:end w:w="120" w:type="dxa"/>
            </w:tcMar>
            <w:vAlign w:val="center"/>
          </w:tcPr>
          <w:p>
            <w:pPr>
              <w:spacing w:before="0" w:after="0" w:line="240" w:lineRule="auto"/>
              <w:jc w:val="left"/>
            </w:pPr>
            <w:r/>
            <w:r>
              <w:rPr>
                <w:rFonts w:ascii="Arial" w:hAnsi="Arial" w:cs="Arial"/>
                <w:sz w:val="18"/>
              </w:rPr>
              <w:t>Autor habitual</w:t>
            </w:r>
          </w:p>
        </w:tc>
        <w:tc>
          <w:tcPr>
            <w:tcW w:type="dxa" w:w="3610"/>
            <w:tcMar>
              <w:top w:w="80" w:type="dxa"/>
              <w:start w:w="120" w:type="dxa"/>
              <w:bottom w:w="80" w:type="dxa"/>
              <w:end w:w="120" w:type="dxa"/>
            </w:tcMar>
            <w:vAlign w:val="center"/>
          </w:tcPr>
          <w:p>
            <w:pPr>
              <w:spacing w:before="0" w:after="0" w:line="240" w:lineRule="auto"/>
              <w:jc w:val="center"/>
            </w:pPr>
            <w:r/>
            <w:r>
              <w:rPr>
                <w:rFonts w:ascii="Arial" w:hAnsi="Arial" w:cs="Arial"/>
                <w:sz w:val="18"/>
              </w:rPr>
              <w:t>Comisión</w:t>
            </w:r>
          </w:p>
        </w:tc>
        <w:tc>
          <w:tcPr>
            <w:tcW w:type="dxa" w:w="3701"/>
            <w:tcMar>
              <w:top w:w="80" w:type="dxa"/>
              <w:start w:w="120" w:type="dxa"/>
              <w:bottom w:w="80" w:type="dxa"/>
              <w:end w:w="120" w:type="dxa"/>
            </w:tcMar>
            <w:vAlign w:val="center"/>
          </w:tcPr>
          <w:p>
            <w:pPr>
              <w:spacing w:before="0" w:after="0" w:line="240" w:lineRule="auto"/>
              <w:jc w:val="left"/>
            </w:pPr>
            <w:r/>
            <w:r>
              <w:rPr>
                <w:rFonts w:ascii="Arial" w:hAnsi="Arial" w:cs="Arial"/>
                <w:sz w:val="18"/>
              </w:rPr>
              <w:t>Comisión; excepcionalmente Consejo</w:t>
            </w:r>
          </w:p>
        </w:tc>
      </w:tr>
      <w:tr>
        <w:tc>
          <w:tcPr>
            <w:tcW w:type="dxa" w:w="1715"/>
            <w:tcMar>
              <w:top w:w="80" w:type="dxa"/>
              <w:start w:w="120" w:type="dxa"/>
              <w:bottom w:w="80" w:type="dxa"/>
              <w:end w:w="120" w:type="dxa"/>
            </w:tcMar>
            <w:vAlign w:val="center"/>
          </w:tcPr>
          <w:p>
            <w:pPr>
              <w:spacing w:before="0" w:after="0" w:line="240" w:lineRule="auto"/>
              <w:jc w:val="left"/>
            </w:pPr>
            <w:r/>
            <w:r>
              <w:rPr>
                <w:rFonts w:ascii="Arial" w:hAnsi="Arial" w:cs="Arial"/>
                <w:sz w:val="18"/>
              </w:rPr>
              <w:t>Función</w:t>
            </w:r>
          </w:p>
        </w:tc>
        <w:tc>
          <w:tcPr>
            <w:tcW w:type="dxa" w:w="3610"/>
            <w:tcMar>
              <w:top w:w="80" w:type="dxa"/>
              <w:start w:w="120" w:type="dxa"/>
              <w:bottom w:w="80" w:type="dxa"/>
              <w:end w:w="120" w:type="dxa"/>
            </w:tcMar>
            <w:vAlign w:val="center"/>
          </w:tcPr>
          <w:p>
            <w:pPr>
              <w:spacing w:before="0" w:after="0" w:line="240" w:lineRule="auto"/>
              <w:jc w:val="left"/>
            </w:pPr>
            <w:r/>
            <w:r>
              <w:rPr>
                <w:rFonts w:ascii="Arial" w:hAnsi="Arial" w:cs="Arial"/>
                <w:sz w:val="18"/>
              </w:rPr>
              <w:t>Completar o modificar elementos no esenciales</w:t>
            </w:r>
          </w:p>
        </w:tc>
        <w:tc>
          <w:tcPr>
            <w:tcW w:type="dxa" w:w="3701"/>
            <w:tcMar>
              <w:top w:w="80" w:type="dxa"/>
              <w:start w:w="120" w:type="dxa"/>
              <w:bottom w:w="80" w:type="dxa"/>
              <w:end w:w="120" w:type="dxa"/>
            </w:tcMar>
            <w:vAlign w:val="center"/>
          </w:tcPr>
          <w:p>
            <w:pPr>
              <w:spacing w:before="0" w:after="0" w:line="240" w:lineRule="auto"/>
              <w:jc w:val="left"/>
            </w:pPr>
            <w:r/>
            <w:r>
              <w:rPr>
                <w:rFonts w:ascii="Arial" w:hAnsi="Arial" w:cs="Arial"/>
                <w:sz w:val="18"/>
              </w:rPr>
              <w:t>Establecer condiciones uniformes de ejecución</w:t>
            </w:r>
          </w:p>
        </w:tc>
      </w:tr>
      <w:tr>
        <w:tc>
          <w:tcPr>
            <w:tcW w:type="dxa" w:w="1715"/>
            <w:tcMar>
              <w:top w:w="80" w:type="dxa"/>
              <w:start w:w="120" w:type="dxa"/>
              <w:bottom w:w="80" w:type="dxa"/>
              <w:end w:w="120" w:type="dxa"/>
            </w:tcMar>
            <w:vAlign w:val="center"/>
          </w:tcPr>
          <w:p>
            <w:pPr>
              <w:spacing w:before="0" w:after="0" w:line="240" w:lineRule="auto"/>
              <w:jc w:val="left"/>
            </w:pPr>
            <w:r/>
            <w:r>
              <w:rPr>
                <w:rFonts w:ascii="Arial" w:hAnsi="Arial" w:cs="Arial"/>
                <w:sz w:val="18"/>
              </w:rPr>
              <w:t>Control</w:t>
            </w:r>
          </w:p>
        </w:tc>
        <w:tc>
          <w:tcPr>
            <w:tcW w:type="dxa" w:w="3610"/>
            <w:tcMar>
              <w:top w:w="80" w:type="dxa"/>
              <w:start w:w="120" w:type="dxa"/>
              <w:bottom w:w="80" w:type="dxa"/>
              <w:end w:w="120" w:type="dxa"/>
            </w:tcMar>
            <w:vAlign w:val="center"/>
          </w:tcPr>
          <w:p>
            <w:pPr>
              <w:spacing w:before="0" w:after="0" w:line="240" w:lineRule="auto"/>
              <w:jc w:val="left"/>
            </w:pPr>
            <w:r/>
            <w:r>
              <w:rPr>
                <w:rFonts w:ascii="Arial" w:hAnsi="Arial" w:cs="Arial"/>
                <w:sz w:val="18"/>
              </w:rPr>
              <w:t>Revocación u objeción de Parlamento/Consejo</w:t>
            </w:r>
          </w:p>
        </w:tc>
        <w:tc>
          <w:tcPr>
            <w:tcW w:type="dxa" w:w="3701"/>
            <w:tcMar>
              <w:top w:w="80" w:type="dxa"/>
              <w:start w:w="120" w:type="dxa"/>
              <w:bottom w:w="80" w:type="dxa"/>
              <w:end w:w="120" w:type="dxa"/>
            </w:tcMar>
            <w:vAlign w:val="center"/>
          </w:tcPr>
          <w:p>
            <w:pPr>
              <w:spacing w:before="0" w:after="0" w:line="240" w:lineRule="auto"/>
              <w:jc w:val="left"/>
            </w:pPr>
            <w:r/>
            <w:r>
              <w:rPr>
                <w:rFonts w:ascii="Arial" w:hAnsi="Arial" w:cs="Arial"/>
                <w:sz w:val="18"/>
              </w:rPr>
              <w:t>Control de Estados mediante comitología</w:t>
            </w:r>
          </w:p>
        </w:tc>
      </w:tr>
      <w:tr>
        <w:tc>
          <w:tcPr>
            <w:tcW w:type="dxa" w:w="1715"/>
            <w:tcMar>
              <w:top w:w="80" w:type="dxa"/>
              <w:start w:w="120" w:type="dxa"/>
              <w:bottom w:w="80" w:type="dxa"/>
              <w:end w:w="120" w:type="dxa"/>
            </w:tcMar>
            <w:vAlign w:val="center"/>
          </w:tcPr>
          <w:p>
            <w:pPr>
              <w:spacing w:before="0" w:after="0" w:line="240" w:lineRule="auto"/>
              <w:jc w:val="left"/>
            </w:pPr>
            <w:r/>
            <w:r>
              <w:rPr>
                <w:rFonts w:ascii="Arial" w:hAnsi="Arial" w:cs="Arial"/>
                <w:sz w:val="18"/>
              </w:rPr>
              <w:t>Elementos esenciales</w:t>
            </w:r>
          </w:p>
        </w:tc>
        <w:tc>
          <w:tcPr>
            <w:tcW w:type="dxa" w:w="3610"/>
            <w:tcMar>
              <w:top w:w="80" w:type="dxa"/>
              <w:start w:w="120" w:type="dxa"/>
              <w:bottom w:w="80" w:type="dxa"/>
              <w:end w:w="120" w:type="dxa"/>
            </w:tcMar>
            <w:vAlign w:val="center"/>
          </w:tcPr>
          <w:p>
            <w:pPr>
              <w:spacing w:before="0" w:after="0" w:line="240" w:lineRule="auto"/>
              <w:jc w:val="left"/>
            </w:pPr>
            <w:r/>
            <w:r>
              <w:rPr>
                <w:rFonts w:ascii="Arial" w:hAnsi="Arial" w:cs="Arial"/>
                <w:sz w:val="18"/>
              </w:rPr>
              <w:t>Nunca delegables</w:t>
            </w:r>
          </w:p>
        </w:tc>
        <w:tc>
          <w:tcPr>
            <w:tcW w:type="dxa" w:w="3701"/>
            <w:tcMar>
              <w:top w:w="80" w:type="dxa"/>
              <w:start w:w="120" w:type="dxa"/>
              <w:bottom w:w="80" w:type="dxa"/>
              <w:end w:w="120" w:type="dxa"/>
            </w:tcMar>
            <w:vAlign w:val="center"/>
          </w:tcPr>
          <w:p>
            <w:pPr>
              <w:spacing w:before="0" w:after="0" w:line="240" w:lineRule="auto"/>
              <w:jc w:val="left"/>
            </w:pPr>
            <w:r/>
            <w:r>
              <w:rPr>
                <w:rFonts w:ascii="Arial" w:hAnsi="Arial" w:cs="Arial"/>
                <w:sz w:val="18"/>
              </w:rPr>
              <w:t>Tampoco pueden alterarse</w:t>
            </w:r>
          </w:p>
        </w:tc>
      </w:tr>
    </w:tbl>
    <w:p>
      <w:pPr>
        <w:spacing w:after="40"/>
      </w:pPr>
    </w:p>
    <w:p>
      <w:pPr>
        <w:pStyle w:val="Heading2"/>
        <w:keepNext/>
      </w:pPr>
      <w:r>
        <w:rPr>
          <w:rFonts w:ascii="Arial" w:hAnsi="Arial" w:cs="Arial"/>
          <w:sz w:val="25"/>
        </w:rPr>
        <w:t>7.4. Motivación, publicación y entrada en vigor</w:t>
      </w:r>
    </w:p>
    <w:p>
      <w:pPr>
        <w:jc w:val="both"/>
      </w:pPr>
      <w:r>
        <w:rPr>
          <w:rFonts w:ascii="Arial" w:hAnsi="Arial" w:cs="Arial"/>
          <w:sz w:val="22"/>
        </w:rPr>
        <w:t>Los actos deben motivarse y mencionar las propuestas, iniciativas, recomendaciones, peticiones o dictámenes exigidos. La falta de motivación suficiente puede ser infracción de un requisito sustancial de forma.</w:t>
      </w:r>
    </w:p>
    <w:p>
      <w:pPr>
        <w:jc w:val="both"/>
      </w:pPr>
      <w:r>
        <w:rPr>
          <w:rFonts w:ascii="Arial" w:hAnsi="Arial" w:cs="Arial"/>
          <w:sz w:val="22"/>
        </w:rPr>
        <w:t xml:space="preserve">Los actos legislativos se publican en el </w:t>
      </w:r>
      <w:r>
        <w:rPr>
          <w:rFonts w:ascii="Arial" w:hAnsi="Arial" w:cs="Arial"/>
          <w:i/>
          <w:sz w:val="22"/>
        </w:rPr>
        <w:t>Diario Oficial de la Unión Europea</w:t>
      </w:r>
      <w:r>
        <w:rPr>
          <w:rFonts w:ascii="Arial" w:hAnsi="Arial" w:cs="Arial"/>
          <w:sz w:val="22"/>
        </w:rPr>
        <w:t>. También se publican los reglamentos y las directivas dirigidas a todos los Estados, así como las decisiones que no indiquen destinatario. Entran en vigor en la fecha que fijen o, en su defecto, a los veinte días de la publicación. Las demás directivas y decisiones con destinatario se notifican y surten efecto por la notificación.</w:t>
      </w:r>
    </w:p>
    <w:p>
      <w:pPr>
        <w:spacing w:after="100"/>
        <w:ind w:left="340" w:right="227"/>
        <w:shd w:fill="EAF2F8"/>
      </w:pPr>
      <w:r>
        <w:rPr>
          <w:rFonts w:ascii="Arial" w:hAnsi="Arial" w:cs="Arial"/>
          <w:b/>
          <w:sz w:val="20"/>
        </w:rPr>
        <w:t>Trampa frecuente:</w:t>
      </w:r>
      <w:r>
        <w:rPr>
          <w:rFonts w:ascii="Arial" w:hAnsi="Arial" w:cs="Arial"/>
          <w:sz w:val="20"/>
        </w:rPr>
        <w:t xml:space="preserve"> los veinte días son una regla supletoria. Si el propio acto establece una fecha, rige esa fecha; y una fecha de entrada en vigor puede diferir de la fecha desde la que se aplica materialmente alguna disposición.</w:t>
      </w:r>
    </w:p>
    <w:p>
      <w:pPr>
        <w:pStyle w:val="Heading1"/>
        <w:keepNext/>
      </w:pPr>
      <w:r>
        <w:rPr>
          <w:rFonts w:ascii="Arial" w:hAnsi="Arial" w:cs="Arial"/>
          <w:sz w:val="30"/>
        </w:rPr>
        <w:t>8. Primacía del Derecho de la Unión</w:t>
      </w:r>
    </w:p>
    <w:p>
      <w:pPr>
        <w:pStyle w:val="Heading2"/>
        <w:keepNext/>
      </w:pPr>
      <w:r>
        <w:rPr>
          <w:rFonts w:ascii="Arial" w:hAnsi="Arial" w:cs="Arial"/>
          <w:sz w:val="25"/>
        </w:rPr>
        <w:t>8.1. Contenido</w:t>
      </w:r>
    </w:p>
    <w:p>
      <w:pPr>
        <w:jc w:val="both"/>
      </w:pPr>
      <w:r>
        <w:rPr>
          <w:rFonts w:ascii="Arial" w:hAnsi="Arial" w:cs="Arial"/>
          <w:sz w:val="22"/>
        </w:rPr>
        <w:t xml:space="preserve">La primacía asegura que una norma nacional no frustre la aplicación uniforme y efectiva del Derecho de la Unión. </w:t>
      </w:r>
      <w:r>
        <w:rPr>
          <w:rFonts w:ascii="Arial" w:hAnsi="Arial" w:cs="Arial"/>
          <w:i/>
          <w:sz w:val="22"/>
        </w:rPr>
        <w:t>Costa/ENEL</w:t>
      </w:r>
      <w:r>
        <w:rPr>
          <w:rFonts w:ascii="Arial" w:hAnsi="Arial" w:cs="Arial"/>
          <w:sz w:val="22"/>
        </w:rPr>
        <w:t xml:space="preserve"> la afirmó frente a una ley nacional posterior; </w:t>
      </w:r>
      <w:r>
        <w:rPr>
          <w:rFonts w:ascii="Arial" w:hAnsi="Arial" w:cs="Arial"/>
          <w:i/>
          <w:sz w:val="22"/>
        </w:rPr>
        <w:t>Internationale Handelsgesellschaft</w:t>
      </w:r>
      <w:r>
        <w:rPr>
          <w:rFonts w:ascii="Arial" w:hAnsi="Arial" w:cs="Arial"/>
          <w:sz w:val="22"/>
        </w:rPr>
        <w:t xml:space="preserve"> precisó que alcanza también a normas nacionales de rango constitucional desde la perspectiva del Derecho de la Unión; </w:t>
      </w:r>
      <w:r>
        <w:rPr>
          <w:rFonts w:ascii="Arial" w:hAnsi="Arial" w:cs="Arial"/>
          <w:i/>
          <w:sz w:val="22"/>
        </w:rPr>
        <w:t>Simmenthal</w:t>
      </w:r>
      <w:r>
        <w:rPr>
          <w:rFonts w:ascii="Arial" w:hAnsi="Arial" w:cs="Arial"/>
          <w:sz w:val="22"/>
        </w:rPr>
        <w:t xml:space="preserve"> impuso al juez nacional el deber de aplicar íntegramente el Derecho de la Unión y dejar inaplicada por propia autoridad cualquier disposición nacional incompatible, anterior o posterior.</w:t>
      </w:r>
    </w:p>
    <w:p>
      <w:pPr>
        <w:jc w:val="both"/>
      </w:pPr>
      <w:r>
        <w:rPr>
          <w:rFonts w:ascii="Arial" w:hAnsi="Arial" w:cs="Arial"/>
          <w:sz w:val="22"/>
        </w:rPr>
        <w:t xml:space="preserve">La consecuencia ordinaria es la </w:t>
      </w:r>
      <w:r>
        <w:rPr>
          <w:rFonts w:ascii="Arial" w:hAnsi="Arial" w:cs="Arial"/>
          <w:b/>
          <w:sz w:val="22"/>
        </w:rPr>
        <w:t>inaplicación en el caso</w:t>
      </w:r>
      <w:r>
        <w:rPr>
          <w:rFonts w:ascii="Arial" w:hAnsi="Arial" w:cs="Arial"/>
          <w:sz w:val="22"/>
        </w:rPr>
        <w:t>, no la nulidad ni la derogación automática de la norma nacional. Esta puede seguir formalmente en el ordenamiento hasta que el legislador la modifique o el órgano competente la expulse. Pero ninguna autoridad nacional puede aplicarla dentro del ámbito cubierto por la norma europea prevalente.</w:t>
      </w:r>
    </w:p>
    <w:p>
      <w:pPr>
        <w:jc w:val="both"/>
      </w:pPr>
      <w:r>
        <w:rPr>
          <w:rFonts w:ascii="Arial" w:hAnsi="Arial" w:cs="Arial"/>
          <w:sz w:val="22"/>
        </w:rPr>
        <w:t>El juez no debe solicitar ni esperar la eliminación legislativa, una declaración constitucional o una autorización jerárquica. Debe garantizar de inmediato el resultado que corresponda. El deber alcanza a todas las autoridades públicas dentro de sus competencias, no solo a los tribunales.</w:t>
      </w:r>
    </w:p>
    <w:p>
      <w:pPr>
        <w:pStyle w:val="Heading2"/>
        <w:keepNext/>
      </w:pPr>
      <w:r>
        <w:rPr>
          <w:rFonts w:ascii="Arial" w:hAnsi="Arial" w:cs="Arial"/>
          <w:sz w:val="25"/>
        </w:rPr>
        <w:t>8.2. Primacía no equivale a efecto directo</w:t>
      </w:r>
    </w:p>
    <w:p>
      <w:pPr>
        <w:jc w:val="both"/>
      </w:pPr>
      <w:r>
        <w:rPr>
          <w:rFonts w:ascii="Arial" w:hAnsi="Arial" w:cs="Arial"/>
          <w:sz w:val="22"/>
        </w:rPr>
        <w:t>La primacía resuelve qué norma prevalece cuando ambas son aplicables; el efecto directo decide si una disposición europea puede ser invocada como regla bastante para reconocer un derecho o imponer una obligación en el litigio. Una norma puede tener primacía y, sin embargo, carecer de la precisión o incondicionalidad necesarias para ser aplicada directamente.</w:t>
      </w:r>
    </w:p>
    <w:p>
      <w:pPr>
        <w:jc w:val="both"/>
      </w:pPr>
      <w:r>
        <w:rPr>
          <w:rFonts w:ascii="Arial" w:hAnsi="Arial" w:cs="Arial"/>
          <w:sz w:val="22"/>
        </w:rPr>
        <w:t xml:space="preserve">Esta distinción es decisiva con las directivas. La primacía </w:t>
      </w:r>
      <w:r>
        <w:rPr>
          <w:rFonts w:ascii="Arial" w:hAnsi="Arial" w:cs="Arial"/>
          <w:b/>
          <w:sz w:val="22"/>
        </w:rPr>
        <w:t>no convierte</w:t>
      </w:r>
      <w:r>
        <w:rPr>
          <w:rFonts w:ascii="Arial" w:hAnsi="Arial" w:cs="Arial"/>
          <w:sz w:val="22"/>
        </w:rPr>
        <w:t xml:space="preserve"> una directiva sin efecto horizontal en una obligación exigible a un particular. En un litigio privado, el juez debe:</w:t>
      </w:r>
    </w:p>
    <w:p>
      <w:pPr>
        <w:spacing w:after="40"/>
        <w:ind w:left="369" w:hanging="227"/>
      </w:pPr>
      <w:r>
        <w:rPr>
          <w:rFonts w:ascii="Arial" w:hAnsi="Arial" w:cs="Arial"/>
          <w:sz w:val="22"/>
        </w:rPr>
        <w:t>1. Intentar la interpretación conforme dentro de sus límites.</w:t>
      </w:r>
    </w:p>
    <w:p>
      <w:pPr>
        <w:spacing w:after="40"/>
        <w:ind w:left="369" w:hanging="227"/>
      </w:pPr>
      <w:r>
        <w:rPr>
          <w:rFonts w:ascii="Arial" w:hAnsi="Arial" w:cs="Arial"/>
          <w:sz w:val="22"/>
        </w:rPr>
        <w:t>2. Comprobar si otra norma del Derecho de la Unión —un precepto del Tratado, reglamento o derecho de la Carta aplicable— produce efecto directo.</w:t>
      </w:r>
    </w:p>
    <w:p>
      <w:pPr>
        <w:spacing w:after="40"/>
        <w:ind w:left="369" w:hanging="227"/>
      </w:pPr>
      <w:r>
        <w:rPr>
          <w:rFonts w:ascii="Arial" w:hAnsi="Arial" w:cs="Arial"/>
          <w:sz w:val="22"/>
        </w:rPr>
        <w:t>3. Si no existe tal norma, no imponer al particular la obligación nacida exclusivamente de la directiva.</w:t>
      </w:r>
    </w:p>
    <w:p>
      <w:pPr>
        <w:spacing w:after="40"/>
        <w:ind w:left="369" w:hanging="227"/>
      </w:pPr>
      <w:r>
        <w:rPr>
          <w:rFonts w:ascii="Arial" w:hAnsi="Arial" w:cs="Arial"/>
          <w:sz w:val="22"/>
        </w:rPr>
        <w:t>4. Mantener abierta, cuando concurran los requisitos, la responsabilidad del Estado por el daño.</w:t>
      </w:r>
    </w:p>
    <w:p>
      <w:pPr>
        <w:jc w:val="both"/>
      </w:pPr>
      <w:r>
        <w:rPr>
          <w:rFonts w:ascii="Arial" w:hAnsi="Arial" w:cs="Arial"/>
          <w:sz w:val="22"/>
        </w:rPr>
        <w:t>No basta decir «se deja inaplicada la ley nacional por primacía» si el resultado sería imponer a una parte privada una obligación que la directiva, por sí sola, no puede crear frente a ella.</w:t>
      </w:r>
    </w:p>
    <w:p>
      <w:pPr>
        <w:pStyle w:val="Heading2"/>
        <w:keepNext/>
      </w:pPr>
      <w:r>
        <w:rPr>
          <w:rFonts w:ascii="Arial" w:hAnsi="Arial" w:cs="Arial"/>
          <w:sz w:val="25"/>
        </w:rPr>
        <w:t>8.3. Alcance institucional</w:t>
      </w:r>
    </w:p>
    <w:p>
      <w:pPr>
        <w:jc w:val="both"/>
      </w:pPr>
      <w:r>
        <w:rPr>
          <w:rFonts w:ascii="Arial" w:hAnsi="Arial" w:cs="Arial"/>
          <w:sz w:val="22"/>
        </w:rPr>
        <w:t xml:space="preserve">La primacía también impide que una norma nacional reduzca la competencia del juez para plantear cuestión prejudicial, conceder tutela provisional o adoptar medidas necesarias para proteger derechos europeos. En </w:t>
      </w:r>
      <w:r>
        <w:rPr>
          <w:rFonts w:ascii="Arial" w:hAnsi="Arial" w:cs="Arial"/>
          <w:i/>
          <w:sz w:val="22"/>
        </w:rPr>
        <w:t>Factortame</w:t>
      </w:r>
      <w:r>
        <w:rPr>
          <w:rFonts w:ascii="Arial" w:hAnsi="Arial" w:cs="Arial"/>
          <w:sz w:val="22"/>
        </w:rPr>
        <w:t>, la eficacia del Derecho de la Unión exigió poder suspender cautelarmente una ley nacional si las reglas internas lo impedían.</w:t>
      </w:r>
    </w:p>
    <w:p>
      <w:pPr>
        <w:jc w:val="both"/>
      </w:pPr>
      <w:r>
        <w:rPr>
          <w:rFonts w:ascii="Arial" w:hAnsi="Arial" w:cs="Arial"/>
          <w:sz w:val="22"/>
        </w:rPr>
        <w:t xml:space="preserve">Cuando hay duda sobre la interpretación de la norma europea prevalente, puede o debe plantearse cuestión prejudicial conforme al artículo 267 TFUE. Cuando la duda recae sobre su </w:t>
      </w:r>
      <w:r>
        <w:rPr>
          <w:rFonts w:ascii="Arial" w:hAnsi="Arial" w:cs="Arial"/>
          <w:b/>
          <w:sz w:val="22"/>
        </w:rPr>
        <w:t>validez</w:t>
      </w:r>
      <w:r>
        <w:rPr>
          <w:rFonts w:ascii="Arial" w:hAnsi="Arial" w:cs="Arial"/>
          <w:sz w:val="22"/>
        </w:rPr>
        <w:t>, el juez nacional no puede declarar inválido el acto de la Unión: la competencia corresponde al Tribunal de Justicia.</w:t>
      </w:r>
    </w:p>
    <w:p>
      <w:pPr>
        <w:pStyle w:val="Heading1"/>
        <w:keepNext/>
      </w:pPr>
      <w:r>
        <w:rPr>
          <w:rFonts w:ascii="Arial" w:hAnsi="Arial" w:cs="Arial"/>
          <w:sz w:val="30"/>
        </w:rPr>
        <w:t>9. Efecto directo y técnicas que garantizan la eficacia</w:t>
      </w:r>
    </w:p>
    <w:p>
      <w:pPr>
        <w:pStyle w:val="Heading2"/>
        <w:keepNext/>
      </w:pPr>
      <w:r>
        <w:rPr>
          <w:rFonts w:ascii="Arial" w:hAnsi="Arial" w:cs="Arial"/>
          <w:sz w:val="25"/>
        </w:rPr>
        <w:t>9.1. Requisitos generales</w:t>
      </w:r>
    </w:p>
    <w:p>
      <w:pPr>
        <w:jc w:val="both"/>
      </w:pPr>
      <w:r>
        <w:rPr>
          <w:rFonts w:ascii="Arial" w:hAnsi="Arial" w:cs="Arial"/>
          <w:sz w:val="22"/>
        </w:rPr>
        <w:t xml:space="preserve">Desde </w:t>
      </w:r>
      <w:r>
        <w:rPr>
          <w:rFonts w:ascii="Arial" w:hAnsi="Arial" w:cs="Arial"/>
          <w:i/>
          <w:sz w:val="22"/>
        </w:rPr>
        <w:t>Van Gend en Loos</w:t>
      </w:r>
      <w:r>
        <w:rPr>
          <w:rFonts w:ascii="Arial" w:hAnsi="Arial" w:cs="Arial"/>
          <w:sz w:val="22"/>
        </w:rPr>
        <w:t xml:space="preserve">, una disposición es susceptible de efecto directo si establece una obligación o derecho suficientemente </w:t>
      </w:r>
      <w:r>
        <w:rPr>
          <w:rFonts w:ascii="Arial" w:hAnsi="Arial" w:cs="Arial"/>
          <w:b/>
          <w:sz w:val="22"/>
        </w:rPr>
        <w:t>claro, preciso e incondicional</w:t>
      </w:r>
      <w:r>
        <w:rPr>
          <w:rFonts w:ascii="Arial" w:hAnsi="Arial" w:cs="Arial"/>
          <w:sz w:val="22"/>
        </w:rPr>
        <w:t>, sin depender para su eficacia de una actuación posterior que deje un margen normativo incompatible con su aplicación judicial. Que sea necesario interpretar la disposición o realizar cálculos no elimina necesariamente su precisión.</w:t>
      </w:r>
    </w:p>
    <w:p>
      <w:pPr>
        <w:jc w:val="both"/>
      </w:pPr>
      <w:r>
        <w:rPr>
          <w:rFonts w:ascii="Arial" w:hAnsi="Arial" w:cs="Arial"/>
          <w:sz w:val="22"/>
        </w:rPr>
        <w:t>El efecto puede ser:</w:t>
      </w:r>
    </w:p>
    <w:p>
      <w:pPr>
        <w:pStyle w:val="ListBullet"/>
      </w:pPr>
      <w:r>
        <w:rPr>
          <w:rFonts w:ascii="Arial" w:hAnsi="Arial" w:cs="Arial"/>
          <w:b/>
          <w:sz w:val="22"/>
        </w:rPr>
        <w:t>Vertical ascendente:</w:t>
      </w:r>
      <w:r>
        <w:rPr>
          <w:rFonts w:ascii="Arial" w:hAnsi="Arial" w:cs="Arial"/>
          <w:sz w:val="22"/>
        </w:rPr>
        <w:t xml:space="preserve"> el particular invoca la norma frente al Estado.</w:t>
      </w:r>
    </w:p>
    <w:p>
      <w:pPr>
        <w:pStyle w:val="ListBullet"/>
      </w:pPr>
      <w:r>
        <w:rPr>
          <w:rFonts w:ascii="Arial" w:hAnsi="Arial" w:cs="Arial"/>
          <w:b/>
          <w:sz w:val="22"/>
        </w:rPr>
        <w:t>Vertical descendente o inverso:</w:t>
      </w:r>
      <w:r>
        <w:rPr>
          <w:rFonts w:ascii="Arial" w:hAnsi="Arial" w:cs="Arial"/>
          <w:sz w:val="22"/>
        </w:rPr>
        <w:t xml:space="preserve"> el Estado pretende invocarla contra el particular.</w:t>
      </w:r>
    </w:p>
    <w:p>
      <w:pPr>
        <w:pStyle w:val="ListBullet"/>
      </w:pPr>
      <w:r>
        <w:rPr>
          <w:rFonts w:ascii="Arial" w:hAnsi="Arial" w:cs="Arial"/>
          <w:b/>
          <w:sz w:val="22"/>
        </w:rPr>
        <w:t>Horizontal:</w:t>
      </w:r>
      <w:r>
        <w:rPr>
          <w:rFonts w:ascii="Arial" w:hAnsi="Arial" w:cs="Arial"/>
          <w:sz w:val="22"/>
        </w:rPr>
        <w:t xml:space="preserve"> se invoca en una relación entre particulares.</w:t>
      </w:r>
    </w:p>
    <w:p>
      <w:pPr>
        <w:jc w:val="both"/>
      </w:pPr>
      <w:r>
        <w:rPr>
          <w:rFonts w:ascii="Arial" w:hAnsi="Arial" w:cs="Arial"/>
          <w:sz w:val="22"/>
        </w:rPr>
        <w:t>Las disposiciones de los Tratados pueden producir efecto vertical y, en algunos casos, horizontal. Así ocurre con prohibiciones suficientemente claras como determinadas reglas de no discriminación o libre circulación. No existe una regla única para todo el Tratado: se analiza cada precepto.</w:t>
      </w:r>
    </w:p>
    <w:p>
      <w:pPr>
        <w:pStyle w:val="Heading2"/>
        <w:keepNext/>
      </w:pPr>
      <w:r>
        <w:rPr>
          <w:rFonts w:ascii="Arial" w:hAnsi="Arial" w:cs="Arial"/>
          <w:sz w:val="25"/>
        </w:rPr>
        <w:t>9.2. Interpretación conforme</w:t>
      </w:r>
    </w:p>
    <w:p>
      <w:pPr>
        <w:jc w:val="both"/>
      </w:pPr>
      <w:r>
        <w:rPr>
          <w:rFonts w:ascii="Arial" w:hAnsi="Arial" w:cs="Arial"/>
          <w:sz w:val="22"/>
        </w:rPr>
        <w:t xml:space="preserve">Desde </w:t>
      </w:r>
      <w:r>
        <w:rPr>
          <w:rFonts w:ascii="Arial" w:hAnsi="Arial" w:cs="Arial"/>
          <w:i/>
          <w:sz w:val="22"/>
        </w:rPr>
        <w:t>Von Colson</w:t>
      </w:r>
      <w:r>
        <w:rPr>
          <w:rFonts w:ascii="Arial" w:hAnsi="Arial" w:cs="Arial"/>
          <w:sz w:val="22"/>
        </w:rPr>
        <w:t xml:space="preserve"> y </w:t>
      </w:r>
      <w:r>
        <w:rPr>
          <w:rFonts w:ascii="Arial" w:hAnsi="Arial" w:cs="Arial"/>
          <w:i/>
          <w:sz w:val="22"/>
        </w:rPr>
        <w:t>Marleasing</w:t>
      </w:r>
      <w:r>
        <w:rPr>
          <w:rFonts w:ascii="Arial" w:hAnsi="Arial" w:cs="Arial"/>
          <w:sz w:val="22"/>
        </w:rPr>
        <w:t>, los órganos nacionales deben interpretar el Derecho interno, en la medida de lo posible, a la luz del texto y finalidad de la directiva para alcanzar su resultado. El deber:</w:t>
      </w:r>
    </w:p>
    <w:p>
      <w:pPr>
        <w:pStyle w:val="ListBullet"/>
      </w:pPr>
      <w:r>
        <w:rPr>
          <w:rFonts w:ascii="Arial" w:hAnsi="Arial" w:cs="Arial"/>
          <w:sz w:val="22"/>
        </w:rPr>
        <w:t>Recae sobre todo el Derecho nacional pertinente, anterior o posterior a la directiva.</w:t>
      </w:r>
    </w:p>
    <w:p>
      <w:pPr>
        <w:pStyle w:val="ListBullet"/>
      </w:pPr>
      <w:r>
        <w:rPr>
          <w:rFonts w:ascii="Arial" w:hAnsi="Arial" w:cs="Arial"/>
          <w:sz w:val="22"/>
        </w:rPr>
        <w:t>Obliga a utilizar los métodos de interpretación reconocidos por el Derecho interno de manera orientada al resultado europeo.</w:t>
      </w:r>
    </w:p>
    <w:p>
      <w:pPr>
        <w:pStyle w:val="ListBullet"/>
      </w:pPr>
      <w:r>
        <w:rPr>
          <w:rFonts w:ascii="Arial" w:hAnsi="Arial" w:cs="Arial"/>
          <w:sz w:val="22"/>
        </w:rPr>
        <w:t>Adquiere plena exigibilidad, como regla, cuando vence el plazo de transposición.</w:t>
      </w:r>
    </w:p>
    <w:p>
      <w:pPr>
        <w:pStyle w:val="ListBullet"/>
      </w:pPr>
      <w:r>
        <w:rPr>
          <w:rFonts w:ascii="Arial" w:hAnsi="Arial" w:cs="Arial"/>
          <w:sz w:val="22"/>
        </w:rPr>
        <w:t>También opera en litigios horizontales, pues se aplica la norma nacional interpretada.</w:t>
      </w:r>
    </w:p>
    <w:p>
      <w:pPr>
        <w:jc w:val="both"/>
      </w:pPr>
      <w:r>
        <w:rPr>
          <w:rFonts w:ascii="Arial" w:hAnsi="Arial" w:cs="Arial"/>
          <w:sz w:val="22"/>
        </w:rPr>
        <w:t xml:space="preserve">Tiene límites. No obliga a una interpretación </w:t>
      </w:r>
      <w:r>
        <w:rPr>
          <w:rFonts w:ascii="Arial" w:hAnsi="Arial" w:cs="Arial"/>
          <w:b/>
          <w:sz w:val="22"/>
        </w:rPr>
        <w:t>contra legem</w:t>
      </w:r>
      <w:r>
        <w:rPr>
          <w:rFonts w:ascii="Arial" w:hAnsi="Arial" w:cs="Arial"/>
          <w:sz w:val="22"/>
        </w:rPr>
        <w:t>, no permite agravar o fundamentar por sí sola responsabilidad penal y debe respetar seguridad jurídica, irretroactividad y principios generales. La apreciación de qué es contra legem corresponde al juez nacional dentro de su metodología, pero no puede declarar imposible una interpretación conforme basándose en una lectura artificialmente restrictiva de sus propias técnicas interpretativas.</w:t>
      </w:r>
    </w:p>
    <w:p>
      <w:pPr>
        <w:pStyle w:val="Heading2"/>
        <w:keepNext/>
      </w:pPr>
      <w:r>
        <w:rPr>
          <w:rFonts w:ascii="Arial" w:hAnsi="Arial" w:cs="Arial"/>
          <w:sz w:val="25"/>
        </w:rPr>
        <w:t>9.3. Responsabilidad del Estado</w:t>
      </w:r>
    </w:p>
    <w:p>
      <w:pPr>
        <w:jc w:val="both"/>
      </w:pPr>
      <w:r>
        <w:rPr>
          <w:rFonts w:ascii="Arial" w:hAnsi="Arial" w:cs="Arial"/>
          <w:i/>
          <w:sz w:val="22"/>
        </w:rPr>
        <w:t>Francovich</w:t>
      </w:r>
      <w:r>
        <w:rPr>
          <w:rFonts w:ascii="Arial" w:hAnsi="Arial" w:cs="Arial"/>
          <w:sz w:val="22"/>
        </w:rPr>
        <w:t xml:space="preserve"> reconoció el derecho a reparación por incumplimiento estatal del Derecho de la Unión. </w:t>
      </w:r>
      <w:r>
        <w:rPr>
          <w:rFonts w:ascii="Arial" w:hAnsi="Arial" w:cs="Arial"/>
          <w:i/>
          <w:sz w:val="22"/>
        </w:rPr>
        <w:t>Brasserie du pêcheur</w:t>
      </w:r>
      <w:r>
        <w:rPr>
          <w:rFonts w:ascii="Arial" w:hAnsi="Arial" w:cs="Arial"/>
          <w:sz w:val="22"/>
        </w:rPr>
        <w:t xml:space="preserve"> y </w:t>
      </w:r>
      <w:r>
        <w:rPr>
          <w:rFonts w:ascii="Arial" w:hAnsi="Arial" w:cs="Arial"/>
          <w:i/>
          <w:sz w:val="22"/>
        </w:rPr>
        <w:t>Factortame III</w:t>
      </w:r>
      <w:r>
        <w:rPr>
          <w:rFonts w:ascii="Arial" w:hAnsi="Arial" w:cs="Arial"/>
          <w:sz w:val="22"/>
        </w:rPr>
        <w:t xml:space="preserve"> sistematizaron tres requisitos:</w:t>
      </w:r>
    </w:p>
    <w:p>
      <w:pPr>
        <w:spacing w:after="40"/>
        <w:ind w:left="369" w:hanging="227"/>
      </w:pPr>
      <w:r>
        <w:rPr>
          <w:rFonts w:ascii="Arial" w:hAnsi="Arial" w:cs="Arial"/>
          <w:sz w:val="22"/>
        </w:rPr>
        <w:t>1. La norma infringida tiene por objeto conferir derechos a los particulares.</w:t>
      </w:r>
    </w:p>
    <w:p>
      <w:pPr>
        <w:spacing w:after="40"/>
        <w:ind w:left="369" w:hanging="227"/>
      </w:pPr>
      <w:r>
        <w:rPr>
          <w:rFonts w:ascii="Arial" w:hAnsi="Arial" w:cs="Arial"/>
          <w:sz w:val="22"/>
        </w:rPr>
        <w:t>2. La infracción está suficientemente caracterizada.</w:t>
      </w:r>
    </w:p>
    <w:p>
      <w:pPr>
        <w:spacing w:after="40"/>
        <w:ind w:left="369" w:hanging="227"/>
      </w:pPr>
      <w:r>
        <w:rPr>
          <w:rFonts w:ascii="Arial" w:hAnsi="Arial" w:cs="Arial"/>
          <w:sz w:val="22"/>
        </w:rPr>
        <w:t>3. Existe relación causal directa entre infracción y daño.</w:t>
      </w:r>
    </w:p>
    <w:p>
      <w:pPr>
        <w:jc w:val="both"/>
      </w:pPr>
      <w:r>
        <w:rPr>
          <w:rFonts w:ascii="Arial" w:hAnsi="Arial" w:cs="Arial"/>
          <w:sz w:val="22"/>
        </w:rPr>
        <w:t>La gravedad se aprecia considerando claridad de la norma, margen de apreciación, carácter intencional o excusable, persistencia y eventual incumplimiento de jurisprudencia. Cuando el Estado carece manifiestamente de margen, la mera infracción puede bastar para que sea suficientemente caracterizada. La responsabilidad alcanza al legislador, Administración y, bajo requisitos particularmente estrictos, decisiones de un órgano jurisdiccional de última instancia.</w:t>
      </w:r>
    </w:p>
    <w:p>
      <w:pPr>
        <w:jc w:val="both"/>
      </w:pPr>
      <w:r>
        <w:rPr>
          <w:rFonts w:ascii="Arial" w:hAnsi="Arial" w:cs="Arial"/>
          <w:sz w:val="22"/>
        </w:rPr>
        <w:t>Las reglas nacionales regulan órgano competente, plazo, prueba y cuantificación, pero no pueden ser menos favorables que las aplicables a reclamaciones internas semejantes —equivalencia— ni hacer imposible o excesivamente difícil obtener reparación —efectividad—.</w:t>
      </w:r>
    </w:p>
    <w:p>
      <w:pPr>
        <w:pStyle w:val="Heading2"/>
        <w:keepNext/>
      </w:pPr>
      <w:r>
        <w:rPr>
          <w:rFonts w:ascii="Arial" w:hAnsi="Arial" w:cs="Arial"/>
          <w:sz w:val="25"/>
        </w:rPr>
        <w:t>9.4. Efectos incidentales y cautelas</w:t>
      </w:r>
    </w:p>
    <w:p>
      <w:pPr>
        <w:jc w:val="both"/>
      </w:pPr>
      <w:r>
        <w:rPr>
          <w:rFonts w:ascii="Arial" w:hAnsi="Arial" w:cs="Arial"/>
          <w:sz w:val="22"/>
        </w:rPr>
        <w:t xml:space="preserve">Algunas sentencias, como </w:t>
      </w:r>
      <w:r>
        <w:rPr>
          <w:rFonts w:ascii="Arial" w:hAnsi="Arial" w:cs="Arial"/>
          <w:i/>
          <w:sz w:val="22"/>
        </w:rPr>
        <w:t>CIA Security</w:t>
      </w:r>
      <w:r>
        <w:rPr>
          <w:rFonts w:ascii="Arial" w:hAnsi="Arial" w:cs="Arial"/>
          <w:sz w:val="22"/>
        </w:rPr>
        <w:t xml:space="preserve"> y </w:t>
      </w:r>
      <w:r>
        <w:rPr>
          <w:rFonts w:ascii="Arial" w:hAnsi="Arial" w:cs="Arial"/>
          <w:i/>
          <w:sz w:val="22"/>
        </w:rPr>
        <w:t>Unilever</w:t>
      </w:r>
      <w:r>
        <w:rPr>
          <w:rFonts w:ascii="Arial" w:hAnsi="Arial" w:cs="Arial"/>
          <w:sz w:val="22"/>
        </w:rPr>
        <w:t>, impidieron aplicar en litigios privados reglamentaciones técnicas nacionales que no habían sido notificadas conforme a una directiva. Se habla de efecto incidental o de exclusión. No constituye una aceptación general del efecto horizontal de las directivas: la consecuencia deriva del vicio de la norma técnica nacional y de la finalidad específica del procedimiento de notificación.</w:t>
      </w:r>
    </w:p>
    <w:p>
      <w:pPr>
        <w:jc w:val="both"/>
      </w:pPr>
      <w:r>
        <w:rPr>
          <w:rFonts w:ascii="Arial" w:hAnsi="Arial" w:cs="Arial"/>
          <w:sz w:val="22"/>
        </w:rPr>
        <w:t>También ciertos derechos de la Carta o principios expresados en ella han permitido excluir normas nacionales en litigios privados. Debe identificarse la disposición europea autónomamente invocable; no puede utilizarse la Carta como vía genérica para atribuir efecto horizontal a cualquier directiva.</w:t>
      </w:r>
    </w:p>
    <w:tbl>
      <w:tblPr>
        <w:tblStyle w:val="TableGrid"/>
        <w:tblW w:type="dxa" w:w="9026"/>
        <w:jc w:val="left"/>
        <w:tblLayout w:type="fixed"/>
        <w:tblLook w:firstColumn="1" w:firstRow="1" w:lastColumn="0" w:lastRow="0" w:noHBand="0" w:noVBand="1" w:val="04A0"/>
        <w:tblInd w:w="120" w:type="dxa"/>
      </w:tblPr>
      <w:tblGrid>
        <w:gridCol w:w="2847"/>
        <w:gridCol w:w="1454"/>
        <w:gridCol w:w="2181"/>
        <w:gridCol w:w="2544"/>
      </w:tblGrid>
      <w:tr>
        <w:trPr>
          <w:tblHeader w:val="true"/>
        </w:trPr>
        <w:tc>
          <w:tcPr>
            <w:tcW w:type="dxa" w:w="284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Problema</w:t>
            </w:r>
          </w:p>
        </w:tc>
        <w:tc>
          <w:tcPr>
            <w:tcW w:type="dxa" w:w="145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Técnica</w:t>
            </w:r>
          </w:p>
        </w:tc>
        <w:tc>
          <w:tcPr>
            <w:tcW w:type="dxa" w:w="218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típico</w:t>
            </w:r>
          </w:p>
        </w:tc>
        <w:tc>
          <w:tcPr>
            <w:tcW w:type="dxa" w:w="254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Límite principal</w:t>
            </w:r>
          </w:p>
        </w:tc>
      </w:tr>
      <w:tr>
        <w:tc>
          <w:tcPr>
            <w:tcW w:type="dxa" w:w="2847"/>
            <w:tcMar>
              <w:top w:w="80" w:type="dxa"/>
              <w:start w:w="120" w:type="dxa"/>
              <w:bottom w:w="80" w:type="dxa"/>
              <w:end w:w="120" w:type="dxa"/>
            </w:tcMar>
            <w:vAlign w:val="center"/>
          </w:tcPr>
          <w:p>
            <w:pPr>
              <w:spacing w:before="0" w:after="0" w:line="240" w:lineRule="auto"/>
              <w:jc w:val="left"/>
            </w:pPr>
            <w:r/>
            <w:r>
              <w:rPr>
                <w:rFonts w:ascii="Arial" w:hAnsi="Arial" w:cs="Arial"/>
                <w:sz w:val="18"/>
              </w:rPr>
              <w:t>Ley nacional incompatible con norma europea aplicable</w:t>
            </w:r>
          </w:p>
        </w:tc>
        <w:tc>
          <w:tcPr>
            <w:tcW w:type="dxa" w:w="1454"/>
            <w:tcMar>
              <w:top w:w="80" w:type="dxa"/>
              <w:start w:w="120" w:type="dxa"/>
              <w:bottom w:w="80" w:type="dxa"/>
              <w:end w:w="120" w:type="dxa"/>
            </w:tcMar>
            <w:vAlign w:val="center"/>
          </w:tcPr>
          <w:p>
            <w:pPr>
              <w:spacing w:before="0" w:after="0" w:line="240" w:lineRule="auto"/>
              <w:jc w:val="center"/>
            </w:pPr>
            <w:r/>
            <w:r>
              <w:rPr>
                <w:rFonts w:ascii="Arial" w:hAnsi="Arial" w:cs="Arial"/>
                <w:sz w:val="18"/>
              </w:rPr>
              <w:t>Primacía</w:t>
            </w:r>
          </w:p>
        </w:tc>
        <w:tc>
          <w:tcPr>
            <w:tcW w:type="dxa" w:w="2181"/>
            <w:tcMar>
              <w:top w:w="80" w:type="dxa"/>
              <w:start w:w="120" w:type="dxa"/>
              <w:bottom w:w="80" w:type="dxa"/>
              <w:end w:w="120" w:type="dxa"/>
            </w:tcMar>
            <w:vAlign w:val="center"/>
          </w:tcPr>
          <w:p>
            <w:pPr>
              <w:spacing w:before="0" w:after="0" w:line="240" w:lineRule="auto"/>
              <w:jc w:val="left"/>
            </w:pPr>
            <w:r/>
            <w:r>
              <w:rPr>
                <w:rFonts w:ascii="Arial" w:hAnsi="Arial" w:cs="Arial"/>
                <w:sz w:val="18"/>
              </w:rPr>
              <w:t>Inaplicación de la ley en el caso</w:t>
            </w:r>
          </w:p>
        </w:tc>
        <w:tc>
          <w:tcPr>
            <w:tcW w:type="dxa" w:w="2544"/>
            <w:tcMar>
              <w:top w:w="80" w:type="dxa"/>
              <w:start w:w="120" w:type="dxa"/>
              <w:bottom w:w="80" w:type="dxa"/>
              <w:end w:w="120" w:type="dxa"/>
            </w:tcMar>
            <w:vAlign w:val="center"/>
          </w:tcPr>
          <w:p>
            <w:pPr>
              <w:spacing w:before="0" w:after="0" w:line="240" w:lineRule="auto"/>
              <w:jc w:val="left"/>
            </w:pPr>
            <w:r/>
            <w:r>
              <w:rPr>
                <w:rFonts w:ascii="Arial" w:hAnsi="Arial" w:cs="Arial"/>
                <w:sz w:val="18"/>
              </w:rPr>
              <w:t>No suple por sí sola la falta de efecto directo</w:t>
            </w:r>
          </w:p>
        </w:tc>
      </w:tr>
      <w:tr>
        <w:tc>
          <w:tcPr>
            <w:tcW w:type="dxa" w:w="2847"/>
            <w:tcMar>
              <w:top w:w="80" w:type="dxa"/>
              <w:start w:w="120" w:type="dxa"/>
              <w:bottom w:w="80" w:type="dxa"/>
              <w:end w:w="120" w:type="dxa"/>
            </w:tcMar>
            <w:vAlign w:val="center"/>
          </w:tcPr>
          <w:p>
            <w:pPr>
              <w:spacing w:before="0" w:after="0" w:line="240" w:lineRule="auto"/>
              <w:jc w:val="left"/>
            </w:pPr>
            <w:r/>
            <w:r>
              <w:rPr>
                <w:rFonts w:ascii="Arial" w:hAnsi="Arial" w:cs="Arial"/>
                <w:sz w:val="18"/>
              </w:rPr>
              <w:t>Directiva no o mal transpuesta</w:t>
            </w:r>
          </w:p>
        </w:tc>
        <w:tc>
          <w:tcPr>
            <w:tcW w:type="dxa" w:w="1454"/>
            <w:tcMar>
              <w:top w:w="80" w:type="dxa"/>
              <w:start w:w="120" w:type="dxa"/>
              <w:bottom w:w="80" w:type="dxa"/>
              <w:end w:w="120" w:type="dxa"/>
            </w:tcMar>
            <w:vAlign w:val="center"/>
          </w:tcPr>
          <w:p>
            <w:pPr>
              <w:spacing w:before="0" w:after="0" w:line="240" w:lineRule="auto"/>
              <w:jc w:val="left"/>
            </w:pPr>
            <w:r/>
            <w:r>
              <w:rPr>
                <w:rFonts w:ascii="Arial" w:hAnsi="Arial" w:cs="Arial"/>
                <w:sz w:val="18"/>
              </w:rPr>
              <w:t>Efecto directo vertical</w:t>
            </w:r>
          </w:p>
        </w:tc>
        <w:tc>
          <w:tcPr>
            <w:tcW w:type="dxa" w:w="2181"/>
            <w:tcMar>
              <w:top w:w="80" w:type="dxa"/>
              <w:start w:w="120" w:type="dxa"/>
              <w:bottom w:w="80" w:type="dxa"/>
              <w:end w:w="120" w:type="dxa"/>
            </w:tcMar>
            <w:vAlign w:val="center"/>
          </w:tcPr>
          <w:p>
            <w:pPr>
              <w:spacing w:before="0" w:after="0" w:line="240" w:lineRule="auto"/>
              <w:jc w:val="left"/>
            </w:pPr>
            <w:r/>
            <w:r>
              <w:rPr>
                <w:rFonts w:ascii="Arial" w:hAnsi="Arial" w:cs="Arial"/>
                <w:sz w:val="18"/>
              </w:rPr>
              <w:t>Invocación frente al Estado tras el plazo</w:t>
            </w:r>
          </w:p>
        </w:tc>
        <w:tc>
          <w:tcPr>
            <w:tcW w:type="dxa" w:w="2544"/>
            <w:tcMar>
              <w:top w:w="80" w:type="dxa"/>
              <w:start w:w="120" w:type="dxa"/>
              <w:bottom w:w="80" w:type="dxa"/>
              <w:end w:w="120" w:type="dxa"/>
            </w:tcMar>
            <w:vAlign w:val="center"/>
          </w:tcPr>
          <w:p>
            <w:pPr>
              <w:spacing w:before="0" w:after="0" w:line="240" w:lineRule="auto"/>
              <w:jc w:val="left"/>
            </w:pPr>
            <w:r/>
            <w:r>
              <w:rPr>
                <w:rFonts w:ascii="Arial" w:hAnsi="Arial" w:cs="Arial"/>
                <w:sz w:val="18"/>
              </w:rPr>
              <w:t>No impone por sí sola obligaciones a un particular</w:t>
            </w:r>
          </w:p>
        </w:tc>
      </w:tr>
      <w:tr>
        <w:tc>
          <w:tcPr>
            <w:tcW w:type="dxa" w:w="2847"/>
            <w:tcMar>
              <w:top w:w="80" w:type="dxa"/>
              <w:start w:w="120" w:type="dxa"/>
              <w:bottom w:w="80" w:type="dxa"/>
              <w:end w:w="120" w:type="dxa"/>
            </w:tcMar>
            <w:vAlign w:val="center"/>
          </w:tcPr>
          <w:p>
            <w:pPr>
              <w:spacing w:before="0" w:after="0" w:line="240" w:lineRule="auto"/>
              <w:jc w:val="left"/>
            </w:pPr>
            <w:r/>
            <w:r>
              <w:rPr>
                <w:rFonts w:ascii="Arial" w:hAnsi="Arial" w:cs="Arial"/>
                <w:sz w:val="18"/>
              </w:rPr>
              <w:t>Derecho interno susceptible de lectura compatible</w:t>
            </w:r>
          </w:p>
        </w:tc>
        <w:tc>
          <w:tcPr>
            <w:tcW w:type="dxa" w:w="1454"/>
            <w:tcMar>
              <w:top w:w="80" w:type="dxa"/>
              <w:start w:w="120" w:type="dxa"/>
              <w:bottom w:w="80" w:type="dxa"/>
              <w:end w:w="120" w:type="dxa"/>
            </w:tcMar>
            <w:vAlign w:val="center"/>
          </w:tcPr>
          <w:p>
            <w:pPr>
              <w:spacing w:before="0" w:after="0" w:line="240" w:lineRule="auto"/>
              <w:jc w:val="left"/>
            </w:pPr>
            <w:r/>
            <w:r>
              <w:rPr>
                <w:rFonts w:ascii="Arial" w:hAnsi="Arial" w:cs="Arial"/>
                <w:sz w:val="18"/>
              </w:rPr>
              <w:t>Interpretación conforme</w:t>
            </w:r>
          </w:p>
        </w:tc>
        <w:tc>
          <w:tcPr>
            <w:tcW w:type="dxa" w:w="2181"/>
            <w:tcMar>
              <w:top w:w="80" w:type="dxa"/>
              <w:start w:w="120" w:type="dxa"/>
              <w:bottom w:w="80" w:type="dxa"/>
              <w:end w:w="120" w:type="dxa"/>
            </w:tcMar>
            <w:vAlign w:val="center"/>
          </w:tcPr>
          <w:p>
            <w:pPr>
              <w:spacing w:before="0" w:after="0" w:line="240" w:lineRule="auto"/>
              <w:jc w:val="left"/>
            </w:pPr>
            <w:r/>
            <w:r>
              <w:rPr>
                <w:rFonts w:ascii="Arial" w:hAnsi="Arial" w:cs="Arial"/>
                <w:sz w:val="18"/>
              </w:rPr>
              <w:t>Se aplica la norma interna reinterpretada</w:t>
            </w:r>
          </w:p>
        </w:tc>
        <w:tc>
          <w:tcPr>
            <w:tcW w:type="dxa" w:w="2544"/>
            <w:tcMar>
              <w:top w:w="80" w:type="dxa"/>
              <w:start w:w="120" w:type="dxa"/>
              <w:bottom w:w="80" w:type="dxa"/>
              <w:end w:w="120" w:type="dxa"/>
            </w:tcMar>
            <w:vAlign w:val="center"/>
          </w:tcPr>
          <w:p>
            <w:pPr>
              <w:spacing w:before="0" w:after="0" w:line="240" w:lineRule="auto"/>
              <w:jc w:val="left"/>
            </w:pPr>
            <w:r/>
            <w:r>
              <w:rPr>
                <w:rFonts w:ascii="Arial" w:hAnsi="Arial" w:cs="Arial"/>
                <w:sz w:val="18"/>
              </w:rPr>
              <w:t>No puede ser contra legem</w:t>
            </w:r>
          </w:p>
        </w:tc>
      </w:tr>
      <w:tr>
        <w:tc>
          <w:tcPr>
            <w:tcW w:type="dxa" w:w="2847"/>
            <w:tcMar>
              <w:top w:w="80" w:type="dxa"/>
              <w:start w:w="120" w:type="dxa"/>
              <w:bottom w:w="80" w:type="dxa"/>
              <w:end w:w="120" w:type="dxa"/>
            </w:tcMar>
            <w:vAlign w:val="center"/>
          </w:tcPr>
          <w:p>
            <w:pPr>
              <w:spacing w:before="0" w:after="0" w:line="240" w:lineRule="auto"/>
              <w:jc w:val="left"/>
            </w:pPr>
            <w:r/>
            <w:r>
              <w:rPr>
                <w:rFonts w:ascii="Arial" w:hAnsi="Arial" w:cs="Arial"/>
                <w:sz w:val="18"/>
              </w:rPr>
              <w:t>Daño por incumplimiento estatal</w:t>
            </w:r>
          </w:p>
        </w:tc>
        <w:tc>
          <w:tcPr>
            <w:tcW w:type="dxa" w:w="1454"/>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 del Estado</w:t>
            </w:r>
          </w:p>
        </w:tc>
        <w:tc>
          <w:tcPr>
            <w:tcW w:type="dxa" w:w="2181"/>
            <w:tcMar>
              <w:top w:w="80" w:type="dxa"/>
              <w:start w:w="120" w:type="dxa"/>
              <w:bottom w:w="80" w:type="dxa"/>
              <w:end w:w="120" w:type="dxa"/>
            </w:tcMar>
            <w:vAlign w:val="center"/>
          </w:tcPr>
          <w:p>
            <w:pPr>
              <w:spacing w:before="0" w:after="0" w:line="240" w:lineRule="auto"/>
              <w:jc w:val="center"/>
            </w:pPr>
            <w:r/>
            <w:r>
              <w:rPr>
                <w:rFonts w:ascii="Arial" w:hAnsi="Arial" w:cs="Arial"/>
                <w:sz w:val="18"/>
              </w:rPr>
              <w:t>Indemnización</w:t>
            </w:r>
          </w:p>
        </w:tc>
        <w:tc>
          <w:tcPr>
            <w:tcW w:type="dxa" w:w="2544"/>
            <w:tcMar>
              <w:top w:w="80" w:type="dxa"/>
              <w:start w:w="120" w:type="dxa"/>
              <w:bottom w:w="80" w:type="dxa"/>
              <w:end w:w="120" w:type="dxa"/>
            </w:tcMar>
            <w:vAlign w:val="center"/>
          </w:tcPr>
          <w:p>
            <w:pPr>
              <w:spacing w:before="0" w:after="0" w:line="240" w:lineRule="auto"/>
              <w:jc w:val="left"/>
            </w:pPr>
            <w:r/>
            <w:r>
              <w:rPr>
                <w:rFonts w:ascii="Arial" w:hAnsi="Arial" w:cs="Arial"/>
                <w:sz w:val="18"/>
              </w:rPr>
              <w:t>Derechos, infracción caracterizada y causalidad</w:t>
            </w:r>
          </w:p>
        </w:tc>
      </w:tr>
      <w:tr>
        <w:tc>
          <w:tcPr>
            <w:tcW w:type="dxa" w:w="2847"/>
            <w:tcMar>
              <w:top w:w="80" w:type="dxa"/>
              <w:start w:w="120" w:type="dxa"/>
              <w:bottom w:w="80" w:type="dxa"/>
              <w:end w:w="120" w:type="dxa"/>
            </w:tcMar>
            <w:vAlign w:val="center"/>
          </w:tcPr>
          <w:p>
            <w:pPr>
              <w:spacing w:before="0" w:after="0" w:line="240" w:lineRule="auto"/>
              <w:jc w:val="left"/>
            </w:pPr>
            <w:r/>
            <w:r>
              <w:rPr>
                <w:rFonts w:ascii="Arial" w:hAnsi="Arial" w:cs="Arial"/>
                <w:sz w:val="18"/>
              </w:rPr>
              <w:t>Duda sobre sentido o validez</w:t>
            </w:r>
          </w:p>
        </w:tc>
        <w:tc>
          <w:tcPr>
            <w:tcW w:type="dxa" w:w="1454"/>
            <w:tcMar>
              <w:top w:w="80" w:type="dxa"/>
              <w:start w:w="120" w:type="dxa"/>
              <w:bottom w:w="80" w:type="dxa"/>
              <w:end w:w="120" w:type="dxa"/>
            </w:tcMar>
            <w:vAlign w:val="center"/>
          </w:tcPr>
          <w:p>
            <w:pPr>
              <w:spacing w:before="0" w:after="0" w:line="240" w:lineRule="auto"/>
              <w:jc w:val="left"/>
            </w:pPr>
            <w:r/>
            <w:r>
              <w:rPr>
                <w:rFonts w:ascii="Arial" w:hAnsi="Arial" w:cs="Arial"/>
                <w:sz w:val="18"/>
              </w:rPr>
              <w:t>Cuestión prejudicial</w:t>
            </w:r>
          </w:p>
        </w:tc>
        <w:tc>
          <w:tcPr>
            <w:tcW w:type="dxa" w:w="2181"/>
            <w:tcMar>
              <w:top w:w="80" w:type="dxa"/>
              <w:start w:w="120" w:type="dxa"/>
              <w:bottom w:w="80" w:type="dxa"/>
              <w:end w:w="120" w:type="dxa"/>
            </w:tcMar>
            <w:vAlign w:val="center"/>
          </w:tcPr>
          <w:p>
            <w:pPr>
              <w:spacing w:before="0" w:after="0" w:line="240" w:lineRule="auto"/>
              <w:jc w:val="left"/>
            </w:pPr>
            <w:r/>
            <w:r>
              <w:rPr>
                <w:rFonts w:ascii="Arial" w:hAnsi="Arial" w:cs="Arial"/>
                <w:sz w:val="18"/>
              </w:rPr>
              <w:t>Respuesta uniforme del TJUE</w:t>
            </w:r>
          </w:p>
        </w:tc>
        <w:tc>
          <w:tcPr>
            <w:tcW w:type="dxa" w:w="2544"/>
            <w:tcMar>
              <w:top w:w="80" w:type="dxa"/>
              <w:start w:w="120" w:type="dxa"/>
              <w:bottom w:w="80" w:type="dxa"/>
              <w:end w:w="120" w:type="dxa"/>
            </w:tcMar>
            <w:vAlign w:val="center"/>
          </w:tcPr>
          <w:p>
            <w:pPr>
              <w:spacing w:before="0" w:after="0" w:line="240" w:lineRule="auto"/>
              <w:jc w:val="left"/>
            </w:pPr>
            <w:r/>
            <w:r>
              <w:rPr>
                <w:rFonts w:ascii="Arial" w:hAnsi="Arial" w:cs="Arial"/>
                <w:sz w:val="18"/>
              </w:rPr>
              <w:t>Solo el TJUE declara inválido un acto de la Unión</w:t>
            </w:r>
          </w:p>
        </w:tc>
      </w:tr>
    </w:tbl>
    <w:p>
      <w:pPr>
        <w:spacing w:after="40"/>
      </w:pPr>
    </w:p>
    <w:p>
      <w:pPr>
        <w:pStyle w:val="Heading1"/>
        <w:keepNext/>
      </w:pPr>
      <w:r>
        <w:rPr>
          <w:rFonts w:ascii="Arial" w:hAnsi="Arial" w:cs="Arial"/>
          <w:sz w:val="30"/>
        </w:rPr>
        <w:t>10. Relación con el ordenamiento español</w:t>
      </w:r>
    </w:p>
    <w:p>
      <w:pPr>
        <w:pStyle w:val="Heading2"/>
        <w:keepNext/>
      </w:pPr>
      <w:r>
        <w:rPr>
          <w:rFonts w:ascii="Arial" w:hAnsi="Arial" w:cs="Arial"/>
          <w:sz w:val="25"/>
        </w:rPr>
        <w:t>10.1. Fundamento constitucional</w:t>
      </w:r>
    </w:p>
    <w:p>
      <w:pPr>
        <w:jc w:val="both"/>
      </w:pPr>
      <w:r>
        <w:rPr>
          <w:rFonts w:ascii="Arial" w:hAnsi="Arial" w:cs="Arial"/>
          <w:sz w:val="22"/>
        </w:rPr>
        <w:t>El artículo 93 CE permite, mediante ley orgánica, autorizar tratados por los que se atribuya a una organización internacional el ejercicio de competencias derivadas de la Constitución. Las Cortes Generales o el Gobierno garantizan, según los casos, el cumplimiento de esos tratados y de las resoluciones emanadas de los organismos titulares de la cesión.</w:t>
      </w:r>
    </w:p>
    <w:p>
      <w:pPr>
        <w:jc w:val="both"/>
      </w:pPr>
      <w:r>
        <w:rPr>
          <w:rFonts w:ascii="Arial" w:hAnsi="Arial" w:cs="Arial"/>
          <w:sz w:val="22"/>
        </w:rPr>
        <w:t>El artículo 96 CE regula la incorporación de los tratados válidamente celebrados y publicados, pero no explica por sí solo la especificidad del ordenamiento de la Unión. El artículo 93 constituye el fundamento constitucional de la atribución de competencias y, junto con el principio de cooperación, sustenta las obligaciones españolas de aplicación.</w:t>
      </w:r>
    </w:p>
    <w:p>
      <w:pPr>
        <w:jc w:val="both"/>
      </w:pPr>
      <w:r>
        <w:rPr>
          <w:rFonts w:ascii="Arial" w:hAnsi="Arial" w:cs="Arial"/>
          <w:sz w:val="22"/>
        </w:rPr>
        <w:t>El artículo 4 bis LOPJ ordena a jueces y tribunales aplicar el Derecho de la Unión de conformidad con la jurisprudencia del Tribunal de Justicia. Esta previsión interna confirma, pero no crea, la primacía.</w:t>
      </w:r>
    </w:p>
    <w:p>
      <w:pPr>
        <w:pStyle w:val="Heading2"/>
        <w:keepNext/>
      </w:pPr>
      <w:r>
        <w:rPr>
          <w:rFonts w:ascii="Arial" w:hAnsi="Arial" w:cs="Arial"/>
          <w:sz w:val="25"/>
        </w:rPr>
        <w:t>10.2. Primacía y supremacía constitucional</w:t>
      </w:r>
    </w:p>
    <w:p>
      <w:pPr>
        <w:jc w:val="both"/>
      </w:pPr>
      <w:r>
        <w:rPr>
          <w:rFonts w:ascii="Arial" w:hAnsi="Arial" w:cs="Arial"/>
          <w:sz w:val="22"/>
        </w:rPr>
        <w:t>La Declaración del Tribunal Constitucional 1/2004 distingue:</w:t>
      </w:r>
    </w:p>
    <w:p>
      <w:pPr>
        <w:pStyle w:val="ListBullet"/>
      </w:pPr>
      <w:r>
        <w:rPr>
          <w:rFonts w:ascii="Arial" w:hAnsi="Arial" w:cs="Arial"/>
          <w:b/>
          <w:sz w:val="22"/>
        </w:rPr>
        <w:t>Supremacía:</w:t>
      </w:r>
      <w:r>
        <w:rPr>
          <w:rFonts w:ascii="Arial" w:hAnsi="Arial" w:cs="Arial"/>
          <w:sz w:val="22"/>
        </w:rPr>
        <w:t xml:space="preserve"> categoría de validez y jerarquía; la Constitución es fuente superior del ordenamiento interno.</w:t>
      </w:r>
    </w:p>
    <w:p>
      <w:pPr>
        <w:pStyle w:val="ListBullet"/>
      </w:pPr>
      <w:r>
        <w:rPr>
          <w:rFonts w:ascii="Arial" w:hAnsi="Arial" w:cs="Arial"/>
          <w:b/>
          <w:sz w:val="22"/>
        </w:rPr>
        <w:t>Primacía:</w:t>
      </w:r>
      <w:r>
        <w:rPr>
          <w:rFonts w:ascii="Arial" w:hAnsi="Arial" w:cs="Arial"/>
          <w:sz w:val="22"/>
        </w:rPr>
        <w:t xml:space="preserve"> regla de aplicación preferente entre normas en principio válidas; la norma europea desplaza a la nacional en el ámbito atribuido.</w:t>
      </w:r>
    </w:p>
    <w:p>
      <w:pPr>
        <w:jc w:val="both"/>
      </w:pPr>
      <w:r>
        <w:rPr>
          <w:rFonts w:ascii="Arial" w:hAnsi="Arial" w:cs="Arial"/>
          <w:sz w:val="22"/>
        </w:rPr>
        <w:t>Para el Tribunal Constitucional, ambas categorías son compatibles porque la propia Constitución, mediante el artículo 93, acepta el ejercicio por la Unión de competencias atribuidas. La Declaración mencionó límites materiales implícitos vinculados a soberanía, estructuras constitucionales básicas y sistema de valores y derechos fundamentales, y consideró «difícilmente concebible» un conflicto no remediado por los cauces europeos. En un examen ordinario debe evitarse presentar esos límites como una autorización general a cada juez para desconocer el Derecho de la Unión.</w:t>
      </w:r>
    </w:p>
    <w:p>
      <w:pPr>
        <w:jc w:val="both"/>
      </w:pPr>
      <w:r>
        <w:rPr>
          <w:rFonts w:ascii="Arial" w:hAnsi="Arial" w:cs="Arial"/>
          <w:sz w:val="22"/>
        </w:rPr>
        <w:t>El control de compatibilidad entre ley y Derecho de la Unión corresponde al juez ordinario, que puede plantear cuestión prejudicial y debe inaplicar la ley incompatible. No es, por regla general, un juicio de constitucionalidad ni transforma la norma europea en canon autónomo de constitucionalidad. Sin embargo, una decisión judicial sobre el Derecho de la Unión puede adquirir dimensión constitucional si lesiona tutela judicial efectiva, por ejemplo al omitir arbitrariamente una cuestión prejudicial obligatoria o inaplicar una ley sin respetar las exigencias jurisdiccionales pertinentes.</w:t>
      </w:r>
    </w:p>
    <w:p>
      <w:pPr>
        <w:pStyle w:val="Heading2"/>
        <w:keepNext/>
      </w:pPr>
      <w:r>
        <w:rPr>
          <w:rFonts w:ascii="Arial" w:hAnsi="Arial" w:cs="Arial"/>
          <w:sz w:val="25"/>
        </w:rPr>
        <w:t>10.3. Administraciones y legislador</w:t>
      </w:r>
    </w:p>
    <w:p>
      <w:pPr>
        <w:jc w:val="both"/>
      </w:pPr>
      <w:r>
        <w:rPr>
          <w:rFonts w:ascii="Arial" w:hAnsi="Arial" w:cs="Arial"/>
          <w:sz w:val="22"/>
        </w:rPr>
        <w:t>La Administración española debe aplicar la norma europea prevalente en el ámbito de sus competencias, interpretar el Derecho interno conforme a ella y corregir prácticas incompatibles. La inaplicación administrativa exige particular cuidado por los principios de legalidad y seguridad jurídica, pero no puede sostenerse que la primacía obligue solo a jueces.</w:t>
      </w:r>
    </w:p>
    <w:p>
      <w:pPr>
        <w:jc w:val="both"/>
      </w:pPr>
      <w:r>
        <w:rPr>
          <w:rFonts w:ascii="Arial" w:hAnsi="Arial" w:cs="Arial"/>
          <w:sz w:val="22"/>
        </w:rPr>
        <w:t>El legislador conserva el deber de eliminar incompatibilidades para garantizar certeza y evitar que una norma formalmente vigente induzca a error. Una práctica de mera inaplicación caso por caso puede no bastar para poner fin a un incumplimiento declarado por el Tribunal de Justicia.</w:t>
      </w:r>
    </w:p>
    <w:p>
      <w:pPr>
        <w:pStyle w:val="Heading1"/>
        <w:keepNext/>
      </w:pPr>
      <w:r>
        <w:rPr>
          <w:rFonts w:ascii="Arial" w:hAnsi="Arial" w:cs="Arial"/>
          <w:sz w:val="30"/>
        </w:rPr>
        <w:t>11. Control de validez del Derecho de la Unión</w:t>
      </w:r>
    </w:p>
    <w:p>
      <w:pPr>
        <w:jc w:val="both"/>
      </w:pPr>
      <w:r>
        <w:rPr>
          <w:rFonts w:ascii="Arial" w:hAnsi="Arial" w:cs="Arial"/>
          <w:sz w:val="22"/>
        </w:rPr>
        <w:t>Controlar la validez de un acto europeo no es lo mismo que controlar la compatibilidad de una norma nacional con el Derecho europeo. En el primer caso se juzga el propio acto de la Unión; en el segundo se aplica la primacía.</w:t>
      </w:r>
    </w:p>
    <w:p>
      <w:pPr>
        <w:pStyle w:val="Heading2"/>
        <w:keepNext/>
      </w:pPr>
      <w:r>
        <w:rPr>
          <w:rFonts w:ascii="Arial" w:hAnsi="Arial" w:cs="Arial"/>
          <w:sz w:val="25"/>
        </w:rPr>
        <w:t>11.1. Recurso de anulación: artículo 263 TFUE</w:t>
      </w:r>
    </w:p>
    <w:p>
      <w:pPr>
        <w:jc w:val="both"/>
      </w:pPr>
      <w:r>
        <w:rPr>
          <w:rFonts w:ascii="Arial" w:hAnsi="Arial" w:cs="Arial"/>
          <w:sz w:val="22"/>
        </w:rPr>
        <w:t>El Tribunal de Justicia de la Unión Europea controla la legalidad de actos legislativos y de actos del Consejo, Comisión y Banco Central Europeo destinados a producir efectos jurídicos frente a terceros, así como actos del Parlamento Europeo, Consejo Europeo y órganos u organismos con esos efectos.</w:t>
      </w:r>
    </w:p>
    <w:p>
      <w:pPr>
        <w:jc w:val="both"/>
      </w:pPr>
      <w:r>
        <w:rPr>
          <w:rFonts w:ascii="Arial" w:hAnsi="Arial" w:cs="Arial"/>
          <w:sz w:val="22"/>
        </w:rPr>
        <w:t>Están legitimados:</w:t>
      </w:r>
    </w:p>
    <w:p>
      <w:pPr>
        <w:pStyle w:val="ListBullet"/>
      </w:pPr>
      <w:r>
        <w:rPr>
          <w:rFonts w:ascii="Arial" w:hAnsi="Arial" w:cs="Arial"/>
          <w:b/>
          <w:sz w:val="22"/>
        </w:rPr>
        <w:t>Demandantes privilegiados:</w:t>
      </w:r>
      <w:r>
        <w:rPr>
          <w:rFonts w:ascii="Arial" w:hAnsi="Arial" w:cs="Arial"/>
          <w:sz w:val="22"/>
        </w:rPr>
        <w:t xml:space="preserve"> Estados miembros, Parlamento, Consejo y Comisión; no necesitan demostrar interés específico.</w:t>
      </w:r>
    </w:p>
    <w:p>
      <w:pPr>
        <w:pStyle w:val="ListBullet"/>
      </w:pPr>
      <w:r>
        <w:rPr>
          <w:rFonts w:ascii="Arial" w:hAnsi="Arial" w:cs="Arial"/>
          <w:b/>
          <w:sz w:val="22"/>
        </w:rPr>
        <w:t>Semiprivilegiados:</w:t>
      </w:r>
      <w:r>
        <w:rPr>
          <w:rFonts w:ascii="Arial" w:hAnsi="Arial" w:cs="Arial"/>
          <w:sz w:val="22"/>
        </w:rPr>
        <w:t xml:space="preserve"> Tribunal de Cuentas, Banco Central Europeo y Comité de las Regiones, para proteger sus prerrogativas.</w:t>
      </w:r>
    </w:p>
    <w:p>
      <w:pPr>
        <w:pStyle w:val="ListBullet"/>
      </w:pPr>
      <w:r>
        <w:rPr>
          <w:rFonts w:ascii="Arial" w:hAnsi="Arial" w:cs="Arial"/>
          <w:b/>
          <w:sz w:val="22"/>
        </w:rPr>
        <w:t>Personas físicas o jurídicas:</w:t>
      </w:r>
      <w:r>
        <w:rPr>
          <w:rFonts w:ascii="Arial" w:hAnsi="Arial" w:cs="Arial"/>
          <w:sz w:val="22"/>
        </w:rPr>
        <w:t xml:space="preserve"> contra actos de los que sean destinatarias; actos que les afecten directa e individualmente; y actos reglamentarios que les afecten directamente y no incluyan medidas de ejecución.</w:t>
      </w:r>
    </w:p>
    <w:p>
      <w:pPr>
        <w:jc w:val="both"/>
      </w:pPr>
      <w:r>
        <w:rPr>
          <w:rFonts w:ascii="Arial" w:hAnsi="Arial" w:cs="Arial"/>
          <w:sz w:val="22"/>
        </w:rPr>
        <w:t xml:space="preserve">La afectación directa exige, en esencia, efectos inmediatos sobre la situación jurídica y ausencia de discrecionalidad relevante de los ejecutores. La afectación individual sigue el criterio estricto de </w:t>
      </w:r>
      <w:r>
        <w:rPr>
          <w:rFonts w:ascii="Arial" w:hAnsi="Arial" w:cs="Arial"/>
          <w:i/>
          <w:sz w:val="22"/>
        </w:rPr>
        <w:t>Plaumann</w:t>
      </w:r>
      <w:r>
        <w:rPr>
          <w:rFonts w:ascii="Arial" w:hAnsi="Arial" w:cs="Arial"/>
          <w:sz w:val="22"/>
        </w:rPr>
        <w:t xml:space="preserve">: circunstancias o atributos que singularicen a la persona como a un destinatario. «Acto reglamentario» en la tercera vía de Lisboa significa acto de alcance general </w:t>
      </w:r>
      <w:r>
        <w:rPr>
          <w:rFonts w:ascii="Arial" w:hAnsi="Arial" w:cs="Arial"/>
          <w:b/>
          <w:sz w:val="22"/>
        </w:rPr>
        <w:t>no legislativo</w:t>
      </w:r>
      <w:r>
        <w:rPr>
          <w:rFonts w:ascii="Arial" w:hAnsi="Arial" w:cs="Arial"/>
          <w:sz w:val="22"/>
        </w:rPr>
        <w:t>, no cualquier reglamento en sentido del artículo 288.</w:t>
      </w:r>
    </w:p>
    <w:p>
      <w:pPr>
        <w:jc w:val="both"/>
      </w:pPr>
      <w:r>
        <w:rPr>
          <w:rFonts w:ascii="Arial" w:hAnsi="Arial" w:cs="Arial"/>
          <w:sz w:val="22"/>
        </w:rPr>
        <w:t xml:space="preserve">El recurso debe interponerse en </w:t>
      </w:r>
      <w:r>
        <w:rPr>
          <w:rFonts w:ascii="Arial" w:hAnsi="Arial" w:cs="Arial"/>
          <w:b/>
          <w:sz w:val="22"/>
        </w:rPr>
        <w:t>dos meses</w:t>
      </w:r>
      <w:r>
        <w:rPr>
          <w:rFonts w:ascii="Arial" w:hAnsi="Arial" w:cs="Arial"/>
          <w:sz w:val="22"/>
        </w:rPr>
        <w:t>, computados según la publicación, notificación o conocimiento, con las reglas procesales aplicables. Los motivos son incompetencia, vicios sustanciales de forma, violación de los Tratados o de cualquier norma jurídica relativa a su ejecución y desviación de poder.</w:t>
      </w:r>
    </w:p>
    <w:p>
      <w:pPr>
        <w:jc w:val="both"/>
      </w:pPr>
      <w:r>
        <w:rPr>
          <w:rFonts w:ascii="Arial" w:hAnsi="Arial" w:cs="Arial"/>
          <w:sz w:val="22"/>
        </w:rPr>
        <w:t>Si el recurso prospera, el acto se declara nulo —artículo 264—. El Tribunal puede indicar qué efectos deben considerarse definitivos por seguridad jurídica. La anulación es diferente de la inaplicación de una norma nacional: recae sobre la validez del acto europeo y produce efectos generales.</w:t>
      </w:r>
    </w:p>
    <w:p>
      <w:pPr>
        <w:pStyle w:val="Heading2"/>
        <w:keepNext/>
      </w:pPr>
      <w:r>
        <w:rPr>
          <w:rFonts w:ascii="Arial" w:hAnsi="Arial" w:cs="Arial"/>
          <w:sz w:val="25"/>
        </w:rPr>
        <w:t>11.2. Cuestión prejudicial de validez: artículo 267 TFUE</w:t>
      </w:r>
    </w:p>
    <w:p>
      <w:pPr>
        <w:jc w:val="both"/>
      </w:pPr>
      <w:r>
        <w:rPr>
          <w:rFonts w:ascii="Arial" w:hAnsi="Arial" w:cs="Arial"/>
          <w:sz w:val="22"/>
        </w:rPr>
        <w:t xml:space="preserve">Cualquier órgano jurisdiccional nacional puede preguntar sobre la validez de actos de instituciones, órganos u organismos cuando la respuesta sea necesaria para decidir. Conforme a </w:t>
      </w:r>
      <w:r>
        <w:rPr>
          <w:rFonts w:ascii="Arial" w:hAnsi="Arial" w:cs="Arial"/>
          <w:i/>
          <w:sz w:val="22"/>
        </w:rPr>
        <w:t>Foto-Frost</w:t>
      </w:r>
      <w:r>
        <w:rPr>
          <w:rFonts w:ascii="Arial" w:hAnsi="Arial" w:cs="Arial"/>
          <w:sz w:val="22"/>
        </w:rPr>
        <w:t>:</w:t>
      </w:r>
    </w:p>
    <w:p>
      <w:pPr>
        <w:pStyle w:val="ListBullet"/>
      </w:pPr>
      <w:r>
        <w:rPr>
          <w:rFonts w:ascii="Arial" w:hAnsi="Arial" w:cs="Arial"/>
          <w:sz w:val="22"/>
        </w:rPr>
        <w:t>Puede rechazar motivos de invalidez y aplicar el acto si no alberga dudas fundadas.</w:t>
      </w:r>
    </w:p>
    <w:p>
      <w:pPr>
        <w:pStyle w:val="ListBullet"/>
      </w:pPr>
      <w:r>
        <w:rPr>
          <w:rFonts w:ascii="Arial" w:hAnsi="Arial" w:cs="Arial"/>
          <w:b/>
          <w:sz w:val="22"/>
        </w:rPr>
        <w:t>No puede declarar inválido</w:t>
      </w:r>
      <w:r>
        <w:rPr>
          <w:rFonts w:ascii="Arial" w:hAnsi="Arial" w:cs="Arial"/>
          <w:sz w:val="22"/>
        </w:rPr>
        <w:t xml:space="preserve"> un acto de la Unión.</w:t>
      </w:r>
    </w:p>
    <w:p>
      <w:pPr>
        <w:pStyle w:val="ListBullet"/>
      </w:pPr>
      <w:r>
        <w:rPr>
          <w:rFonts w:ascii="Arial" w:hAnsi="Arial" w:cs="Arial"/>
          <w:sz w:val="22"/>
        </w:rPr>
        <w:t>Si considera fundados los motivos de invalidez, debe plantear la cuestión al Tribunal de Justicia.</w:t>
      </w:r>
    </w:p>
    <w:p>
      <w:pPr>
        <w:jc w:val="both"/>
      </w:pPr>
      <w:r>
        <w:rPr>
          <w:rFonts w:ascii="Arial" w:hAnsi="Arial" w:cs="Arial"/>
          <w:sz w:val="22"/>
        </w:rPr>
        <w:t>La exclusividad garantiza uniformidad: un acto europeo no puede ser válido en unos Estados e inválido en otros. Incluso un órgano de última instancia no puede suplir al Tribunal de Justicia declarando la invalidez.</w:t>
      </w:r>
    </w:p>
    <w:p>
      <w:pPr>
        <w:jc w:val="both"/>
      </w:pPr>
      <w:r>
        <w:rPr>
          <w:rFonts w:ascii="Arial" w:hAnsi="Arial" w:cs="Arial"/>
          <w:sz w:val="22"/>
        </w:rPr>
        <w:t xml:space="preserve">La cuestión de validez permite un control incidental aunque haya transcurrido el plazo del artículo 263, pero no puede utilizarla quien estaba manifiestamente legitimado para impugnar directamente el acto y dejó transcurrir el plazo, conforme a la doctrina </w:t>
      </w:r>
      <w:r>
        <w:rPr>
          <w:rFonts w:ascii="Arial" w:hAnsi="Arial" w:cs="Arial"/>
          <w:i/>
          <w:sz w:val="22"/>
        </w:rPr>
        <w:t>TWD</w:t>
      </w:r>
      <w:r>
        <w:rPr>
          <w:rFonts w:ascii="Arial" w:hAnsi="Arial" w:cs="Arial"/>
          <w:sz w:val="22"/>
        </w:rPr>
        <w:t>. Tampoco todo particular tiene que superar la afectación individual: puede impugnar la medida nacional de ejecución y provocar, si procede, la cuestión prejudicial.</w:t>
      </w:r>
    </w:p>
    <w:p>
      <w:pPr>
        <w:pStyle w:val="Heading2"/>
        <w:keepNext/>
      </w:pPr>
      <w:r>
        <w:rPr>
          <w:rFonts w:ascii="Arial" w:hAnsi="Arial" w:cs="Arial"/>
          <w:sz w:val="25"/>
        </w:rPr>
        <w:t>11.3. Excepción de ilegalidad y otros recursos</w:t>
      </w:r>
    </w:p>
    <w:p>
      <w:pPr>
        <w:jc w:val="both"/>
      </w:pPr>
      <w:r>
        <w:rPr>
          <w:rFonts w:ascii="Arial" w:hAnsi="Arial" w:cs="Arial"/>
          <w:sz w:val="22"/>
        </w:rPr>
        <w:t>El artículo 277 TFUE permite, en un litigio sobre un acto de alcance general, alegar incidentalmente su inaplicabilidad por los motivos del artículo 263 pese a haber vencido el plazo. La excepción:</w:t>
      </w:r>
    </w:p>
    <w:p>
      <w:pPr>
        <w:pStyle w:val="ListBullet"/>
      </w:pPr>
      <w:r>
        <w:rPr>
          <w:rFonts w:ascii="Arial" w:hAnsi="Arial" w:cs="Arial"/>
          <w:sz w:val="22"/>
        </w:rPr>
        <w:t>Es incidental y necesita un litigio principal.</w:t>
      </w:r>
    </w:p>
    <w:p>
      <w:pPr>
        <w:pStyle w:val="ListBullet"/>
      </w:pPr>
      <w:r>
        <w:rPr>
          <w:rFonts w:ascii="Arial" w:hAnsi="Arial" w:cs="Arial"/>
          <w:sz w:val="22"/>
        </w:rPr>
        <w:t>Exige conexión entre el acto general y el acto impugnado.</w:t>
      </w:r>
    </w:p>
    <w:p>
      <w:pPr>
        <w:pStyle w:val="ListBullet"/>
      </w:pPr>
      <w:r>
        <w:rPr>
          <w:rFonts w:ascii="Arial" w:hAnsi="Arial" w:cs="Arial"/>
          <w:sz w:val="22"/>
        </w:rPr>
        <w:t>No anula erga omnes el acto general; permite no aplicarlo en el litigio.</w:t>
      </w:r>
    </w:p>
    <w:p>
      <w:pPr>
        <w:jc w:val="both"/>
      </w:pPr>
      <w:r>
        <w:rPr>
          <w:rFonts w:ascii="Arial" w:hAnsi="Arial" w:cs="Arial"/>
          <w:sz w:val="22"/>
        </w:rPr>
        <w:t>El recurso por omisión del artículo 265 controla la abstención contraria a los Tratados de una institución, órgano u organismo, previa invitación a actuar. Los artículos 268 y 340 regulan la responsabilidad extracontractual de la Unión. Los artículos 278 y 279 permiten suspensión y medidas provisionales; los recursos no tienen efecto suspensivo automático.</w:t>
      </w:r>
    </w:p>
    <w:tbl>
      <w:tblPr>
        <w:tblStyle w:val="TableGrid"/>
        <w:tblW w:type="dxa" w:w="9026"/>
        <w:jc w:val="left"/>
        <w:tblLayout w:type="fixed"/>
        <w:tblLook w:firstColumn="1" w:firstRow="1" w:lastColumn="0" w:lastRow="0" w:noHBand="0" w:noVBand="1" w:val="04A0"/>
        <w:tblInd w:w="120" w:type="dxa"/>
      </w:tblPr>
      <w:tblGrid>
        <w:gridCol w:w="2716"/>
        <w:gridCol w:w="2636"/>
        <w:gridCol w:w="900"/>
        <w:gridCol w:w="2774"/>
      </w:tblGrid>
      <w:tr>
        <w:trPr>
          <w:tblHeader w:val="true"/>
        </w:trPr>
        <w:tc>
          <w:tcPr>
            <w:tcW w:type="dxa" w:w="27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Vía</w:t>
            </w:r>
          </w:p>
        </w:tc>
        <w:tc>
          <w:tcPr>
            <w:tcW w:type="dxa" w:w="263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Objeto</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Quién decide</w:t>
            </w:r>
          </w:p>
        </w:tc>
        <w:tc>
          <w:tcPr>
            <w:tcW w:type="dxa" w:w="277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Efecto característico</w:t>
            </w:r>
          </w:p>
        </w:tc>
      </w:tr>
      <w:tr>
        <w:tc>
          <w:tcPr>
            <w:tcW w:type="dxa" w:w="2716"/>
            <w:tcMar>
              <w:top w:w="80" w:type="dxa"/>
              <w:start w:w="120" w:type="dxa"/>
              <w:bottom w:w="80" w:type="dxa"/>
              <w:end w:w="120" w:type="dxa"/>
            </w:tcMar>
            <w:vAlign w:val="center"/>
          </w:tcPr>
          <w:p>
            <w:pPr>
              <w:spacing w:before="0" w:after="0" w:line="240" w:lineRule="auto"/>
              <w:jc w:val="left"/>
            </w:pPr>
            <w:r/>
            <w:r>
              <w:rPr>
                <w:rFonts w:ascii="Arial" w:hAnsi="Arial" w:cs="Arial"/>
                <w:sz w:val="18"/>
              </w:rPr>
              <w:t>Recurso de anulación, art. 263</w:t>
            </w:r>
          </w:p>
        </w:tc>
        <w:tc>
          <w:tcPr>
            <w:tcW w:type="dxa" w:w="2636"/>
            <w:tcMar>
              <w:top w:w="80" w:type="dxa"/>
              <w:start w:w="120" w:type="dxa"/>
              <w:bottom w:w="80" w:type="dxa"/>
              <w:end w:w="120" w:type="dxa"/>
            </w:tcMar>
            <w:vAlign w:val="center"/>
          </w:tcPr>
          <w:p>
            <w:pPr>
              <w:spacing w:before="0" w:after="0" w:line="240" w:lineRule="auto"/>
              <w:jc w:val="left"/>
            </w:pPr>
            <w:r/>
            <w:r>
              <w:rPr>
                <w:rFonts w:ascii="Arial" w:hAnsi="Arial" w:cs="Arial"/>
                <w:sz w:val="18"/>
              </w:rPr>
              <w:t>Legalidad de acto de la Unión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TJUE</w:t>
            </w:r>
          </w:p>
        </w:tc>
        <w:tc>
          <w:tcPr>
            <w:tcW w:type="dxa" w:w="2774"/>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de nulidad</w:t>
            </w:r>
          </w:p>
        </w:tc>
      </w:tr>
      <w:tr>
        <w:tc>
          <w:tcPr>
            <w:tcW w:type="dxa" w:w="2716"/>
            <w:tcMar>
              <w:top w:w="80" w:type="dxa"/>
              <w:start w:w="120" w:type="dxa"/>
              <w:bottom w:w="80" w:type="dxa"/>
              <w:end w:w="120" w:type="dxa"/>
            </w:tcMar>
            <w:vAlign w:val="center"/>
          </w:tcPr>
          <w:p>
            <w:pPr>
              <w:spacing w:before="0" w:after="0" w:line="240" w:lineRule="auto"/>
              <w:jc w:val="left"/>
            </w:pPr>
            <w:r/>
            <w:r>
              <w:rPr>
                <w:rFonts w:ascii="Arial" w:hAnsi="Arial" w:cs="Arial"/>
                <w:sz w:val="18"/>
              </w:rPr>
              <w:t>Cuestión prejudicial de validez, art. 267</w:t>
            </w:r>
          </w:p>
        </w:tc>
        <w:tc>
          <w:tcPr>
            <w:tcW w:type="dxa" w:w="2636"/>
            <w:tcMar>
              <w:top w:w="80" w:type="dxa"/>
              <w:start w:w="120" w:type="dxa"/>
              <w:bottom w:w="80" w:type="dxa"/>
              <w:end w:w="120" w:type="dxa"/>
            </w:tcMar>
            <w:vAlign w:val="center"/>
          </w:tcPr>
          <w:p>
            <w:pPr>
              <w:spacing w:before="0" w:after="0" w:line="240" w:lineRule="auto"/>
              <w:jc w:val="left"/>
            </w:pPr>
            <w:r/>
            <w:r>
              <w:rPr>
                <w:rFonts w:ascii="Arial" w:hAnsi="Arial" w:cs="Arial"/>
                <w:sz w:val="18"/>
              </w:rPr>
              <w:t>Validez planteada en litigio nacional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TJUE</w:t>
            </w:r>
          </w:p>
        </w:tc>
        <w:tc>
          <w:tcPr>
            <w:tcW w:type="dxa" w:w="2774"/>
            <w:tcMar>
              <w:top w:w="80" w:type="dxa"/>
              <w:start w:w="120" w:type="dxa"/>
              <w:bottom w:w="80" w:type="dxa"/>
              <w:end w:w="120" w:type="dxa"/>
            </w:tcMar>
            <w:vAlign w:val="center"/>
          </w:tcPr>
          <w:p>
            <w:pPr>
              <w:spacing w:before="0" w:after="0" w:line="240" w:lineRule="auto"/>
              <w:jc w:val="left"/>
            </w:pPr>
            <w:r/>
            <w:r>
              <w:rPr>
                <w:rFonts w:ascii="Arial" w:hAnsi="Arial" w:cs="Arial"/>
                <w:sz w:val="18"/>
              </w:rPr>
              <w:t>Pronunciamiento uniforme sobre validez</w:t>
            </w:r>
          </w:p>
        </w:tc>
      </w:tr>
      <w:tr>
        <w:tc>
          <w:tcPr>
            <w:tcW w:type="dxa" w:w="2716"/>
            <w:tcMar>
              <w:top w:w="80" w:type="dxa"/>
              <w:start w:w="120" w:type="dxa"/>
              <w:bottom w:w="80" w:type="dxa"/>
              <w:end w:w="120" w:type="dxa"/>
            </w:tcMar>
            <w:vAlign w:val="center"/>
          </w:tcPr>
          <w:p>
            <w:pPr>
              <w:spacing w:before="0" w:after="0" w:line="240" w:lineRule="auto"/>
              <w:jc w:val="left"/>
            </w:pPr>
            <w:r/>
            <w:r>
              <w:rPr>
                <w:rFonts w:ascii="Arial" w:hAnsi="Arial" w:cs="Arial"/>
                <w:sz w:val="18"/>
              </w:rPr>
              <w:t>Excepción de ilegalidad, art. 277</w:t>
            </w:r>
          </w:p>
        </w:tc>
        <w:tc>
          <w:tcPr>
            <w:tcW w:type="dxa" w:w="2636"/>
            <w:tcMar>
              <w:top w:w="80" w:type="dxa"/>
              <w:start w:w="120" w:type="dxa"/>
              <w:bottom w:w="80" w:type="dxa"/>
              <w:end w:w="120" w:type="dxa"/>
            </w:tcMar>
            <w:vAlign w:val="center"/>
          </w:tcPr>
          <w:p>
            <w:pPr>
              <w:spacing w:before="0" w:after="0" w:line="240" w:lineRule="auto"/>
              <w:jc w:val="left"/>
            </w:pPr>
            <w:r/>
            <w:r>
              <w:rPr>
                <w:rFonts w:ascii="Arial" w:hAnsi="Arial" w:cs="Arial"/>
                <w:sz w:val="18"/>
              </w:rPr>
              <w:t>Acto general relacionado con litigio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TJUE</w:t>
            </w:r>
          </w:p>
        </w:tc>
        <w:tc>
          <w:tcPr>
            <w:tcW w:type="dxa" w:w="2774"/>
            <w:tcMar>
              <w:top w:w="80" w:type="dxa"/>
              <w:start w:w="120" w:type="dxa"/>
              <w:bottom w:w="80" w:type="dxa"/>
              <w:end w:w="120" w:type="dxa"/>
            </w:tcMar>
            <w:vAlign w:val="center"/>
          </w:tcPr>
          <w:p>
            <w:pPr>
              <w:spacing w:before="0" w:after="0" w:line="240" w:lineRule="auto"/>
              <w:jc w:val="left"/>
            </w:pPr>
            <w:r/>
            <w:r>
              <w:rPr>
                <w:rFonts w:ascii="Arial" w:hAnsi="Arial" w:cs="Arial"/>
                <w:sz w:val="18"/>
              </w:rPr>
              <w:t>Inaplicabilidad incidental</w:t>
            </w:r>
          </w:p>
        </w:tc>
      </w:tr>
      <w:tr>
        <w:tc>
          <w:tcPr>
            <w:tcW w:type="dxa" w:w="2716"/>
            <w:tcMar>
              <w:top w:w="80" w:type="dxa"/>
              <w:start w:w="120" w:type="dxa"/>
              <w:bottom w:w="80" w:type="dxa"/>
              <w:end w:w="120" w:type="dxa"/>
            </w:tcMar>
            <w:vAlign w:val="center"/>
          </w:tcPr>
          <w:p>
            <w:pPr>
              <w:spacing w:before="0" w:after="0" w:line="240" w:lineRule="auto"/>
              <w:jc w:val="left"/>
            </w:pPr>
            <w:r/>
            <w:r>
              <w:rPr>
                <w:rFonts w:ascii="Arial" w:hAnsi="Arial" w:cs="Arial"/>
                <w:sz w:val="18"/>
              </w:rPr>
              <w:t>Recurso por omisión, art. 265</w:t>
            </w:r>
          </w:p>
        </w:tc>
        <w:tc>
          <w:tcPr>
            <w:tcW w:type="dxa" w:w="2636"/>
            <w:tcMar>
              <w:top w:w="80" w:type="dxa"/>
              <w:start w:w="120" w:type="dxa"/>
              <w:bottom w:w="80" w:type="dxa"/>
              <w:end w:w="120" w:type="dxa"/>
            </w:tcMar>
            <w:vAlign w:val="center"/>
          </w:tcPr>
          <w:p>
            <w:pPr>
              <w:spacing w:before="0" w:after="0" w:line="240" w:lineRule="auto"/>
              <w:jc w:val="left"/>
            </w:pPr>
            <w:r/>
            <w:r>
              <w:rPr>
                <w:rFonts w:ascii="Arial" w:hAnsi="Arial" w:cs="Arial"/>
                <w:sz w:val="18"/>
              </w:rPr>
              <w:t>Abstención ilegal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TJUE</w:t>
            </w:r>
          </w:p>
        </w:tc>
        <w:tc>
          <w:tcPr>
            <w:tcW w:type="dxa" w:w="2774"/>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de infracción por no actuar</w:t>
            </w:r>
          </w:p>
        </w:tc>
      </w:tr>
      <w:tr>
        <w:tc>
          <w:tcPr>
            <w:tcW w:type="dxa" w:w="2716"/>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 arts. 268 y 340</w:t>
            </w:r>
          </w:p>
        </w:tc>
        <w:tc>
          <w:tcPr>
            <w:tcW w:type="dxa" w:w="2636"/>
            <w:tcMar>
              <w:top w:w="80" w:type="dxa"/>
              <w:start w:w="120" w:type="dxa"/>
              <w:bottom w:w="80" w:type="dxa"/>
              <w:end w:w="120" w:type="dxa"/>
            </w:tcMar>
            <w:vAlign w:val="center"/>
          </w:tcPr>
          <w:p>
            <w:pPr>
              <w:spacing w:before="0" w:after="0" w:line="240" w:lineRule="auto"/>
              <w:jc w:val="left"/>
            </w:pPr>
            <w:r/>
            <w:r>
              <w:rPr>
                <w:rFonts w:ascii="Arial" w:hAnsi="Arial" w:cs="Arial"/>
                <w:sz w:val="18"/>
              </w:rPr>
              <w:t>Daño causado por Unión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TJUE</w:t>
            </w:r>
          </w:p>
        </w:tc>
        <w:tc>
          <w:tcPr>
            <w:tcW w:type="dxa" w:w="2774"/>
            <w:tcMar>
              <w:top w:w="80" w:type="dxa"/>
              <w:start w:w="120" w:type="dxa"/>
              <w:bottom w:w="80" w:type="dxa"/>
              <w:end w:w="120" w:type="dxa"/>
            </w:tcMar>
            <w:vAlign w:val="center"/>
          </w:tcPr>
          <w:p>
            <w:pPr>
              <w:spacing w:before="0" w:after="0" w:line="240" w:lineRule="auto"/>
              <w:jc w:val="left"/>
            </w:pPr>
            <w:r/>
            <w:r>
              <w:rPr>
                <w:rFonts w:ascii="Arial" w:hAnsi="Arial" w:cs="Arial"/>
                <w:sz w:val="18"/>
              </w:rPr>
              <w:t>Reparación si concurren requisitos</w:t>
            </w:r>
          </w:p>
        </w:tc>
      </w:tr>
    </w:tbl>
    <w:p>
      <w:pPr>
        <w:spacing w:after="40"/>
      </w:pPr>
    </w:p>
    <w:p>
      <w:pPr>
        <w:spacing w:after="100"/>
        <w:ind w:left="340" w:right="227"/>
        <w:shd w:fill="EAF2F8"/>
      </w:pPr>
      <w:r>
        <w:rPr>
          <w:rFonts w:ascii="Arial" w:hAnsi="Arial" w:cs="Arial"/>
          <w:b/>
          <w:sz w:val="20"/>
        </w:rPr>
        <w:t>Trampa frecuente:</w:t>
      </w:r>
      <w:r>
        <w:rPr>
          <w:rFonts w:ascii="Arial" w:hAnsi="Arial" w:cs="Arial"/>
          <w:sz w:val="20"/>
        </w:rPr>
        <w:t xml:space="preserve"> el juez nacional sí puede declarar que una norma </w:t>
      </w:r>
      <w:r>
        <w:rPr>
          <w:rFonts w:ascii="Arial" w:hAnsi="Arial" w:cs="Arial"/>
          <w:b/>
          <w:sz w:val="20"/>
        </w:rPr>
        <w:t>nacional</w:t>
      </w:r>
      <w:r>
        <w:rPr>
          <w:rFonts w:ascii="Arial" w:hAnsi="Arial" w:cs="Arial"/>
          <w:sz w:val="20"/>
        </w:rPr>
        <w:t xml:space="preserve"> es incompatible y dejarla inaplicada; lo que no puede declarar inválido es un </w:t>
      </w:r>
      <w:r>
        <w:rPr>
          <w:rFonts w:ascii="Arial" w:hAnsi="Arial" w:cs="Arial"/>
          <w:b/>
          <w:sz w:val="20"/>
        </w:rPr>
        <w:t>acto de la Unión</w:t>
      </w:r>
      <w:r>
        <w:rPr>
          <w:rFonts w:ascii="Arial" w:hAnsi="Arial" w:cs="Arial"/>
          <w:sz w:val="20"/>
        </w:rPr>
        <w:t>.</w:t>
      </w:r>
    </w:p>
    <w:p>
      <w:pPr>
        <w:pStyle w:val="Heading1"/>
        <w:keepNext/>
      </w:pPr>
      <w:r>
        <w:rPr>
          <w:rFonts w:ascii="Arial" w:hAnsi="Arial" w:cs="Arial"/>
          <w:sz w:val="30"/>
        </w:rPr>
        <w:t>12. Cuestión prejudicial de interpretación</w:t>
      </w:r>
    </w:p>
    <w:p>
      <w:pPr>
        <w:jc w:val="both"/>
      </w:pPr>
      <w:r>
        <w:rPr>
          <w:rFonts w:ascii="Arial" w:hAnsi="Arial" w:cs="Arial"/>
          <w:sz w:val="22"/>
        </w:rPr>
        <w:t xml:space="preserve">El artículo 267 también atribuye al Tribunal de Justicia competencia para interpretar los Tratados y los actos de las instituciones, órganos u organismos. Un órgano jurisdiccional cuyas decisiones admiten recurso interno puede plantear si considera necesaria la respuesta; si decide en última instancia, debe hacerlo cuando la cuestión sea necesaria, salvo las excepciones estrictas de la doctrina </w:t>
      </w:r>
      <w:r>
        <w:rPr>
          <w:rFonts w:ascii="Arial" w:hAnsi="Arial" w:cs="Arial"/>
          <w:i/>
          <w:sz w:val="22"/>
        </w:rPr>
        <w:t>CILFIT</w:t>
      </w:r>
      <w:r>
        <w:rPr>
          <w:rFonts w:ascii="Arial" w:hAnsi="Arial" w:cs="Arial"/>
          <w:sz w:val="22"/>
        </w:rPr>
        <w:t>:</w:t>
      </w:r>
    </w:p>
    <w:p>
      <w:pPr>
        <w:pStyle w:val="ListBullet"/>
      </w:pPr>
      <w:r>
        <w:rPr>
          <w:rFonts w:ascii="Arial" w:hAnsi="Arial" w:cs="Arial"/>
          <w:sz w:val="22"/>
        </w:rPr>
        <w:t>La cuestión no es pertinente.</w:t>
      </w:r>
    </w:p>
    <w:p>
      <w:pPr>
        <w:pStyle w:val="ListBullet"/>
      </w:pPr>
      <w:r>
        <w:rPr>
          <w:rFonts w:ascii="Arial" w:hAnsi="Arial" w:cs="Arial"/>
          <w:sz w:val="22"/>
        </w:rPr>
        <w:t>El Tribunal ya ha interpretado el punto —acto aclarado—.</w:t>
      </w:r>
    </w:p>
    <w:p>
      <w:pPr>
        <w:pStyle w:val="ListBullet"/>
      </w:pPr>
      <w:r>
        <w:rPr>
          <w:rFonts w:ascii="Arial" w:hAnsi="Arial" w:cs="Arial"/>
          <w:sz w:val="22"/>
        </w:rPr>
        <w:t>La aplicación correcta es tan evidente que no deja duda razonable —acto claro—, valorando las características propias del Derecho de la Unión, su terminología, contexto, versiones lingüísticas y riesgo de divergencias.</w:t>
      </w:r>
    </w:p>
    <w:p>
      <w:pPr>
        <w:jc w:val="both"/>
      </w:pPr>
      <w:r>
        <w:rPr>
          <w:rFonts w:ascii="Arial" w:hAnsi="Arial" w:cs="Arial"/>
          <w:sz w:val="22"/>
        </w:rPr>
        <w:t xml:space="preserve">Estas excepciones se refieren a interpretación. Frente a una duda fundada de </w:t>
      </w:r>
      <w:r>
        <w:rPr>
          <w:rFonts w:ascii="Arial" w:hAnsi="Arial" w:cs="Arial"/>
          <w:b/>
          <w:sz w:val="22"/>
        </w:rPr>
        <w:t>validez</w:t>
      </w:r>
      <w:r>
        <w:rPr>
          <w:rFonts w:ascii="Arial" w:hAnsi="Arial" w:cs="Arial"/>
          <w:sz w:val="22"/>
        </w:rPr>
        <w:t xml:space="preserve"> opera </w:t>
      </w:r>
      <w:r>
        <w:rPr>
          <w:rFonts w:ascii="Arial" w:hAnsi="Arial" w:cs="Arial"/>
          <w:i/>
          <w:sz w:val="22"/>
        </w:rPr>
        <w:t>Foto-Frost</w:t>
      </w:r>
      <w:r>
        <w:rPr>
          <w:rFonts w:ascii="Arial" w:hAnsi="Arial" w:cs="Arial"/>
          <w:sz w:val="22"/>
        </w:rPr>
        <w:t>: el juez debe remitir, aunque no sea de última instancia. Si una persona está privada de libertad y la cuestión aparece en el litigio, el Tribunal de Justicia actúa con la mayor brevedad.</w:t>
      </w:r>
    </w:p>
    <w:p>
      <w:pPr>
        <w:jc w:val="both"/>
      </w:pPr>
      <w:r>
        <w:rPr>
          <w:rFonts w:ascii="Arial" w:hAnsi="Arial" w:cs="Arial"/>
          <w:sz w:val="22"/>
        </w:rPr>
        <w:t>El Tribunal interpreta; el juez nacional aplica la respuesta a los hechos y resuelve. La sentencia prejudicial vincula al órgano remitente y su interpretación debe ser seguida por los demás órganos, sin perjuicio de que puedan plantear nuevas cuestiones.</w:t>
      </w:r>
    </w:p>
    <w:p>
      <w:pPr>
        <w:pStyle w:val="Heading1"/>
        <w:keepNext/>
      </w:pPr>
      <w:r>
        <w:rPr>
          <w:rFonts w:ascii="Arial" w:hAnsi="Arial" w:cs="Arial"/>
          <w:sz w:val="30"/>
        </w:rPr>
        <w:t>13. Incumplimiento de los Estados</w:t>
      </w:r>
    </w:p>
    <w:p>
      <w:pPr>
        <w:jc w:val="both"/>
      </w:pPr>
      <w:r>
        <w:rPr>
          <w:rFonts w:ascii="Arial" w:hAnsi="Arial" w:cs="Arial"/>
          <w:sz w:val="22"/>
        </w:rPr>
        <w:t>Los artículos 258 a 260 TFUE establecen un control objetivo:</w:t>
      </w:r>
    </w:p>
    <w:p>
      <w:pPr>
        <w:spacing w:after="40"/>
        <w:ind w:left="369" w:hanging="227"/>
      </w:pPr>
      <w:r>
        <w:rPr>
          <w:rFonts w:ascii="Arial" w:hAnsi="Arial" w:cs="Arial"/>
          <w:sz w:val="22"/>
        </w:rPr>
        <w:t>1. La Comisión investiga y ofrece al Estado la posibilidad de presentar observaciones.</w:t>
      </w:r>
    </w:p>
    <w:p>
      <w:pPr>
        <w:spacing w:after="40"/>
        <w:ind w:left="369" w:hanging="227"/>
      </w:pPr>
      <w:r>
        <w:rPr>
          <w:rFonts w:ascii="Arial" w:hAnsi="Arial" w:cs="Arial"/>
          <w:sz w:val="22"/>
        </w:rPr>
        <w:t>2. Emite dictamen motivado.</w:t>
      </w:r>
    </w:p>
    <w:p>
      <w:pPr>
        <w:spacing w:after="40"/>
        <w:ind w:left="369" w:hanging="227"/>
      </w:pPr>
      <w:r>
        <w:rPr>
          <w:rFonts w:ascii="Arial" w:hAnsi="Arial" w:cs="Arial"/>
          <w:sz w:val="22"/>
        </w:rPr>
        <w:t>3. Si persiste el incumplimiento, interpone recurso ante el Tribunal de Justicia.</w:t>
      </w:r>
    </w:p>
    <w:p>
      <w:pPr>
        <w:spacing w:after="40"/>
        <w:ind w:left="369" w:hanging="227"/>
      </w:pPr>
      <w:r>
        <w:rPr>
          <w:rFonts w:ascii="Arial" w:hAnsi="Arial" w:cs="Arial"/>
          <w:sz w:val="22"/>
        </w:rPr>
        <w:t>4. Declarado el incumplimiento, el Estado debe adoptar las medidas necesarias.</w:t>
      </w:r>
    </w:p>
    <w:p>
      <w:pPr>
        <w:spacing w:after="40"/>
        <w:ind w:left="369" w:hanging="227"/>
      </w:pPr>
      <w:r>
        <w:rPr>
          <w:rFonts w:ascii="Arial" w:hAnsi="Arial" w:cs="Arial"/>
          <w:sz w:val="22"/>
        </w:rPr>
        <w:t>5. Si no ejecuta la sentencia, puede imponerse suma a tanto alzado y/o multa coercitiva.</w:t>
      </w:r>
    </w:p>
    <w:p>
      <w:pPr>
        <w:jc w:val="both"/>
      </w:pPr>
      <w:r>
        <w:rPr>
          <w:rFonts w:ascii="Arial" w:hAnsi="Arial" w:cs="Arial"/>
          <w:sz w:val="22"/>
        </w:rPr>
        <w:t>En caso de falta de comunicación de medidas de transposición de una directiva legislativa, la Comisión puede solicitar sanción ya en el primer recurso dentro del límite propuesto —artículo 260.3—. Un Estado puede demandar a otro conforme al artículo 259, previa intervención de la Comisión.</w:t>
      </w:r>
    </w:p>
    <w:p>
      <w:pPr>
        <w:jc w:val="both"/>
      </w:pPr>
      <w:r>
        <w:rPr>
          <w:rFonts w:ascii="Arial" w:hAnsi="Arial" w:cs="Arial"/>
          <w:sz w:val="22"/>
        </w:rPr>
        <w:t>El incumplimiento puede proceder de cualquier poder estatal, incluidas Comunidades Autónomas, legislador o tribunales. La distribución interna de competencias no excusa al Estado frente a la Unión. Tampoco puede invocar dificultades internas o reciprocidad frente al incumplimiento ajeno.</w:t>
      </w:r>
    </w:p>
    <w:p>
      <w:pPr>
        <w:jc w:val="both"/>
      </w:pPr>
      <w:r>
        <w:rPr>
          <w:rFonts w:ascii="Arial" w:hAnsi="Arial" w:cs="Arial"/>
          <w:sz w:val="22"/>
        </w:rPr>
        <w:t>La sentencia por incumplimiento no anula automáticamente las normas nacionales ni concede por sí sola una indemnización a cada particular, pero declara la infracción y refuerza los deberes de corrección y reparación.</w:t>
      </w:r>
    </w:p>
    <w:p>
      <w:pPr>
        <w:pStyle w:val="Heading1"/>
        <w:keepNext/>
      </w:pPr>
      <w:r>
        <w:rPr>
          <w:rFonts w:ascii="Arial" w:hAnsi="Arial" w:cs="Arial"/>
          <w:sz w:val="30"/>
        </w:rPr>
        <w:t>14. Autonomía procesal, equivalencia y efectividad</w:t>
      </w:r>
    </w:p>
    <w:p>
      <w:pPr>
        <w:jc w:val="both"/>
      </w:pPr>
      <w:r>
        <w:rPr>
          <w:rFonts w:ascii="Arial" w:hAnsi="Arial" w:cs="Arial"/>
          <w:sz w:val="22"/>
        </w:rPr>
        <w:t>Cuando no existe regulación procesal europea, corresponde al ordenamiento nacional designar órganos y procedimientos para tutelar derechos europeos. Esa autonomía está limitada por:</w:t>
      </w:r>
    </w:p>
    <w:p>
      <w:pPr>
        <w:pStyle w:val="ListBullet"/>
      </w:pPr>
      <w:r>
        <w:rPr>
          <w:rFonts w:ascii="Arial" w:hAnsi="Arial" w:cs="Arial"/>
          <w:b/>
          <w:sz w:val="22"/>
        </w:rPr>
        <w:t>Equivalencia:</w:t>
      </w:r>
      <w:r>
        <w:rPr>
          <w:rFonts w:ascii="Arial" w:hAnsi="Arial" w:cs="Arial"/>
          <w:sz w:val="22"/>
        </w:rPr>
        <w:t xml:space="preserve"> la regla no puede ser menos favorable que la aplicable a acciones internas semejantes.</w:t>
      </w:r>
    </w:p>
    <w:p>
      <w:pPr>
        <w:pStyle w:val="ListBullet"/>
      </w:pPr>
      <w:r>
        <w:rPr>
          <w:rFonts w:ascii="Arial" w:hAnsi="Arial" w:cs="Arial"/>
          <w:b/>
          <w:sz w:val="22"/>
        </w:rPr>
        <w:t>Efectividad:</w:t>
      </w:r>
      <w:r>
        <w:rPr>
          <w:rFonts w:ascii="Arial" w:hAnsi="Arial" w:cs="Arial"/>
          <w:sz w:val="22"/>
        </w:rPr>
        <w:t xml:space="preserve"> no puede hacer imposible o excesivamente difícil ejercer el derecho europeo.</w:t>
      </w:r>
    </w:p>
    <w:p>
      <w:pPr>
        <w:pStyle w:val="ListBullet"/>
      </w:pPr>
      <w:r>
        <w:rPr>
          <w:rFonts w:ascii="Arial" w:hAnsi="Arial" w:cs="Arial"/>
          <w:b/>
          <w:sz w:val="22"/>
        </w:rPr>
        <w:t>Tutela judicial efectiva:</w:t>
      </w:r>
      <w:r>
        <w:rPr>
          <w:rFonts w:ascii="Arial" w:hAnsi="Arial" w:cs="Arial"/>
          <w:sz w:val="22"/>
        </w:rPr>
        <w:t xml:space="preserve"> artículos 19 TUE y 47 de la Carta dentro de su ámbito.</w:t>
      </w:r>
    </w:p>
    <w:p>
      <w:pPr>
        <w:jc w:val="both"/>
      </w:pPr>
      <w:r>
        <w:rPr>
          <w:rFonts w:ascii="Arial" w:hAnsi="Arial" w:cs="Arial"/>
          <w:sz w:val="22"/>
        </w:rPr>
        <w:t>Plazos razonables de caducidad pueden ser compatibles con la seguridad jurídica. En cambio, una regla que prive en la práctica de toda vía efectiva, impida cautelares indispensables o proteja de forma desproporcionada la cosa juzgada puede requerir adaptación. No existe una obligación general de reabrir toda resolución firme contraria a una interpretación europea posterior; se ponderan seguridad jurídica, diseño del procedimiento y remedios disponibles.</w:t>
      </w:r>
    </w:p>
    <w:p>
      <w:pPr>
        <w:pStyle w:val="Heading1"/>
        <w:keepNext/>
      </w:pPr>
      <w:r>
        <w:rPr>
          <w:rFonts w:ascii="Arial" w:hAnsi="Arial" w:cs="Arial"/>
          <w:sz w:val="30"/>
        </w:rPr>
        <w:t>15. Cuadro de confusiones habituales</w:t>
      </w:r>
    </w:p>
    <w:tbl>
      <w:tblPr>
        <w:tblStyle w:val="TableGrid"/>
        <w:tblW w:type="dxa" w:w="9026"/>
        <w:jc w:val="left"/>
        <w:tblLayout w:type="fixed"/>
        <w:tblLook w:firstColumn="1" w:firstRow="1" w:lastColumn="0" w:lastRow="0" w:noHBand="0" w:noVBand="1" w:val="04A0"/>
        <w:tblInd w:w="120" w:type="dxa"/>
      </w:tblPr>
      <w:tblGrid>
        <w:gridCol w:w="3385"/>
        <w:gridCol w:w="5641"/>
      </w:tblGrid>
      <w:tr>
        <w:trPr>
          <w:tblHeader w:val="true"/>
        </w:trPr>
        <w:tc>
          <w:tcPr>
            <w:tcW w:type="dxa" w:w="33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Conceptos que se confunden</w:t>
            </w:r>
          </w:p>
        </w:tc>
        <w:tc>
          <w:tcPr>
            <w:tcW w:type="dxa" w:w="56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Distinción correcta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Primacía / supremacía</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Primacía es preferencia aplicativa; supremacía se refiere a jerarquía y validez</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Primacía / efecto directo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La primera desplaza la norma incompatible; el segundo permite invocar una disposición apta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Aplicabilidad directa / efecto directo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El reglamento no necesita recepción; cada precepto debe ser apto para fundar una pretensión</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Directiva / reglamento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La directiva obliga en el resultado y se transpone; el reglamento es directamente aplicable</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Acto legislativo / reglamento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«Legislativo» depende del procedimiento; «reglamento» es una forma jurídica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Acto delegado / de ejecución</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El delegado completa o modifica lo no esencial; el de ejecución uniforma la aplicación</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Inaplicar ley nacional / invalidar acto UE</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El juez nacional hace lo primero; solo el TJUE puede hacer lo segundo</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Interpretación conforme / contra legem</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La primera es obligatoria en lo posible; no autoriza reescribir contra el sentido admisible</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Recomendación no vinculante / irrelevante</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No crea obligación, pero debe considerarse al interpretar</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Artículo 263 / artículo 267</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Recurso directo de anulación frente a control prejudicial incidental</w:t>
            </w:r>
          </w:p>
        </w:tc>
      </w:tr>
    </w:tbl>
    <w:p>
      <w:pPr>
        <w:spacing w:after="40"/>
      </w:pPr>
    </w:p>
    <w:p>
      <w:pPr>
        <w:pStyle w:val="Heading1"/>
        <w:keepNext/>
      </w:pPr>
      <w:r>
        <w:rPr>
          <w:rFonts w:ascii="Arial" w:hAnsi="Arial" w:cs="Arial"/>
          <w:sz w:val="30"/>
        </w:rPr>
        <w:t>16. Resumen de memoria</w:t>
      </w:r>
    </w:p>
    <w:p>
      <w:pPr>
        <w:spacing w:after="40"/>
        <w:ind w:left="369" w:hanging="227"/>
      </w:pPr>
      <w:r>
        <w:rPr>
          <w:rFonts w:ascii="Arial" w:hAnsi="Arial" w:cs="Arial"/>
          <w:sz w:val="22"/>
        </w:rPr>
        <w:t>1. La Unión actúa por atribución; subsidiariedad rige en competencias no exclusivas y proporcionalidad en toda actuación.</w:t>
      </w:r>
    </w:p>
    <w:p>
      <w:pPr>
        <w:spacing w:after="40"/>
        <w:ind w:left="369" w:hanging="227"/>
      </w:pPr>
      <w:r>
        <w:rPr>
          <w:rFonts w:ascii="Arial" w:hAnsi="Arial" w:cs="Arial"/>
          <w:sz w:val="22"/>
        </w:rPr>
        <w:t>2. TUE y TFUE tienen igual valor. Carta, protocolos y anexos integran el Derecho originario en los términos de los Tratados.</w:t>
      </w:r>
    </w:p>
    <w:p>
      <w:pPr>
        <w:spacing w:after="40"/>
        <w:ind w:left="369" w:hanging="227"/>
      </w:pPr>
      <w:r>
        <w:rPr>
          <w:rFonts w:ascii="Arial" w:hAnsi="Arial" w:cs="Arial"/>
          <w:sz w:val="22"/>
        </w:rPr>
        <w:t>3. Los principios generales están por encima del Derecho derivado y sirven como criterio de interpretación y validez.</w:t>
      </w:r>
    </w:p>
    <w:p>
      <w:pPr>
        <w:spacing w:after="40"/>
        <w:ind w:left="369" w:hanging="227"/>
      </w:pPr>
      <w:r>
        <w:rPr>
          <w:rFonts w:ascii="Arial" w:hAnsi="Arial" w:cs="Arial"/>
          <w:sz w:val="22"/>
        </w:rPr>
        <w:t>4. Los acuerdos de la Unión vinculan a instituciones y Estados por el artículo 216.2 TFUE.</w:t>
      </w:r>
    </w:p>
    <w:p>
      <w:pPr>
        <w:spacing w:after="40"/>
        <w:ind w:left="369" w:hanging="227"/>
      </w:pPr>
      <w:r>
        <w:rPr>
          <w:rFonts w:ascii="Arial" w:hAnsi="Arial" w:cs="Arial"/>
          <w:sz w:val="22"/>
        </w:rPr>
        <w:t>5. El artículo 288 enumera reglamentos, directivas, decisiones, recomendaciones y dictámenes.</w:t>
      </w:r>
    </w:p>
    <w:p>
      <w:pPr>
        <w:spacing w:after="40"/>
        <w:ind w:left="369" w:hanging="227"/>
      </w:pPr>
      <w:r>
        <w:rPr>
          <w:rFonts w:ascii="Arial" w:hAnsi="Arial" w:cs="Arial"/>
          <w:sz w:val="22"/>
        </w:rPr>
        <w:t>6. Reglamento: alcance general, obligatorio en todos sus elementos y directamente aplicable.</w:t>
      </w:r>
    </w:p>
    <w:p>
      <w:pPr>
        <w:spacing w:after="40"/>
        <w:ind w:left="369" w:hanging="227"/>
      </w:pPr>
      <w:r>
        <w:rPr>
          <w:rFonts w:ascii="Arial" w:hAnsi="Arial" w:cs="Arial"/>
          <w:sz w:val="22"/>
        </w:rPr>
        <w:t>7. Directiva: obliga al Estado destinatario en el resultado y deja forma y medios; requiere transposición.</w:t>
      </w:r>
    </w:p>
    <w:p>
      <w:pPr>
        <w:spacing w:after="40"/>
        <w:ind w:left="369" w:hanging="227"/>
      </w:pPr>
      <w:r>
        <w:rPr>
          <w:rFonts w:ascii="Arial" w:hAnsi="Arial" w:cs="Arial"/>
          <w:sz w:val="22"/>
        </w:rPr>
        <w:t>8. Decisión: obligatoria en todos sus elementos; si designa destinatarios, solo para ellos.</w:t>
      </w:r>
    </w:p>
    <w:p>
      <w:pPr>
        <w:spacing w:after="40"/>
        <w:ind w:left="369" w:hanging="227"/>
      </w:pPr>
      <w:r>
        <w:rPr>
          <w:rFonts w:ascii="Arial" w:hAnsi="Arial" w:cs="Arial"/>
          <w:sz w:val="22"/>
        </w:rPr>
        <w:t>9. Recomendaciones y dictámenes no son vinculantes.</w:t>
      </w:r>
    </w:p>
    <w:p>
      <w:pPr>
        <w:spacing w:after="40"/>
        <w:ind w:left="369" w:hanging="227"/>
      </w:pPr>
      <w:r>
        <w:rPr>
          <w:rFonts w:ascii="Arial" w:hAnsi="Arial" w:cs="Arial"/>
          <w:sz w:val="22"/>
        </w:rPr>
        <w:t>10. Acto legislativo es el adoptado mediante procedimiento legislativo, cualquiera que sea su forma.</w:t>
      </w:r>
    </w:p>
    <w:p>
      <w:pPr>
        <w:spacing w:after="40"/>
        <w:ind w:left="369" w:hanging="227"/>
      </w:pPr>
      <w:r>
        <w:rPr>
          <w:rFonts w:ascii="Arial" w:hAnsi="Arial" w:cs="Arial"/>
          <w:sz w:val="22"/>
        </w:rPr>
        <w:t>11. Delegado: Comisión, alcance general, completa o modifica elementos no esenciales de acto legislativo.</w:t>
      </w:r>
    </w:p>
    <w:p>
      <w:pPr>
        <w:spacing w:after="40"/>
        <w:ind w:left="369" w:hanging="227"/>
      </w:pPr>
      <w:r>
        <w:rPr>
          <w:rFonts w:ascii="Arial" w:hAnsi="Arial" w:cs="Arial"/>
          <w:sz w:val="22"/>
        </w:rPr>
        <w:t>12. De ejecución: condiciones uniformes de aplicación; normalmente Comisión bajo control de los Estados.</w:t>
      </w:r>
    </w:p>
    <w:p>
      <w:pPr>
        <w:spacing w:after="40"/>
        <w:ind w:left="369" w:hanging="227"/>
      </w:pPr>
      <w:r>
        <w:rPr>
          <w:rFonts w:ascii="Arial" w:hAnsi="Arial" w:cs="Arial"/>
          <w:sz w:val="22"/>
        </w:rPr>
        <w:t>13. Primacía implica inaplicar, no necesariamente anular o derogar, la norma nacional incompatible.</w:t>
      </w:r>
    </w:p>
    <w:p>
      <w:pPr>
        <w:spacing w:after="40"/>
        <w:ind w:left="369" w:hanging="227"/>
      </w:pPr>
      <w:r>
        <w:rPr>
          <w:rFonts w:ascii="Arial" w:hAnsi="Arial" w:cs="Arial"/>
          <w:sz w:val="22"/>
        </w:rPr>
        <w:t>14. Efecto directo exige claridad, precisión e incondicionalidad.</w:t>
      </w:r>
    </w:p>
    <w:p>
      <w:pPr>
        <w:spacing w:after="40"/>
        <w:ind w:left="369" w:hanging="227"/>
      </w:pPr>
      <w:r>
        <w:rPr>
          <w:rFonts w:ascii="Arial" w:hAnsi="Arial" w:cs="Arial"/>
          <w:sz w:val="22"/>
        </w:rPr>
        <w:t>15. La directiva puede tener efecto vertical tras vencer el plazo, pero no efecto horizontal ni vertical inverso por sí sola.</w:t>
      </w:r>
    </w:p>
    <w:p>
      <w:pPr>
        <w:spacing w:after="40"/>
        <w:ind w:left="369" w:hanging="227"/>
      </w:pPr>
      <w:r>
        <w:rPr>
          <w:rFonts w:ascii="Arial" w:hAnsi="Arial" w:cs="Arial"/>
          <w:sz w:val="22"/>
        </w:rPr>
        <w:t>16. Interpretación conforme alcanza a todo el Derecho interno, pero no llega a una lectura contra legem.</w:t>
      </w:r>
    </w:p>
    <w:p>
      <w:pPr>
        <w:spacing w:after="40"/>
        <w:ind w:left="369" w:hanging="227"/>
      </w:pPr>
      <w:r>
        <w:rPr>
          <w:rFonts w:ascii="Arial" w:hAnsi="Arial" w:cs="Arial"/>
          <w:sz w:val="22"/>
        </w:rPr>
        <w:t>17. Responsabilidad estatal: norma que confiere derechos, infracción suficientemente caracterizada y causalidad.</w:t>
      </w:r>
    </w:p>
    <w:p>
      <w:pPr>
        <w:spacing w:after="40"/>
        <w:ind w:left="369" w:hanging="227"/>
      </w:pPr>
      <w:r>
        <w:rPr>
          <w:rFonts w:ascii="Arial" w:hAnsi="Arial" w:cs="Arial"/>
          <w:sz w:val="22"/>
        </w:rPr>
        <w:t>18. Carta: Estados vinculados solo cuando aplican Derecho de la Unión.</w:t>
      </w:r>
    </w:p>
    <w:p>
      <w:pPr>
        <w:spacing w:after="40"/>
        <w:ind w:left="369" w:hanging="227"/>
      </w:pPr>
      <w:r>
        <w:rPr>
          <w:rFonts w:ascii="Arial" w:hAnsi="Arial" w:cs="Arial"/>
          <w:sz w:val="22"/>
        </w:rPr>
        <w:t xml:space="preserve">19. El juez nacional no puede declarar inválido un acto UE: debe acudir al artículo 267 y a </w:t>
      </w:r>
      <w:r>
        <w:rPr>
          <w:rFonts w:ascii="Arial" w:hAnsi="Arial" w:cs="Arial"/>
          <w:i/>
          <w:sz w:val="22"/>
        </w:rPr>
        <w:t>Foto-Frost</w:t>
      </w:r>
      <w:r>
        <w:rPr>
          <w:rFonts w:ascii="Arial" w:hAnsi="Arial" w:cs="Arial"/>
          <w:sz w:val="22"/>
        </w:rPr>
        <w:t>.</w:t>
      </w:r>
    </w:p>
    <w:p>
      <w:pPr>
        <w:spacing w:after="40"/>
        <w:ind w:left="369" w:hanging="227"/>
      </w:pPr>
      <w:r>
        <w:rPr>
          <w:rFonts w:ascii="Arial" w:hAnsi="Arial" w:cs="Arial"/>
          <w:sz w:val="22"/>
        </w:rPr>
        <w:t>20. Recurso de anulación: plazo de dos meses y motivos tasados en el artículo 263.</w:t>
      </w:r>
    </w:p>
    <w:p>
      <w:pPr>
        <w:pStyle w:val="Heading1"/>
        <w:keepNext/>
      </w:pPr>
      <w:r>
        <w:rPr>
          <w:rFonts w:ascii="Arial" w:hAnsi="Arial" w:cs="Arial"/>
          <w:sz w:val="30"/>
        </w:rPr>
        <w:t>17. Datos preguntables</w:t>
      </w:r>
    </w:p>
    <w:p>
      <w:pPr>
        <w:pStyle w:val="ListBullet"/>
      </w:pPr>
      <w:r>
        <w:rPr>
          <w:rFonts w:ascii="Arial" w:hAnsi="Arial" w:cs="Arial"/>
          <w:b/>
          <w:sz w:val="22"/>
        </w:rPr>
        <w:t>Artículo 4.3 TUE:</w:t>
      </w:r>
      <w:r>
        <w:rPr>
          <w:rFonts w:ascii="Arial" w:hAnsi="Arial" w:cs="Arial"/>
          <w:sz w:val="22"/>
        </w:rPr>
        <w:t xml:space="preserve"> cooperación leal.</w:t>
      </w:r>
    </w:p>
    <w:p>
      <w:pPr>
        <w:pStyle w:val="ListBullet"/>
      </w:pPr>
      <w:r>
        <w:rPr>
          <w:rFonts w:ascii="Arial" w:hAnsi="Arial" w:cs="Arial"/>
          <w:b/>
          <w:sz w:val="22"/>
        </w:rPr>
        <w:t>Artículo 5 TUE:</w:t>
      </w:r>
      <w:r>
        <w:rPr>
          <w:rFonts w:ascii="Arial" w:hAnsi="Arial" w:cs="Arial"/>
          <w:sz w:val="22"/>
        </w:rPr>
        <w:t xml:space="preserve"> atribución, subsidiariedad y proporcionalidad.</w:t>
      </w:r>
    </w:p>
    <w:p>
      <w:pPr>
        <w:pStyle w:val="ListBullet"/>
      </w:pPr>
      <w:r>
        <w:rPr>
          <w:rFonts w:ascii="Arial" w:hAnsi="Arial" w:cs="Arial"/>
          <w:b/>
          <w:sz w:val="22"/>
        </w:rPr>
        <w:t>Artículo 6 TUE:</w:t>
      </w:r>
      <w:r>
        <w:rPr>
          <w:rFonts w:ascii="Arial" w:hAnsi="Arial" w:cs="Arial"/>
          <w:sz w:val="22"/>
        </w:rPr>
        <w:t xml:space="preserve"> Carta y derechos fundamentales como principios generales.</w:t>
      </w:r>
    </w:p>
    <w:p>
      <w:pPr>
        <w:pStyle w:val="ListBullet"/>
      </w:pPr>
      <w:r>
        <w:rPr>
          <w:rFonts w:ascii="Arial" w:hAnsi="Arial" w:cs="Arial"/>
          <w:b/>
          <w:sz w:val="22"/>
        </w:rPr>
        <w:t>Artículo 19 TUE:</w:t>
      </w:r>
      <w:r>
        <w:rPr>
          <w:rFonts w:ascii="Arial" w:hAnsi="Arial" w:cs="Arial"/>
          <w:sz w:val="22"/>
        </w:rPr>
        <w:t xml:space="preserve"> tutela judicial en los ámbitos cubiertos por el Derecho de la Unión.</w:t>
      </w:r>
    </w:p>
    <w:p>
      <w:pPr>
        <w:pStyle w:val="ListBullet"/>
      </w:pPr>
      <w:r>
        <w:rPr>
          <w:rFonts w:ascii="Arial" w:hAnsi="Arial" w:cs="Arial"/>
          <w:b/>
          <w:sz w:val="22"/>
        </w:rPr>
        <w:t>Artículo 216.2 TFUE:</w:t>
      </w:r>
      <w:r>
        <w:rPr>
          <w:rFonts w:ascii="Arial" w:hAnsi="Arial" w:cs="Arial"/>
          <w:sz w:val="22"/>
        </w:rPr>
        <w:t xml:space="preserve"> acuerdos internacionales vinculantes.</w:t>
      </w:r>
    </w:p>
    <w:p>
      <w:pPr>
        <w:pStyle w:val="ListBullet"/>
      </w:pPr>
      <w:r>
        <w:rPr>
          <w:rFonts w:ascii="Arial" w:hAnsi="Arial" w:cs="Arial"/>
          <w:b/>
          <w:sz w:val="22"/>
        </w:rPr>
        <w:t>Artículos 263, 265, 267 y 277 TFUE:</w:t>
      </w:r>
      <w:r>
        <w:rPr>
          <w:rFonts w:ascii="Arial" w:hAnsi="Arial" w:cs="Arial"/>
          <w:sz w:val="22"/>
        </w:rPr>
        <w:t xml:space="preserve"> anulación, omisión, cuestión prejudicial y excepción de ilegalidad.</w:t>
      </w:r>
    </w:p>
    <w:p>
      <w:pPr>
        <w:pStyle w:val="ListBullet"/>
      </w:pPr>
      <w:r>
        <w:rPr>
          <w:rFonts w:ascii="Arial" w:hAnsi="Arial" w:cs="Arial"/>
          <w:b/>
          <w:sz w:val="22"/>
        </w:rPr>
        <w:t>Artículos 258-260 TFUE:</w:t>
      </w:r>
      <w:r>
        <w:rPr>
          <w:rFonts w:ascii="Arial" w:hAnsi="Arial" w:cs="Arial"/>
          <w:sz w:val="22"/>
        </w:rPr>
        <w:t xml:space="preserve"> incumplimiento estatal y sanciones.</w:t>
      </w:r>
    </w:p>
    <w:p>
      <w:pPr>
        <w:pStyle w:val="ListBullet"/>
      </w:pPr>
      <w:r>
        <w:rPr>
          <w:rFonts w:ascii="Arial" w:hAnsi="Arial" w:cs="Arial"/>
          <w:b/>
          <w:sz w:val="22"/>
        </w:rPr>
        <w:t>Artículos 288-291 TFUE:</w:t>
      </w:r>
      <w:r>
        <w:rPr>
          <w:rFonts w:ascii="Arial" w:hAnsi="Arial" w:cs="Arial"/>
          <w:sz w:val="22"/>
        </w:rPr>
        <w:t xml:space="preserve"> formas de acto, procedimiento legislativo, delegación y ejecución.</w:t>
      </w:r>
    </w:p>
    <w:p>
      <w:pPr>
        <w:pStyle w:val="ListBullet"/>
      </w:pPr>
      <w:r>
        <w:rPr>
          <w:rFonts w:ascii="Arial" w:hAnsi="Arial" w:cs="Arial"/>
          <w:b/>
          <w:sz w:val="22"/>
        </w:rPr>
        <w:t>Artículo 297 TFUE:</w:t>
      </w:r>
      <w:r>
        <w:rPr>
          <w:rFonts w:ascii="Arial" w:hAnsi="Arial" w:cs="Arial"/>
          <w:sz w:val="22"/>
        </w:rPr>
        <w:t xml:space="preserve"> firma, publicación, notificación y entrada en vigor.</w:t>
      </w:r>
    </w:p>
    <w:p>
      <w:pPr>
        <w:pStyle w:val="ListBullet"/>
      </w:pPr>
      <w:r>
        <w:rPr>
          <w:rFonts w:ascii="Arial" w:hAnsi="Arial" w:cs="Arial"/>
          <w:b/>
          <w:sz w:val="22"/>
        </w:rPr>
        <w:t>Artículo 51 de la Carta:</w:t>
      </w:r>
      <w:r>
        <w:rPr>
          <w:rFonts w:ascii="Arial" w:hAnsi="Arial" w:cs="Arial"/>
          <w:sz w:val="22"/>
        </w:rPr>
        <w:t xml:space="preserve"> ámbito de aplicación.</w:t>
      </w:r>
    </w:p>
    <w:p>
      <w:pPr>
        <w:pStyle w:val="ListBullet"/>
      </w:pPr>
      <w:r>
        <w:rPr>
          <w:rFonts w:ascii="Arial" w:hAnsi="Arial" w:cs="Arial"/>
          <w:b/>
          <w:sz w:val="22"/>
        </w:rPr>
        <w:t>Artículo 52 de la Carta:</w:t>
      </w:r>
      <w:r>
        <w:rPr>
          <w:rFonts w:ascii="Arial" w:hAnsi="Arial" w:cs="Arial"/>
          <w:sz w:val="22"/>
        </w:rPr>
        <w:t xml:space="preserve"> alcance, limitaciones, derechos y principios.</w:t>
      </w:r>
    </w:p>
    <w:p>
      <w:pPr>
        <w:pStyle w:val="ListBullet"/>
      </w:pPr>
      <w:r>
        <w:rPr>
          <w:rFonts w:ascii="Arial" w:hAnsi="Arial" w:cs="Arial"/>
          <w:b/>
          <w:sz w:val="22"/>
        </w:rPr>
        <w:t>Artículo 93 CE:</w:t>
      </w:r>
      <w:r>
        <w:rPr>
          <w:rFonts w:ascii="Arial" w:hAnsi="Arial" w:cs="Arial"/>
          <w:sz w:val="22"/>
        </w:rPr>
        <w:t xml:space="preserve"> atribución del ejercicio de competencias.</w:t>
      </w:r>
    </w:p>
    <w:p>
      <w:pPr>
        <w:pStyle w:val="ListBullet"/>
      </w:pPr>
      <w:r>
        <w:rPr>
          <w:rFonts w:ascii="Arial" w:hAnsi="Arial" w:cs="Arial"/>
          <w:b/>
          <w:sz w:val="22"/>
        </w:rPr>
        <w:t>Artículo 4 bis LOPJ:</w:t>
      </w:r>
      <w:r>
        <w:rPr>
          <w:rFonts w:ascii="Arial" w:hAnsi="Arial" w:cs="Arial"/>
          <w:sz w:val="22"/>
        </w:rPr>
        <w:t xml:space="preserve"> aplicación conforme a la jurisprudencia del TJUE.</w:t>
      </w:r>
    </w:p>
    <w:p>
      <w:pPr>
        <w:pStyle w:val="ListBullet"/>
      </w:pPr>
      <w:r>
        <w:rPr>
          <w:rFonts w:ascii="Arial" w:hAnsi="Arial" w:cs="Arial"/>
          <w:b/>
          <w:sz w:val="22"/>
        </w:rPr>
        <w:t>*Van Gend en Loos*:</w:t>
      </w:r>
      <w:r>
        <w:rPr>
          <w:rFonts w:ascii="Arial" w:hAnsi="Arial" w:cs="Arial"/>
          <w:sz w:val="22"/>
        </w:rPr>
        <w:t xml:space="preserve"> efecto directo.</w:t>
      </w:r>
    </w:p>
    <w:p>
      <w:pPr>
        <w:pStyle w:val="ListBullet"/>
      </w:pPr>
      <w:r>
        <w:rPr>
          <w:rFonts w:ascii="Arial" w:hAnsi="Arial" w:cs="Arial"/>
          <w:b/>
          <w:sz w:val="22"/>
        </w:rPr>
        <w:t>*Costa/ENEL* y *Simmenthal*:</w:t>
      </w:r>
      <w:r>
        <w:rPr>
          <w:rFonts w:ascii="Arial" w:hAnsi="Arial" w:cs="Arial"/>
          <w:sz w:val="22"/>
        </w:rPr>
        <w:t xml:space="preserve"> primacía e inaplicación inmediata.</w:t>
      </w:r>
    </w:p>
    <w:p>
      <w:pPr>
        <w:pStyle w:val="ListBullet"/>
      </w:pPr>
      <w:r>
        <w:rPr>
          <w:rFonts w:ascii="Arial" w:hAnsi="Arial" w:cs="Arial"/>
          <w:b/>
          <w:sz w:val="22"/>
        </w:rPr>
        <w:t>*Marleasing*:</w:t>
      </w:r>
      <w:r>
        <w:rPr>
          <w:rFonts w:ascii="Arial" w:hAnsi="Arial" w:cs="Arial"/>
          <w:sz w:val="22"/>
        </w:rPr>
        <w:t xml:space="preserve"> interpretación conforme.</w:t>
      </w:r>
    </w:p>
    <w:p>
      <w:pPr>
        <w:pStyle w:val="ListBullet"/>
      </w:pPr>
      <w:r>
        <w:rPr>
          <w:rFonts w:ascii="Arial" w:hAnsi="Arial" w:cs="Arial"/>
          <w:b/>
          <w:sz w:val="22"/>
        </w:rPr>
        <w:t>*Francovich* y *Brasserie du pêcheur*:</w:t>
      </w:r>
      <w:r>
        <w:rPr>
          <w:rFonts w:ascii="Arial" w:hAnsi="Arial" w:cs="Arial"/>
          <w:sz w:val="22"/>
        </w:rPr>
        <w:t xml:space="preserve"> responsabilidad del Estado.</w:t>
      </w:r>
    </w:p>
    <w:p>
      <w:pPr>
        <w:pStyle w:val="ListBullet"/>
      </w:pPr>
      <w:r>
        <w:rPr>
          <w:rFonts w:ascii="Arial" w:hAnsi="Arial" w:cs="Arial"/>
          <w:b/>
          <w:sz w:val="22"/>
        </w:rPr>
        <w:t>*Foto-Frost*:</w:t>
      </w:r>
      <w:r>
        <w:rPr>
          <w:rFonts w:ascii="Arial" w:hAnsi="Arial" w:cs="Arial"/>
          <w:sz w:val="22"/>
        </w:rPr>
        <w:t xml:space="preserve"> exclusividad del TJUE para declarar invalidez.</w:t>
      </w:r>
    </w:p>
    <w:p>
      <w:pPr>
        <w:pStyle w:val="ListBullet"/>
      </w:pPr>
      <w:r>
        <w:rPr>
          <w:rFonts w:ascii="Arial" w:hAnsi="Arial" w:cs="Arial"/>
          <w:b/>
          <w:sz w:val="22"/>
        </w:rPr>
        <w:t>*CILFIT*:</w:t>
      </w:r>
      <w:r>
        <w:rPr>
          <w:rFonts w:ascii="Arial" w:hAnsi="Arial" w:cs="Arial"/>
          <w:sz w:val="22"/>
        </w:rPr>
        <w:t xml:space="preserve"> deber de remisión y excepciones interpretativas.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Tratado de Funcionamiento de la Unión Europea (4).</w:t>
      </w:r>
    </w:p>
    <w:p>
      <w:pPr>
        <w:jc w:val="both"/>
      </w:pPr>
      <w:r>
        <w:rPr>
          <w:rFonts w:ascii="Arial" w:hAnsi="Arial" w:cs="Arial"/>
          <w:b/>
          <w:sz w:val="22"/>
        </w:rPr>
        <w:t>Artículos o preceptos más repetidos:</w:t>
      </w:r>
      <w:r>
        <w:rPr>
          <w:rFonts w:ascii="Arial" w:hAnsi="Arial" w:cs="Arial"/>
          <w:sz w:val="22"/>
        </w:rPr>
        <w:t xml:space="preserve"> 288 (2); 218 (1); 290 (1).</w:t>
      </w:r>
    </w:p>
    <w:p>
      <w:pPr>
        <w:jc w:val="both"/>
      </w:pPr>
      <w:r>
        <w:rPr>
          <w:rFonts w:ascii="Arial" w:hAnsi="Arial" w:cs="Arial"/>
          <w:b/>
          <w:sz w:val="22"/>
        </w:rPr>
        <w:t>Formas de pregunta predominantes:</w:t>
      </w:r>
      <w:r>
        <w:rPr>
          <w:rFonts w:ascii="Arial" w:hAnsi="Arial" w:cs="Arial"/>
          <w:sz w:val="22"/>
        </w:rPr>
        <w:t xml:space="preserve"> Artículos literales (5).</w:t>
      </w:r>
    </w:p>
    <w:p>
      <w:pPr>
        <w:pStyle w:val="Heading2"/>
        <w:keepNext/>
      </w:pPr>
      <w:r>
        <w:rPr>
          <w:rFonts w:ascii="Arial" w:hAnsi="Arial" w:cs="Arial"/>
          <w:sz w:val="25"/>
        </w:rPr>
        <w:t>Patrones observados</w:t>
      </w:r>
    </w:p>
    <w:p>
      <w:pPr>
        <w:pStyle w:val="ListBullet"/>
      </w:pPr>
      <w:r>
        <w:rPr>
          <w:rFonts w:ascii="Arial" w:hAnsi="Arial" w:cs="Arial"/>
          <w:b/>
          <w:sz w:val="22"/>
        </w:rPr>
        <w:t>2026, teoría 73, reserva:</w:t>
      </w:r>
      <w:r>
        <w:rPr>
          <w:rFonts w:ascii="Arial" w:hAnsi="Arial" w:cs="Arial"/>
          <w:sz w:val="22"/>
        </w:rPr>
        <w:t xml:space="preserve"> De acuerdo con eI artículo 290 del Tratado de Funcionamiento de la Unión Europea, en relación con los actos delegados:</w:t>
      </w:r>
    </w:p>
    <w:p>
      <w:pPr>
        <w:pStyle w:val="ListBullet"/>
      </w:pPr>
      <w:r>
        <w:rPr>
          <w:rFonts w:ascii="Arial" w:hAnsi="Arial" w:cs="Arial"/>
          <w:b/>
          <w:sz w:val="22"/>
        </w:rPr>
        <w:t>2024, teoría 11:</w:t>
      </w:r>
      <w:r>
        <w:rPr>
          <w:rFonts w:ascii="Arial" w:hAnsi="Arial" w:cs="Arial"/>
          <w:sz w:val="22"/>
        </w:rPr>
        <w:t xml:space="preserve"> En el artículo 288 del Tratado de Funcionamiento de la Unión Europea, se recogen los tipos de normas que regulan el Derecho Comunitario, entre ellas se encuentran las denominadas "Decisiones" ¿tienen carácter…</w:t>
      </w:r>
    </w:p>
    <w:p>
      <w:pPr>
        <w:pStyle w:val="ListBullet"/>
      </w:pPr>
      <w:r>
        <w:rPr>
          <w:rFonts w:ascii="Arial" w:hAnsi="Arial" w:cs="Arial"/>
          <w:b/>
          <w:sz w:val="22"/>
        </w:rPr>
        <w:t>2025, teoría 11:</w:t>
      </w:r>
      <w:r>
        <w:rPr>
          <w:rFonts w:ascii="Arial" w:hAnsi="Arial" w:cs="Arial"/>
          <w:sz w:val="22"/>
        </w:rPr>
        <w:t xml:space="preserve"> El Acta Única Europea (AUE), que comenzó a aplicarse a partir del 1 de julio de 1987 ¿Qué tipo de mayoría estableció para las votaciones de los acuerdos de ámbito Político?</w:t>
      </w:r>
    </w:p>
    <w:p>
      <w:pPr>
        <w:pStyle w:val="ListBullet"/>
      </w:pPr>
      <w:r>
        <w:rPr>
          <w:rFonts w:ascii="Arial" w:hAnsi="Arial" w:cs="Arial"/>
          <w:b/>
          <w:sz w:val="22"/>
        </w:rPr>
        <w:t>2025, teoría 11:</w:t>
      </w:r>
      <w:r>
        <w:rPr>
          <w:rFonts w:ascii="Arial" w:hAnsi="Arial" w:cs="Arial"/>
          <w:sz w:val="22"/>
        </w:rPr>
        <w:t xml:space="preserve"> De acuerdo con 10 fijado en el artículo 218 del título V del Tratado de Funcionamiento de la Unión Europea, con excepción de los acuerdos que se refieran exclusivamente a la política exterior y de seguridad…</w:t>
      </w:r>
    </w:p>
    <w:p>
      <w:pPr>
        <w:pStyle w:val="ListBullet"/>
      </w:pPr>
      <w:r>
        <w:rPr>
          <w:rFonts w:ascii="Arial" w:hAnsi="Arial" w:cs="Arial"/>
          <w:b/>
          <w:sz w:val="22"/>
        </w:rPr>
        <w:t>2025, teoría 11:</w:t>
      </w:r>
      <w:r>
        <w:rPr>
          <w:rFonts w:ascii="Arial" w:hAnsi="Arial" w:cs="Arial"/>
          <w:sz w:val="22"/>
        </w:rPr>
        <w:t xml:space="preserve"> De acuerdo con lo fijado en el artículo 288 del Tratado de Funcionamiento de la Unión Europea, en relación con los actos jurídicos de la Unión:</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w:t>
      </w:r>
    </w:p>
    <w:p>
      <w:pPr>
        <w:pStyle w:val="ListBullet"/>
      </w:pPr>
      <w:r>
        <w:rPr>
          <w:rFonts w:ascii="Arial" w:hAnsi="Arial" w:cs="Arial"/>
          <w:sz w:val="22"/>
        </w:rPr>
        <w:t>Tratado de la Unión Europea, versión consolidada (https://eur-lex.europa.eu/legal-content/ES/TXT/?uri=CELEX:12016M/TXT).</w:t>
      </w:r>
    </w:p>
    <w:p>
      <w:pPr>
        <w:pStyle w:val="ListBullet"/>
      </w:pPr>
      <w:r>
        <w:rPr>
          <w:rFonts w:ascii="Arial" w:hAnsi="Arial" w:cs="Arial"/>
          <w:sz w:val="22"/>
        </w:rPr>
        <w:t>Tratado de Funcionamiento de la Unión Europea, versión consolidada (https://eur-lex.europa.eu/legal-content/ES/TXT/?uri=CELEX:12016E/TXT).</w:t>
      </w:r>
    </w:p>
    <w:p>
      <w:pPr>
        <w:pStyle w:val="ListBullet"/>
      </w:pPr>
      <w:r>
        <w:rPr>
          <w:rFonts w:ascii="Arial" w:hAnsi="Arial" w:cs="Arial"/>
          <w:sz w:val="22"/>
        </w:rPr>
        <w:t>Carta de los Derechos Fundamentales de la Unión Europea (https://eur-lex.europa.eu/legal-content/ES/TXT/?uri=CELEX:12016P/TXT).</w:t>
      </w:r>
    </w:p>
    <w:p>
      <w:pPr>
        <w:pStyle w:val="ListBullet"/>
      </w:pPr>
      <w:r>
        <w:rPr>
          <w:rFonts w:ascii="Arial" w:hAnsi="Arial" w:cs="Arial"/>
          <w:sz w:val="22"/>
        </w:rPr>
        <w:t>Declaraciones anejas al Acta Final de la Conferencia Intergubernamental que adoptó el Tratado de Lisboa, Declaración 17 (https://eur-lex.europa.eu/legal-content/ES/TXT/?uri=CELEX:12016L/AFI/DCL/17).</w:t>
      </w:r>
    </w:p>
    <w:p>
      <w:pPr>
        <w:pStyle w:val="ListBullet"/>
      </w:pPr>
      <w:r>
        <w:rPr>
          <w:rFonts w:ascii="Arial" w:hAnsi="Arial" w:cs="Arial"/>
          <w:sz w:val="22"/>
        </w:rPr>
        <w:t xml:space="preserve">Sentencia </w:t>
      </w:r>
      <w:r>
        <w:rPr>
          <w:rFonts w:ascii="Arial" w:hAnsi="Arial" w:cs="Arial"/>
          <w:i/>
          <w:sz w:val="22"/>
        </w:rPr>
        <w:t>Van Gend en Loos</w:t>
      </w:r>
      <w:r>
        <w:rPr>
          <w:rFonts w:ascii="Arial" w:hAnsi="Arial" w:cs="Arial"/>
          <w:sz w:val="22"/>
        </w:rPr>
        <w:t>, asunto 26/62 (https://curia.europa.eu/juris/liste.jsf?language=es&amp;num=26/62).</w:t>
      </w:r>
    </w:p>
    <w:p>
      <w:pPr>
        <w:pStyle w:val="ListBullet"/>
      </w:pPr>
      <w:r>
        <w:rPr>
          <w:rFonts w:ascii="Arial" w:hAnsi="Arial" w:cs="Arial"/>
          <w:sz w:val="22"/>
        </w:rPr>
        <w:t xml:space="preserve">Sentencia </w:t>
      </w:r>
      <w:r>
        <w:rPr>
          <w:rFonts w:ascii="Arial" w:hAnsi="Arial" w:cs="Arial"/>
          <w:i/>
          <w:sz w:val="22"/>
        </w:rPr>
        <w:t>Costa/ENEL</w:t>
      </w:r>
      <w:r>
        <w:rPr>
          <w:rFonts w:ascii="Arial" w:hAnsi="Arial" w:cs="Arial"/>
          <w:sz w:val="22"/>
        </w:rPr>
        <w:t>, asunto 6/64 (https://curia.europa.eu/juris/liste.jsf?language=es&amp;num=6/64).</w:t>
      </w:r>
    </w:p>
    <w:p>
      <w:pPr>
        <w:pStyle w:val="ListBullet"/>
      </w:pPr>
      <w:r>
        <w:rPr>
          <w:rFonts w:ascii="Arial" w:hAnsi="Arial" w:cs="Arial"/>
          <w:sz w:val="22"/>
        </w:rPr>
        <w:t xml:space="preserve">Sentencia </w:t>
      </w:r>
      <w:r>
        <w:rPr>
          <w:rFonts w:ascii="Arial" w:hAnsi="Arial" w:cs="Arial"/>
          <w:i/>
          <w:sz w:val="22"/>
        </w:rPr>
        <w:t>Internationale Handelsgesellschaft</w:t>
      </w:r>
      <w:r>
        <w:rPr>
          <w:rFonts w:ascii="Arial" w:hAnsi="Arial" w:cs="Arial"/>
          <w:sz w:val="22"/>
        </w:rPr>
        <w:t>, asunto 11/70 (https://curia.europa.eu/juris/liste.jsf?language=es&amp;num=11/70).</w:t>
      </w:r>
    </w:p>
    <w:p>
      <w:pPr>
        <w:pStyle w:val="ListBullet"/>
      </w:pPr>
      <w:r>
        <w:rPr>
          <w:rFonts w:ascii="Arial" w:hAnsi="Arial" w:cs="Arial"/>
          <w:sz w:val="22"/>
        </w:rPr>
        <w:t xml:space="preserve">Sentencia </w:t>
      </w:r>
      <w:r>
        <w:rPr>
          <w:rFonts w:ascii="Arial" w:hAnsi="Arial" w:cs="Arial"/>
          <w:i/>
          <w:sz w:val="22"/>
        </w:rPr>
        <w:t>Simmenthal</w:t>
      </w:r>
      <w:r>
        <w:rPr>
          <w:rFonts w:ascii="Arial" w:hAnsi="Arial" w:cs="Arial"/>
          <w:sz w:val="22"/>
        </w:rPr>
        <w:t>, asunto 106/77 (https://curia.europa.eu/juris/liste.jsf?language=es&amp;num=106/77).</w:t>
      </w:r>
    </w:p>
    <w:p>
      <w:pPr>
        <w:pStyle w:val="ListBullet"/>
      </w:pPr>
      <w:r>
        <w:rPr>
          <w:rFonts w:ascii="Arial" w:hAnsi="Arial" w:cs="Arial"/>
          <w:sz w:val="22"/>
        </w:rPr>
        <w:t xml:space="preserve">Sentencia </w:t>
      </w:r>
      <w:r>
        <w:rPr>
          <w:rFonts w:ascii="Arial" w:hAnsi="Arial" w:cs="Arial"/>
          <w:i/>
          <w:sz w:val="22"/>
        </w:rPr>
        <w:t>Marleasing</w:t>
      </w:r>
      <w:r>
        <w:rPr>
          <w:rFonts w:ascii="Arial" w:hAnsi="Arial" w:cs="Arial"/>
          <w:sz w:val="22"/>
        </w:rPr>
        <w:t>, asunto C-106/89 (https://curia.europa.eu/juris/liste.jsf?language=es&amp;num=C-106/89).</w:t>
      </w:r>
    </w:p>
    <w:p>
      <w:pPr>
        <w:pStyle w:val="ListBullet"/>
      </w:pPr>
      <w:r>
        <w:rPr>
          <w:rFonts w:ascii="Arial" w:hAnsi="Arial" w:cs="Arial"/>
          <w:sz w:val="22"/>
        </w:rPr>
        <w:t xml:space="preserve">Sentencia </w:t>
      </w:r>
      <w:r>
        <w:rPr>
          <w:rFonts w:ascii="Arial" w:hAnsi="Arial" w:cs="Arial"/>
          <w:i/>
          <w:sz w:val="22"/>
        </w:rPr>
        <w:t>Francovich</w:t>
      </w:r>
      <w:r>
        <w:rPr>
          <w:rFonts w:ascii="Arial" w:hAnsi="Arial" w:cs="Arial"/>
          <w:sz w:val="22"/>
        </w:rPr>
        <w:t>, asuntos acumulados C-6/90 y C-9/90 (https://curia.europa.eu/juris/liste.jsf?language=es&amp;num=C-6/90).</w:t>
      </w:r>
    </w:p>
    <w:p>
      <w:pPr>
        <w:pStyle w:val="ListBullet"/>
      </w:pPr>
      <w:r>
        <w:rPr>
          <w:rFonts w:ascii="Arial" w:hAnsi="Arial" w:cs="Arial"/>
          <w:sz w:val="22"/>
        </w:rPr>
        <w:t xml:space="preserve">Sentencia </w:t>
      </w:r>
      <w:r>
        <w:rPr>
          <w:rFonts w:ascii="Arial" w:hAnsi="Arial" w:cs="Arial"/>
          <w:i/>
          <w:sz w:val="22"/>
        </w:rPr>
        <w:t>Brasserie du pêcheur y Factortame</w:t>
      </w:r>
      <w:r>
        <w:rPr>
          <w:rFonts w:ascii="Arial" w:hAnsi="Arial" w:cs="Arial"/>
          <w:sz w:val="22"/>
        </w:rPr>
        <w:t>, asuntos C-46/93 y C-48/93 (https://curia.europa.eu/juris/liste.jsf?language=es&amp;num=C-46/93).</w:t>
      </w:r>
    </w:p>
    <w:p>
      <w:pPr>
        <w:pStyle w:val="ListBullet"/>
      </w:pPr>
      <w:r>
        <w:rPr>
          <w:rFonts w:ascii="Arial" w:hAnsi="Arial" w:cs="Arial"/>
          <w:sz w:val="22"/>
        </w:rPr>
        <w:t xml:space="preserve">Sentencia </w:t>
      </w:r>
      <w:r>
        <w:rPr>
          <w:rFonts w:ascii="Arial" w:hAnsi="Arial" w:cs="Arial"/>
          <w:i/>
          <w:sz w:val="22"/>
        </w:rPr>
        <w:t>Foto-Frost</w:t>
      </w:r>
      <w:r>
        <w:rPr>
          <w:rFonts w:ascii="Arial" w:hAnsi="Arial" w:cs="Arial"/>
          <w:sz w:val="22"/>
        </w:rPr>
        <w:t>, asunto 314/85 (https://curia.europa.eu/juris/liste.jsf?language=es&amp;num=314/85).</w:t>
      </w:r>
    </w:p>
    <w:p>
      <w:pPr>
        <w:pStyle w:val="ListBullet"/>
      </w:pPr>
      <w:r>
        <w:rPr>
          <w:rFonts w:ascii="Arial" w:hAnsi="Arial" w:cs="Arial"/>
          <w:sz w:val="22"/>
        </w:rPr>
        <w:t xml:space="preserve">Sentencia </w:t>
      </w:r>
      <w:r>
        <w:rPr>
          <w:rFonts w:ascii="Arial" w:hAnsi="Arial" w:cs="Arial"/>
          <w:i/>
          <w:sz w:val="22"/>
        </w:rPr>
        <w:t>CILFIT</w:t>
      </w:r>
      <w:r>
        <w:rPr>
          <w:rFonts w:ascii="Arial" w:hAnsi="Arial" w:cs="Arial"/>
          <w:sz w:val="22"/>
        </w:rPr>
        <w:t>, asunto 283/81 (https://curia.europa.eu/juris/liste.jsf?language=es&amp;num=283/81).</w:t>
      </w:r>
    </w:p>
    <w:p>
      <w:pPr>
        <w:pStyle w:val="ListBullet"/>
      </w:pPr>
      <w:r>
        <w:rPr>
          <w:rFonts w:ascii="Arial" w:hAnsi="Arial" w:cs="Arial"/>
          <w:sz w:val="22"/>
        </w:rPr>
        <w:t>Constitución Española, artículos 93 y 96 (https://www.boe.es/buscar/act.php?id=BOE-A-1978-31229).</w:t>
      </w:r>
    </w:p>
    <w:p>
      <w:pPr>
        <w:pStyle w:val="ListBullet"/>
      </w:pPr>
      <w:r>
        <w:rPr>
          <w:rFonts w:ascii="Arial" w:hAnsi="Arial" w:cs="Arial"/>
          <w:sz w:val="22"/>
        </w:rPr>
        <w:t>Ley Orgánica 6/1985, de 1 de julio, del Poder Judicial, artículo 4 bis (https://www.boe.es/buscar/act.php?id=BOE-A-1985-12666).</w:t>
      </w:r>
    </w:p>
    <w:p>
      <w:pPr>
        <w:pStyle w:val="ListBullet"/>
      </w:pPr>
      <w:r>
        <w:rPr>
          <w:rFonts w:ascii="Arial" w:hAnsi="Arial" w:cs="Arial"/>
          <w:sz w:val="22"/>
        </w:rPr>
        <w:t>Declaración del Tribunal Constitucional 1/2004, de 13 de diciembre (https://www.boe.es/buscar/doc.php?id=BOE-T-2005-111).</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G11 · Tema 11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11. Las fuentes del derecho de la Unión Europea. Derecho originario. Derecho derivado - Reglamentos, directivas y decisiones. Otras fuentes. Las…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