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12</w:t>
      </w:r>
    </w:p>
    <w:p>
      <w:pPr>
        <w:keepNext/>
        <w:spacing w:before="0" w:after="280"/>
        <w:pBdr>
          <w:bottom w:val="single" w:sz="12" w:space="1" w:color="2F75B5"/>
        </w:pBdr>
      </w:pPr>
      <w:r>
        <w:rPr>
          <w:rFonts w:ascii="Arial" w:hAnsi="Arial" w:cs="Arial"/>
          <w:b/>
          <w:color w:val="17365D"/>
          <w:sz w:val="40"/>
        </w:rPr>
        <w:t>El Ministerio de Inclusión, Seguridad Social y Migraciones. Organización. Estructura y funciones.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El Ministerio de Inclusión, Seguridad Social y Migraciones —MISSM— es un departamento de la Administración General del Estado con tres grandes áreas materiales: Seguridad Social y clases pasivas; extranjería, inmigración y emigración; y políticas de inclusión. Su estructura combina órganos ministeriales ordinarios con entidades gestoras y servicios comunes de la Seguridad Social, lo que obliga a diferenciar con precisión </w:t>
      </w:r>
      <w:r>
        <w:rPr>
          <w:rFonts w:ascii="Arial" w:hAnsi="Arial" w:cs="Arial"/>
          <w:b/>
          <w:sz w:val="22"/>
        </w:rPr>
        <w:t>dependencia</w:t>
      </w:r>
      <w:r>
        <w:rPr>
          <w:rFonts w:ascii="Arial" w:hAnsi="Arial" w:cs="Arial"/>
          <w:sz w:val="22"/>
        </w:rPr>
        <w:t xml:space="preserve">, </w:t>
      </w:r>
      <w:r>
        <w:rPr>
          <w:rFonts w:ascii="Arial" w:hAnsi="Arial" w:cs="Arial"/>
          <w:b/>
          <w:sz w:val="22"/>
        </w:rPr>
        <w:t>adscripción</w:t>
      </w:r>
      <w:r>
        <w:rPr>
          <w:rFonts w:ascii="Arial" w:hAnsi="Arial" w:cs="Arial"/>
          <w:sz w:val="22"/>
        </w:rPr>
        <w:t xml:space="preserve">, </w:t>
      </w:r>
      <w:r>
        <w:rPr>
          <w:rFonts w:ascii="Arial" w:hAnsi="Arial" w:cs="Arial"/>
          <w:b/>
          <w:sz w:val="22"/>
        </w:rPr>
        <w:t>tutela</w:t>
      </w:r>
      <w:r>
        <w:rPr>
          <w:rFonts w:ascii="Arial" w:hAnsi="Arial" w:cs="Arial"/>
          <w:sz w:val="22"/>
        </w:rPr>
        <w:t xml:space="preserve"> y </w:t>
      </w:r>
      <w:r>
        <w:rPr>
          <w:rFonts w:ascii="Arial" w:hAnsi="Arial" w:cs="Arial"/>
          <w:b/>
          <w:sz w:val="22"/>
        </w:rPr>
        <w:t>dependencia funcional</w:t>
      </w:r>
      <w:r>
        <w:rPr>
          <w:rFonts w:ascii="Arial" w:hAnsi="Arial" w:cs="Arial"/>
          <w:sz w:val="22"/>
        </w:rPr>
        <w:t xml:space="preserve">. Esta exposición refleja la organización efectiva a </w:t>
      </w:r>
      <w:r>
        <w:rPr>
          <w:rFonts w:ascii="Arial" w:hAnsi="Arial" w:cs="Arial"/>
          <w:b/>
          <w:sz w:val="22"/>
        </w:rPr>
        <w:t>30 de julio de 2026</w:t>
      </w:r>
      <w:r>
        <w:rPr>
          <w:rFonts w:ascii="Arial" w:hAnsi="Arial" w:cs="Arial"/>
          <w:sz w:val="22"/>
        </w:rPr>
        <w:t>.</w:t>
      </w:r>
    </w:p>
    <w:p>
      <w:pPr>
        <w:pStyle w:val="Heading1"/>
        <w:keepNext/>
      </w:pPr>
      <w:r>
        <w:rPr>
          <w:rFonts w:ascii="Arial" w:hAnsi="Arial" w:cs="Arial"/>
          <w:sz w:val="30"/>
        </w:rPr>
        <w:t>1. Marco normativo y fecha de corte</w:t>
      </w:r>
    </w:p>
    <w:p>
      <w:pPr>
        <w:jc w:val="both"/>
      </w:pPr>
      <w:r>
        <w:rPr>
          <w:rFonts w:ascii="Arial" w:hAnsi="Arial" w:cs="Arial"/>
          <w:sz w:val="22"/>
        </w:rPr>
        <w:t>La estructura se obtiene mediante varias normas sucesivas:</w:t>
      </w:r>
    </w:p>
    <w:p>
      <w:pPr>
        <w:spacing w:after="40"/>
        <w:ind w:left="369" w:hanging="227"/>
      </w:pPr>
      <w:r>
        <w:rPr>
          <w:rFonts w:ascii="Arial" w:hAnsi="Arial" w:cs="Arial"/>
          <w:sz w:val="22"/>
        </w:rPr>
        <w:t xml:space="preserve">1. El </w:t>
      </w:r>
      <w:r>
        <w:rPr>
          <w:rFonts w:ascii="Arial" w:hAnsi="Arial" w:cs="Arial"/>
          <w:b/>
          <w:sz w:val="22"/>
        </w:rPr>
        <w:t>Real Decreto 829/2023</w:t>
      </w:r>
      <w:r>
        <w:rPr>
          <w:rFonts w:ascii="Arial" w:hAnsi="Arial" w:cs="Arial"/>
          <w:sz w:val="22"/>
        </w:rPr>
        <w:t>, artículo 21, determina el departamento y su ámbito material.</w:t>
      </w:r>
    </w:p>
    <w:p>
      <w:pPr>
        <w:spacing w:after="40"/>
        <w:ind w:left="369" w:hanging="227"/>
      </w:pPr>
      <w:r>
        <w:rPr>
          <w:rFonts w:ascii="Arial" w:hAnsi="Arial" w:cs="Arial"/>
          <w:sz w:val="22"/>
        </w:rPr>
        <w:t xml:space="preserve">2. El </w:t>
      </w:r>
      <w:r>
        <w:rPr>
          <w:rFonts w:ascii="Arial" w:hAnsi="Arial" w:cs="Arial"/>
          <w:b/>
          <w:sz w:val="22"/>
        </w:rPr>
        <w:t>Real Decreto 1009/2023</w:t>
      </w:r>
      <w:r>
        <w:rPr>
          <w:rFonts w:ascii="Arial" w:hAnsi="Arial" w:cs="Arial"/>
          <w:sz w:val="22"/>
        </w:rPr>
        <w:t>, artículo 20, establece la estructura orgánica básica.</w:t>
      </w:r>
    </w:p>
    <w:p>
      <w:pPr>
        <w:spacing w:after="40"/>
        <w:ind w:left="369" w:hanging="227"/>
      </w:pPr>
      <w:r>
        <w:rPr>
          <w:rFonts w:ascii="Arial" w:hAnsi="Arial" w:cs="Arial"/>
          <w:sz w:val="22"/>
        </w:rPr>
        <w:t xml:space="preserve">3. El </w:t>
      </w:r>
      <w:r>
        <w:rPr>
          <w:rFonts w:ascii="Arial" w:hAnsi="Arial" w:cs="Arial"/>
          <w:b/>
          <w:sz w:val="22"/>
        </w:rPr>
        <w:t>Real Decreto 501/2024</w:t>
      </w:r>
      <w:r>
        <w:rPr>
          <w:rFonts w:ascii="Arial" w:hAnsi="Arial" w:cs="Arial"/>
          <w:sz w:val="22"/>
        </w:rPr>
        <w:t xml:space="preserve"> desarrolla órganos, unidades y funciones.</w:t>
      </w:r>
    </w:p>
    <w:p>
      <w:pPr>
        <w:spacing w:after="40"/>
        <w:ind w:left="369" w:hanging="227"/>
      </w:pPr>
      <w:r>
        <w:rPr>
          <w:rFonts w:ascii="Arial" w:hAnsi="Arial" w:cs="Arial"/>
          <w:sz w:val="22"/>
        </w:rPr>
        <w:t xml:space="preserve">4. El </w:t>
      </w:r>
      <w:r>
        <w:rPr>
          <w:rFonts w:ascii="Arial" w:hAnsi="Arial" w:cs="Arial"/>
          <w:b/>
          <w:sz w:val="22"/>
        </w:rPr>
        <w:t>Real Decreto 689/2025</w:t>
      </w:r>
      <w:r>
        <w:rPr>
          <w:rFonts w:ascii="Arial" w:hAnsi="Arial" w:cs="Arial"/>
          <w:sz w:val="22"/>
        </w:rPr>
        <w:t xml:space="preserve"> reorganiza parcialmente el área migratoria y los servicios comunes; fue publicado el 30 de julio de 2025 y entró en vigor el 31 de julio.</w:t>
      </w:r>
    </w:p>
    <w:p>
      <w:pPr>
        <w:spacing w:after="40"/>
        <w:ind w:left="369" w:hanging="227"/>
      </w:pPr>
      <w:r>
        <w:rPr>
          <w:rFonts w:ascii="Arial" w:hAnsi="Arial" w:cs="Arial"/>
          <w:sz w:val="22"/>
        </w:rPr>
        <w:t xml:space="preserve">5. El </w:t>
      </w:r>
      <w:r>
        <w:rPr>
          <w:rFonts w:ascii="Arial" w:hAnsi="Arial" w:cs="Arial"/>
          <w:b/>
          <w:sz w:val="22"/>
        </w:rPr>
        <w:t>Real Decreto 616/2026</w:t>
      </w:r>
      <w:r>
        <w:rPr>
          <w:rFonts w:ascii="Arial" w:hAnsi="Arial" w:cs="Arial"/>
          <w:sz w:val="22"/>
        </w:rPr>
        <w:t xml:space="preserve"> eleva el Servicio Jurídico de la Administración de la Seguridad Social a nivel orgánico de dirección general; fue publicado el 23 de julio de 2026 y entró en vigor el </w:t>
      </w:r>
      <w:r>
        <w:rPr>
          <w:rFonts w:ascii="Arial" w:hAnsi="Arial" w:cs="Arial"/>
          <w:b/>
          <w:sz w:val="22"/>
        </w:rPr>
        <w:t>24 de julio de 2026</w:t>
      </w:r>
      <w:r>
        <w:rPr>
          <w:rFonts w:ascii="Arial" w:hAnsi="Arial" w:cs="Arial"/>
          <w:sz w:val="22"/>
        </w:rPr>
        <w:t>.</w:t>
      </w:r>
    </w:p>
    <w:p>
      <w:pPr>
        <w:jc w:val="both"/>
      </w:pPr>
      <w:r>
        <w:rPr>
          <w:rFonts w:ascii="Arial" w:hAnsi="Arial" w:cs="Arial"/>
          <w:sz w:val="22"/>
        </w:rPr>
        <w:t xml:space="preserve">Por tanto, el Real Decreto 616/2026 </w:t>
      </w:r>
      <w:r>
        <w:rPr>
          <w:rFonts w:ascii="Arial" w:hAnsi="Arial" w:cs="Arial"/>
          <w:b/>
          <w:sz w:val="22"/>
        </w:rPr>
        <w:t>sí está vigente</w:t>
      </w:r>
      <w:r>
        <w:rPr>
          <w:rFonts w:ascii="Arial" w:hAnsi="Arial" w:cs="Arial"/>
          <w:sz w:val="22"/>
        </w:rPr>
        <w:t xml:space="preserve"> en la fecha de corte y debe integrarse. No debe estudiarse ya el Servicio Jurídico como unidad con nivel de subdirección general.</w:t>
      </w:r>
    </w:p>
    <w:p>
      <w:pPr>
        <w:spacing w:after="100"/>
        <w:ind w:left="340" w:right="227"/>
        <w:shd w:fill="EAF2F8"/>
      </w:pPr>
      <w:r>
        <w:rPr>
          <w:rFonts w:ascii="Arial" w:hAnsi="Arial" w:cs="Arial"/>
          <w:b/>
          <w:sz w:val="20"/>
        </w:rPr>
        <w:t>Control temporal expreso.</w:t>
      </w:r>
      <w:r>
        <w:rPr>
          <w:rFonts w:ascii="Arial" w:hAnsi="Arial" w:cs="Arial"/>
          <w:sz w:val="20"/>
        </w:rPr>
        <w:t xml:space="preserve"> No se incorpora ninguna norma publicada después del 30 de julio de 2026 ni ninguna disposición cuya eficacia comience después de esa fecha. En la revisión oficial realizada para este tema no se ha identificado una reforma estructural publicada antes del corte con entrada en vigor posterior que deba presentarse como vigente. Si aparece en material de academia una disposición «postdatada» o con vigencia futura, debe aislarse y no fusionarse con el organigrama aquí expuesto.</w:t>
      </w:r>
    </w:p>
    <w:p>
      <w:pPr>
        <w:jc w:val="both"/>
      </w:pPr>
      <w:r>
        <w:rPr>
          <w:rFonts w:ascii="Arial" w:hAnsi="Arial" w:cs="Arial"/>
          <w:sz w:val="22"/>
        </w:rPr>
        <w:t>La fecha de una norma no coincide necesariamente con su publicación o vigencia. El Real Decreto 689/2025 lleva fecha 29 de julio, pero se publicó el día 30 y entró en vigor el 31; en 2026 está plenamente vigente. El Real Decreto 616/2026 lleva fecha 22 de julio, se publicó el 23 y rige desde el 24.</w:t>
      </w:r>
    </w:p>
    <w:p>
      <w:pPr>
        <w:pStyle w:val="Heading1"/>
        <w:keepNext/>
      </w:pPr>
      <w:r>
        <w:rPr>
          <w:rFonts w:ascii="Arial" w:hAnsi="Arial" w:cs="Arial"/>
          <w:sz w:val="30"/>
        </w:rPr>
        <w:t>2. Organización general del Departamento</w:t>
      </w:r>
    </w:p>
    <w:p>
      <w:pPr>
        <w:jc w:val="both"/>
      </w:pPr>
      <w:r>
        <w:rPr>
          <w:rFonts w:ascii="Arial" w:hAnsi="Arial" w:cs="Arial"/>
          <w:sz w:val="22"/>
        </w:rPr>
        <w:t>El Ministerio, bajo la superior dirección de su titular, actúa a través de:</w:t>
      </w:r>
    </w:p>
    <w:p>
      <w:pPr>
        <w:pStyle w:val="ListBullet"/>
      </w:pPr>
      <w:r>
        <w:rPr>
          <w:rFonts w:ascii="Arial" w:hAnsi="Arial" w:cs="Arial"/>
          <w:sz w:val="22"/>
        </w:rPr>
        <w:t>Secretaría de Estado de la Seguridad Social y Pensiones.</w:t>
      </w:r>
    </w:p>
    <w:p>
      <w:pPr>
        <w:pStyle w:val="ListBullet"/>
      </w:pPr>
      <w:r>
        <w:rPr>
          <w:rFonts w:ascii="Arial" w:hAnsi="Arial" w:cs="Arial"/>
          <w:sz w:val="22"/>
        </w:rPr>
        <w:t>Secretaría de Estado de Migraciones.</w:t>
      </w:r>
    </w:p>
    <w:p>
      <w:pPr>
        <w:pStyle w:val="ListBullet"/>
      </w:pPr>
      <w:r>
        <w:rPr>
          <w:rFonts w:ascii="Arial" w:hAnsi="Arial" w:cs="Arial"/>
          <w:sz w:val="22"/>
        </w:rPr>
        <w:t>Secretaría General de Inclusión, con rango de Subsecretaría.</w:t>
      </w:r>
    </w:p>
    <w:p>
      <w:pPr>
        <w:pStyle w:val="ListBullet"/>
      </w:pPr>
      <w:r>
        <w:rPr>
          <w:rFonts w:ascii="Arial" w:hAnsi="Arial" w:cs="Arial"/>
          <w:sz w:val="22"/>
        </w:rPr>
        <w:t>Subsecretaría de Inclusión, Seguridad Social y Migraciones.</w:t>
      </w:r>
    </w:p>
    <w:p>
      <w:pPr>
        <w:jc w:val="both"/>
      </w:pPr>
      <w:r>
        <w:rPr>
          <w:rFonts w:ascii="Arial" w:hAnsi="Arial" w:cs="Arial"/>
          <w:sz w:val="22"/>
        </w:rPr>
        <w:t xml:space="preserve">Como órgano de asistencia inmediata de la persona titular existe un </w:t>
      </w:r>
      <w:r>
        <w:rPr>
          <w:rFonts w:ascii="Arial" w:hAnsi="Arial" w:cs="Arial"/>
          <w:b/>
          <w:sz w:val="22"/>
        </w:rPr>
        <w:t>Gabinete con rango de dirección general</w:t>
      </w:r>
      <w:r>
        <w:rPr>
          <w:rFonts w:ascii="Arial" w:hAnsi="Arial" w:cs="Arial"/>
          <w:sz w:val="22"/>
        </w:rPr>
        <w:t>. El Gabinete no es una quinta rama material ni sustituye a los órganos que gestionan cada política.</w:t>
      </w:r>
    </w:p>
    <w:tbl>
      <w:tblPr>
        <w:tblStyle w:val="TableGrid"/>
        <w:tblW w:type="dxa" w:w="9026"/>
        <w:jc w:val="left"/>
        <w:tblLayout w:type="fixed"/>
        <w:tblLook w:firstColumn="1" w:firstRow="1" w:lastColumn="0" w:lastRow="0" w:noHBand="0" w:noVBand="1" w:val="04A0"/>
        <w:tblInd w:w="120" w:type="dxa"/>
      </w:tblPr>
      <w:tblGrid>
        <w:gridCol w:w="3438"/>
        <w:gridCol w:w="2722"/>
        <w:gridCol w:w="2866"/>
      </w:tblGrid>
      <w:tr>
        <w:trPr>
          <w:tblHeader w:val="true"/>
        </w:trPr>
        <w:tc>
          <w:tcPr>
            <w:tcW w:type="dxa" w:w="34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Órgano directamente encuadrado bajo la persona titular</w:t>
            </w:r>
          </w:p>
        </w:tc>
        <w:tc>
          <w:tcPr>
            <w:tcW w:type="dxa" w:w="272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Rango o condición</w:t>
            </w:r>
          </w:p>
        </w:tc>
        <w:tc>
          <w:tcPr>
            <w:tcW w:type="dxa" w:w="286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Área característica</w:t>
            </w:r>
          </w:p>
        </w:tc>
      </w:tr>
      <w:tr>
        <w:tc>
          <w:tcPr>
            <w:tcW w:type="dxa" w:w="3438"/>
            <w:tcMar>
              <w:top w:w="80" w:type="dxa"/>
              <w:start w:w="120" w:type="dxa"/>
              <w:bottom w:w="80" w:type="dxa"/>
              <w:end w:w="120" w:type="dxa"/>
            </w:tcMar>
            <w:vAlign w:val="center"/>
          </w:tcPr>
          <w:p>
            <w:pPr>
              <w:spacing w:before="0" w:after="0" w:line="240" w:lineRule="auto"/>
              <w:jc w:val="left"/>
            </w:pPr>
            <w:r/>
            <w:r>
              <w:rPr>
                <w:rFonts w:ascii="Arial" w:hAnsi="Arial" w:cs="Arial"/>
                <w:sz w:val="18"/>
              </w:rPr>
              <w:t>Secretaría de Estado de la Seguridad Social y Pensiones</w:t>
            </w:r>
          </w:p>
        </w:tc>
        <w:tc>
          <w:tcPr>
            <w:tcW w:type="dxa" w:w="2722"/>
            <w:tcMar>
              <w:top w:w="80" w:type="dxa"/>
              <w:start w:w="120" w:type="dxa"/>
              <w:bottom w:w="80" w:type="dxa"/>
              <w:end w:w="120" w:type="dxa"/>
            </w:tcMar>
            <w:vAlign w:val="center"/>
          </w:tcPr>
          <w:p>
            <w:pPr>
              <w:spacing w:before="0" w:after="0" w:line="240" w:lineRule="auto"/>
              <w:jc w:val="center"/>
            </w:pPr>
            <w:r/>
            <w:r>
              <w:rPr>
                <w:rFonts w:ascii="Arial" w:hAnsi="Arial" w:cs="Arial"/>
                <w:sz w:val="18"/>
              </w:rPr>
              <w:t>Órgano superior</w:t>
            </w:r>
          </w:p>
        </w:tc>
        <w:tc>
          <w:tcPr>
            <w:tcW w:type="dxa" w:w="2866"/>
            <w:tcMar>
              <w:top w:w="80" w:type="dxa"/>
              <w:start w:w="120" w:type="dxa"/>
              <w:bottom w:w="80" w:type="dxa"/>
              <w:end w:w="120" w:type="dxa"/>
            </w:tcMar>
            <w:vAlign w:val="center"/>
          </w:tcPr>
          <w:p>
            <w:pPr>
              <w:spacing w:before="0" w:after="0" w:line="240" w:lineRule="auto"/>
              <w:jc w:val="left"/>
            </w:pPr>
            <w:r/>
            <w:r>
              <w:rPr>
                <w:rFonts w:ascii="Arial" w:hAnsi="Arial" w:cs="Arial"/>
                <w:sz w:val="18"/>
              </w:rPr>
              <w:t>Sistema de Seguridad Social y pensiones</w:t>
            </w:r>
          </w:p>
        </w:tc>
      </w:tr>
      <w:tr>
        <w:tc>
          <w:tcPr>
            <w:tcW w:type="dxa" w:w="3438"/>
            <w:tcMar>
              <w:top w:w="80" w:type="dxa"/>
              <w:start w:w="120" w:type="dxa"/>
              <w:bottom w:w="80" w:type="dxa"/>
              <w:end w:w="120" w:type="dxa"/>
            </w:tcMar>
            <w:vAlign w:val="center"/>
          </w:tcPr>
          <w:p>
            <w:pPr>
              <w:spacing w:before="0" w:after="0" w:line="240" w:lineRule="auto"/>
              <w:jc w:val="left"/>
            </w:pPr>
            <w:r/>
            <w:r>
              <w:rPr>
                <w:rFonts w:ascii="Arial" w:hAnsi="Arial" w:cs="Arial"/>
                <w:sz w:val="18"/>
              </w:rPr>
              <w:t>Secretaría de Estado de Migraciones</w:t>
            </w:r>
          </w:p>
        </w:tc>
        <w:tc>
          <w:tcPr>
            <w:tcW w:type="dxa" w:w="2722"/>
            <w:tcMar>
              <w:top w:w="80" w:type="dxa"/>
              <w:start w:w="120" w:type="dxa"/>
              <w:bottom w:w="80" w:type="dxa"/>
              <w:end w:w="120" w:type="dxa"/>
            </w:tcMar>
            <w:vAlign w:val="center"/>
          </w:tcPr>
          <w:p>
            <w:pPr>
              <w:spacing w:before="0" w:after="0" w:line="240" w:lineRule="auto"/>
              <w:jc w:val="center"/>
            </w:pPr>
            <w:r/>
            <w:r>
              <w:rPr>
                <w:rFonts w:ascii="Arial" w:hAnsi="Arial" w:cs="Arial"/>
                <w:sz w:val="18"/>
              </w:rPr>
              <w:t>Órgano superior</w:t>
            </w:r>
          </w:p>
        </w:tc>
        <w:tc>
          <w:tcPr>
            <w:tcW w:type="dxa" w:w="2866"/>
            <w:tcMar>
              <w:top w:w="80" w:type="dxa"/>
              <w:start w:w="120" w:type="dxa"/>
              <w:bottom w:w="80" w:type="dxa"/>
              <w:end w:w="120" w:type="dxa"/>
            </w:tcMar>
            <w:vAlign w:val="center"/>
          </w:tcPr>
          <w:p>
            <w:pPr>
              <w:spacing w:before="0" w:after="0" w:line="240" w:lineRule="auto"/>
              <w:jc w:val="left"/>
            </w:pPr>
            <w:r/>
            <w:r>
              <w:rPr>
                <w:rFonts w:ascii="Arial" w:hAnsi="Arial" w:cs="Arial"/>
                <w:sz w:val="18"/>
              </w:rPr>
              <w:t>Extranjería, inmigración y emigración</w:t>
            </w:r>
          </w:p>
        </w:tc>
      </w:tr>
      <w:tr>
        <w:tc>
          <w:tcPr>
            <w:tcW w:type="dxa" w:w="3438"/>
            <w:tcMar>
              <w:top w:w="80" w:type="dxa"/>
              <w:start w:w="120" w:type="dxa"/>
              <w:bottom w:w="80" w:type="dxa"/>
              <w:end w:w="120" w:type="dxa"/>
            </w:tcMar>
            <w:vAlign w:val="center"/>
          </w:tcPr>
          <w:p>
            <w:pPr>
              <w:spacing w:before="0" w:after="0" w:line="240" w:lineRule="auto"/>
              <w:jc w:val="left"/>
            </w:pPr>
            <w:r/>
            <w:r>
              <w:rPr>
                <w:rFonts w:ascii="Arial" w:hAnsi="Arial" w:cs="Arial"/>
                <w:sz w:val="18"/>
              </w:rPr>
              <w:t>Secretaría General de Inclusión</w:t>
            </w:r>
          </w:p>
        </w:tc>
        <w:tc>
          <w:tcPr>
            <w:tcW w:type="dxa" w:w="2722"/>
            <w:tcMar>
              <w:top w:w="80" w:type="dxa"/>
              <w:start w:w="120" w:type="dxa"/>
              <w:bottom w:w="80" w:type="dxa"/>
              <w:end w:w="120" w:type="dxa"/>
            </w:tcMar>
            <w:vAlign w:val="center"/>
          </w:tcPr>
          <w:p>
            <w:pPr>
              <w:spacing w:before="0" w:after="0" w:line="240" w:lineRule="auto"/>
              <w:jc w:val="left"/>
            </w:pPr>
            <w:r/>
            <w:r>
              <w:rPr>
                <w:rFonts w:ascii="Arial" w:hAnsi="Arial" w:cs="Arial"/>
                <w:sz w:val="18"/>
              </w:rPr>
              <w:t>Órgano directivo con rango de Subsecretaría</w:t>
            </w:r>
          </w:p>
        </w:tc>
        <w:tc>
          <w:tcPr>
            <w:tcW w:type="dxa" w:w="2866"/>
            <w:tcMar>
              <w:top w:w="80" w:type="dxa"/>
              <w:start w:w="120" w:type="dxa"/>
              <w:bottom w:w="80" w:type="dxa"/>
              <w:end w:w="120" w:type="dxa"/>
            </w:tcMar>
            <w:vAlign w:val="center"/>
          </w:tcPr>
          <w:p>
            <w:pPr>
              <w:spacing w:before="0" w:after="0" w:line="240" w:lineRule="auto"/>
              <w:jc w:val="left"/>
            </w:pPr>
            <w:r/>
            <w:r>
              <w:rPr>
                <w:rFonts w:ascii="Arial" w:hAnsi="Arial" w:cs="Arial"/>
                <w:sz w:val="18"/>
              </w:rPr>
              <w:t>Diseño y evaluación de inclusión</w:t>
            </w:r>
          </w:p>
        </w:tc>
      </w:tr>
      <w:tr>
        <w:tc>
          <w:tcPr>
            <w:tcW w:type="dxa" w:w="3438"/>
            <w:tcMar>
              <w:top w:w="80" w:type="dxa"/>
              <w:start w:w="120" w:type="dxa"/>
              <w:bottom w:w="80" w:type="dxa"/>
              <w:end w:w="120" w:type="dxa"/>
            </w:tcMar>
            <w:vAlign w:val="center"/>
          </w:tcPr>
          <w:p>
            <w:pPr>
              <w:spacing w:before="0" w:after="0" w:line="240" w:lineRule="auto"/>
              <w:jc w:val="left"/>
            </w:pPr>
            <w:r/>
            <w:r>
              <w:rPr>
                <w:rFonts w:ascii="Arial" w:hAnsi="Arial" w:cs="Arial"/>
                <w:sz w:val="18"/>
              </w:rPr>
              <w:t>Subsecretaría</w:t>
            </w:r>
          </w:p>
        </w:tc>
        <w:tc>
          <w:tcPr>
            <w:tcW w:type="dxa" w:w="2722"/>
            <w:tcMar>
              <w:top w:w="80" w:type="dxa"/>
              <w:start w:w="120" w:type="dxa"/>
              <w:bottom w:w="80" w:type="dxa"/>
              <w:end w:w="120" w:type="dxa"/>
            </w:tcMar>
            <w:vAlign w:val="center"/>
          </w:tcPr>
          <w:p>
            <w:pPr>
              <w:spacing w:before="0" w:after="0" w:line="240" w:lineRule="auto"/>
              <w:jc w:val="left"/>
            </w:pPr>
            <w:r/>
            <w:r>
              <w:rPr>
                <w:rFonts w:ascii="Arial" w:hAnsi="Arial" w:cs="Arial"/>
                <w:sz w:val="18"/>
              </w:rPr>
              <w:t>Órgano directivo</w:t>
            </w:r>
          </w:p>
        </w:tc>
        <w:tc>
          <w:tcPr>
            <w:tcW w:type="dxa" w:w="2866"/>
            <w:tcMar>
              <w:top w:w="80" w:type="dxa"/>
              <w:start w:w="120" w:type="dxa"/>
              <w:bottom w:w="80" w:type="dxa"/>
              <w:end w:w="120" w:type="dxa"/>
            </w:tcMar>
            <w:vAlign w:val="center"/>
          </w:tcPr>
          <w:p>
            <w:pPr>
              <w:spacing w:before="0" w:after="0" w:line="240" w:lineRule="auto"/>
              <w:jc w:val="left"/>
            </w:pPr>
            <w:r/>
            <w:r>
              <w:rPr>
                <w:rFonts w:ascii="Arial" w:hAnsi="Arial" w:cs="Arial"/>
                <w:sz w:val="18"/>
              </w:rPr>
              <w:t>Representación ordinaria y servicios comunes</w:t>
            </w:r>
          </w:p>
        </w:tc>
      </w:tr>
      <w:tr>
        <w:tc>
          <w:tcPr>
            <w:tcW w:type="dxa" w:w="3438"/>
            <w:tcMar>
              <w:top w:w="80" w:type="dxa"/>
              <w:start w:w="120" w:type="dxa"/>
              <w:bottom w:w="80" w:type="dxa"/>
              <w:end w:w="120" w:type="dxa"/>
            </w:tcMar>
            <w:vAlign w:val="center"/>
          </w:tcPr>
          <w:p>
            <w:pPr>
              <w:spacing w:before="0" w:after="0" w:line="240" w:lineRule="auto"/>
              <w:jc w:val="left"/>
            </w:pPr>
            <w:r/>
            <w:r>
              <w:rPr>
                <w:rFonts w:ascii="Arial" w:hAnsi="Arial" w:cs="Arial"/>
                <w:sz w:val="18"/>
              </w:rPr>
              <w:t>Gabinete de la persona titular</w:t>
            </w:r>
          </w:p>
        </w:tc>
        <w:tc>
          <w:tcPr>
            <w:tcW w:type="dxa" w:w="2722"/>
            <w:tcMar>
              <w:top w:w="80" w:type="dxa"/>
              <w:start w:w="120" w:type="dxa"/>
              <w:bottom w:w="80" w:type="dxa"/>
              <w:end w:w="120" w:type="dxa"/>
            </w:tcMar>
            <w:vAlign w:val="center"/>
          </w:tcPr>
          <w:p>
            <w:pPr>
              <w:spacing w:before="0" w:after="0" w:line="240" w:lineRule="auto"/>
              <w:jc w:val="left"/>
            </w:pPr>
            <w:r/>
            <w:r>
              <w:rPr>
                <w:rFonts w:ascii="Arial" w:hAnsi="Arial" w:cs="Arial"/>
                <w:sz w:val="18"/>
              </w:rPr>
              <w:t>Rango de Dirección General</w:t>
            </w:r>
          </w:p>
        </w:tc>
        <w:tc>
          <w:tcPr>
            <w:tcW w:type="dxa" w:w="2866"/>
            <w:tcMar>
              <w:top w:w="80" w:type="dxa"/>
              <w:start w:w="120" w:type="dxa"/>
              <w:bottom w:w="80" w:type="dxa"/>
              <w:end w:w="120" w:type="dxa"/>
            </w:tcMar>
            <w:vAlign w:val="center"/>
          </w:tcPr>
          <w:p>
            <w:pPr>
              <w:spacing w:before="0" w:after="0" w:line="240" w:lineRule="auto"/>
              <w:jc w:val="left"/>
            </w:pPr>
            <w:r/>
            <w:r>
              <w:rPr>
                <w:rFonts w:ascii="Arial" w:hAnsi="Arial" w:cs="Arial"/>
                <w:sz w:val="18"/>
              </w:rPr>
              <w:t>Apoyo político y asistencia inmediata</w:t>
            </w:r>
          </w:p>
        </w:tc>
      </w:tr>
    </w:tbl>
    <w:p>
      <w:pPr>
        <w:spacing w:after="40"/>
      </w:pPr>
    </w:p>
    <w:p>
      <w:pPr>
        <w:jc w:val="both"/>
      </w:pPr>
      <w:r>
        <w:rPr>
          <w:rFonts w:ascii="Arial" w:hAnsi="Arial" w:cs="Arial"/>
          <w:sz w:val="22"/>
        </w:rPr>
        <w:t>Los Secretarios de Estado son órganos superiores; Subsecretaría, Secretarías Generales y Direcciones Generales son órganos directivos conforme a la Ley 40/2015. La Secretaría General de Inclusión tiene rango de Subsecretaría, pero conserva la denominación y funciones específicas de Secretaría General.</w:t>
      </w:r>
    </w:p>
    <w:p>
      <w:pPr>
        <w:pStyle w:val="Heading2"/>
        <w:keepNext/>
      </w:pPr>
      <w:r>
        <w:rPr>
          <w:rFonts w:ascii="Arial" w:hAnsi="Arial" w:cs="Arial"/>
          <w:sz w:val="25"/>
        </w:rPr>
        <w:t>2.1. Función global</w:t>
      </w:r>
    </w:p>
    <w:p>
      <w:pPr>
        <w:jc w:val="both"/>
      </w:pPr>
      <w:r>
        <w:rPr>
          <w:rFonts w:ascii="Arial" w:hAnsi="Arial" w:cs="Arial"/>
          <w:sz w:val="22"/>
        </w:rPr>
        <w:t>El artículo 1 del Real Decreto 501/2024 define al Ministerio como encargado de:</w:t>
      </w:r>
    </w:p>
    <w:p>
      <w:pPr>
        <w:pStyle w:val="ListBullet"/>
      </w:pPr>
      <w:r>
        <w:rPr>
          <w:rFonts w:ascii="Arial" w:hAnsi="Arial" w:cs="Arial"/>
          <w:sz w:val="22"/>
        </w:rPr>
        <w:t>Propuesta y ejecución de la política del Gobierno en materia de Seguridad Social y clases pasivas.</w:t>
      </w:r>
    </w:p>
    <w:p>
      <w:pPr>
        <w:pStyle w:val="ListBullet"/>
      </w:pPr>
      <w:r>
        <w:rPr>
          <w:rFonts w:ascii="Arial" w:hAnsi="Arial" w:cs="Arial"/>
          <w:sz w:val="22"/>
        </w:rPr>
        <w:t>Elaboración y desarrollo de la política en extranjería, inmigración y emigración.</w:t>
      </w:r>
    </w:p>
    <w:p>
      <w:pPr>
        <w:pStyle w:val="ListBullet"/>
      </w:pPr>
      <w:r>
        <w:rPr>
          <w:rFonts w:ascii="Arial" w:hAnsi="Arial" w:cs="Arial"/>
          <w:sz w:val="22"/>
        </w:rPr>
        <w:t>Elaboración y desarrollo de políticas de inclusión.</w:t>
      </w:r>
    </w:p>
    <w:p>
      <w:pPr>
        <w:jc w:val="both"/>
      </w:pPr>
      <w:r>
        <w:rPr>
          <w:rFonts w:ascii="Arial" w:hAnsi="Arial" w:cs="Arial"/>
          <w:sz w:val="22"/>
        </w:rPr>
        <w:t>Las competencias se ejercen coordinadamente y sin perjuicio de las de otros departamentos. Así, inmigración se relaciona con Interior, Exteriores, Trabajo o Política Territorial; inclusión con Derechos Sociales; y la gestión económico-financiera de la Seguridad Social con Hacienda y sus órganos de control.</w:t>
      </w:r>
    </w:p>
    <w:p>
      <w:pPr>
        <w:pStyle w:val="Heading2"/>
        <w:keepNext/>
      </w:pPr>
      <w:r>
        <w:rPr>
          <w:rFonts w:ascii="Arial" w:hAnsi="Arial" w:cs="Arial"/>
          <w:sz w:val="25"/>
        </w:rPr>
        <w:t>2.2. Titular del Departamento</w:t>
      </w:r>
    </w:p>
    <w:p>
      <w:pPr>
        <w:jc w:val="both"/>
      </w:pPr>
      <w:r>
        <w:rPr>
          <w:rFonts w:ascii="Arial" w:hAnsi="Arial" w:cs="Arial"/>
          <w:sz w:val="22"/>
        </w:rPr>
        <w:t>Como ministro o ministra, la persona titular dirige el departamento, fija objetivos, aprueba planes, ejerce potestad reglamentaria en su ámbito, mantiene relaciones con Comunidades Autónomas, resuelve cuando corresponda, propone al Gobierno iniciativas normativas y controla la actuación de órganos superiores y directivos. Estas facultades generales derivan de la Ley 40/2015 y se concretan en las materias del departamento.</w:t>
      </w:r>
    </w:p>
    <w:p>
      <w:pPr>
        <w:jc w:val="both"/>
      </w:pPr>
      <w:r>
        <w:rPr>
          <w:rFonts w:ascii="Arial" w:hAnsi="Arial" w:cs="Arial"/>
          <w:sz w:val="22"/>
        </w:rPr>
        <w:t xml:space="preserve">Debe diferenciarse la </w:t>
      </w:r>
      <w:r>
        <w:rPr>
          <w:rFonts w:ascii="Arial" w:hAnsi="Arial" w:cs="Arial"/>
          <w:b/>
          <w:sz w:val="22"/>
        </w:rPr>
        <w:t>superior dirección ministerial</w:t>
      </w:r>
      <w:r>
        <w:rPr>
          <w:rFonts w:ascii="Arial" w:hAnsi="Arial" w:cs="Arial"/>
          <w:sz w:val="22"/>
        </w:rPr>
        <w:t xml:space="preserve"> de la gestión cotidiana que corresponde a Secretarías de Estado, Direcciones Generales, entidades y servicios comunes. El Ministerio diseña y tutela; el INSS reconoce prestaciones, la TGSS recauda y administra recursos, y la Intervención controla internamente.</w:t>
      </w:r>
    </w:p>
    <w:p>
      <w:pPr>
        <w:pStyle w:val="Heading1"/>
        <w:keepNext/>
      </w:pPr>
      <w:r>
        <w:rPr>
          <w:rFonts w:ascii="Arial" w:hAnsi="Arial" w:cs="Arial"/>
          <w:sz w:val="30"/>
        </w:rPr>
        <w:t>3. Secretaría de Estado de la Seguridad Social y Pensiones</w:t>
      </w:r>
    </w:p>
    <w:p>
      <w:pPr>
        <w:pStyle w:val="Heading2"/>
        <w:keepNext/>
      </w:pPr>
      <w:r>
        <w:rPr>
          <w:rFonts w:ascii="Arial" w:hAnsi="Arial" w:cs="Arial"/>
          <w:sz w:val="25"/>
        </w:rPr>
        <w:t>3.1. Funciones</w:t>
      </w:r>
    </w:p>
    <w:p>
      <w:pPr>
        <w:jc w:val="both"/>
      </w:pPr>
      <w:r>
        <w:rPr>
          <w:rFonts w:ascii="Arial" w:hAnsi="Arial" w:cs="Arial"/>
          <w:sz w:val="22"/>
        </w:rPr>
        <w:t>Bajo la superior autoridad de la persona titular del Departamento, le corresponden:</w:t>
      </w:r>
    </w:p>
    <w:p>
      <w:pPr>
        <w:pStyle w:val="ListBullet"/>
      </w:pPr>
      <w:r>
        <w:rPr>
          <w:rFonts w:ascii="Arial" w:hAnsi="Arial" w:cs="Arial"/>
          <w:sz w:val="22"/>
        </w:rPr>
        <w:t>Dirección y tutela de las entidades gestoras y servicios comunes adscritos.</w:t>
      </w:r>
    </w:p>
    <w:p>
      <w:pPr>
        <w:pStyle w:val="ListBullet"/>
      </w:pPr>
      <w:r>
        <w:rPr>
          <w:rFonts w:ascii="Arial" w:hAnsi="Arial" w:cs="Arial"/>
          <w:sz w:val="22"/>
        </w:rPr>
        <w:t>Impulso y dirección de la ordenación jurídica del sistema y de las pensiones.</w:t>
      </w:r>
    </w:p>
    <w:p>
      <w:pPr>
        <w:pStyle w:val="ListBullet"/>
      </w:pPr>
      <w:r>
        <w:rPr>
          <w:rFonts w:ascii="Arial" w:hAnsi="Arial" w:cs="Arial"/>
          <w:sz w:val="22"/>
        </w:rPr>
        <w:t>Planificación y análisis económico-financiero.</w:t>
      </w:r>
    </w:p>
    <w:p>
      <w:pPr>
        <w:pStyle w:val="ListBullet"/>
      </w:pPr>
      <w:r>
        <w:rPr>
          <w:rFonts w:ascii="Arial" w:hAnsi="Arial" w:cs="Arial"/>
          <w:sz w:val="22"/>
        </w:rPr>
        <w:t>Dirección y coordinación de la gestión de recursos financieros y gastos.</w:t>
      </w:r>
    </w:p>
    <w:p>
      <w:pPr>
        <w:pStyle w:val="ListBullet"/>
      </w:pPr>
      <w:r>
        <w:rPr>
          <w:rFonts w:ascii="Arial" w:hAnsi="Arial" w:cs="Arial"/>
          <w:sz w:val="22"/>
        </w:rPr>
        <w:t>Planificación y tutela de la gestión de las entidades colaboradoras.</w:t>
      </w:r>
    </w:p>
    <w:p>
      <w:pPr>
        <w:pStyle w:val="ListBullet"/>
      </w:pPr>
      <w:r>
        <w:rPr>
          <w:rFonts w:ascii="Arial" w:hAnsi="Arial" w:cs="Arial"/>
          <w:sz w:val="22"/>
        </w:rPr>
        <w:t>Tutela, superior dirección y coordinación de la asistencia jurídica de las entidades gestoras y servicios comunes.</w:t>
      </w:r>
    </w:p>
    <w:p>
      <w:pPr>
        <w:pStyle w:val="ListBullet"/>
      </w:pPr>
      <w:r>
        <w:rPr>
          <w:rFonts w:ascii="Arial" w:hAnsi="Arial" w:cs="Arial"/>
          <w:sz w:val="22"/>
        </w:rPr>
        <w:t>Propuesta y respaldo al Delegado de Protección de Datos propio de este ámbito.</w:t>
      </w:r>
    </w:p>
    <w:p>
      <w:pPr>
        <w:jc w:val="both"/>
      </w:pPr>
      <w:r>
        <w:rPr>
          <w:rFonts w:ascii="Arial" w:hAnsi="Arial" w:cs="Arial"/>
          <w:sz w:val="22"/>
        </w:rPr>
        <w:t>La expresión «entidades colaboradoras» incluye, señaladamente, las mutuas colaboradoras con la Seguridad Social, pero no las transforma en entidades gestoras ni en órganos ministeriales.</w:t>
      </w:r>
    </w:p>
    <w:p>
      <w:pPr>
        <w:pStyle w:val="Heading2"/>
        <w:keepNext/>
      </w:pPr>
      <w:r>
        <w:rPr>
          <w:rFonts w:ascii="Arial" w:hAnsi="Arial" w:cs="Arial"/>
          <w:sz w:val="25"/>
        </w:rPr>
        <w:t>3.2. Mapa orgánico y de adscripciones</w:t>
      </w:r>
    </w:p>
    <w:p>
      <w:pPr>
        <w:jc w:val="both"/>
      </w:pPr>
      <w:r>
        <w:rPr>
          <w:rFonts w:ascii="Arial" w:hAnsi="Arial" w:cs="Arial"/>
          <w:sz w:val="22"/>
        </w:rPr>
        <w:t xml:space="preserve">De la Secretaría de Estado </w:t>
      </w:r>
      <w:r>
        <w:rPr>
          <w:rFonts w:ascii="Arial" w:hAnsi="Arial" w:cs="Arial"/>
          <w:b/>
          <w:sz w:val="22"/>
        </w:rPr>
        <w:t>depende</w:t>
      </w:r>
      <w:r>
        <w:rPr>
          <w:rFonts w:ascii="Arial" w:hAnsi="Arial" w:cs="Arial"/>
          <w:sz w:val="22"/>
        </w:rPr>
        <w:t>, como órgano directivo, la Dirección General de Ordenación de la Seguridad Social.</w:t>
      </w:r>
    </w:p>
    <w:p>
      <w:pPr>
        <w:jc w:val="both"/>
      </w:pPr>
      <w:r>
        <w:rPr>
          <w:rFonts w:ascii="Arial" w:hAnsi="Arial" w:cs="Arial"/>
          <w:sz w:val="22"/>
        </w:rPr>
        <w:t xml:space="preserve">Están </w:t>
      </w:r>
      <w:r>
        <w:rPr>
          <w:rFonts w:ascii="Arial" w:hAnsi="Arial" w:cs="Arial"/>
          <w:b/>
          <w:sz w:val="22"/>
        </w:rPr>
        <w:t>adscritos</w:t>
      </w:r>
      <w:r>
        <w:rPr>
          <w:rFonts w:ascii="Arial" w:hAnsi="Arial" w:cs="Arial"/>
          <w:sz w:val="22"/>
        </w:rPr>
        <w:t xml:space="preserve"> a ella, con rango de dirección general:</w:t>
      </w:r>
    </w:p>
    <w:p>
      <w:pPr>
        <w:pStyle w:val="ListBullet"/>
      </w:pPr>
      <w:r>
        <w:rPr>
          <w:rFonts w:ascii="Arial" w:hAnsi="Arial" w:cs="Arial"/>
          <w:sz w:val="22"/>
        </w:rPr>
        <w:t>Intervención General de la Seguridad Social —IGSS—.</w:t>
      </w:r>
    </w:p>
    <w:p>
      <w:pPr>
        <w:pStyle w:val="ListBullet"/>
      </w:pPr>
      <w:r>
        <w:rPr>
          <w:rFonts w:ascii="Arial" w:hAnsi="Arial" w:cs="Arial"/>
          <w:sz w:val="22"/>
        </w:rPr>
        <w:t>Servicio Jurídico de la Administración de la Seguridad Social —SJASS—.</w:t>
      </w:r>
    </w:p>
    <w:p>
      <w:pPr>
        <w:jc w:val="both"/>
      </w:pPr>
      <w:r>
        <w:rPr>
          <w:rFonts w:ascii="Arial" w:hAnsi="Arial" w:cs="Arial"/>
          <w:sz w:val="22"/>
        </w:rPr>
        <w:t>Existe además un Gabinete de apoyo y asistencia inmediata con nivel orgánico de subdirección general.</w:t>
      </w:r>
    </w:p>
    <w:p>
      <w:pPr>
        <w:jc w:val="both"/>
      </w:pPr>
      <w:r>
        <w:rPr>
          <w:rFonts w:ascii="Arial" w:hAnsi="Arial" w:cs="Arial"/>
          <w:sz w:val="22"/>
        </w:rPr>
        <w:t>Quedan adscritos a la Secretaría de Estado:</w:t>
      </w:r>
    </w:p>
    <w:p>
      <w:pPr>
        <w:pStyle w:val="ListBullet"/>
      </w:pPr>
      <w:r>
        <w:rPr>
          <w:rFonts w:ascii="Arial" w:hAnsi="Arial" w:cs="Arial"/>
          <w:sz w:val="22"/>
        </w:rPr>
        <w:t>Instituto Nacional de la Seguridad Social —INSS—.</w:t>
      </w:r>
    </w:p>
    <w:p>
      <w:pPr>
        <w:pStyle w:val="ListBullet"/>
      </w:pPr>
      <w:r>
        <w:rPr>
          <w:rFonts w:ascii="Arial" w:hAnsi="Arial" w:cs="Arial"/>
          <w:sz w:val="22"/>
        </w:rPr>
        <w:t>Instituto Social de la Marina —ISM—.</w:t>
      </w:r>
    </w:p>
    <w:p>
      <w:pPr>
        <w:pStyle w:val="ListBullet"/>
      </w:pPr>
      <w:r>
        <w:rPr>
          <w:rFonts w:ascii="Arial" w:hAnsi="Arial" w:cs="Arial"/>
          <w:sz w:val="22"/>
        </w:rPr>
        <w:t>Tesorería General de la Seguridad Social —TGSS—.</w:t>
      </w:r>
    </w:p>
    <w:p>
      <w:pPr>
        <w:pStyle w:val="ListBullet"/>
      </w:pPr>
      <w:r>
        <w:rPr>
          <w:rFonts w:ascii="Arial" w:hAnsi="Arial" w:cs="Arial"/>
          <w:sz w:val="22"/>
        </w:rPr>
        <w:t>Gerencia de Informática de la Seguridad Social —GISS—.</w:t>
      </w:r>
    </w:p>
    <w:p>
      <w:pPr>
        <w:pStyle w:val="ListBullet"/>
      </w:pPr>
      <w:r>
        <w:rPr>
          <w:rFonts w:ascii="Arial" w:hAnsi="Arial" w:cs="Arial"/>
          <w:sz w:val="22"/>
        </w:rPr>
        <w:t>Servicio Jurídico de la Administración de la Seguridad Social.</w:t>
      </w:r>
    </w:p>
    <w:p>
      <w:pPr>
        <w:jc w:val="both"/>
      </w:pPr>
      <w:r>
        <w:rPr>
          <w:rFonts w:ascii="Arial" w:hAnsi="Arial" w:cs="Arial"/>
          <w:sz w:val="22"/>
        </w:rPr>
        <w:t>Que el Servicio Jurídico aparezca como órgano con rango de dirección general y, a la vez, como servicio común adscrito responde a planos diferentes: estructura orgánica del centro directivo y naturaleza institucional del servicio común.</w:t>
      </w:r>
    </w:p>
    <w:p>
      <w:pPr>
        <w:pStyle w:val="Heading1"/>
        <w:keepNext/>
      </w:pPr>
      <w:r>
        <w:rPr>
          <w:rFonts w:ascii="Arial" w:hAnsi="Arial" w:cs="Arial"/>
          <w:sz w:val="30"/>
        </w:rPr>
        <w:t>4. Dirección General de Ordenación de la Seguridad Social</w:t>
      </w:r>
    </w:p>
    <w:p>
      <w:pPr>
        <w:jc w:val="both"/>
      </w:pPr>
      <w:r>
        <w:rPr>
          <w:rFonts w:ascii="Arial" w:hAnsi="Arial" w:cs="Arial"/>
          <w:sz w:val="22"/>
        </w:rPr>
        <w:t>Es el centro directivo que transforma la orientación de la Secretaría de Estado en ordenación normativa, presupuestaria, económico-financiera, estadística y de tutela de colaboradores.</w:t>
      </w:r>
    </w:p>
    <w:p>
      <w:pPr>
        <w:pStyle w:val="Heading2"/>
        <w:keepNext/>
      </w:pPr>
      <w:r>
        <w:rPr>
          <w:rFonts w:ascii="Arial" w:hAnsi="Arial" w:cs="Arial"/>
          <w:sz w:val="25"/>
        </w:rPr>
        <w:t>4.1. Bloque jurídico</w:t>
      </w:r>
    </w:p>
    <w:p>
      <w:pPr>
        <w:jc w:val="both"/>
      </w:pPr>
      <w:r>
        <w:rPr>
          <w:rFonts w:ascii="Arial" w:hAnsi="Arial" w:cs="Arial"/>
          <w:sz w:val="22"/>
        </w:rPr>
        <w:t>Realiza la ordenación jurídica del sistema, elabora e interpreta normas y unifica criterios para su efectividad. Estudia e informa disposiciones sobre Seguridad Social y pensiones especiales. Tramita y, cuando corresponda, resuelve propuestas sancionadoras; gestiona procedimientos de coeficientes reductores de edad de jubilación y los específicos de trabajos en minería; coordina integración de contingencias de entidades sustitutorias o excluidas y sigue prestaciones de entidades alternativas.</w:t>
      </w:r>
    </w:p>
    <w:p>
      <w:pPr>
        <w:jc w:val="both"/>
      </w:pPr>
      <w:r>
        <w:rPr>
          <w:rFonts w:ascii="Arial" w:hAnsi="Arial" w:cs="Arial"/>
          <w:sz w:val="22"/>
        </w:rPr>
        <w:t>No debe confundirse esta ordenación con el reconocimiento individual ordinario de prestaciones, característico del INSS o del ISM.</w:t>
      </w:r>
    </w:p>
    <w:p>
      <w:pPr>
        <w:pStyle w:val="Heading2"/>
        <w:keepNext/>
      </w:pPr>
      <w:r>
        <w:rPr>
          <w:rFonts w:ascii="Arial" w:hAnsi="Arial" w:cs="Arial"/>
          <w:sz w:val="25"/>
        </w:rPr>
        <w:t>4.2. Presupuestos</w:t>
      </w:r>
    </w:p>
    <w:p>
      <w:pPr>
        <w:jc w:val="both"/>
      </w:pPr>
      <w:r>
        <w:rPr>
          <w:rFonts w:ascii="Arial" w:hAnsi="Arial" w:cs="Arial"/>
          <w:sz w:val="22"/>
        </w:rPr>
        <w:t>Elabora el anteproyecto de Presupuestos de la Seguridad Social conforme a la política de protección social; coordina con otros departamentos; gestiona transferencias del servicio presupuestario de la Secretaría; cuantifica aportaciones del Estado; sigue pensiones asistenciales subsistentes y realiza seguimiento y modificaciones presupuestarias de entidades gestoras, servicios comunes, mutuas y centros mancomunados.</w:t>
      </w:r>
    </w:p>
    <w:p>
      <w:pPr>
        <w:pStyle w:val="Heading2"/>
        <w:keepNext/>
      </w:pPr>
      <w:r>
        <w:rPr>
          <w:rFonts w:ascii="Arial" w:hAnsi="Arial" w:cs="Arial"/>
          <w:sz w:val="25"/>
        </w:rPr>
        <w:t>4.3. Entidades colaboradoras</w:t>
      </w:r>
    </w:p>
    <w:p>
      <w:pPr>
        <w:jc w:val="both"/>
      </w:pPr>
      <w:r>
        <w:rPr>
          <w:rFonts w:ascii="Arial" w:hAnsi="Arial" w:cs="Arial"/>
          <w:sz w:val="22"/>
        </w:rPr>
        <w:t>Ejerce funciones de ordenación, seguimiento y tutela económico-financiera respecto de mutuas colaboradoras y empresas colaboradoras, tramita autorizaciones y operaciones sujetas a control y coordina actuaciones ligadas a su régimen. La gestión concreta se reparte conforme a la LGSS y la normativa especial, pero la Dirección General actúa como centro de ordenación y tutela.</w:t>
      </w:r>
    </w:p>
    <w:p>
      <w:pPr>
        <w:pStyle w:val="Heading2"/>
        <w:keepNext/>
      </w:pPr>
      <w:r>
        <w:rPr>
          <w:rFonts w:ascii="Arial" w:hAnsi="Arial" w:cs="Arial"/>
          <w:sz w:val="25"/>
        </w:rPr>
        <w:t>4.4. Planificación y análisis</w:t>
      </w:r>
    </w:p>
    <w:p>
      <w:pPr>
        <w:jc w:val="both"/>
      </w:pPr>
      <w:r>
        <w:rPr>
          <w:rFonts w:ascii="Arial" w:hAnsi="Arial" w:cs="Arial"/>
          <w:sz w:val="22"/>
        </w:rPr>
        <w:t>Desarrolla y coordina las funciones económico-financieras ministeriales; prepara proyecciones de ingresos y gastos; elabora informes para la Comisión del Pacto de Toledo y para la AIReF; redacta memorias económicas e impactos presupuestarios de disposiciones y el Informe Económico-Financiero de los Presupuestos.</w:t>
      </w:r>
    </w:p>
    <w:p>
      <w:pPr>
        <w:pStyle w:val="Heading2"/>
        <w:keepNext/>
      </w:pPr>
      <w:r>
        <w:rPr>
          <w:rFonts w:ascii="Arial" w:hAnsi="Arial" w:cs="Arial"/>
          <w:sz w:val="25"/>
        </w:rPr>
        <w:t>4.5. Estadística y estudios</w:t>
      </w:r>
    </w:p>
    <w:p>
      <w:pPr>
        <w:jc w:val="both"/>
      </w:pPr>
      <w:r>
        <w:rPr>
          <w:rFonts w:ascii="Arial" w:hAnsi="Arial" w:cs="Arial"/>
          <w:sz w:val="22"/>
        </w:rPr>
        <w:t>Diseña y explota el sistema estadístico de la Seguridad Social y sus indicadores, coordina estudios e investigación, elabora la Muestra Continua de Vidas Laborales, trata estadísticas de prestaciones gestionadas por mutuas y gestiona el programa FIPROS. Debe respetar competencias estadístico-contables de IGSS, entidades y servicios comunes.</w:t>
      </w:r>
    </w:p>
    <w:p>
      <w:pPr>
        <w:pStyle w:val="Heading2"/>
        <w:keepNext/>
      </w:pPr>
      <w:r>
        <w:rPr>
          <w:rFonts w:ascii="Arial" w:hAnsi="Arial" w:cs="Arial"/>
          <w:sz w:val="25"/>
        </w:rPr>
        <w:t>4.6. Fondos de pensiones de empleo</w:t>
      </w:r>
    </w:p>
    <w:p>
      <w:pPr>
        <w:jc w:val="both"/>
      </w:pPr>
      <w:r>
        <w:rPr>
          <w:rFonts w:ascii="Arial" w:hAnsi="Arial" w:cs="Arial"/>
          <w:sz w:val="22"/>
        </w:rPr>
        <w:t>Promueve y sigue los fondos de pensiones de empleo de promoción pública abiertos; asume la secretaría y asistencia a su Comisión Promotora y de Seguimiento y las actuaciones preparatorias y contractuales que corresponden. La Comisión se adscribe al Ministerio a través de esta Dirección General.</w:t>
      </w:r>
    </w:p>
    <w:p>
      <w:pPr>
        <w:pStyle w:val="Heading2"/>
        <w:keepNext/>
      </w:pPr>
      <w:r>
        <w:rPr>
          <w:rFonts w:ascii="Arial" w:hAnsi="Arial" w:cs="Arial"/>
          <w:sz w:val="25"/>
        </w:rPr>
        <w:t>4.7. Estructura interna</w:t>
      </w:r>
    </w:p>
    <w:p>
      <w:pPr>
        <w:jc w:val="both"/>
      </w:pPr>
      <w:r>
        <w:rPr>
          <w:rFonts w:ascii="Arial" w:hAnsi="Arial" w:cs="Arial"/>
          <w:sz w:val="22"/>
        </w:rPr>
        <w:t>Dependen de ella seis Subdirecciones Generales:</w:t>
      </w:r>
    </w:p>
    <w:p>
      <w:pPr>
        <w:spacing w:after="40"/>
        <w:ind w:left="369" w:hanging="227"/>
      </w:pPr>
      <w:r>
        <w:rPr>
          <w:rFonts w:ascii="Arial" w:hAnsi="Arial" w:cs="Arial"/>
          <w:sz w:val="22"/>
        </w:rPr>
        <w:t>1. Ordenación Jurídica de la Seguridad Social.</w:t>
      </w:r>
    </w:p>
    <w:p>
      <w:pPr>
        <w:spacing w:after="40"/>
        <w:ind w:left="369" w:hanging="227"/>
      </w:pPr>
      <w:r>
        <w:rPr>
          <w:rFonts w:ascii="Arial" w:hAnsi="Arial" w:cs="Arial"/>
          <w:sz w:val="22"/>
        </w:rPr>
        <w:t>2. Presupuestos de la Seguridad Social.</w:t>
      </w:r>
    </w:p>
    <w:p>
      <w:pPr>
        <w:spacing w:after="40"/>
        <w:ind w:left="369" w:hanging="227"/>
      </w:pPr>
      <w:r>
        <w:rPr>
          <w:rFonts w:ascii="Arial" w:hAnsi="Arial" w:cs="Arial"/>
          <w:sz w:val="22"/>
        </w:rPr>
        <w:t>3. Entidades Colaboradoras de la Seguridad Social.</w:t>
      </w:r>
    </w:p>
    <w:p>
      <w:pPr>
        <w:spacing w:after="40"/>
        <w:ind w:left="369" w:hanging="227"/>
      </w:pPr>
      <w:r>
        <w:rPr>
          <w:rFonts w:ascii="Arial" w:hAnsi="Arial" w:cs="Arial"/>
          <w:sz w:val="22"/>
        </w:rPr>
        <w:t>4. Planificación y Análisis Económico-Financiero de la Seguridad Social.</w:t>
      </w:r>
    </w:p>
    <w:p>
      <w:pPr>
        <w:spacing w:after="40"/>
        <w:ind w:left="369" w:hanging="227"/>
      </w:pPr>
      <w:r>
        <w:rPr>
          <w:rFonts w:ascii="Arial" w:hAnsi="Arial" w:cs="Arial"/>
          <w:sz w:val="22"/>
        </w:rPr>
        <w:t>5. Seguimiento Estadístico de la Seguridad Social.</w:t>
      </w:r>
    </w:p>
    <w:p>
      <w:pPr>
        <w:spacing w:after="40"/>
        <w:ind w:left="369" w:hanging="227"/>
      </w:pPr>
      <w:r>
        <w:rPr>
          <w:rFonts w:ascii="Arial" w:hAnsi="Arial" w:cs="Arial"/>
          <w:sz w:val="22"/>
        </w:rPr>
        <w:t>6. Promoción de Fondos de Pensiones de Empleo.</w:t>
      </w:r>
    </w:p>
    <w:p>
      <w:pPr>
        <w:jc w:val="both"/>
      </w:pPr>
      <w:r>
        <w:rPr>
          <w:rFonts w:ascii="Arial" w:hAnsi="Arial" w:cs="Arial"/>
          <w:sz w:val="22"/>
        </w:rPr>
        <w:t>Existe un Servicio Jurídico delegado. Depende funcionalmente de la Dirección del SJASS y se integra orgánicamente en este; presta asesoramiento, representación y defensa en clases pasivas y otras prestaciones y en asuntos que afecten a entidades y servicios en los términos determinados por la Secretaría de Estado.</w:t>
      </w:r>
    </w:p>
    <w:p>
      <w:pPr>
        <w:pStyle w:val="Heading1"/>
        <w:keepNext/>
      </w:pPr>
      <w:r>
        <w:rPr>
          <w:rFonts w:ascii="Arial" w:hAnsi="Arial" w:cs="Arial"/>
          <w:sz w:val="30"/>
        </w:rPr>
        <w:t>5. Intervención General de la Seguridad Social</w:t>
      </w:r>
    </w:p>
    <w:p>
      <w:pPr>
        <w:jc w:val="both"/>
      </w:pPr>
      <w:r>
        <w:rPr>
          <w:rFonts w:ascii="Arial" w:hAnsi="Arial" w:cs="Arial"/>
          <w:sz w:val="22"/>
        </w:rPr>
        <w:t>La IGSS tiene rango de dirección general, está adscrita a la Secretaría de Estado y depende funcionalmente de la Intervención General de la Administración del Estado. Es:</w:t>
      </w:r>
    </w:p>
    <w:p>
      <w:pPr>
        <w:pStyle w:val="ListBullet"/>
      </w:pPr>
      <w:r>
        <w:rPr>
          <w:rFonts w:ascii="Arial" w:hAnsi="Arial" w:cs="Arial"/>
          <w:sz w:val="22"/>
        </w:rPr>
        <w:t>Órgano de control interno de las entidades del sistema.</w:t>
      </w:r>
    </w:p>
    <w:p>
      <w:pPr>
        <w:pStyle w:val="ListBullet"/>
      </w:pPr>
      <w:r>
        <w:rPr>
          <w:rFonts w:ascii="Arial" w:hAnsi="Arial" w:cs="Arial"/>
          <w:sz w:val="22"/>
        </w:rPr>
        <w:t>Órgano de dirección de su contabilidad.</w:t>
      </w:r>
    </w:p>
    <w:p>
      <w:pPr>
        <w:pStyle w:val="ListBullet"/>
      </w:pPr>
      <w:r>
        <w:rPr>
          <w:rFonts w:ascii="Arial" w:hAnsi="Arial" w:cs="Arial"/>
          <w:sz w:val="22"/>
        </w:rPr>
        <w:t>Centro de gestión de la contabilidad de las entidades gestoras y servicios comunes.</w:t>
      </w:r>
    </w:p>
    <w:p>
      <w:pPr>
        <w:jc w:val="both"/>
      </w:pPr>
      <w:r>
        <w:rPr>
          <w:rFonts w:ascii="Arial" w:hAnsi="Arial" w:cs="Arial"/>
          <w:sz w:val="22"/>
        </w:rPr>
        <w:t>Su normativa específica determina estructura y ejercicio. La dependencia funcional respecto de la IGAE preserva la lógica de control financiero público; la adscripción a la Secretaría de Estado sitúa el órgano en el sistema gestionado. No se debe atribuir a la IGSS la gestión de prestaciones ni la recaudación.</w:t>
      </w:r>
    </w:p>
    <w:p>
      <w:pPr>
        <w:pStyle w:val="Heading1"/>
        <w:keepNext/>
      </w:pPr>
      <w:r>
        <w:rPr>
          <w:rFonts w:ascii="Arial" w:hAnsi="Arial" w:cs="Arial"/>
          <w:sz w:val="30"/>
        </w:rPr>
        <w:t>6. Servicio Jurídico de la Administración de la Seguridad Social</w:t>
      </w:r>
    </w:p>
    <w:p>
      <w:pPr>
        <w:pStyle w:val="Heading2"/>
        <w:keepNext/>
      </w:pPr>
      <w:r>
        <w:rPr>
          <w:rFonts w:ascii="Arial" w:hAnsi="Arial" w:cs="Arial"/>
          <w:sz w:val="25"/>
        </w:rPr>
        <w:t>6.1. Situación vigente desde el 24 de julio de 2026</w:t>
      </w:r>
    </w:p>
    <w:p>
      <w:pPr>
        <w:jc w:val="both"/>
      </w:pPr>
      <w:r>
        <w:rPr>
          <w:rFonts w:ascii="Arial" w:hAnsi="Arial" w:cs="Arial"/>
          <w:sz w:val="22"/>
        </w:rPr>
        <w:t xml:space="preserve">El Real Decreto 616/2026 elevó su nivel orgánico a </w:t>
      </w:r>
      <w:r>
        <w:rPr>
          <w:rFonts w:ascii="Arial" w:hAnsi="Arial" w:cs="Arial"/>
          <w:b/>
          <w:sz w:val="22"/>
        </w:rPr>
        <w:t>dirección general</w:t>
      </w:r>
      <w:r>
        <w:rPr>
          <w:rFonts w:ascii="Arial" w:hAnsi="Arial" w:cs="Arial"/>
          <w:sz w:val="22"/>
        </w:rPr>
        <w:t>. Mantiene carácter de servicio común de la Seguridad Social y queda adscrito a la Secretaría de Estado. Le corresponde la asistencia jurídica de entidades gestoras, servicios comunes y demás organismos o entidades públicas que integren legalmente la Administración de la Seguridad Social.</w:t>
      </w:r>
    </w:p>
    <w:p>
      <w:pPr>
        <w:jc w:val="both"/>
      </w:pPr>
      <w:r>
        <w:rPr>
          <w:rFonts w:ascii="Arial" w:hAnsi="Arial" w:cs="Arial"/>
          <w:sz w:val="22"/>
        </w:rPr>
        <w:t>Lo constituyen:</w:t>
      </w:r>
    </w:p>
    <w:p>
      <w:pPr>
        <w:pStyle w:val="ListBullet"/>
      </w:pPr>
      <w:r>
        <w:rPr>
          <w:rFonts w:ascii="Arial" w:hAnsi="Arial" w:cs="Arial"/>
          <w:sz w:val="22"/>
        </w:rPr>
        <w:t>Dirección del Servicio Jurídico.</w:t>
      </w:r>
    </w:p>
    <w:p>
      <w:pPr>
        <w:pStyle w:val="ListBullet"/>
      </w:pPr>
      <w:r>
        <w:rPr>
          <w:rFonts w:ascii="Arial" w:hAnsi="Arial" w:cs="Arial"/>
          <w:sz w:val="22"/>
        </w:rPr>
        <w:t>Servicios jurídicos delegados.</w:t>
      </w:r>
    </w:p>
    <w:p>
      <w:pPr>
        <w:jc w:val="both"/>
      </w:pPr>
      <w:r>
        <w:rPr>
          <w:rFonts w:ascii="Arial" w:hAnsi="Arial" w:cs="Arial"/>
          <w:sz w:val="22"/>
        </w:rPr>
        <w:t>Las unidades de la Dirección contempladas en el artículo 3.3 del Reglamento aprobado por Real Decreto 947/2001 tienen nivel de subdirección general.</w:t>
      </w:r>
    </w:p>
    <w:p>
      <w:pPr>
        <w:pStyle w:val="Heading2"/>
        <w:keepNext/>
      </w:pPr>
      <w:r>
        <w:rPr>
          <w:rFonts w:ascii="Arial" w:hAnsi="Arial" w:cs="Arial"/>
          <w:sz w:val="25"/>
        </w:rPr>
        <w:t>6.2. Presupuesto y personalidad</w:t>
      </w:r>
    </w:p>
    <w:p>
      <w:pPr>
        <w:jc w:val="both"/>
      </w:pPr>
      <w:r>
        <w:rPr>
          <w:rFonts w:ascii="Arial" w:hAnsi="Arial" w:cs="Arial"/>
          <w:sz w:val="22"/>
        </w:rPr>
        <w:t xml:space="preserve">Es un servicio común </w:t>
      </w:r>
      <w:r>
        <w:rPr>
          <w:rFonts w:ascii="Arial" w:hAnsi="Arial" w:cs="Arial"/>
          <w:b/>
          <w:sz w:val="22"/>
        </w:rPr>
        <w:t>sin personalidad jurídica</w:t>
      </w:r>
      <w:r>
        <w:rPr>
          <w:rFonts w:ascii="Arial" w:hAnsi="Arial" w:cs="Arial"/>
          <w:sz w:val="22"/>
        </w:rPr>
        <w:t>. Su presupuesto se integra en el de la TGSS como centro de gestión independiente, sin perjuicio de su dependencia directa de la Secretaría de Estado. La integración presupuestaria de los servicios jurídicos delegados será efectiva cuando se aprueben las correspondientes relaciones de puestos de trabajo.</w:t>
      </w:r>
    </w:p>
    <w:p>
      <w:pPr>
        <w:jc w:val="both"/>
      </w:pPr>
      <w:r>
        <w:rPr>
          <w:rFonts w:ascii="Arial" w:hAnsi="Arial" w:cs="Arial"/>
          <w:sz w:val="22"/>
        </w:rPr>
        <w:t>Esta última previsión es una condición de efectividad organizativa concreta; no pospone la entrada en vigor del rango de dirección general, ya efectiva el 24 de julio.</w:t>
      </w:r>
    </w:p>
    <w:p>
      <w:pPr>
        <w:spacing w:after="100"/>
        <w:ind w:left="340" w:right="227"/>
        <w:shd w:fill="EAF2F8"/>
      </w:pPr>
      <w:r>
        <w:rPr>
          <w:rFonts w:ascii="Arial" w:hAnsi="Arial" w:cs="Arial"/>
          <w:b/>
          <w:sz w:val="20"/>
        </w:rPr>
        <w:t>Trampa frecuente:</w:t>
      </w:r>
      <w:r>
        <w:rPr>
          <w:rFonts w:ascii="Arial" w:hAnsi="Arial" w:cs="Arial"/>
          <w:sz w:val="20"/>
        </w:rPr>
        <w:t xml:space="preserve"> GISS tiene personalidad jurídica propia y rango de subdirección general; SJASS carece de personalidad jurídica y tiene nivel de dirección general. Rango orgánico y personalidad son categorías distintas.</w:t>
      </w:r>
    </w:p>
    <w:p>
      <w:pPr>
        <w:pStyle w:val="Heading1"/>
        <w:keepNext/>
      </w:pPr>
      <w:r>
        <w:rPr>
          <w:rFonts w:ascii="Arial" w:hAnsi="Arial" w:cs="Arial"/>
          <w:sz w:val="30"/>
        </w:rPr>
        <w:t>7. Entidades gestoras y servicios comunes adscritos</w:t>
      </w:r>
    </w:p>
    <w:p>
      <w:pPr>
        <w:pStyle w:val="Heading2"/>
        <w:keepNext/>
      </w:pPr>
      <w:r>
        <w:rPr>
          <w:rFonts w:ascii="Arial" w:hAnsi="Arial" w:cs="Arial"/>
          <w:sz w:val="25"/>
        </w:rPr>
        <w:t>7.1. Instituto Nacional de la Seguridad Social</w:t>
      </w:r>
    </w:p>
    <w:p>
      <w:pPr>
        <w:jc w:val="both"/>
      </w:pPr>
      <w:r>
        <w:rPr>
          <w:rFonts w:ascii="Arial" w:hAnsi="Arial" w:cs="Arial"/>
          <w:sz w:val="22"/>
        </w:rPr>
        <w:t>El INSS es entidad gestora de derecho público. Gestiona y administra las prestaciones económicas del sistema, salvo las atribuidas a otras entidades. En su normativa específica se concretan reconocimiento y control de pensiones y subsidios, determinadas prestaciones familiares, incapacidad temporal en su ámbito, ingreso mínimo vital y otros derechos.</w:t>
      </w:r>
    </w:p>
    <w:p>
      <w:pPr>
        <w:jc w:val="both"/>
      </w:pPr>
      <w:r>
        <w:rPr>
          <w:rFonts w:ascii="Arial" w:hAnsi="Arial" w:cs="Arial"/>
          <w:sz w:val="22"/>
        </w:rPr>
        <w:t>No recauda cuotas ni custodia la caja única: esas tareas corresponden a TGSS. Tampoco formula la ordenación general del sistema, propia de la Dirección General de Ordenación.</w:t>
      </w:r>
    </w:p>
    <w:p>
      <w:pPr>
        <w:pStyle w:val="Heading2"/>
        <w:keepNext/>
      </w:pPr>
      <w:r>
        <w:rPr>
          <w:rFonts w:ascii="Arial" w:hAnsi="Arial" w:cs="Arial"/>
          <w:sz w:val="25"/>
        </w:rPr>
        <w:t>7.2. Instituto Social de la Marina</w:t>
      </w:r>
    </w:p>
    <w:p>
      <w:pPr>
        <w:jc w:val="both"/>
      </w:pPr>
      <w:r>
        <w:rPr>
          <w:rFonts w:ascii="Arial" w:hAnsi="Arial" w:cs="Arial"/>
          <w:sz w:val="22"/>
        </w:rPr>
        <w:t>El ISM es entidad de derecho público y gestora del Régimen Especial de la Seguridad Social de los Trabajadores del Mar. Gestiona prestaciones de ese régimen y tiene funciones específicas de atención al sector marítimo-pesquero: sanidad marítima, acción social, formación y colaboración en afiliación, cotización y recaudación en los términos de su normativa.</w:t>
      </w:r>
    </w:p>
    <w:p>
      <w:pPr>
        <w:jc w:val="both"/>
      </w:pPr>
      <w:r>
        <w:rPr>
          <w:rFonts w:ascii="Arial" w:hAnsi="Arial" w:cs="Arial"/>
          <w:sz w:val="22"/>
        </w:rPr>
        <w:t>La colaboración con TGSS no rompe la caja única ni convierte al ISM en titular general de la recaudación.</w:t>
      </w:r>
    </w:p>
    <w:p>
      <w:pPr>
        <w:pStyle w:val="Heading2"/>
        <w:keepNext/>
      </w:pPr>
      <w:r>
        <w:rPr>
          <w:rFonts w:ascii="Arial" w:hAnsi="Arial" w:cs="Arial"/>
          <w:sz w:val="25"/>
        </w:rPr>
        <w:t>7.3. Tesorería General de la Seguridad Social</w:t>
      </w:r>
    </w:p>
    <w:p>
      <w:pPr>
        <w:jc w:val="both"/>
      </w:pPr>
      <w:r>
        <w:rPr>
          <w:rFonts w:ascii="Arial" w:hAnsi="Arial" w:cs="Arial"/>
          <w:sz w:val="22"/>
        </w:rPr>
        <w:t>La TGSS es servicio común con personalidad jurídica propia. En ella se unifican los recursos financieros conforme a solidaridad financiera y caja única. Custodia fondos, valores y créditos; atiende recaudación y pagos; gestiona afiliación, altas y bajas, inscripción de empresas, cotización, recaudación y patrimonio único del sistema en los términos legales.</w:t>
      </w:r>
    </w:p>
    <w:tbl>
      <w:tblPr>
        <w:tblStyle w:val="TableGrid"/>
        <w:tblW w:type="dxa" w:w="9026"/>
        <w:jc w:val="left"/>
        <w:tblLayout w:type="fixed"/>
        <w:tblLook w:firstColumn="1" w:firstRow="1" w:lastColumn="0" w:lastRow="0" w:noHBand="0" w:noVBand="1" w:val="04A0"/>
        <w:tblInd w:w="120" w:type="dxa"/>
      </w:tblPr>
      <w:tblGrid>
        <w:gridCol w:w="5509"/>
        <w:gridCol w:w="3517"/>
      </w:tblGrid>
      <w:tr>
        <w:trPr>
          <w:tblHeader w:val="true"/>
        </w:trPr>
        <w:tc>
          <w:tcPr>
            <w:tcW w:type="dxa" w:w="550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Operación</w:t>
            </w:r>
          </w:p>
        </w:tc>
        <w:tc>
          <w:tcPr>
            <w:tcW w:type="dxa" w:w="351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Órgano característico</w:t>
            </w:r>
          </w:p>
        </w:tc>
      </w:tr>
      <w:tr>
        <w:tc>
          <w:tcPr>
            <w:tcW w:type="dxa" w:w="5509"/>
            <w:tcMar>
              <w:top w:w="80" w:type="dxa"/>
              <w:start w:w="120" w:type="dxa"/>
              <w:bottom w:w="80" w:type="dxa"/>
              <w:end w:w="120" w:type="dxa"/>
            </w:tcMar>
            <w:vAlign w:val="center"/>
          </w:tcPr>
          <w:p>
            <w:pPr>
              <w:spacing w:before="0" w:after="0" w:line="240" w:lineRule="auto"/>
              <w:jc w:val="left"/>
            </w:pPr>
            <w:r/>
            <w:r>
              <w:rPr>
                <w:rFonts w:ascii="Arial" w:hAnsi="Arial" w:cs="Arial"/>
                <w:sz w:val="18"/>
              </w:rPr>
              <w:t>Reconocimiento de una pensión contributiva ordinaria</w:t>
            </w:r>
          </w:p>
        </w:tc>
        <w:tc>
          <w:tcPr>
            <w:tcW w:type="dxa" w:w="3517"/>
            <w:tcMar>
              <w:top w:w="80" w:type="dxa"/>
              <w:start w:w="120" w:type="dxa"/>
              <w:bottom w:w="80" w:type="dxa"/>
              <w:end w:w="120" w:type="dxa"/>
            </w:tcMar>
            <w:vAlign w:val="center"/>
          </w:tcPr>
          <w:p>
            <w:pPr>
              <w:spacing w:before="0" w:after="0" w:line="240" w:lineRule="auto"/>
              <w:jc w:val="left"/>
            </w:pPr>
            <w:r/>
            <w:r>
              <w:rPr>
                <w:rFonts w:ascii="Arial" w:hAnsi="Arial" w:cs="Arial"/>
                <w:sz w:val="18"/>
              </w:rPr>
              <w:t>INSS, salvo competencia específica</w:t>
            </w:r>
          </w:p>
        </w:tc>
      </w:tr>
      <w:tr>
        <w:tc>
          <w:tcPr>
            <w:tcW w:type="dxa" w:w="5509"/>
            <w:tcMar>
              <w:top w:w="80" w:type="dxa"/>
              <w:start w:w="120" w:type="dxa"/>
              <w:bottom w:w="80" w:type="dxa"/>
              <w:end w:w="120" w:type="dxa"/>
            </w:tcMar>
            <w:vAlign w:val="center"/>
          </w:tcPr>
          <w:p>
            <w:pPr>
              <w:spacing w:before="0" w:after="0" w:line="240" w:lineRule="auto"/>
              <w:jc w:val="left"/>
            </w:pPr>
            <w:r/>
            <w:r>
              <w:rPr>
                <w:rFonts w:ascii="Arial" w:hAnsi="Arial" w:cs="Arial"/>
                <w:sz w:val="18"/>
              </w:rPr>
              <w:t>Prestación del Régimen del Mar</w:t>
            </w:r>
          </w:p>
        </w:tc>
        <w:tc>
          <w:tcPr>
            <w:tcW w:type="dxa" w:w="3517"/>
            <w:tcMar>
              <w:top w:w="80" w:type="dxa"/>
              <w:start w:w="120" w:type="dxa"/>
              <w:bottom w:w="80" w:type="dxa"/>
              <w:end w:w="120" w:type="dxa"/>
            </w:tcMar>
            <w:vAlign w:val="center"/>
          </w:tcPr>
          <w:p>
            <w:pPr>
              <w:spacing w:before="0" w:after="0" w:line="240" w:lineRule="auto"/>
              <w:jc w:val="center"/>
            </w:pPr>
            <w:r/>
            <w:r>
              <w:rPr>
                <w:rFonts w:ascii="Arial" w:hAnsi="Arial" w:cs="Arial"/>
                <w:sz w:val="18"/>
              </w:rPr>
              <w:t>ISM</w:t>
            </w:r>
          </w:p>
        </w:tc>
      </w:tr>
      <w:tr>
        <w:tc>
          <w:tcPr>
            <w:tcW w:type="dxa" w:w="5509"/>
            <w:tcMar>
              <w:top w:w="80" w:type="dxa"/>
              <w:start w:w="120" w:type="dxa"/>
              <w:bottom w:w="80" w:type="dxa"/>
              <w:end w:w="120" w:type="dxa"/>
            </w:tcMar>
            <w:vAlign w:val="center"/>
          </w:tcPr>
          <w:p>
            <w:pPr>
              <w:spacing w:before="0" w:after="0" w:line="240" w:lineRule="auto"/>
              <w:jc w:val="left"/>
            </w:pPr>
            <w:r/>
            <w:r>
              <w:rPr>
                <w:rFonts w:ascii="Arial" w:hAnsi="Arial" w:cs="Arial"/>
                <w:sz w:val="18"/>
              </w:rPr>
              <w:t>Afiliación, alta, cotización y recaudación</w:t>
            </w:r>
          </w:p>
        </w:tc>
        <w:tc>
          <w:tcPr>
            <w:tcW w:type="dxa" w:w="3517"/>
            <w:tcMar>
              <w:top w:w="80" w:type="dxa"/>
              <w:start w:w="120" w:type="dxa"/>
              <w:bottom w:w="80" w:type="dxa"/>
              <w:end w:w="120" w:type="dxa"/>
            </w:tcMar>
            <w:vAlign w:val="center"/>
          </w:tcPr>
          <w:p>
            <w:pPr>
              <w:spacing w:before="0" w:after="0" w:line="240" w:lineRule="auto"/>
              <w:jc w:val="center"/>
            </w:pPr>
            <w:r/>
            <w:r>
              <w:rPr>
                <w:rFonts w:ascii="Arial" w:hAnsi="Arial" w:cs="Arial"/>
                <w:sz w:val="18"/>
              </w:rPr>
              <w:t>TGSS</w:t>
            </w:r>
          </w:p>
        </w:tc>
      </w:tr>
      <w:tr>
        <w:tc>
          <w:tcPr>
            <w:tcW w:type="dxa" w:w="5509"/>
            <w:tcMar>
              <w:top w:w="80" w:type="dxa"/>
              <w:start w:w="120" w:type="dxa"/>
              <w:bottom w:w="80" w:type="dxa"/>
              <w:end w:w="120" w:type="dxa"/>
            </w:tcMar>
            <w:vAlign w:val="center"/>
          </w:tcPr>
          <w:p>
            <w:pPr>
              <w:spacing w:before="0" w:after="0" w:line="240" w:lineRule="auto"/>
              <w:jc w:val="left"/>
            </w:pPr>
            <w:r/>
            <w:r>
              <w:rPr>
                <w:rFonts w:ascii="Arial" w:hAnsi="Arial" w:cs="Arial"/>
                <w:sz w:val="18"/>
              </w:rPr>
              <w:t>Elaboración de criterios normativos generales</w:t>
            </w:r>
          </w:p>
        </w:tc>
        <w:tc>
          <w:tcPr>
            <w:tcW w:type="dxa" w:w="3517"/>
            <w:tcMar>
              <w:top w:w="80" w:type="dxa"/>
              <w:start w:w="120" w:type="dxa"/>
              <w:bottom w:w="80" w:type="dxa"/>
              <w:end w:w="120" w:type="dxa"/>
            </w:tcMar>
            <w:vAlign w:val="center"/>
          </w:tcPr>
          <w:p>
            <w:pPr>
              <w:spacing w:before="0" w:after="0" w:line="240" w:lineRule="auto"/>
              <w:jc w:val="center"/>
            </w:pPr>
            <w:r/>
            <w:r>
              <w:rPr>
                <w:rFonts w:ascii="Arial" w:hAnsi="Arial" w:cs="Arial"/>
                <w:sz w:val="18"/>
              </w:rPr>
              <w:t>DGOSS</w:t>
            </w:r>
          </w:p>
        </w:tc>
      </w:tr>
      <w:tr>
        <w:tc>
          <w:tcPr>
            <w:tcW w:type="dxa" w:w="5509"/>
            <w:tcMar>
              <w:top w:w="80" w:type="dxa"/>
              <w:start w:w="120" w:type="dxa"/>
              <w:bottom w:w="80" w:type="dxa"/>
              <w:end w:w="120" w:type="dxa"/>
            </w:tcMar>
            <w:vAlign w:val="center"/>
          </w:tcPr>
          <w:p>
            <w:pPr>
              <w:spacing w:before="0" w:after="0" w:line="240" w:lineRule="auto"/>
              <w:jc w:val="left"/>
            </w:pPr>
            <w:r/>
            <w:r>
              <w:rPr>
                <w:rFonts w:ascii="Arial" w:hAnsi="Arial" w:cs="Arial"/>
                <w:sz w:val="18"/>
              </w:rPr>
              <w:t>Control interno y contabilidad del sistema</w:t>
            </w:r>
          </w:p>
        </w:tc>
        <w:tc>
          <w:tcPr>
            <w:tcW w:type="dxa" w:w="3517"/>
            <w:tcMar>
              <w:top w:w="80" w:type="dxa"/>
              <w:start w:w="120" w:type="dxa"/>
              <w:bottom w:w="80" w:type="dxa"/>
              <w:end w:w="120" w:type="dxa"/>
            </w:tcMar>
            <w:vAlign w:val="center"/>
          </w:tcPr>
          <w:p>
            <w:pPr>
              <w:spacing w:before="0" w:after="0" w:line="240" w:lineRule="auto"/>
              <w:jc w:val="center"/>
            </w:pPr>
            <w:r/>
            <w:r>
              <w:rPr>
                <w:rFonts w:ascii="Arial" w:hAnsi="Arial" w:cs="Arial"/>
                <w:sz w:val="18"/>
              </w:rPr>
              <w:t>IGSS</w:t>
            </w:r>
          </w:p>
        </w:tc>
      </w:tr>
      <w:tr>
        <w:tc>
          <w:tcPr>
            <w:tcW w:type="dxa" w:w="5509"/>
            <w:tcMar>
              <w:top w:w="80" w:type="dxa"/>
              <w:start w:w="120" w:type="dxa"/>
              <w:bottom w:w="80" w:type="dxa"/>
              <w:end w:w="120" w:type="dxa"/>
            </w:tcMar>
            <w:vAlign w:val="center"/>
          </w:tcPr>
          <w:p>
            <w:pPr>
              <w:spacing w:before="0" w:after="0" w:line="240" w:lineRule="auto"/>
              <w:jc w:val="left"/>
            </w:pPr>
            <w:r/>
            <w:r>
              <w:rPr>
                <w:rFonts w:ascii="Arial" w:hAnsi="Arial" w:cs="Arial"/>
                <w:sz w:val="18"/>
              </w:rPr>
              <w:t>Asesoramiento y defensa jurídica</w:t>
            </w:r>
          </w:p>
        </w:tc>
        <w:tc>
          <w:tcPr>
            <w:tcW w:type="dxa" w:w="3517"/>
            <w:tcMar>
              <w:top w:w="80" w:type="dxa"/>
              <w:start w:w="120" w:type="dxa"/>
              <w:bottom w:w="80" w:type="dxa"/>
              <w:end w:w="120" w:type="dxa"/>
            </w:tcMar>
            <w:vAlign w:val="center"/>
          </w:tcPr>
          <w:p>
            <w:pPr>
              <w:spacing w:before="0" w:after="0" w:line="240" w:lineRule="auto"/>
              <w:jc w:val="center"/>
            </w:pPr>
            <w:r/>
            <w:r>
              <w:rPr>
                <w:rFonts w:ascii="Arial" w:hAnsi="Arial" w:cs="Arial"/>
                <w:sz w:val="18"/>
              </w:rPr>
              <w:t>SJASS</w:t>
            </w:r>
          </w:p>
        </w:tc>
      </w:tr>
      <w:tr>
        <w:tc>
          <w:tcPr>
            <w:tcW w:type="dxa" w:w="5509"/>
            <w:tcMar>
              <w:top w:w="80" w:type="dxa"/>
              <w:start w:w="120" w:type="dxa"/>
              <w:bottom w:w="80" w:type="dxa"/>
              <w:end w:w="120" w:type="dxa"/>
            </w:tcMar>
            <w:vAlign w:val="center"/>
          </w:tcPr>
          <w:p>
            <w:pPr>
              <w:spacing w:before="0" w:after="0" w:line="240" w:lineRule="auto"/>
              <w:jc w:val="left"/>
            </w:pPr>
            <w:r/>
            <w:r>
              <w:rPr>
                <w:rFonts w:ascii="Arial" w:hAnsi="Arial" w:cs="Arial"/>
                <w:sz w:val="18"/>
              </w:rPr>
              <w:t>Sistemas corporativos y transformación digital</w:t>
            </w:r>
          </w:p>
        </w:tc>
        <w:tc>
          <w:tcPr>
            <w:tcW w:type="dxa" w:w="3517"/>
            <w:tcMar>
              <w:top w:w="80" w:type="dxa"/>
              <w:start w:w="120" w:type="dxa"/>
              <w:bottom w:w="80" w:type="dxa"/>
              <w:end w:w="120" w:type="dxa"/>
            </w:tcMar>
            <w:vAlign w:val="center"/>
          </w:tcPr>
          <w:p>
            <w:pPr>
              <w:spacing w:before="0" w:after="0" w:line="240" w:lineRule="auto"/>
              <w:jc w:val="center"/>
            </w:pPr>
            <w:r/>
            <w:r>
              <w:rPr>
                <w:rFonts w:ascii="Arial" w:hAnsi="Arial" w:cs="Arial"/>
                <w:sz w:val="18"/>
              </w:rPr>
              <w:t>GISS</w:t>
            </w:r>
          </w:p>
        </w:tc>
      </w:tr>
    </w:tbl>
    <w:p>
      <w:pPr>
        <w:spacing w:after="40"/>
      </w:pPr>
    </w:p>
    <w:p>
      <w:pPr>
        <w:pStyle w:val="Heading2"/>
        <w:keepNext/>
      </w:pPr>
      <w:r>
        <w:rPr>
          <w:rFonts w:ascii="Arial" w:hAnsi="Arial" w:cs="Arial"/>
          <w:sz w:val="25"/>
        </w:rPr>
        <w:t>7.4. Gerencia de Informática de la Seguridad Social</w:t>
      </w:r>
    </w:p>
    <w:p>
      <w:pPr>
        <w:jc w:val="both"/>
      </w:pPr>
      <w:r>
        <w:rPr>
          <w:rFonts w:ascii="Arial" w:hAnsi="Arial" w:cs="Arial"/>
          <w:sz w:val="22"/>
        </w:rPr>
        <w:t>La GISS es servicio común con personalidad jurídica propia y capacidad de obrar, con nivel orgánico de subdirección general. Se adscribe a la Secretaría de Estado y tiene una dependencia funcional plural, respecto de programas y proyectos que afecten a cada competencia:</w:t>
      </w:r>
    </w:p>
    <w:p>
      <w:pPr>
        <w:pStyle w:val="ListBullet"/>
      </w:pPr>
      <w:r>
        <w:rPr>
          <w:rFonts w:ascii="Arial" w:hAnsi="Arial" w:cs="Arial"/>
          <w:sz w:val="22"/>
        </w:rPr>
        <w:t>Dirección General de Ordenación.</w:t>
      </w:r>
    </w:p>
    <w:p>
      <w:pPr>
        <w:pStyle w:val="ListBullet"/>
      </w:pPr>
      <w:r>
        <w:rPr>
          <w:rFonts w:ascii="Arial" w:hAnsi="Arial" w:cs="Arial"/>
          <w:sz w:val="22"/>
        </w:rPr>
        <w:t>Cada entidad gestora.</w:t>
      </w:r>
    </w:p>
    <w:p>
      <w:pPr>
        <w:pStyle w:val="ListBullet"/>
      </w:pPr>
      <w:r>
        <w:rPr>
          <w:rFonts w:ascii="Arial" w:hAnsi="Arial" w:cs="Arial"/>
          <w:sz w:val="22"/>
        </w:rPr>
        <w:t>IGSS.</w:t>
      </w:r>
    </w:p>
    <w:p>
      <w:pPr>
        <w:pStyle w:val="ListBullet"/>
      </w:pPr>
      <w:r>
        <w:rPr>
          <w:rFonts w:ascii="Arial" w:hAnsi="Arial" w:cs="Arial"/>
          <w:sz w:val="22"/>
        </w:rPr>
        <w:t>SJASS.</w:t>
      </w:r>
    </w:p>
    <w:p>
      <w:pPr>
        <w:pStyle w:val="ListBullet"/>
      </w:pPr>
      <w:r>
        <w:rPr>
          <w:rFonts w:ascii="Arial" w:hAnsi="Arial" w:cs="Arial"/>
          <w:sz w:val="22"/>
        </w:rPr>
        <w:t>TGSS.</w:t>
      </w:r>
    </w:p>
    <w:p>
      <w:pPr>
        <w:jc w:val="both"/>
      </w:pPr>
      <w:r>
        <w:rPr>
          <w:rFonts w:ascii="Arial" w:hAnsi="Arial" w:cs="Arial"/>
          <w:sz w:val="22"/>
        </w:rPr>
        <w:t>Sus actuaciones siguen las directrices del Consejo General de Administración Digital de la Seguridad Social. Entre sus funciones están el plan de transformación digital, creación y desarrollo de sistemas, evaluación e inventario, normas técnicas de interoperabilidad, bases de datos corporativas, seguridad y confidencialidad y gestión de medios tecnológicos.</w:t>
      </w:r>
    </w:p>
    <w:p>
      <w:pPr>
        <w:jc w:val="both"/>
      </w:pPr>
      <w:r>
        <w:rPr>
          <w:rFonts w:ascii="Arial" w:hAnsi="Arial" w:cs="Arial"/>
          <w:sz w:val="22"/>
        </w:rPr>
        <w:t>La disposición adicional segunda del Real Decreto 501/2024 mantiene estas funciones «en tanto» se apruebe un real decreto específico de estructura y competencias. Esa cláusula no priva a la regulación actual de vigencia.</w:t>
      </w:r>
    </w:p>
    <w:p>
      <w:pPr>
        <w:pStyle w:val="Heading2"/>
        <w:keepNext/>
      </w:pPr>
      <w:r>
        <w:rPr>
          <w:rFonts w:ascii="Arial" w:hAnsi="Arial" w:cs="Arial"/>
          <w:sz w:val="25"/>
        </w:rPr>
        <w:t>7.5. Entidades gestoras, servicios comunes y mutuas</w:t>
      </w:r>
    </w:p>
    <w:tbl>
      <w:tblPr>
        <w:tblStyle w:val="TableGrid"/>
        <w:tblW w:type="dxa" w:w="9026"/>
        <w:jc w:val="left"/>
        <w:tblLayout w:type="fixed"/>
        <w:tblLook w:firstColumn="1" w:firstRow="1" w:lastColumn="0" w:lastRow="0" w:noHBand="0" w:noVBand="1" w:val="04A0"/>
        <w:tblInd w:w="120" w:type="dxa"/>
      </w:tblPr>
      <w:tblGrid>
        <w:gridCol w:w="1927"/>
        <w:gridCol w:w="2434"/>
        <w:gridCol w:w="4665"/>
      </w:tblGrid>
      <w:tr>
        <w:trPr>
          <w:tblHeader w:val="true"/>
        </w:trPr>
        <w:tc>
          <w:tcPr>
            <w:tcW w:type="dxa" w:w="192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Categoría</w:t>
            </w:r>
          </w:p>
        </w:tc>
        <w:tc>
          <w:tcPr>
            <w:tcW w:type="dxa" w:w="243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Ejemplos en este Ministerio</w:t>
            </w:r>
          </w:p>
        </w:tc>
        <w:tc>
          <w:tcPr>
            <w:tcW w:type="dxa" w:w="466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Rasgo</w:t>
            </w:r>
          </w:p>
        </w:tc>
      </w:tr>
      <w:tr>
        <w:tc>
          <w:tcPr>
            <w:tcW w:type="dxa" w:w="1927"/>
            <w:tcMar>
              <w:top w:w="80" w:type="dxa"/>
              <w:start w:w="120" w:type="dxa"/>
              <w:bottom w:w="80" w:type="dxa"/>
              <w:end w:w="120" w:type="dxa"/>
            </w:tcMar>
            <w:vAlign w:val="center"/>
          </w:tcPr>
          <w:p>
            <w:pPr>
              <w:spacing w:before="0" w:after="0" w:line="240" w:lineRule="auto"/>
              <w:jc w:val="left"/>
            </w:pPr>
            <w:r/>
            <w:r>
              <w:rPr>
                <w:rFonts w:ascii="Arial" w:hAnsi="Arial" w:cs="Arial"/>
                <w:sz w:val="18"/>
              </w:rPr>
              <w:t>Entidad gestora</w:t>
            </w:r>
          </w:p>
        </w:tc>
        <w:tc>
          <w:tcPr>
            <w:tcW w:type="dxa" w:w="2434"/>
            <w:tcMar>
              <w:top w:w="80" w:type="dxa"/>
              <w:start w:w="120" w:type="dxa"/>
              <w:bottom w:w="80" w:type="dxa"/>
              <w:end w:w="120" w:type="dxa"/>
            </w:tcMar>
            <w:vAlign w:val="center"/>
          </w:tcPr>
          <w:p>
            <w:pPr>
              <w:spacing w:before="0" w:after="0" w:line="240" w:lineRule="auto"/>
              <w:jc w:val="center"/>
            </w:pPr>
            <w:r/>
            <w:r>
              <w:rPr>
                <w:rFonts w:ascii="Arial" w:hAnsi="Arial" w:cs="Arial"/>
                <w:sz w:val="18"/>
              </w:rPr>
              <w:t>INSS, ISM</w:t>
            </w:r>
          </w:p>
        </w:tc>
        <w:tc>
          <w:tcPr>
            <w:tcW w:type="dxa" w:w="4665"/>
            <w:tcMar>
              <w:top w:w="80" w:type="dxa"/>
              <w:start w:w="120" w:type="dxa"/>
              <w:bottom w:w="80" w:type="dxa"/>
              <w:end w:w="120" w:type="dxa"/>
            </w:tcMar>
            <w:vAlign w:val="center"/>
          </w:tcPr>
          <w:p>
            <w:pPr>
              <w:spacing w:before="0" w:after="0" w:line="240" w:lineRule="auto"/>
              <w:jc w:val="left"/>
            </w:pPr>
            <w:r/>
            <w:r>
              <w:rPr>
                <w:rFonts w:ascii="Arial" w:hAnsi="Arial" w:cs="Arial"/>
                <w:sz w:val="18"/>
              </w:rPr>
              <w:t>Reconoce o gestiona prestaciones en su ámbito</w:t>
            </w:r>
          </w:p>
        </w:tc>
      </w:tr>
      <w:tr>
        <w:tc>
          <w:tcPr>
            <w:tcW w:type="dxa" w:w="1927"/>
            <w:tcMar>
              <w:top w:w="80" w:type="dxa"/>
              <w:start w:w="120" w:type="dxa"/>
              <w:bottom w:w="80" w:type="dxa"/>
              <w:end w:w="120" w:type="dxa"/>
            </w:tcMar>
            <w:vAlign w:val="center"/>
          </w:tcPr>
          <w:p>
            <w:pPr>
              <w:spacing w:before="0" w:after="0" w:line="240" w:lineRule="auto"/>
              <w:jc w:val="left"/>
            </w:pPr>
            <w:r/>
            <w:r>
              <w:rPr>
                <w:rFonts w:ascii="Arial" w:hAnsi="Arial" w:cs="Arial"/>
                <w:sz w:val="18"/>
              </w:rPr>
              <w:t>Servicio común</w:t>
            </w:r>
          </w:p>
        </w:tc>
        <w:tc>
          <w:tcPr>
            <w:tcW w:type="dxa" w:w="2434"/>
            <w:tcMar>
              <w:top w:w="80" w:type="dxa"/>
              <w:start w:w="120" w:type="dxa"/>
              <w:bottom w:w="80" w:type="dxa"/>
              <w:end w:w="120" w:type="dxa"/>
            </w:tcMar>
            <w:vAlign w:val="center"/>
          </w:tcPr>
          <w:p>
            <w:pPr>
              <w:spacing w:before="0" w:after="0" w:line="240" w:lineRule="auto"/>
              <w:jc w:val="left"/>
            </w:pPr>
            <w:r/>
            <w:r>
              <w:rPr>
                <w:rFonts w:ascii="Arial" w:hAnsi="Arial" w:cs="Arial"/>
                <w:sz w:val="18"/>
              </w:rPr>
              <w:t>TGSS, GISS, SJASS</w:t>
            </w:r>
          </w:p>
        </w:tc>
        <w:tc>
          <w:tcPr>
            <w:tcW w:type="dxa" w:w="4665"/>
            <w:tcMar>
              <w:top w:w="80" w:type="dxa"/>
              <w:start w:w="120" w:type="dxa"/>
              <w:bottom w:w="80" w:type="dxa"/>
              <w:end w:w="120" w:type="dxa"/>
            </w:tcMar>
            <w:vAlign w:val="center"/>
          </w:tcPr>
          <w:p>
            <w:pPr>
              <w:spacing w:before="0" w:after="0" w:line="240" w:lineRule="auto"/>
              <w:jc w:val="left"/>
            </w:pPr>
            <w:r/>
            <w:r>
              <w:rPr>
                <w:rFonts w:ascii="Arial" w:hAnsi="Arial" w:cs="Arial"/>
                <w:sz w:val="18"/>
              </w:rPr>
              <w:t>Presta función transversal al sistema</w:t>
            </w:r>
          </w:p>
        </w:tc>
      </w:tr>
      <w:tr>
        <w:tc>
          <w:tcPr>
            <w:tcW w:type="dxa" w:w="1927"/>
            <w:tcMar>
              <w:top w:w="80" w:type="dxa"/>
              <w:start w:w="120" w:type="dxa"/>
              <w:bottom w:w="80" w:type="dxa"/>
              <w:end w:w="120" w:type="dxa"/>
            </w:tcMar>
            <w:vAlign w:val="center"/>
          </w:tcPr>
          <w:p>
            <w:pPr>
              <w:spacing w:before="0" w:after="0" w:line="240" w:lineRule="auto"/>
              <w:jc w:val="left"/>
            </w:pPr>
            <w:r/>
            <w:r>
              <w:rPr>
                <w:rFonts w:ascii="Arial" w:hAnsi="Arial" w:cs="Arial"/>
                <w:sz w:val="18"/>
              </w:rPr>
              <w:t>Órgano de control</w:t>
            </w:r>
          </w:p>
        </w:tc>
        <w:tc>
          <w:tcPr>
            <w:tcW w:type="dxa" w:w="2434"/>
            <w:tcMar>
              <w:top w:w="80" w:type="dxa"/>
              <w:start w:w="120" w:type="dxa"/>
              <w:bottom w:w="80" w:type="dxa"/>
              <w:end w:w="120" w:type="dxa"/>
            </w:tcMar>
            <w:vAlign w:val="center"/>
          </w:tcPr>
          <w:p>
            <w:pPr>
              <w:spacing w:before="0" w:after="0" w:line="240" w:lineRule="auto"/>
              <w:jc w:val="center"/>
            </w:pPr>
            <w:r/>
            <w:r>
              <w:rPr>
                <w:rFonts w:ascii="Arial" w:hAnsi="Arial" w:cs="Arial"/>
                <w:sz w:val="18"/>
              </w:rPr>
              <w:t>IGSS</w:t>
            </w:r>
          </w:p>
        </w:tc>
        <w:tc>
          <w:tcPr>
            <w:tcW w:type="dxa" w:w="4665"/>
            <w:tcMar>
              <w:top w:w="80" w:type="dxa"/>
              <w:start w:w="120" w:type="dxa"/>
              <w:bottom w:w="80" w:type="dxa"/>
              <w:end w:w="120" w:type="dxa"/>
            </w:tcMar>
            <w:vAlign w:val="center"/>
          </w:tcPr>
          <w:p>
            <w:pPr>
              <w:spacing w:before="0" w:after="0" w:line="240" w:lineRule="auto"/>
              <w:jc w:val="left"/>
            </w:pPr>
            <w:r/>
            <w:r>
              <w:rPr>
                <w:rFonts w:ascii="Arial" w:hAnsi="Arial" w:cs="Arial"/>
                <w:sz w:val="18"/>
              </w:rPr>
              <w:t>Control interno y contabilidad</w:t>
            </w:r>
          </w:p>
        </w:tc>
      </w:tr>
      <w:tr>
        <w:tc>
          <w:tcPr>
            <w:tcW w:type="dxa" w:w="1927"/>
            <w:tcMar>
              <w:top w:w="80" w:type="dxa"/>
              <w:start w:w="120" w:type="dxa"/>
              <w:bottom w:w="80" w:type="dxa"/>
              <w:end w:w="120" w:type="dxa"/>
            </w:tcMar>
            <w:vAlign w:val="center"/>
          </w:tcPr>
          <w:p>
            <w:pPr>
              <w:spacing w:before="0" w:after="0" w:line="240" w:lineRule="auto"/>
              <w:jc w:val="left"/>
            </w:pPr>
            <w:r/>
            <w:r>
              <w:rPr>
                <w:rFonts w:ascii="Arial" w:hAnsi="Arial" w:cs="Arial"/>
                <w:sz w:val="18"/>
              </w:rPr>
              <w:t>Entidad colaboradora</w:t>
            </w:r>
          </w:p>
        </w:tc>
        <w:tc>
          <w:tcPr>
            <w:tcW w:type="dxa" w:w="2434"/>
            <w:tcMar>
              <w:top w:w="80" w:type="dxa"/>
              <w:start w:w="120" w:type="dxa"/>
              <w:bottom w:w="80" w:type="dxa"/>
              <w:end w:w="120" w:type="dxa"/>
            </w:tcMar>
            <w:vAlign w:val="center"/>
          </w:tcPr>
          <w:p>
            <w:pPr>
              <w:spacing w:before="0" w:after="0" w:line="240" w:lineRule="auto"/>
              <w:jc w:val="left"/>
            </w:pPr>
            <w:r/>
            <w:r>
              <w:rPr>
                <w:rFonts w:ascii="Arial" w:hAnsi="Arial" w:cs="Arial"/>
                <w:sz w:val="18"/>
              </w:rPr>
              <w:t>Mutua colaboradora</w:t>
            </w:r>
          </w:p>
        </w:tc>
        <w:tc>
          <w:tcPr>
            <w:tcW w:type="dxa" w:w="4665"/>
            <w:tcMar>
              <w:top w:w="80" w:type="dxa"/>
              <w:start w:w="120" w:type="dxa"/>
              <w:bottom w:w="80" w:type="dxa"/>
              <w:end w:w="120" w:type="dxa"/>
            </w:tcMar>
            <w:vAlign w:val="center"/>
          </w:tcPr>
          <w:p>
            <w:pPr>
              <w:spacing w:before="0" w:after="0" w:line="240" w:lineRule="auto"/>
              <w:jc w:val="left"/>
            </w:pPr>
            <w:r/>
            <w:r>
              <w:rPr>
                <w:rFonts w:ascii="Arial" w:hAnsi="Arial" w:cs="Arial"/>
                <w:sz w:val="18"/>
              </w:rPr>
              <w:t>Colabora bajo tutela pública, no es órgano ministerial</w:t>
            </w:r>
          </w:p>
        </w:tc>
      </w:tr>
    </w:tbl>
    <w:p>
      <w:pPr>
        <w:spacing w:after="40"/>
      </w:pPr>
    </w:p>
    <w:p>
      <w:pPr>
        <w:jc w:val="both"/>
      </w:pPr>
      <w:r>
        <w:rPr>
          <w:rFonts w:ascii="Arial" w:hAnsi="Arial" w:cs="Arial"/>
          <w:sz w:val="22"/>
        </w:rPr>
        <w:t>La LGSS ordena la gestión bajo principios de simplificación, racionalización, economía, solidaridad financiera y unidad de caja, eficacia social y descentralización. La adscripción ministerial no elimina la personalidad jurídica que la ley reconoce a INSS, ISM, TGSS o GISS.</w:t>
      </w:r>
    </w:p>
    <w:p>
      <w:pPr>
        <w:pStyle w:val="Heading1"/>
        <w:keepNext/>
      </w:pPr>
      <w:r>
        <w:rPr>
          <w:rFonts w:ascii="Arial" w:hAnsi="Arial" w:cs="Arial"/>
          <w:sz w:val="30"/>
        </w:rPr>
        <w:t>8. Secretaría de Estado de Migraciones</w:t>
      </w:r>
    </w:p>
    <w:p>
      <w:pPr>
        <w:jc w:val="both"/>
      </w:pPr>
      <w:r>
        <w:rPr>
          <w:rFonts w:ascii="Arial" w:hAnsi="Arial" w:cs="Arial"/>
          <w:sz w:val="22"/>
        </w:rPr>
        <w:t xml:space="preserve">Le corresponde elaborar y desarrollar la política del Gobierno en </w:t>
      </w:r>
      <w:r>
        <w:rPr>
          <w:rFonts w:ascii="Arial" w:hAnsi="Arial" w:cs="Arial"/>
          <w:b/>
          <w:sz w:val="22"/>
        </w:rPr>
        <w:t>extranjería, inmigración y emigración</w:t>
      </w:r>
      <w:r>
        <w:rPr>
          <w:rFonts w:ascii="Arial" w:hAnsi="Arial" w:cs="Arial"/>
          <w:sz w:val="22"/>
        </w:rPr>
        <w:t>. De ella dependen tres Direcciones Generales:</w:t>
      </w:r>
    </w:p>
    <w:p>
      <w:pPr>
        <w:spacing w:after="40"/>
        <w:ind w:left="369" w:hanging="227"/>
      </w:pPr>
      <w:r>
        <w:rPr>
          <w:rFonts w:ascii="Arial" w:hAnsi="Arial" w:cs="Arial"/>
          <w:sz w:val="22"/>
        </w:rPr>
        <w:t>1. Dirección General de Gestión Migratoria.</w:t>
      </w:r>
    </w:p>
    <w:p>
      <w:pPr>
        <w:spacing w:after="40"/>
        <w:ind w:left="369" w:hanging="227"/>
      </w:pPr>
      <w:r>
        <w:rPr>
          <w:rFonts w:ascii="Arial" w:hAnsi="Arial" w:cs="Arial"/>
          <w:sz w:val="22"/>
        </w:rPr>
        <w:t>2. Dirección General de Atención Humanitaria y del Sistema de Acogida de Protección Internacional.</w:t>
      </w:r>
    </w:p>
    <w:p>
      <w:pPr>
        <w:spacing w:after="40"/>
        <w:ind w:left="369" w:hanging="227"/>
      </w:pPr>
      <w:r>
        <w:rPr>
          <w:rFonts w:ascii="Arial" w:hAnsi="Arial" w:cs="Arial"/>
          <w:sz w:val="22"/>
        </w:rPr>
        <w:t>3. Dirección General de la Ciudadanía Española en el Exterior y Políticas de Retorno.</w:t>
      </w:r>
    </w:p>
    <w:p>
      <w:pPr>
        <w:pStyle w:val="Heading2"/>
        <w:keepNext/>
      </w:pPr>
      <w:r>
        <w:rPr>
          <w:rFonts w:ascii="Arial" w:hAnsi="Arial" w:cs="Arial"/>
          <w:sz w:val="25"/>
        </w:rPr>
        <w:t>8.1. Unidades directamente dependientes</w:t>
      </w:r>
    </w:p>
    <w:p>
      <w:pPr>
        <w:jc w:val="both"/>
      </w:pPr>
      <w:r>
        <w:rPr>
          <w:rFonts w:ascii="Arial" w:hAnsi="Arial" w:cs="Arial"/>
          <w:sz w:val="22"/>
        </w:rPr>
        <w:t>Con nivel orgánico de subdirección general dependen directamente de la persona titular:</w:t>
      </w:r>
    </w:p>
    <w:p>
      <w:pPr>
        <w:pStyle w:val="ListBullet"/>
      </w:pPr>
      <w:r>
        <w:rPr>
          <w:rFonts w:ascii="Arial" w:hAnsi="Arial" w:cs="Arial"/>
          <w:b/>
          <w:sz w:val="22"/>
        </w:rPr>
        <w:t>Subdirección General de Régimen Jurídico.</w:t>
      </w:r>
      <w:r>
        <w:rPr>
          <w:rFonts w:ascii="Arial" w:hAnsi="Arial" w:cs="Arial"/>
          <w:sz w:val="22"/>
        </w:rPr>
        <w:t xml:space="preserve"> Elabora proyectos e informes migratorios en coordinación con la Secretaría General Técnica; prepara propuestas sobre normas de la Unión e internacionales; formula instrucciones de desarrollo para órganos territoriales y presta apoyo técnico en la participación europea e internacional. Coordina como punto nacional la Red Europea de Migración en España.</w:t>
      </w:r>
    </w:p>
    <w:p>
      <w:pPr>
        <w:pStyle w:val="ListBullet"/>
      </w:pPr>
      <w:r>
        <w:rPr>
          <w:rFonts w:ascii="Arial" w:hAnsi="Arial" w:cs="Arial"/>
          <w:b/>
          <w:sz w:val="22"/>
        </w:rPr>
        <w:t>Observatorio Español del Racismo y la Xenofobia —OBERAXE—.</w:t>
      </w:r>
      <w:r>
        <w:rPr>
          <w:rFonts w:ascii="Arial" w:hAnsi="Arial" w:cs="Arial"/>
          <w:sz w:val="22"/>
        </w:rPr>
        <w:t xml:space="preserve"> Recopila y analiza información, promueve igualdad de trato y no discriminación, coopera con agentes públicos y privados y realiza planes, estudios y estrategias para la inclusión de migrantes, coordinándose con la Secretaría General de Inclusión.</w:t>
      </w:r>
    </w:p>
    <w:p>
      <w:pPr>
        <w:pStyle w:val="ListBullet"/>
      </w:pPr>
      <w:r>
        <w:rPr>
          <w:rFonts w:ascii="Arial" w:hAnsi="Arial" w:cs="Arial"/>
          <w:b/>
          <w:sz w:val="22"/>
        </w:rPr>
        <w:t>Gabinete.</w:t>
      </w:r>
      <w:r>
        <w:rPr>
          <w:rFonts w:ascii="Arial" w:hAnsi="Arial" w:cs="Arial"/>
          <w:sz w:val="22"/>
        </w:rPr>
        <w:t xml:space="preserve"> Presta asistencia inmediata a la persona titular de la Secretaría de Estado.</w:t>
      </w:r>
    </w:p>
    <w:p>
      <w:pPr>
        <w:pStyle w:val="ListBullet"/>
      </w:pPr>
      <w:r>
        <w:rPr>
          <w:rFonts w:ascii="Arial" w:hAnsi="Arial" w:cs="Arial"/>
          <w:b/>
          <w:sz w:val="22"/>
        </w:rPr>
        <w:t>Subdirección General de Gestión Económica, Fondos Europeos y Contratación.</w:t>
      </w:r>
      <w:r>
        <w:rPr>
          <w:rFonts w:ascii="Arial" w:hAnsi="Arial" w:cs="Arial"/>
          <w:sz w:val="22"/>
        </w:rPr>
        <w:t xml:space="preserve"> Incorporada a esta dependencia directa por la reforma de 2025, centraliza contratación del ámbito migratorio, obras, servicios y suministros de centros, anteproyecto y ejecución presupuestaria, tesorería, cajas pagadoras, subvenciones y fondos europeos en los términos del artículo 5.</w:t>
      </w:r>
    </w:p>
    <w:p>
      <w:pPr>
        <w:jc w:val="both"/>
      </w:pPr>
      <w:r>
        <w:rPr>
          <w:rFonts w:ascii="Arial" w:hAnsi="Arial" w:cs="Arial"/>
          <w:sz w:val="22"/>
        </w:rPr>
        <w:t>Esta última unidad no debe confundirse con la Subdirección General de Gestión Económica y Oficina Presupuestaria de la Subsecretaría. Una atiende específicamente el ámbito de Migraciones; la otra, los servicios comunes departamentales no atribuidos a órganos sectoriales.</w:t>
      </w:r>
    </w:p>
    <w:p>
      <w:pPr>
        <w:pStyle w:val="Heading2"/>
        <w:keepNext/>
      </w:pPr>
      <w:r>
        <w:rPr>
          <w:rFonts w:ascii="Arial" w:hAnsi="Arial" w:cs="Arial"/>
          <w:sz w:val="25"/>
        </w:rPr>
        <w:t>8.2. Observatorio Permanente de la Inmigración</w:t>
      </w:r>
    </w:p>
    <w:p>
      <w:pPr>
        <w:jc w:val="both"/>
      </w:pPr>
      <w:r>
        <w:rPr>
          <w:rFonts w:ascii="Arial" w:hAnsi="Arial" w:cs="Arial"/>
          <w:sz w:val="22"/>
        </w:rPr>
        <w:t>Depende de la Secretaría de Estado con el rango que determine la relación de puestos de trabajo. Su presidencia corresponde a la persona titular de la Secretaría de Estado. Coordina estudios, informes y análisis sobre políticas y estadísticas migratorias —sin perjuicio de OBERAXE—; sigue coste y calidad de programas y prestaciones y propone reformas normativas y de gestión.</w:t>
      </w:r>
    </w:p>
    <w:p>
      <w:pPr>
        <w:jc w:val="both"/>
      </w:pPr>
      <w:r>
        <w:rPr>
          <w:rFonts w:ascii="Arial" w:hAnsi="Arial" w:cs="Arial"/>
          <w:sz w:val="22"/>
        </w:rPr>
        <w:t>La diferencia esencial es:</w:t>
      </w:r>
    </w:p>
    <w:p>
      <w:pPr>
        <w:pStyle w:val="ListBullet"/>
      </w:pPr>
      <w:r>
        <w:rPr>
          <w:rFonts w:ascii="Arial" w:hAnsi="Arial" w:cs="Arial"/>
          <w:sz w:val="22"/>
        </w:rPr>
        <w:t>OBERAXE: racismo, xenofobia, igualdad de trato e inclusión antidiscriminatoria.</w:t>
      </w:r>
    </w:p>
    <w:p>
      <w:pPr>
        <w:pStyle w:val="ListBullet"/>
      </w:pPr>
      <w:r>
        <w:rPr>
          <w:rFonts w:ascii="Arial" w:hAnsi="Arial" w:cs="Arial"/>
          <w:sz w:val="22"/>
        </w:rPr>
        <w:t>Observatorio Permanente: análisis de migraciones, estadísticas, costes, calidad y procedimientos.</w:t>
      </w:r>
    </w:p>
    <w:p>
      <w:pPr>
        <w:pStyle w:val="Heading2"/>
        <w:keepNext/>
      </w:pPr>
      <w:r>
        <w:rPr>
          <w:rFonts w:ascii="Arial" w:hAnsi="Arial" w:cs="Arial"/>
          <w:sz w:val="25"/>
        </w:rPr>
        <w:t>8.3. Órganos colegiados adscritos</w:t>
      </w:r>
    </w:p>
    <w:p>
      <w:pPr>
        <w:jc w:val="both"/>
      </w:pPr>
      <w:r>
        <w:rPr>
          <w:rFonts w:ascii="Arial" w:hAnsi="Arial" w:cs="Arial"/>
          <w:sz w:val="22"/>
        </w:rPr>
        <w:t>Se adscriben:</w:t>
      </w:r>
    </w:p>
    <w:p>
      <w:pPr>
        <w:pStyle w:val="ListBullet"/>
      </w:pPr>
      <w:r>
        <w:rPr>
          <w:rFonts w:ascii="Arial" w:hAnsi="Arial" w:cs="Arial"/>
          <w:sz w:val="22"/>
        </w:rPr>
        <w:t>Consejo General de la Ciudadanía Española en el Exterior.</w:t>
      </w:r>
    </w:p>
    <w:p>
      <w:pPr>
        <w:pStyle w:val="ListBullet"/>
      </w:pPr>
      <w:r>
        <w:rPr>
          <w:rFonts w:ascii="Arial" w:hAnsi="Arial" w:cs="Arial"/>
          <w:sz w:val="22"/>
        </w:rPr>
        <w:t>Comisión Interministerial de Extranjería.</w:t>
      </w:r>
    </w:p>
    <w:p>
      <w:pPr>
        <w:pStyle w:val="ListBullet"/>
      </w:pPr>
      <w:r>
        <w:rPr>
          <w:rFonts w:ascii="Arial" w:hAnsi="Arial" w:cs="Arial"/>
          <w:sz w:val="22"/>
        </w:rPr>
        <w:t>Comisión Laboral Tripartita de Inmigración.</w:t>
      </w:r>
    </w:p>
    <w:p>
      <w:pPr>
        <w:pStyle w:val="ListBullet"/>
      </w:pPr>
      <w:r>
        <w:rPr>
          <w:rFonts w:ascii="Arial" w:hAnsi="Arial" w:cs="Arial"/>
          <w:sz w:val="22"/>
        </w:rPr>
        <w:t>Foro para la Integración Social de los Inmigrantes.</w:t>
      </w:r>
    </w:p>
    <w:p>
      <w:pPr>
        <w:jc w:val="both"/>
      </w:pPr>
      <w:r>
        <w:rPr>
          <w:rFonts w:ascii="Arial" w:hAnsi="Arial" w:cs="Arial"/>
          <w:sz w:val="22"/>
        </w:rPr>
        <w:t>La adscripción del Foro aparece en la redacción vigente tras el Real Decreto 689/2025. Estos órganos colegiados no son Direcciones Generales ni unidades jerárquicamente equivalentes.</w:t>
      </w:r>
    </w:p>
    <w:p>
      <w:pPr>
        <w:pStyle w:val="Heading1"/>
        <w:keepNext/>
      </w:pPr>
      <w:r>
        <w:rPr>
          <w:rFonts w:ascii="Arial" w:hAnsi="Arial" w:cs="Arial"/>
          <w:sz w:val="30"/>
        </w:rPr>
        <w:t>9. Dirección General de Gestión Migratoria</w:t>
      </w:r>
    </w:p>
    <w:p>
      <w:pPr>
        <w:jc w:val="both"/>
      </w:pPr>
      <w:r>
        <w:rPr>
          <w:rFonts w:ascii="Arial" w:hAnsi="Arial" w:cs="Arial"/>
          <w:sz w:val="22"/>
        </w:rPr>
        <w:t>Gestiona las autorizaciones que la normativa de extranjería atribuya a órganos superiores o directivos del Departamento y coordina funcionalmente con otros centros, oficinas de extranjería y órganos periféricos. Propone medios, instrucciones y criterios; atiende la gestión colectiva de contrataciones en origen; coordina con Comunidades Autónomas que tengan competencias para autorizar trabajo; analiza y prospecta autorizaciones y propone mejoras, cooperación y evaluación.</w:t>
      </w:r>
    </w:p>
    <w:p>
      <w:pPr>
        <w:jc w:val="both"/>
      </w:pPr>
      <w:r>
        <w:rPr>
          <w:rFonts w:ascii="Arial" w:hAnsi="Arial" w:cs="Arial"/>
          <w:sz w:val="22"/>
        </w:rPr>
        <w:t>Tras la reforma de 2025 se estructura en:</w:t>
      </w:r>
    </w:p>
    <w:p>
      <w:pPr>
        <w:pStyle w:val="ListBullet"/>
      </w:pPr>
      <w:r>
        <w:rPr>
          <w:rFonts w:ascii="Arial" w:hAnsi="Arial" w:cs="Arial"/>
          <w:b/>
          <w:sz w:val="22"/>
        </w:rPr>
        <w:t>Subdirección General de Inmigración y Movilidad Internacional:</w:t>
      </w:r>
      <w:r>
        <w:rPr>
          <w:rFonts w:ascii="Arial" w:hAnsi="Arial" w:cs="Arial"/>
          <w:sz w:val="22"/>
        </w:rPr>
        <w:t xml:space="preserve"> procedimientos, coordinación funcional, medios, contratación en origen y coordinación autonómica.</w:t>
      </w:r>
    </w:p>
    <w:p>
      <w:pPr>
        <w:pStyle w:val="ListBullet"/>
      </w:pPr>
      <w:r>
        <w:rPr>
          <w:rFonts w:ascii="Arial" w:hAnsi="Arial" w:cs="Arial"/>
          <w:b/>
          <w:sz w:val="22"/>
        </w:rPr>
        <w:t>Subdirección General de Estrategia Migratoria:</w:t>
      </w:r>
      <w:r>
        <w:rPr>
          <w:rFonts w:ascii="Arial" w:hAnsi="Arial" w:cs="Arial"/>
          <w:sz w:val="22"/>
        </w:rPr>
        <w:t xml:space="preserve"> análisis, estrategia, mejoras procedimentales, cooperación y evaluación de programas y proyectos.</w:t>
      </w:r>
    </w:p>
    <w:p>
      <w:pPr>
        <w:pStyle w:val="Heading2"/>
        <w:keepNext/>
      </w:pPr>
      <w:r>
        <w:rPr>
          <w:rFonts w:ascii="Arial" w:hAnsi="Arial" w:cs="Arial"/>
          <w:sz w:val="25"/>
        </w:rPr>
        <w:t>9.1. Unidad de Tramitación de Expedientes de Extranjería</w:t>
      </w:r>
    </w:p>
    <w:p>
      <w:pPr>
        <w:jc w:val="both"/>
      </w:pPr>
      <w:r>
        <w:rPr>
          <w:rFonts w:ascii="Arial" w:hAnsi="Arial" w:cs="Arial"/>
          <w:sz w:val="22"/>
        </w:rPr>
        <w:t xml:space="preserve">La </w:t>
      </w:r>
      <w:r>
        <w:rPr>
          <w:rFonts w:ascii="Arial" w:hAnsi="Arial" w:cs="Arial"/>
          <w:b/>
          <w:sz w:val="22"/>
        </w:rPr>
        <w:t>Unidad de Tramitación de Expedientes de Extranjería —UTEX—</w:t>
      </w:r>
      <w:r>
        <w:rPr>
          <w:rFonts w:ascii="Arial" w:hAnsi="Arial" w:cs="Arial"/>
          <w:sz w:val="22"/>
        </w:rPr>
        <w:t xml:space="preserve"> es una unidad operativa dependiente de la Dirección General de Gestión Migratoria, con sede en Vigo y nivel determinado por la correspondiente relación de puestos de trabajo. Su creación fue ordenada por la disposición adicional única del Real Decreto 629/2022 para realizar tareas de gestión y apoyo en autorizaciones de residencia o trabajo, cooperando con los órganos competentes.</w:t>
      </w:r>
    </w:p>
    <w:p>
      <w:pPr>
        <w:jc w:val="both"/>
      </w:pPr>
      <w:r>
        <w:rPr>
          <w:rFonts w:ascii="Arial" w:hAnsi="Arial" w:cs="Arial"/>
          <w:sz w:val="22"/>
        </w:rPr>
        <w:t>El Real Decreto 316/2026, vigente en la fecha de corte, le atribuyó la comprobación y tramitación material de las autorizaciones excepcionales reguladas por esa reforma, mientras la resolución corresponde a la Dirección General de Gestión Migratoria. Para recepción y grabación se articularon encomiendas con oficinas de extranjería, INSS, TGSS y GISS. Una encomienda traslada actividades materiales o técnicas, pero no la titularidad de la competencia ni la resolución.</w:t>
      </w:r>
    </w:p>
    <w:p>
      <w:pPr>
        <w:jc w:val="both"/>
      </w:pPr>
      <w:r>
        <w:rPr>
          <w:rFonts w:ascii="Arial" w:hAnsi="Arial" w:cs="Arial"/>
          <w:sz w:val="22"/>
        </w:rPr>
        <w:t xml:space="preserve">La UTEX </w:t>
      </w:r>
      <w:r>
        <w:rPr>
          <w:rFonts w:ascii="Arial" w:hAnsi="Arial" w:cs="Arial"/>
          <w:b/>
          <w:sz w:val="22"/>
        </w:rPr>
        <w:t>no es una cuarta Dirección General ni una tercera Subdirección General</w:t>
      </w:r>
      <w:r>
        <w:rPr>
          <w:rFonts w:ascii="Arial" w:hAnsi="Arial" w:cs="Arial"/>
          <w:sz w:val="22"/>
        </w:rPr>
        <w:t xml:space="preserve"> de las enumeradas en el artículo 6 del Real Decreto 501/2024. Es una unidad inferior que completa la capacidad operativa del centro directivo. Las referencias históricas a su dependencia de la suprimida Dirección General de Migraciones deben entenderse realizadas al órgano que asumió sus funciones, conforme a la disposición adicional cuarta del Real Decreto 501/2024.</w:t>
      </w:r>
    </w:p>
    <w:p>
      <w:pPr>
        <w:jc w:val="both"/>
      </w:pPr>
      <w:r>
        <w:rPr>
          <w:rFonts w:ascii="Arial" w:hAnsi="Arial" w:cs="Arial"/>
          <w:sz w:val="22"/>
        </w:rPr>
        <w:t>No debe atribuirse a esta Dirección General la tramitación ordinaria de protección internacional, materia en la que intervienen otros departamentos, ni la gestión del sistema de acogida, que corresponde al centro directivo del artículo 7.</w:t>
      </w:r>
    </w:p>
    <w:p>
      <w:pPr>
        <w:pStyle w:val="Heading1"/>
        <w:keepNext/>
      </w:pPr>
      <w:r>
        <w:rPr>
          <w:rFonts w:ascii="Arial" w:hAnsi="Arial" w:cs="Arial"/>
          <w:sz w:val="30"/>
        </w:rPr>
        <w:t>10. Dirección General de Atención Humanitaria y del Sistema de Acogida de Protección Internacional</w:t>
      </w:r>
    </w:p>
    <w:p>
      <w:pPr>
        <w:pStyle w:val="Heading2"/>
        <w:keepNext/>
      </w:pPr>
      <w:r>
        <w:rPr>
          <w:rFonts w:ascii="Arial" w:hAnsi="Arial" w:cs="Arial"/>
          <w:sz w:val="25"/>
        </w:rPr>
        <w:t>10.1. Funciones</w:t>
      </w:r>
    </w:p>
    <w:p>
      <w:pPr>
        <w:jc w:val="both"/>
      </w:pPr>
      <w:r>
        <w:rPr>
          <w:rFonts w:ascii="Arial" w:hAnsi="Arial" w:cs="Arial"/>
          <w:sz w:val="22"/>
        </w:rPr>
        <w:t>Gestiona y sigue:</w:t>
      </w:r>
    </w:p>
    <w:p>
      <w:pPr>
        <w:pStyle w:val="ListBullet"/>
      </w:pPr>
      <w:r>
        <w:rPr>
          <w:rFonts w:ascii="Arial" w:hAnsi="Arial" w:cs="Arial"/>
          <w:sz w:val="22"/>
        </w:rPr>
        <w:t>Programas de atención humanitaria a personas migrantes.</w:t>
      </w:r>
    </w:p>
    <w:p>
      <w:pPr>
        <w:pStyle w:val="ListBullet"/>
      </w:pPr>
      <w:r>
        <w:rPr>
          <w:rFonts w:ascii="Arial" w:hAnsi="Arial" w:cs="Arial"/>
          <w:sz w:val="22"/>
        </w:rPr>
        <w:t>Sistema de acogida de protección internacional.</w:t>
      </w:r>
    </w:p>
    <w:p>
      <w:pPr>
        <w:pStyle w:val="ListBullet"/>
      </w:pPr>
      <w:r>
        <w:rPr>
          <w:rFonts w:ascii="Arial" w:hAnsi="Arial" w:cs="Arial"/>
          <w:sz w:val="22"/>
        </w:rPr>
        <w:t>Programas especiales para personas refugiadas, solicitantes y beneficiarias de protección y el programa nacional de reasentamiento.</w:t>
      </w:r>
    </w:p>
    <w:p>
      <w:pPr>
        <w:jc w:val="both"/>
      </w:pPr>
      <w:r>
        <w:rPr>
          <w:rFonts w:ascii="Arial" w:hAnsi="Arial" w:cs="Arial"/>
          <w:sz w:val="22"/>
        </w:rPr>
        <w:t>Impulsa cooperación interadministrativa y con entidades públicas y privadas; planifica necesidades; evalúa instrumentos de financiación, con especial atención a la acción concertada; promueve estándares de calidad; gestiona centros y derivaciones; atiende emergencias migratorias; planifica inmuebles, inventarios, obras, servicios y suministros; ejecuta medidas de financiación nacionales y europeas para plazas y centros.</w:t>
      </w:r>
    </w:p>
    <w:p>
      <w:pPr>
        <w:jc w:val="both"/>
      </w:pPr>
      <w:r>
        <w:rPr>
          <w:rFonts w:ascii="Arial" w:hAnsi="Arial" w:cs="Arial"/>
          <w:sz w:val="22"/>
        </w:rPr>
        <w:t>La contratación y financiación exige coordinación con la Subdirección General de Gestión Económica, Fondos Europeos y Contratación de la Secretaría de Estado. La competencia funcional sobre programas y centros permanece en esta Dirección General.</w:t>
      </w:r>
    </w:p>
    <w:p>
      <w:pPr>
        <w:pStyle w:val="Heading2"/>
        <w:keepNext/>
      </w:pPr>
      <w:r>
        <w:rPr>
          <w:rFonts w:ascii="Arial" w:hAnsi="Arial" w:cs="Arial"/>
          <w:sz w:val="25"/>
        </w:rPr>
        <w:t>10.2. Subdirecciones Generales</w:t>
      </w:r>
    </w:p>
    <w:p>
      <w:pPr>
        <w:jc w:val="both"/>
      </w:pPr>
      <w:r>
        <w:rPr>
          <w:rFonts w:ascii="Arial" w:hAnsi="Arial" w:cs="Arial"/>
          <w:sz w:val="22"/>
        </w:rPr>
        <w:t>Dependen cuatro:</w:t>
      </w:r>
    </w:p>
    <w:p>
      <w:pPr>
        <w:spacing w:after="40"/>
        <w:ind w:left="369" w:hanging="227"/>
      </w:pPr>
      <w:r>
        <w:rPr>
          <w:rFonts w:ascii="Arial" w:hAnsi="Arial" w:cs="Arial"/>
          <w:sz w:val="22"/>
        </w:rPr>
        <w:t>1. Gestión de Plazas e Itinerarios de Atención Humanitaria y del Sistema de Acogida de Protección Internacional.</w:t>
      </w:r>
    </w:p>
    <w:p>
      <w:pPr>
        <w:spacing w:after="40"/>
        <w:ind w:left="369" w:hanging="227"/>
      </w:pPr>
      <w:r>
        <w:rPr>
          <w:rFonts w:ascii="Arial" w:hAnsi="Arial" w:cs="Arial"/>
          <w:sz w:val="22"/>
        </w:rPr>
        <w:t>2. Planificación y Evaluación.</w:t>
      </w:r>
    </w:p>
    <w:p>
      <w:pPr>
        <w:spacing w:after="40"/>
        <w:ind w:left="369" w:hanging="227"/>
      </w:pPr>
      <w:r>
        <w:rPr>
          <w:rFonts w:ascii="Arial" w:hAnsi="Arial" w:cs="Arial"/>
          <w:sz w:val="22"/>
        </w:rPr>
        <w:t>3. Centros y Emergencias del Sistema de Migraciones.</w:t>
      </w:r>
    </w:p>
    <w:p>
      <w:pPr>
        <w:spacing w:after="40"/>
        <w:ind w:left="369" w:hanging="227"/>
      </w:pPr>
      <w:r>
        <w:rPr>
          <w:rFonts w:ascii="Arial" w:hAnsi="Arial" w:cs="Arial"/>
          <w:sz w:val="22"/>
        </w:rPr>
        <w:t>4. Infraestructuras para las Migraciones.</w:t>
      </w:r>
    </w:p>
    <w:p>
      <w:pPr>
        <w:jc w:val="both"/>
      </w:pPr>
      <w:r>
        <w:rPr>
          <w:rFonts w:ascii="Arial" w:hAnsi="Arial" w:cs="Arial"/>
          <w:sz w:val="22"/>
        </w:rPr>
        <w:t>La distribución sigue una lógica: gestión individual de plazas e itinerarios; planificación, financiación y calidad; dirección de centros y emergencias; y patrimonio, obras e infraestructuras.</w:t>
      </w:r>
    </w:p>
    <w:p>
      <w:pPr>
        <w:pStyle w:val="Heading2"/>
        <w:keepNext/>
      </w:pPr>
      <w:r>
        <w:rPr>
          <w:rFonts w:ascii="Arial" w:hAnsi="Arial" w:cs="Arial"/>
          <w:sz w:val="25"/>
        </w:rPr>
        <w:t>10.3. Tipos de centros</w:t>
      </w:r>
    </w:p>
    <w:p>
      <w:pPr>
        <w:jc w:val="both"/>
      </w:pPr>
      <w:r>
        <w:rPr>
          <w:rFonts w:ascii="Arial" w:hAnsi="Arial" w:cs="Arial"/>
          <w:sz w:val="22"/>
        </w:rPr>
        <w:t>Dependen de esta Dirección General, con el rango determinado en la relación de puestos o normativa aplicable:</w:t>
      </w:r>
    </w:p>
    <w:p>
      <w:pPr>
        <w:pStyle w:val="ListBullet"/>
      </w:pPr>
      <w:r>
        <w:rPr>
          <w:rFonts w:ascii="Arial" w:hAnsi="Arial" w:cs="Arial"/>
          <w:sz w:val="22"/>
        </w:rPr>
        <w:t>Centros de Acogida de Protección Internacional —CAPI—.</w:t>
      </w:r>
    </w:p>
    <w:p>
      <w:pPr>
        <w:pStyle w:val="ListBullet"/>
      </w:pPr>
      <w:r>
        <w:rPr>
          <w:rFonts w:ascii="Arial" w:hAnsi="Arial" w:cs="Arial"/>
          <w:sz w:val="22"/>
        </w:rPr>
        <w:t>Centros de Atención, Emergencias y Derivación —CAED—.</w:t>
      </w:r>
    </w:p>
    <w:p>
      <w:pPr>
        <w:pStyle w:val="ListBullet"/>
      </w:pPr>
      <w:r>
        <w:rPr>
          <w:rFonts w:ascii="Arial" w:hAnsi="Arial" w:cs="Arial"/>
          <w:sz w:val="22"/>
        </w:rPr>
        <w:t>Centros de Recepción, Atención y Derivación —CREADE—.</w:t>
      </w:r>
    </w:p>
    <w:p>
      <w:pPr>
        <w:pStyle w:val="ListBullet"/>
      </w:pPr>
      <w:r>
        <w:rPr>
          <w:rFonts w:ascii="Arial" w:hAnsi="Arial" w:cs="Arial"/>
          <w:sz w:val="22"/>
        </w:rPr>
        <w:t>Centros de Estancia Temporal de Inmigrantes —CETI—.</w:t>
      </w:r>
    </w:p>
    <w:p>
      <w:pPr>
        <w:pStyle w:val="ListBullet"/>
      </w:pPr>
      <w:r>
        <w:rPr>
          <w:rFonts w:ascii="Arial" w:hAnsi="Arial" w:cs="Arial"/>
          <w:sz w:val="22"/>
        </w:rPr>
        <w:t>Centros de Primeras Llegadas —CPLL—.</w:t>
      </w:r>
    </w:p>
    <w:p>
      <w:pPr>
        <w:pStyle w:val="ListBullet"/>
      </w:pPr>
      <w:r>
        <w:rPr>
          <w:rFonts w:ascii="Arial" w:hAnsi="Arial" w:cs="Arial"/>
          <w:sz w:val="22"/>
        </w:rPr>
        <w:t>Otros centros públicos de atención humanitaria o acogida de protección internacional no incluidos en los anteriores.</w:t>
      </w:r>
    </w:p>
    <w:p>
      <w:pPr>
        <w:jc w:val="both"/>
      </w:pPr>
      <w:r>
        <w:rPr>
          <w:rFonts w:ascii="Arial" w:hAnsi="Arial" w:cs="Arial"/>
          <w:sz w:val="22"/>
        </w:rPr>
        <w:t>Los Centros de Internamiento de Extranjeros —CIE— no aparecen en esta relación: su régimen se encuadra en Interior. Confundir CETI con CIE es una trampa habitual.</w:t>
      </w:r>
    </w:p>
    <w:p>
      <w:pPr>
        <w:pStyle w:val="Heading1"/>
        <w:keepNext/>
      </w:pPr>
      <w:r>
        <w:rPr>
          <w:rFonts w:ascii="Arial" w:hAnsi="Arial" w:cs="Arial"/>
          <w:sz w:val="30"/>
        </w:rPr>
        <w:t>11. Dirección General de la Ciudadanía Española en el Exterior y Políticas de Retorno</w:t>
      </w:r>
    </w:p>
    <w:p>
      <w:pPr>
        <w:jc w:val="both"/>
      </w:pPr>
      <w:r>
        <w:rPr>
          <w:rFonts w:ascii="Arial" w:hAnsi="Arial" w:cs="Arial"/>
          <w:sz w:val="22"/>
        </w:rPr>
        <w:t>Su objeto son los españoles residentes fuera de España y quienes retornan. Entre sus funciones:</w:t>
      </w:r>
    </w:p>
    <w:p>
      <w:pPr>
        <w:pStyle w:val="ListBullet"/>
      </w:pPr>
      <w:r>
        <w:rPr>
          <w:rFonts w:ascii="Arial" w:hAnsi="Arial" w:cs="Arial"/>
          <w:sz w:val="22"/>
        </w:rPr>
        <w:t>Protección de derechos individuales y sociales, coordinándose con Exteriores.</w:t>
      </w:r>
    </w:p>
    <w:p>
      <w:pPr>
        <w:pStyle w:val="ListBullet"/>
      </w:pPr>
      <w:r>
        <w:rPr>
          <w:rFonts w:ascii="Arial" w:hAnsi="Arial" w:cs="Arial"/>
          <w:sz w:val="22"/>
        </w:rPr>
        <w:t>Diseño y desarrollo de medidas de retorno.</w:t>
      </w:r>
    </w:p>
    <w:p>
      <w:pPr>
        <w:pStyle w:val="ListBullet"/>
      </w:pPr>
      <w:r>
        <w:rPr>
          <w:rFonts w:ascii="Arial" w:hAnsi="Arial" w:cs="Arial"/>
          <w:sz w:val="22"/>
        </w:rPr>
        <w:t>Gestión de subvenciones, ayudas y prestaciones económicas.</w:t>
      </w:r>
    </w:p>
    <w:p>
      <w:pPr>
        <w:pStyle w:val="ListBullet"/>
      </w:pPr>
      <w:r>
        <w:rPr>
          <w:rFonts w:ascii="Arial" w:hAnsi="Arial" w:cs="Arial"/>
          <w:sz w:val="22"/>
        </w:rPr>
        <w:t>Coordinación funcional de órganos territoriales sobre retornados.</w:t>
      </w:r>
    </w:p>
    <w:p>
      <w:pPr>
        <w:pStyle w:val="ListBullet"/>
      </w:pPr>
      <w:r>
        <w:rPr>
          <w:rFonts w:ascii="Arial" w:hAnsi="Arial" w:cs="Arial"/>
          <w:sz w:val="22"/>
        </w:rPr>
        <w:t>Secretaría y apoyo al Consejo General de la Ciudadanía Española en el Exterior.</w:t>
      </w:r>
    </w:p>
    <w:p>
      <w:pPr>
        <w:pStyle w:val="ListBullet"/>
      </w:pPr>
      <w:r>
        <w:rPr>
          <w:rFonts w:ascii="Arial" w:hAnsi="Arial" w:cs="Arial"/>
          <w:sz w:val="22"/>
        </w:rPr>
        <w:t>Información y comunicación.</w:t>
      </w:r>
    </w:p>
    <w:p>
      <w:pPr>
        <w:pStyle w:val="ListBullet"/>
      </w:pPr>
      <w:r>
        <w:rPr>
          <w:rFonts w:ascii="Arial" w:hAnsi="Arial" w:cs="Arial"/>
          <w:sz w:val="22"/>
        </w:rPr>
        <w:t>Estudios, estadísticas y análisis sobre emigración y retorno.</w:t>
      </w:r>
    </w:p>
    <w:p>
      <w:pPr>
        <w:pStyle w:val="ListBullet"/>
      </w:pPr>
      <w:r>
        <w:rPr>
          <w:rFonts w:ascii="Arial" w:hAnsi="Arial" w:cs="Arial"/>
          <w:sz w:val="22"/>
        </w:rPr>
        <w:t>Cooperación con Comunidades Autónomas, entidades y asociaciones.</w:t>
      </w:r>
    </w:p>
    <w:p>
      <w:pPr>
        <w:pStyle w:val="ListBullet"/>
      </w:pPr>
      <w:r>
        <w:rPr>
          <w:rFonts w:ascii="Arial" w:hAnsi="Arial" w:cs="Arial"/>
          <w:sz w:val="22"/>
        </w:rPr>
        <w:t>Planificación de respuestas urgentes y de emergencia para estos colectivos.</w:t>
      </w:r>
    </w:p>
    <w:p>
      <w:pPr>
        <w:jc w:val="both"/>
      </w:pPr>
      <w:r>
        <w:rPr>
          <w:rFonts w:ascii="Arial" w:hAnsi="Arial" w:cs="Arial"/>
          <w:sz w:val="22"/>
        </w:rPr>
        <w:t xml:space="preserve">Depende de ella una </w:t>
      </w:r>
      <w:r>
        <w:rPr>
          <w:rFonts w:ascii="Arial" w:hAnsi="Arial" w:cs="Arial"/>
          <w:b/>
          <w:sz w:val="22"/>
        </w:rPr>
        <w:t>Subdirección General de la Ciudadanía Española en el Exterior y Políticas de Retorno</w:t>
      </w:r>
      <w:r>
        <w:rPr>
          <w:rFonts w:ascii="Arial" w:hAnsi="Arial" w:cs="Arial"/>
          <w:sz w:val="22"/>
        </w:rPr>
        <w:t xml:space="preserve">, que concentra las funciones. De esta Subdirección depende la </w:t>
      </w:r>
      <w:r>
        <w:rPr>
          <w:rFonts w:ascii="Arial" w:hAnsi="Arial" w:cs="Arial"/>
          <w:b/>
          <w:sz w:val="22"/>
        </w:rPr>
        <w:t>División de Emigrantes Retornados</w:t>
      </w:r>
      <w:r>
        <w:rPr>
          <w:rFonts w:ascii="Arial" w:hAnsi="Arial" w:cs="Arial"/>
          <w:sz w:val="22"/>
        </w:rPr>
        <w:t>, con rango fijado por la relación de puestos, para las actuaciones de retorno.</w:t>
      </w:r>
    </w:p>
    <w:p>
      <w:pPr>
        <w:pStyle w:val="Heading1"/>
        <w:keepNext/>
      </w:pPr>
      <w:r>
        <w:rPr>
          <w:rFonts w:ascii="Arial" w:hAnsi="Arial" w:cs="Arial"/>
          <w:sz w:val="30"/>
        </w:rPr>
        <w:t>12. Secretaría General de Inclusión</w:t>
      </w:r>
    </w:p>
    <w:p>
      <w:pPr>
        <w:pStyle w:val="Heading2"/>
        <w:keepNext/>
      </w:pPr>
      <w:r>
        <w:rPr>
          <w:rFonts w:ascii="Arial" w:hAnsi="Arial" w:cs="Arial"/>
          <w:sz w:val="25"/>
        </w:rPr>
        <w:t>12.1. Posición</w:t>
      </w:r>
    </w:p>
    <w:p>
      <w:pPr>
        <w:jc w:val="both"/>
      </w:pPr>
      <w:r>
        <w:rPr>
          <w:rFonts w:ascii="Arial" w:hAnsi="Arial" w:cs="Arial"/>
          <w:sz w:val="22"/>
        </w:rPr>
        <w:t xml:space="preserve">Es un órgano directivo directamente dependiente de la persona titular del Ministerio y tiene </w:t>
      </w:r>
      <w:r>
        <w:rPr>
          <w:rFonts w:ascii="Arial" w:hAnsi="Arial" w:cs="Arial"/>
          <w:b/>
          <w:sz w:val="22"/>
        </w:rPr>
        <w:t>rango de Subsecretaría</w:t>
      </w:r>
      <w:r>
        <w:rPr>
          <w:rFonts w:ascii="Arial" w:hAnsi="Arial" w:cs="Arial"/>
          <w:sz w:val="22"/>
        </w:rPr>
        <w:t>. Elabora y desarrolla la política gubernamental de inclusión. No depende de la Secretaría de Estado de Migraciones ni de la de Seguridad Social, aunque coopera estrechamente con ambas.</w:t>
      </w:r>
    </w:p>
    <w:p>
      <w:pPr>
        <w:pStyle w:val="Heading2"/>
        <w:keepNext/>
      </w:pPr>
      <w:r>
        <w:rPr>
          <w:rFonts w:ascii="Arial" w:hAnsi="Arial" w:cs="Arial"/>
          <w:sz w:val="25"/>
        </w:rPr>
        <w:t>12.2. Funciones transversales</w:t>
      </w:r>
    </w:p>
    <w:p>
      <w:pPr>
        <w:jc w:val="both"/>
      </w:pPr>
      <w:r>
        <w:rPr>
          <w:rFonts w:ascii="Arial" w:hAnsi="Arial" w:cs="Arial"/>
          <w:sz w:val="22"/>
        </w:rPr>
        <w:t>Diseña, impulsa y evalúa políticas para que colectivos desfavorecidos participen en la sociedad en igualdad de oportunidades. Coordina estrategias, planes y programas de inclusión con otros departamentos, particularmente Derechos Sociales y Juventud e Infancia. Define objetivos e indicadores y coordina los aspectos económicos de las memorias de análisis de impacto normativo del Departamento y la representación ante organismos multilaterales.</w:t>
      </w:r>
    </w:p>
    <w:p>
      <w:pPr>
        <w:pStyle w:val="Heading2"/>
        <w:keepNext/>
      </w:pPr>
      <w:r>
        <w:rPr>
          <w:rFonts w:ascii="Arial" w:hAnsi="Arial" w:cs="Arial"/>
          <w:sz w:val="25"/>
        </w:rPr>
        <w:t>12.3. Objetivos, indicadores y evaluación</w:t>
      </w:r>
    </w:p>
    <w:p>
      <w:pPr>
        <w:jc w:val="both"/>
      </w:pPr>
      <w:r>
        <w:rPr>
          <w:rFonts w:ascii="Arial" w:hAnsi="Arial" w:cs="Arial"/>
          <w:sz w:val="22"/>
        </w:rPr>
        <w:t>Desarrolla indicadores de crecimiento inclusivo y desigualdad; impulsa su uso en decisiones; sigue objetivos y evalúa ex post, especialmente el ingreso mínimo vital y políticas departamentales; promueve estudios científicos sobre trayectorias de inclusión y coordina producción estadística. Formula aportaciones al Plan Estadístico Nacional y coopera con INE, Administraciones, organismos internacionales y Eurostat.</w:t>
      </w:r>
    </w:p>
    <w:p>
      <w:pPr>
        <w:pStyle w:val="Heading2"/>
        <w:keepNext/>
      </w:pPr>
      <w:r>
        <w:rPr>
          <w:rFonts w:ascii="Arial" w:hAnsi="Arial" w:cs="Arial"/>
          <w:sz w:val="25"/>
        </w:rPr>
        <w:t>12.4. Políticas de inclusión</w:t>
      </w:r>
    </w:p>
    <w:p>
      <w:pPr>
        <w:jc w:val="both"/>
      </w:pPr>
      <w:r>
        <w:rPr>
          <w:rFonts w:ascii="Arial" w:hAnsi="Arial" w:cs="Arial"/>
          <w:sz w:val="22"/>
        </w:rPr>
        <w:t>Impulsa y evalúa planes, estrategias y programas; revisa prestaciones sociales; propone mejoras para evitar duplicidades; estudia y formula propuestas normativas sobre ingreso mínimo vital y medidas asociadas; coopera en fondos europeos y con Comunidades Autónomas; mantiene relaciones técnicas con Unión Europea y organismos internacionales y apoya políticas basadas en evidencia.</w:t>
      </w:r>
    </w:p>
    <w:p>
      <w:pPr>
        <w:spacing w:after="100"/>
        <w:ind w:left="340" w:right="227"/>
        <w:shd w:fill="EAF2F8"/>
      </w:pPr>
      <w:r>
        <w:rPr>
          <w:rFonts w:ascii="Arial" w:hAnsi="Arial" w:cs="Arial"/>
          <w:b/>
          <w:sz w:val="20"/>
        </w:rPr>
        <w:t>Trampa frecuente:</w:t>
      </w:r>
      <w:r>
        <w:rPr>
          <w:rFonts w:ascii="Arial" w:hAnsi="Arial" w:cs="Arial"/>
          <w:sz w:val="20"/>
        </w:rPr>
        <w:t xml:space="preserve"> la Secretaría General de Inclusión evalúa, estudia e informa la regulación del ingreso mínimo vital; la gestión y reconocimiento individual del IMV corresponde al INSS conforme a su legislación.</w:t>
      </w:r>
    </w:p>
    <w:p>
      <w:pPr>
        <w:pStyle w:val="Heading2"/>
        <w:keepNext/>
      </w:pPr>
      <w:r>
        <w:rPr>
          <w:rFonts w:ascii="Arial" w:hAnsi="Arial" w:cs="Arial"/>
          <w:sz w:val="25"/>
        </w:rPr>
        <w:t>12.5. Unidades</w:t>
      </w:r>
    </w:p>
    <w:p>
      <w:pPr>
        <w:jc w:val="both"/>
      </w:pPr>
      <w:r>
        <w:rPr>
          <w:rFonts w:ascii="Arial" w:hAnsi="Arial" w:cs="Arial"/>
          <w:sz w:val="22"/>
        </w:rPr>
        <w:t>Dependen directamente, con nivel de subdirección general:</w:t>
      </w:r>
    </w:p>
    <w:p>
      <w:pPr>
        <w:pStyle w:val="ListBullet"/>
      </w:pPr>
      <w:r>
        <w:rPr>
          <w:rFonts w:ascii="Arial" w:hAnsi="Arial" w:cs="Arial"/>
          <w:sz w:val="22"/>
        </w:rPr>
        <w:t>Subdirección General de Objetivos e Indicadores de Inclusión.</w:t>
      </w:r>
    </w:p>
    <w:p>
      <w:pPr>
        <w:pStyle w:val="ListBullet"/>
      </w:pPr>
      <w:r>
        <w:rPr>
          <w:rFonts w:ascii="Arial" w:hAnsi="Arial" w:cs="Arial"/>
          <w:sz w:val="22"/>
        </w:rPr>
        <w:t>Subdirección General de Políticas de Inclusión.</w:t>
      </w:r>
    </w:p>
    <w:p>
      <w:pPr>
        <w:jc w:val="both"/>
      </w:pPr>
      <w:r>
        <w:rPr>
          <w:rFonts w:ascii="Arial" w:hAnsi="Arial" w:cs="Arial"/>
          <w:sz w:val="22"/>
        </w:rPr>
        <w:t xml:space="preserve">Además existe un </w:t>
      </w:r>
      <w:r>
        <w:rPr>
          <w:rFonts w:ascii="Arial" w:hAnsi="Arial" w:cs="Arial"/>
          <w:b/>
          <w:sz w:val="22"/>
        </w:rPr>
        <w:t>Gabinete Técnico</w:t>
      </w:r>
      <w:r>
        <w:rPr>
          <w:rFonts w:ascii="Arial" w:hAnsi="Arial" w:cs="Arial"/>
          <w:sz w:val="22"/>
        </w:rPr>
        <w:t xml:space="preserve"> de apoyo y asistencia inmediata, también con nivel de subdirección general.</w:t>
      </w:r>
    </w:p>
    <w:p>
      <w:pPr>
        <w:pStyle w:val="Heading1"/>
        <w:keepNext/>
      </w:pPr>
      <w:r>
        <w:rPr>
          <w:rFonts w:ascii="Arial" w:hAnsi="Arial" w:cs="Arial"/>
          <w:sz w:val="30"/>
        </w:rPr>
        <w:t>13. Subsecretaría de Inclusión, Seguridad Social y Migraciones</w:t>
      </w:r>
    </w:p>
    <w:p>
      <w:pPr>
        <w:pStyle w:val="Heading2"/>
        <w:keepNext/>
      </w:pPr>
      <w:r>
        <w:rPr>
          <w:rFonts w:ascii="Arial" w:hAnsi="Arial" w:cs="Arial"/>
          <w:sz w:val="25"/>
        </w:rPr>
        <w:t>13.1. Función general</w:t>
      </w:r>
    </w:p>
    <w:p>
      <w:pPr>
        <w:jc w:val="both"/>
      </w:pPr>
      <w:r>
        <w:rPr>
          <w:rFonts w:ascii="Arial" w:hAnsi="Arial" w:cs="Arial"/>
          <w:sz w:val="22"/>
        </w:rPr>
        <w:t>Ostenta la representación ordinaria del Ministerio, dirige sus servicios comunes y ejerce las atribuciones del artículo 63 de la Ley 40/2015. Apoya a la persona titular, controla eficacia, dirige organización, coordina actividad normativa y asuntos que van a órganos colegiados del Gobierno.</w:t>
      </w:r>
    </w:p>
    <w:p>
      <w:pPr>
        <w:jc w:val="both"/>
      </w:pPr>
      <w:r>
        <w:rPr>
          <w:rFonts w:ascii="Arial" w:hAnsi="Arial" w:cs="Arial"/>
          <w:sz w:val="22"/>
        </w:rPr>
        <w:t>Sus funciones operativas abarcan presupuesto y gestión económica; contratación no atribuida; cajas pagadoras; subvenciones; recursos humanos y relaciones laborales; prevención de riesgos; inspección de servicios; igualdad y discapacidad; protección de datos fuera del ámbito propio de la Secretaría de Estado de Seguridad Social; transparencia y gobierno abierto; atención ciudadana; medios materiales; registro, archivos y documentación; tecnologías, sede electrónica y digitalización; simplificación y calidad.</w:t>
      </w:r>
    </w:p>
    <w:p>
      <w:pPr>
        <w:jc w:val="both"/>
      </w:pPr>
      <w:r>
        <w:rPr>
          <w:rFonts w:ascii="Arial" w:hAnsi="Arial" w:cs="Arial"/>
          <w:sz w:val="22"/>
        </w:rPr>
        <w:t>Los inmuebles destinados a centros de migraciones o futuros centros quedan fuera de la gestión patrimonial general de la Subsecretaría y se rigen por las competencias específicas del área migratoria.</w:t>
      </w:r>
    </w:p>
    <w:p>
      <w:pPr>
        <w:pStyle w:val="Heading2"/>
        <w:keepNext/>
      </w:pPr>
      <w:r>
        <w:rPr>
          <w:rFonts w:ascii="Arial" w:hAnsi="Arial" w:cs="Arial"/>
          <w:sz w:val="25"/>
        </w:rPr>
        <w:t>13.2. Secretaría General Técnica y unidades directas</w:t>
      </w:r>
    </w:p>
    <w:p>
      <w:pPr>
        <w:jc w:val="both"/>
      </w:pPr>
      <w:r>
        <w:rPr>
          <w:rFonts w:ascii="Arial" w:hAnsi="Arial" w:cs="Arial"/>
          <w:sz w:val="22"/>
        </w:rPr>
        <w:t xml:space="preserve">De la Subsecretaría depende directamente, con rango de dirección general, la </w:t>
      </w:r>
      <w:r>
        <w:rPr>
          <w:rFonts w:ascii="Arial" w:hAnsi="Arial" w:cs="Arial"/>
          <w:b/>
          <w:sz w:val="22"/>
        </w:rPr>
        <w:t>Secretaría General Técnica</w:t>
      </w:r>
      <w:r>
        <w:rPr>
          <w:rFonts w:ascii="Arial" w:hAnsi="Arial" w:cs="Arial"/>
          <w:sz w:val="22"/>
        </w:rPr>
        <w:t>.</w:t>
      </w:r>
    </w:p>
    <w:p>
      <w:pPr>
        <w:jc w:val="both"/>
      </w:pPr>
      <w:r>
        <w:rPr>
          <w:rFonts w:ascii="Arial" w:hAnsi="Arial" w:cs="Arial"/>
          <w:sz w:val="22"/>
        </w:rPr>
        <w:t>También dependen cinco Subdirecciones Generales:</w:t>
      </w:r>
    </w:p>
    <w:p>
      <w:pPr>
        <w:spacing w:after="40"/>
        <w:ind w:left="369" w:hanging="227"/>
      </w:pPr>
      <w:r>
        <w:rPr>
          <w:rFonts w:ascii="Arial" w:hAnsi="Arial" w:cs="Arial"/>
          <w:sz w:val="22"/>
        </w:rPr>
        <w:t>1. Gestión Económica y Oficina Presupuestaria. De ella depende la División de Contratación con el rango de la relación de puestos.</w:t>
      </w:r>
    </w:p>
    <w:p>
      <w:pPr>
        <w:spacing w:after="40"/>
        <w:ind w:left="369" w:hanging="227"/>
      </w:pPr>
      <w:r>
        <w:rPr>
          <w:rFonts w:ascii="Arial" w:hAnsi="Arial" w:cs="Arial"/>
          <w:sz w:val="22"/>
        </w:rPr>
        <w:t>2. Recursos Humanos.</w:t>
      </w:r>
    </w:p>
    <w:p>
      <w:pPr>
        <w:spacing w:after="40"/>
        <w:ind w:left="369" w:hanging="227"/>
      </w:pPr>
      <w:r>
        <w:rPr>
          <w:rFonts w:ascii="Arial" w:hAnsi="Arial" w:cs="Arial"/>
          <w:sz w:val="22"/>
        </w:rPr>
        <w:t>3. Servicios y Coordinación.</w:t>
      </w:r>
    </w:p>
    <w:p>
      <w:pPr>
        <w:spacing w:after="40"/>
        <w:ind w:left="369" w:hanging="227"/>
      </w:pPr>
      <w:r>
        <w:rPr>
          <w:rFonts w:ascii="Arial" w:hAnsi="Arial" w:cs="Arial"/>
          <w:sz w:val="22"/>
        </w:rPr>
        <w:t>4. Tecnologías de la Información y las Comunicaciones.</w:t>
      </w:r>
    </w:p>
    <w:p>
      <w:pPr>
        <w:spacing w:after="40"/>
        <w:ind w:left="369" w:hanging="227"/>
      </w:pPr>
      <w:r>
        <w:rPr>
          <w:rFonts w:ascii="Arial" w:hAnsi="Arial" w:cs="Arial"/>
          <w:sz w:val="22"/>
        </w:rPr>
        <w:t>5. Atención a la Ciudadanía e Inspección de Servicios.</w:t>
      </w:r>
    </w:p>
    <w:p>
      <w:pPr>
        <w:jc w:val="both"/>
      </w:pPr>
      <w:r>
        <w:rPr>
          <w:rFonts w:ascii="Arial" w:hAnsi="Arial" w:cs="Arial"/>
          <w:sz w:val="22"/>
        </w:rPr>
        <w:t xml:space="preserve">Existe asimismo un </w:t>
      </w:r>
      <w:r>
        <w:rPr>
          <w:rFonts w:ascii="Arial" w:hAnsi="Arial" w:cs="Arial"/>
          <w:b/>
          <w:sz w:val="22"/>
        </w:rPr>
        <w:t>Gabinete Técnico</w:t>
      </w:r>
      <w:r>
        <w:rPr>
          <w:rFonts w:ascii="Arial" w:hAnsi="Arial" w:cs="Arial"/>
          <w:sz w:val="22"/>
        </w:rPr>
        <w:t xml:space="preserve"> con nivel de subdirección general.</w:t>
      </w:r>
    </w:p>
    <w:p>
      <w:pPr>
        <w:jc w:val="both"/>
      </w:pPr>
      <w:r>
        <w:rPr>
          <w:rFonts w:ascii="Arial" w:hAnsi="Arial" w:cs="Arial"/>
          <w:sz w:val="22"/>
        </w:rPr>
        <w:t>Se adscriben a la Subsecretaría, con rango de subdirección general y sin perjuicio de su dependencia de sus departamentos matrices:</w:t>
      </w:r>
    </w:p>
    <w:p>
      <w:pPr>
        <w:pStyle w:val="ListBullet"/>
      </w:pPr>
      <w:r>
        <w:rPr>
          <w:rFonts w:ascii="Arial" w:hAnsi="Arial" w:cs="Arial"/>
          <w:sz w:val="22"/>
        </w:rPr>
        <w:t>Abogacía del Estado.</w:t>
      </w:r>
    </w:p>
    <w:p>
      <w:pPr>
        <w:pStyle w:val="ListBullet"/>
      </w:pPr>
      <w:r>
        <w:rPr>
          <w:rFonts w:ascii="Arial" w:hAnsi="Arial" w:cs="Arial"/>
          <w:sz w:val="22"/>
        </w:rPr>
        <w:t>Intervención Delegada de la Intervención General de la Administración del Estado.</w:t>
      </w:r>
    </w:p>
    <w:p>
      <w:pPr>
        <w:jc w:val="both"/>
      </w:pPr>
      <w:r>
        <w:rPr>
          <w:rFonts w:ascii="Arial" w:hAnsi="Arial" w:cs="Arial"/>
          <w:sz w:val="22"/>
        </w:rPr>
        <w:t>No deben confundirse con el SJASS y la IGSS. La Abogacía del Estado departamental atiende el marco general del Ministerio; el SJASS presta asistencia a la Administración de la Seguridad Social. La Intervención Delegada se encuadra en el control del departamento; la IGSS es el órgano de control interno y dirección contable del sistema de Seguridad Social.</w:t>
      </w:r>
    </w:p>
    <w:p>
      <w:pPr>
        <w:pStyle w:val="Heading1"/>
        <w:keepNext/>
      </w:pPr>
      <w:r>
        <w:rPr>
          <w:rFonts w:ascii="Arial" w:hAnsi="Arial" w:cs="Arial"/>
          <w:sz w:val="30"/>
        </w:rPr>
        <w:t>14. Secretaría General Técnica</w:t>
      </w:r>
    </w:p>
    <w:p>
      <w:pPr>
        <w:jc w:val="both"/>
      </w:pPr>
      <w:r>
        <w:rPr>
          <w:rFonts w:ascii="Arial" w:hAnsi="Arial" w:cs="Arial"/>
          <w:sz w:val="22"/>
        </w:rPr>
        <w:t>Bajo dependencia inmediata de la Subsecretaría y con rango de dirección general, ejerce las funciones del artículo 65 de la Ley 40/2015 y las específicas del artículo 11 del Real Decreto 501/2024.</w:t>
      </w:r>
    </w:p>
    <w:p>
      <w:pPr>
        <w:pStyle w:val="Heading2"/>
        <w:keepNext/>
      </w:pPr>
      <w:r>
        <w:rPr>
          <w:rFonts w:ascii="Arial" w:hAnsi="Arial" w:cs="Arial"/>
          <w:sz w:val="25"/>
        </w:rPr>
        <w:t>14.1. Funciones normativas y de apoyo</w:t>
      </w:r>
    </w:p>
    <w:p>
      <w:pPr>
        <w:jc w:val="both"/>
      </w:pPr>
      <w:r>
        <w:rPr>
          <w:rFonts w:ascii="Arial" w:hAnsi="Arial" w:cs="Arial"/>
          <w:sz w:val="22"/>
        </w:rPr>
        <w:t>Presta asistencia técnica, jurídica y administrativa a titular y altos cargos; coordina actividad normativa; prepara asuntos del Consejo de Ministros, Comisiones Delegadas y Comisión General de Secretarios de Estado y Subsecretarios; coordina el Plan Anual Normativo y su evaluación; gestiona programa editorial y estudios.</w:t>
      </w:r>
    </w:p>
    <w:p>
      <w:pPr>
        <w:pStyle w:val="Heading2"/>
        <w:keepNext/>
      </w:pPr>
      <w:r>
        <w:rPr>
          <w:rFonts w:ascii="Arial" w:hAnsi="Arial" w:cs="Arial"/>
          <w:sz w:val="25"/>
        </w:rPr>
        <w:t>14.2. Coordinación jurídica</w:t>
      </w:r>
    </w:p>
    <w:p>
      <w:pPr>
        <w:jc w:val="both"/>
      </w:pPr>
      <w:r>
        <w:rPr>
          <w:rFonts w:ascii="Arial" w:hAnsi="Arial" w:cs="Arial"/>
          <w:sz w:val="22"/>
        </w:rPr>
        <w:t>Emite informes preceptivos y tramita disposiciones generales; sigue normas autonómicas, convenios y traspasos; prepara Conferencias Sectoriales; coordina convenios; tramita y propone resolución de recursos, responsabilidad patrimonial y revisiones de oficio; y gestiona publicaciones oficiales.</w:t>
      </w:r>
    </w:p>
    <w:p>
      <w:pPr>
        <w:jc w:val="both"/>
      </w:pPr>
      <w:r>
        <w:rPr>
          <w:rFonts w:ascii="Arial" w:hAnsi="Arial" w:cs="Arial"/>
          <w:sz w:val="22"/>
        </w:rPr>
        <w:t>No significa que resuelva por sí misma todo recurso: realiza su tramitación y propuesta, mientras la resolución corresponde al órgano competente.</w:t>
      </w:r>
    </w:p>
    <w:p>
      <w:pPr>
        <w:pStyle w:val="Heading2"/>
        <w:keepNext/>
      </w:pPr>
      <w:r>
        <w:rPr>
          <w:rFonts w:ascii="Arial" w:hAnsi="Arial" w:cs="Arial"/>
          <w:sz w:val="25"/>
        </w:rPr>
        <w:t>14.3. Relaciones internacionales</w:t>
      </w:r>
    </w:p>
    <w:p>
      <w:pPr>
        <w:jc w:val="both"/>
      </w:pPr>
      <w:r>
        <w:rPr>
          <w:rFonts w:ascii="Arial" w:hAnsi="Arial" w:cs="Arial"/>
          <w:sz w:val="22"/>
        </w:rPr>
        <w:t>Coordina actividad exterior y representación, en cooperación con Exteriores; prepara estudios multilaterales; impulsa tratados y acuerdos; sigue transposición de directivas, procedimientos de infracción, litigios ante el TJUE y ayudas de Estado; informa proyectos internacionales y define el programa de las Consejerías de Trabajo, Migraciones y Seguridad Social en colaboración con el Ministerio de Trabajo.</w:t>
      </w:r>
    </w:p>
    <w:p>
      <w:pPr>
        <w:pStyle w:val="Heading2"/>
        <w:keepNext/>
      </w:pPr>
      <w:r>
        <w:rPr>
          <w:rFonts w:ascii="Arial" w:hAnsi="Arial" w:cs="Arial"/>
          <w:sz w:val="25"/>
        </w:rPr>
        <w:t>14.4. Estructura</w:t>
      </w:r>
    </w:p>
    <w:p>
      <w:pPr>
        <w:jc w:val="both"/>
      </w:pPr>
      <w:r>
        <w:rPr>
          <w:rFonts w:ascii="Arial" w:hAnsi="Arial" w:cs="Arial"/>
          <w:sz w:val="22"/>
        </w:rPr>
        <w:t>La Secretaría General Técnica se divide en:</w:t>
      </w:r>
    </w:p>
    <w:p>
      <w:pPr>
        <w:pStyle w:val="ListBullet"/>
      </w:pPr>
      <w:r>
        <w:rPr>
          <w:rFonts w:ascii="Arial" w:hAnsi="Arial" w:cs="Arial"/>
          <w:sz w:val="22"/>
        </w:rPr>
        <w:t>Vicesecretaría General Técnica.</w:t>
      </w:r>
    </w:p>
    <w:p>
      <w:pPr>
        <w:pStyle w:val="ListBullet"/>
      </w:pPr>
      <w:r>
        <w:rPr>
          <w:rFonts w:ascii="Arial" w:hAnsi="Arial" w:cs="Arial"/>
          <w:sz w:val="22"/>
        </w:rPr>
        <w:t>Subdirección General de Coordinación Jurídica.</w:t>
      </w:r>
    </w:p>
    <w:p>
      <w:pPr>
        <w:pStyle w:val="ListBullet"/>
      </w:pPr>
      <w:r>
        <w:rPr>
          <w:rFonts w:ascii="Arial" w:hAnsi="Arial" w:cs="Arial"/>
          <w:sz w:val="22"/>
        </w:rPr>
        <w:t>Subdirección General de Relaciones Internacionales.</w:t>
      </w:r>
    </w:p>
    <w:p>
      <w:pPr>
        <w:pStyle w:val="Heading1"/>
        <w:keepNext/>
      </w:pPr>
      <w:r>
        <w:rPr>
          <w:rFonts w:ascii="Arial" w:hAnsi="Arial" w:cs="Arial"/>
          <w:sz w:val="30"/>
        </w:rPr>
        <w:t>15. Dependencia, adscripción y tutela</w:t>
      </w:r>
    </w:p>
    <w:p>
      <w:pPr>
        <w:jc w:val="both"/>
      </w:pPr>
      <w:r>
        <w:rPr>
          <w:rFonts w:ascii="Arial" w:hAnsi="Arial" w:cs="Arial"/>
          <w:sz w:val="22"/>
        </w:rPr>
        <w:t>La terminología organizativa decide muchas respuestas:</w:t>
      </w:r>
    </w:p>
    <w:tbl>
      <w:tblPr>
        <w:tblStyle w:val="TableGrid"/>
        <w:tblW w:type="dxa" w:w="9026"/>
        <w:jc w:val="left"/>
        <w:tblLayout w:type="fixed"/>
        <w:tblLook w:firstColumn="1" w:firstRow="1" w:lastColumn="0" w:lastRow="0" w:noHBand="0" w:noVBand="1" w:val="04A0"/>
        <w:tblInd w:w="120" w:type="dxa"/>
      </w:tblPr>
      <w:tblGrid>
        <w:gridCol w:w="1908"/>
        <w:gridCol w:w="3522"/>
        <w:gridCol w:w="3596"/>
      </w:tblGrid>
      <w:tr>
        <w:trPr>
          <w:tblHeader w:val="true"/>
        </w:trPr>
        <w:tc>
          <w:tcPr>
            <w:tcW w:type="dxa" w:w="190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Relación</w:t>
            </w:r>
          </w:p>
        </w:tc>
        <w:tc>
          <w:tcPr>
            <w:tcW w:type="dxa" w:w="352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Ejemplo</w:t>
            </w:r>
          </w:p>
        </w:tc>
        <w:tc>
          <w:tcPr>
            <w:tcW w:type="dxa" w:w="359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Significado práctico</w:t>
            </w:r>
          </w:p>
        </w:tc>
      </w:tr>
      <w:tr>
        <w:tc>
          <w:tcPr>
            <w:tcW w:type="dxa" w:w="1908"/>
            <w:tcMar>
              <w:top w:w="80" w:type="dxa"/>
              <w:start w:w="120" w:type="dxa"/>
              <w:bottom w:w="80" w:type="dxa"/>
              <w:end w:w="120" w:type="dxa"/>
            </w:tcMar>
            <w:vAlign w:val="center"/>
          </w:tcPr>
          <w:p>
            <w:pPr>
              <w:spacing w:before="0" w:after="0" w:line="240" w:lineRule="auto"/>
              <w:jc w:val="left"/>
            </w:pPr>
            <w:r/>
            <w:r>
              <w:rPr>
                <w:rFonts w:ascii="Arial" w:hAnsi="Arial" w:cs="Arial"/>
                <w:sz w:val="18"/>
              </w:rPr>
              <w:t>Dependencia directa</w:t>
            </w:r>
          </w:p>
        </w:tc>
        <w:tc>
          <w:tcPr>
            <w:tcW w:type="dxa" w:w="3522"/>
            <w:tcMar>
              <w:top w:w="80" w:type="dxa"/>
              <w:start w:w="120" w:type="dxa"/>
              <w:bottom w:w="80" w:type="dxa"/>
              <w:end w:w="120" w:type="dxa"/>
            </w:tcMar>
            <w:vAlign w:val="center"/>
          </w:tcPr>
          <w:p>
            <w:pPr>
              <w:spacing w:before="0" w:after="0" w:line="240" w:lineRule="auto"/>
              <w:jc w:val="left"/>
            </w:pPr>
            <w:r/>
            <w:r>
              <w:rPr>
                <w:rFonts w:ascii="Arial" w:hAnsi="Arial" w:cs="Arial"/>
                <w:sz w:val="18"/>
              </w:rPr>
              <w:t>DGOSS respecto de Secretaría de Estado</w:t>
            </w:r>
          </w:p>
        </w:tc>
        <w:tc>
          <w:tcPr>
            <w:tcW w:type="dxa" w:w="3596"/>
            <w:tcMar>
              <w:top w:w="80" w:type="dxa"/>
              <w:start w:w="120" w:type="dxa"/>
              <w:bottom w:w="80" w:type="dxa"/>
              <w:end w:w="120" w:type="dxa"/>
            </w:tcMar>
            <w:vAlign w:val="center"/>
          </w:tcPr>
          <w:p>
            <w:pPr>
              <w:spacing w:before="0" w:after="0" w:line="240" w:lineRule="auto"/>
              <w:jc w:val="left"/>
            </w:pPr>
            <w:r/>
            <w:r>
              <w:rPr>
                <w:rFonts w:ascii="Arial" w:hAnsi="Arial" w:cs="Arial"/>
                <w:sz w:val="18"/>
              </w:rPr>
              <w:t>Integración jerárquica como órgano directivo</w:t>
            </w:r>
          </w:p>
        </w:tc>
      </w:tr>
      <w:tr>
        <w:tc>
          <w:tcPr>
            <w:tcW w:type="dxa" w:w="1908"/>
            <w:tcMar>
              <w:top w:w="80" w:type="dxa"/>
              <w:start w:w="120" w:type="dxa"/>
              <w:bottom w:w="80" w:type="dxa"/>
              <w:end w:w="120" w:type="dxa"/>
            </w:tcMar>
            <w:vAlign w:val="center"/>
          </w:tcPr>
          <w:p>
            <w:pPr>
              <w:spacing w:before="0" w:after="0" w:line="240" w:lineRule="auto"/>
              <w:jc w:val="left"/>
            </w:pPr>
            <w:r/>
            <w:r>
              <w:rPr>
                <w:rFonts w:ascii="Arial" w:hAnsi="Arial" w:cs="Arial"/>
                <w:sz w:val="18"/>
              </w:rPr>
              <w:t>Adscripción</w:t>
            </w:r>
          </w:p>
        </w:tc>
        <w:tc>
          <w:tcPr>
            <w:tcW w:type="dxa" w:w="3522"/>
            <w:tcMar>
              <w:top w:w="80" w:type="dxa"/>
              <w:start w:w="120" w:type="dxa"/>
              <w:bottom w:w="80" w:type="dxa"/>
              <w:end w:w="120" w:type="dxa"/>
            </w:tcMar>
            <w:vAlign w:val="center"/>
          </w:tcPr>
          <w:p>
            <w:pPr>
              <w:spacing w:before="0" w:after="0" w:line="240" w:lineRule="auto"/>
              <w:jc w:val="left"/>
            </w:pPr>
            <w:r/>
            <w:r>
              <w:rPr>
                <w:rFonts w:ascii="Arial" w:hAnsi="Arial" w:cs="Arial"/>
                <w:sz w:val="18"/>
              </w:rPr>
              <w:t>INSS o TGSS a Secretaría de Estado</w:t>
            </w:r>
          </w:p>
        </w:tc>
        <w:tc>
          <w:tcPr>
            <w:tcW w:type="dxa" w:w="3596"/>
            <w:tcMar>
              <w:top w:w="80" w:type="dxa"/>
              <w:start w:w="120" w:type="dxa"/>
              <w:bottom w:w="80" w:type="dxa"/>
              <w:end w:w="120" w:type="dxa"/>
            </w:tcMar>
            <w:vAlign w:val="center"/>
          </w:tcPr>
          <w:p>
            <w:pPr>
              <w:spacing w:before="0" w:after="0" w:line="240" w:lineRule="auto"/>
              <w:jc w:val="left"/>
            </w:pPr>
            <w:r/>
            <w:r>
              <w:rPr>
                <w:rFonts w:ascii="Arial" w:hAnsi="Arial" w:cs="Arial"/>
                <w:sz w:val="18"/>
              </w:rPr>
              <w:t>Vinculación institucional y tutela, con su régimen propio</w:t>
            </w:r>
          </w:p>
        </w:tc>
      </w:tr>
      <w:tr>
        <w:tc>
          <w:tcPr>
            <w:tcW w:type="dxa" w:w="1908"/>
            <w:tcMar>
              <w:top w:w="80" w:type="dxa"/>
              <w:start w:w="120" w:type="dxa"/>
              <w:bottom w:w="80" w:type="dxa"/>
              <w:end w:w="120" w:type="dxa"/>
            </w:tcMar>
            <w:vAlign w:val="center"/>
          </w:tcPr>
          <w:p>
            <w:pPr>
              <w:spacing w:before="0" w:after="0" w:line="240" w:lineRule="auto"/>
              <w:jc w:val="left"/>
            </w:pPr>
            <w:r/>
            <w:r>
              <w:rPr>
                <w:rFonts w:ascii="Arial" w:hAnsi="Arial" w:cs="Arial"/>
                <w:sz w:val="18"/>
              </w:rPr>
              <w:t>Dependencia funcional</w:t>
            </w:r>
          </w:p>
        </w:tc>
        <w:tc>
          <w:tcPr>
            <w:tcW w:type="dxa" w:w="3522"/>
            <w:tcMar>
              <w:top w:w="80" w:type="dxa"/>
              <w:start w:w="120" w:type="dxa"/>
              <w:bottom w:w="80" w:type="dxa"/>
              <w:end w:w="120" w:type="dxa"/>
            </w:tcMar>
            <w:vAlign w:val="center"/>
          </w:tcPr>
          <w:p>
            <w:pPr>
              <w:spacing w:before="0" w:after="0" w:line="240" w:lineRule="auto"/>
              <w:jc w:val="left"/>
            </w:pPr>
            <w:r/>
            <w:r>
              <w:rPr>
                <w:rFonts w:ascii="Arial" w:hAnsi="Arial" w:cs="Arial"/>
                <w:sz w:val="18"/>
              </w:rPr>
              <w:t>IGSS respecto de IGAE</w:t>
            </w:r>
          </w:p>
        </w:tc>
        <w:tc>
          <w:tcPr>
            <w:tcW w:type="dxa" w:w="3596"/>
            <w:tcMar>
              <w:top w:w="80" w:type="dxa"/>
              <w:start w:w="120" w:type="dxa"/>
              <w:bottom w:w="80" w:type="dxa"/>
              <w:end w:w="120" w:type="dxa"/>
            </w:tcMar>
            <w:vAlign w:val="center"/>
          </w:tcPr>
          <w:p>
            <w:pPr>
              <w:spacing w:before="0" w:after="0" w:line="240" w:lineRule="auto"/>
              <w:jc w:val="left"/>
            </w:pPr>
            <w:r/>
            <w:r>
              <w:rPr>
                <w:rFonts w:ascii="Arial" w:hAnsi="Arial" w:cs="Arial"/>
                <w:sz w:val="18"/>
              </w:rPr>
              <w:t>Directrices técnicas de la función de control</w:t>
            </w:r>
          </w:p>
        </w:tc>
      </w:tr>
      <w:tr>
        <w:tc>
          <w:tcPr>
            <w:tcW w:type="dxa" w:w="1908"/>
            <w:tcMar>
              <w:top w:w="80" w:type="dxa"/>
              <w:start w:w="120" w:type="dxa"/>
              <w:bottom w:w="80" w:type="dxa"/>
              <w:end w:w="120" w:type="dxa"/>
            </w:tcMar>
            <w:vAlign w:val="center"/>
          </w:tcPr>
          <w:p>
            <w:pPr>
              <w:spacing w:before="0" w:after="0" w:line="240" w:lineRule="auto"/>
              <w:jc w:val="left"/>
            </w:pPr>
            <w:r/>
            <w:r>
              <w:rPr>
                <w:rFonts w:ascii="Arial" w:hAnsi="Arial" w:cs="Arial"/>
                <w:sz w:val="18"/>
              </w:rPr>
              <w:t>Dependencia funcional plural</w:t>
            </w:r>
          </w:p>
        </w:tc>
        <w:tc>
          <w:tcPr>
            <w:tcW w:type="dxa" w:w="3522"/>
            <w:tcMar>
              <w:top w:w="80" w:type="dxa"/>
              <w:start w:w="120" w:type="dxa"/>
              <w:bottom w:w="80" w:type="dxa"/>
              <w:end w:w="120" w:type="dxa"/>
            </w:tcMar>
            <w:vAlign w:val="center"/>
          </w:tcPr>
          <w:p>
            <w:pPr>
              <w:spacing w:before="0" w:after="0" w:line="240" w:lineRule="auto"/>
              <w:jc w:val="left"/>
            </w:pPr>
            <w:r/>
            <w:r>
              <w:rPr>
                <w:rFonts w:ascii="Arial" w:hAnsi="Arial" w:cs="Arial"/>
                <w:sz w:val="18"/>
              </w:rPr>
              <w:t>GISS respecto de varios órganos</w:t>
            </w:r>
          </w:p>
        </w:tc>
        <w:tc>
          <w:tcPr>
            <w:tcW w:type="dxa" w:w="3596"/>
            <w:tcMar>
              <w:top w:w="80" w:type="dxa"/>
              <w:start w:w="120" w:type="dxa"/>
              <w:bottom w:w="80" w:type="dxa"/>
              <w:end w:w="120" w:type="dxa"/>
            </w:tcMar>
            <w:vAlign w:val="center"/>
          </w:tcPr>
          <w:p>
            <w:pPr>
              <w:spacing w:before="0" w:after="0" w:line="240" w:lineRule="auto"/>
              <w:jc w:val="left"/>
            </w:pPr>
            <w:r/>
            <w:r>
              <w:rPr>
                <w:rFonts w:ascii="Arial" w:hAnsi="Arial" w:cs="Arial"/>
                <w:sz w:val="18"/>
              </w:rPr>
              <w:t>Cada uno dirige proyectos que afectan a su competencia</w:t>
            </w:r>
          </w:p>
        </w:tc>
      </w:tr>
      <w:tr>
        <w:tc>
          <w:tcPr>
            <w:tcW w:type="dxa" w:w="1908"/>
            <w:tcMar>
              <w:top w:w="80" w:type="dxa"/>
              <w:start w:w="120" w:type="dxa"/>
              <w:bottom w:w="80" w:type="dxa"/>
              <w:end w:w="120" w:type="dxa"/>
            </w:tcMar>
            <w:vAlign w:val="center"/>
          </w:tcPr>
          <w:p>
            <w:pPr>
              <w:spacing w:before="0" w:after="0" w:line="240" w:lineRule="auto"/>
              <w:jc w:val="left"/>
            </w:pPr>
            <w:r/>
            <w:r>
              <w:rPr>
                <w:rFonts w:ascii="Arial" w:hAnsi="Arial" w:cs="Arial"/>
                <w:sz w:val="18"/>
              </w:rPr>
              <w:t>Rango equivalente</w:t>
            </w:r>
          </w:p>
        </w:tc>
        <w:tc>
          <w:tcPr>
            <w:tcW w:type="dxa" w:w="3522"/>
            <w:tcMar>
              <w:top w:w="80" w:type="dxa"/>
              <w:start w:w="120" w:type="dxa"/>
              <w:bottom w:w="80" w:type="dxa"/>
              <w:end w:w="120" w:type="dxa"/>
            </w:tcMar>
            <w:vAlign w:val="center"/>
          </w:tcPr>
          <w:p>
            <w:pPr>
              <w:spacing w:before="0" w:after="0" w:line="240" w:lineRule="auto"/>
              <w:jc w:val="left"/>
            </w:pPr>
            <w:r/>
            <w:r>
              <w:rPr>
                <w:rFonts w:ascii="Arial" w:hAnsi="Arial" w:cs="Arial"/>
                <w:sz w:val="18"/>
              </w:rPr>
              <w:t>Secretaría General de Inclusión, rango de Subsecretaría</w:t>
            </w:r>
          </w:p>
        </w:tc>
        <w:tc>
          <w:tcPr>
            <w:tcW w:type="dxa" w:w="3596"/>
            <w:tcMar>
              <w:top w:w="80" w:type="dxa"/>
              <w:start w:w="120" w:type="dxa"/>
              <w:bottom w:w="80" w:type="dxa"/>
              <w:end w:w="120" w:type="dxa"/>
            </w:tcMar>
            <w:vAlign w:val="center"/>
          </w:tcPr>
          <w:p>
            <w:pPr>
              <w:spacing w:before="0" w:after="0" w:line="240" w:lineRule="auto"/>
              <w:jc w:val="left"/>
            </w:pPr>
            <w:r/>
            <w:r>
              <w:rPr>
                <w:rFonts w:ascii="Arial" w:hAnsi="Arial" w:cs="Arial"/>
                <w:sz w:val="18"/>
              </w:rPr>
              <w:t>Nivel orgánico, no cambio de denominación</w:t>
            </w:r>
          </w:p>
        </w:tc>
      </w:tr>
      <w:tr>
        <w:tc>
          <w:tcPr>
            <w:tcW w:type="dxa" w:w="1908"/>
            <w:tcMar>
              <w:top w:w="80" w:type="dxa"/>
              <w:start w:w="120" w:type="dxa"/>
              <w:bottom w:w="80" w:type="dxa"/>
              <w:end w:w="120" w:type="dxa"/>
            </w:tcMar>
            <w:vAlign w:val="center"/>
          </w:tcPr>
          <w:p>
            <w:pPr>
              <w:spacing w:before="0" w:after="0" w:line="240" w:lineRule="auto"/>
              <w:jc w:val="left"/>
            </w:pPr>
            <w:r/>
            <w:r>
              <w:rPr>
                <w:rFonts w:ascii="Arial" w:hAnsi="Arial" w:cs="Arial"/>
                <w:sz w:val="18"/>
              </w:rPr>
              <w:t>Servicio común</w:t>
            </w:r>
          </w:p>
        </w:tc>
        <w:tc>
          <w:tcPr>
            <w:tcW w:type="dxa" w:w="3522"/>
            <w:tcMar>
              <w:top w:w="80" w:type="dxa"/>
              <w:start w:w="120" w:type="dxa"/>
              <w:bottom w:w="80" w:type="dxa"/>
              <w:end w:w="120" w:type="dxa"/>
            </w:tcMar>
            <w:vAlign w:val="center"/>
          </w:tcPr>
          <w:p>
            <w:pPr>
              <w:spacing w:before="0" w:after="0" w:line="240" w:lineRule="auto"/>
              <w:jc w:val="left"/>
            </w:pPr>
            <w:r/>
            <w:r>
              <w:rPr>
                <w:rFonts w:ascii="Arial" w:hAnsi="Arial" w:cs="Arial"/>
                <w:sz w:val="18"/>
              </w:rPr>
              <w:t>TGSS, GISS, SJASS</w:t>
            </w:r>
          </w:p>
        </w:tc>
        <w:tc>
          <w:tcPr>
            <w:tcW w:type="dxa" w:w="3596"/>
            <w:tcMar>
              <w:top w:w="80" w:type="dxa"/>
              <w:start w:w="120" w:type="dxa"/>
              <w:bottom w:w="80" w:type="dxa"/>
              <w:end w:w="120" w:type="dxa"/>
            </w:tcMar>
            <w:vAlign w:val="center"/>
          </w:tcPr>
          <w:p>
            <w:pPr>
              <w:spacing w:before="0" w:after="0" w:line="240" w:lineRule="auto"/>
              <w:jc w:val="left"/>
            </w:pPr>
            <w:r/>
            <w:r>
              <w:rPr>
                <w:rFonts w:ascii="Arial" w:hAnsi="Arial" w:cs="Arial"/>
                <w:sz w:val="18"/>
              </w:rPr>
              <w:t>Función transversal para el sistema</w:t>
            </w:r>
          </w:p>
        </w:tc>
      </w:tr>
    </w:tbl>
    <w:p>
      <w:pPr>
        <w:spacing w:after="40"/>
      </w:pPr>
    </w:p>
    <w:p>
      <w:pPr>
        <w:jc w:val="both"/>
      </w:pPr>
      <w:r>
        <w:rPr>
          <w:rFonts w:ascii="Arial" w:hAnsi="Arial" w:cs="Arial"/>
          <w:sz w:val="22"/>
        </w:rPr>
        <w:t>La misma entidad puede estar adscrita orgánicamente a un departamento y depender funcionalmente de varios centros. No hay contradicción si las relaciones se refieren a planos distintos.</w:t>
      </w:r>
    </w:p>
    <w:p>
      <w:pPr>
        <w:pStyle w:val="Heading1"/>
        <w:keepNext/>
      </w:pPr>
      <w:r>
        <w:rPr>
          <w:rFonts w:ascii="Arial" w:hAnsi="Arial" w:cs="Arial"/>
          <w:sz w:val="30"/>
        </w:rPr>
        <w:t>16. Lectura transversal por procesos</w:t>
      </w:r>
    </w:p>
    <w:p>
      <w:pPr>
        <w:pStyle w:val="Heading2"/>
        <w:keepNext/>
      </w:pPr>
      <w:r>
        <w:rPr>
          <w:rFonts w:ascii="Arial" w:hAnsi="Arial" w:cs="Arial"/>
          <w:sz w:val="25"/>
        </w:rPr>
        <w:t>16.1. De la norma a la prestación</w:t>
      </w:r>
    </w:p>
    <w:p>
      <w:pPr>
        <w:jc w:val="both"/>
      </w:pPr>
      <w:r>
        <w:rPr>
          <w:rFonts w:ascii="Arial" w:hAnsi="Arial" w:cs="Arial"/>
          <w:sz w:val="22"/>
        </w:rPr>
        <w:t>En materia de Seguridad Social, la decisión pública pasa por órganos distintos:</w:t>
      </w:r>
    </w:p>
    <w:p>
      <w:pPr>
        <w:spacing w:after="40"/>
        <w:ind w:left="369" w:hanging="227"/>
      </w:pPr>
      <w:r>
        <w:rPr>
          <w:rFonts w:ascii="Arial" w:hAnsi="Arial" w:cs="Arial"/>
          <w:sz w:val="22"/>
        </w:rPr>
        <w:t>1. La Secretaría de Estado impulsa y dirige la política y la ordenación.</w:t>
      </w:r>
    </w:p>
    <w:p>
      <w:pPr>
        <w:spacing w:after="40"/>
        <w:ind w:left="369" w:hanging="227"/>
      </w:pPr>
      <w:r>
        <w:rPr>
          <w:rFonts w:ascii="Arial" w:hAnsi="Arial" w:cs="Arial"/>
          <w:sz w:val="22"/>
        </w:rPr>
        <w:t>2. La DGOSS prepara la norma, interpreta y unifica criterios generales.</w:t>
      </w:r>
    </w:p>
    <w:p>
      <w:pPr>
        <w:spacing w:after="40"/>
        <w:ind w:left="369" w:hanging="227"/>
      </w:pPr>
      <w:r>
        <w:rPr>
          <w:rFonts w:ascii="Arial" w:hAnsi="Arial" w:cs="Arial"/>
          <w:sz w:val="22"/>
        </w:rPr>
        <w:t>3. El INSS o el ISM reconocen, mantienen, suspenden o extinguen prestaciones en su ámbito.</w:t>
      </w:r>
    </w:p>
    <w:p>
      <w:pPr>
        <w:spacing w:after="40"/>
        <w:ind w:left="369" w:hanging="227"/>
      </w:pPr>
      <w:r>
        <w:rPr>
          <w:rFonts w:ascii="Arial" w:hAnsi="Arial" w:cs="Arial"/>
          <w:sz w:val="22"/>
        </w:rPr>
        <w:t>4. TGSS aporta datos de encuadramiento y cotización, administra recursos y materializa pagos en el circuito financiero correspondiente.</w:t>
      </w:r>
    </w:p>
    <w:p>
      <w:pPr>
        <w:spacing w:after="40"/>
        <w:ind w:left="369" w:hanging="227"/>
      </w:pPr>
      <w:r>
        <w:rPr>
          <w:rFonts w:ascii="Arial" w:hAnsi="Arial" w:cs="Arial"/>
          <w:sz w:val="22"/>
        </w:rPr>
        <w:t>5. GISS sostiene aplicaciones, datos e infraestructura tecnológica.</w:t>
      </w:r>
    </w:p>
    <w:p>
      <w:pPr>
        <w:spacing w:after="40"/>
        <w:ind w:left="369" w:hanging="227"/>
      </w:pPr>
      <w:r>
        <w:rPr>
          <w:rFonts w:ascii="Arial" w:hAnsi="Arial" w:cs="Arial"/>
          <w:sz w:val="22"/>
        </w:rPr>
        <w:t>6. IGSS controla y dirige la contabilidad.</w:t>
      </w:r>
    </w:p>
    <w:p>
      <w:pPr>
        <w:spacing w:after="40"/>
        <w:ind w:left="369" w:hanging="227"/>
      </w:pPr>
      <w:r>
        <w:rPr>
          <w:rFonts w:ascii="Arial" w:hAnsi="Arial" w:cs="Arial"/>
          <w:sz w:val="22"/>
        </w:rPr>
        <w:t>7. SJASS asesora y defiende jurídicamente.</w:t>
      </w:r>
    </w:p>
    <w:p>
      <w:pPr>
        <w:jc w:val="both"/>
      </w:pPr>
      <w:r>
        <w:rPr>
          <w:rFonts w:ascii="Arial" w:hAnsi="Arial" w:cs="Arial"/>
          <w:sz w:val="22"/>
        </w:rPr>
        <w:t>Este esquema impide atribuir todas las fases a un mismo organismo. Si se pregunta por una resolución individual de jubilación, la respuesta ordinaria es INSS; si se pregunta por criterios normativos sobre jubilación, DGOSS; si se pregunta por el ingreso de cuotas, TGSS; si se pregunta por fiscalización interna, IGSS.</w:t>
      </w:r>
    </w:p>
    <w:p>
      <w:pPr>
        <w:jc w:val="both"/>
      </w:pPr>
      <w:r>
        <w:rPr>
          <w:rFonts w:ascii="Arial" w:hAnsi="Arial" w:cs="Arial"/>
          <w:sz w:val="22"/>
        </w:rPr>
        <w:t>La separación no elimina coordinación. Los sistemas intercambian datos y las entidades ejecutan una política común bajo la dirección y tutela ministerial. La unidad de caja concentra recursos en TGSS, mientras la descentralización funcional permite que cada entidad resuelva en su especialidad.</w:t>
      </w:r>
    </w:p>
    <w:p>
      <w:pPr>
        <w:pStyle w:val="Heading2"/>
        <w:keepNext/>
      </w:pPr>
      <w:r>
        <w:rPr>
          <w:rFonts w:ascii="Arial" w:hAnsi="Arial" w:cs="Arial"/>
          <w:sz w:val="25"/>
        </w:rPr>
        <w:t>16.2. Ciclo presupuestario y control</w:t>
      </w:r>
    </w:p>
    <w:p>
      <w:pPr>
        <w:jc w:val="both"/>
      </w:pPr>
      <w:r>
        <w:rPr>
          <w:rFonts w:ascii="Arial" w:hAnsi="Arial" w:cs="Arial"/>
          <w:sz w:val="22"/>
        </w:rPr>
        <w:t>La DGOSS elabora el anteproyecto de Presupuestos de la Seguridad Social y realiza proyecciones, seguimiento y modificaciones en el marco de sus competencias. Las entidades gestoras y servicios comunes preparan sus previsiones y anteproyectos como titulares de su información. TGSS gestiona recursos financieros; IGSS ejerce control interno y dirige la contabilidad; la IGAE mantiene la dependencia funcional sobre IGSS.</w:t>
      </w:r>
    </w:p>
    <w:p>
      <w:pPr>
        <w:jc w:val="both"/>
      </w:pPr>
      <w:r>
        <w:rPr>
          <w:rFonts w:ascii="Arial" w:hAnsi="Arial" w:cs="Arial"/>
          <w:sz w:val="22"/>
        </w:rPr>
        <w:t>En el plano general del Ministerio, la Subdirección General de Gestión Económica y Oficina Presupuestaria atiende presupuesto, gasto y contratación de servicios comunes no atribuidos. En Migraciones existe una unidad económica sectorial propia, que tramita presupuesto, contratación, subvenciones y fondos de esa Secretaría. La duplicidad nominal responde a ámbitos distintos, no a una subordinación entre ambas.</w:t>
      </w:r>
    </w:p>
    <w:p>
      <w:pPr>
        <w:pStyle w:val="Heading2"/>
        <w:keepNext/>
      </w:pPr>
      <w:r>
        <w:rPr>
          <w:rFonts w:ascii="Arial" w:hAnsi="Arial" w:cs="Arial"/>
          <w:sz w:val="25"/>
        </w:rPr>
        <w:t>16.3. Circuito migratorio</w:t>
      </w:r>
    </w:p>
    <w:p>
      <w:pPr>
        <w:jc w:val="both"/>
      </w:pPr>
      <w:r>
        <w:rPr>
          <w:rFonts w:ascii="Arial" w:hAnsi="Arial" w:cs="Arial"/>
          <w:sz w:val="22"/>
        </w:rPr>
        <w:t>La Secretaría de Estado fija y desarrolla la política de extranjería, inmigración y emigración. Dentro de ella:</w:t>
      </w:r>
    </w:p>
    <w:p>
      <w:pPr>
        <w:pStyle w:val="ListBullet"/>
      </w:pPr>
      <w:r>
        <w:rPr>
          <w:rFonts w:ascii="Arial" w:hAnsi="Arial" w:cs="Arial"/>
          <w:sz w:val="22"/>
        </w:rPr>
        <w:t>Régimen Jurídico prepara normas, informes e instrucciones.</w:t>
      </w:r>
    </w:p>
    <w:p>
      <w:pPr>
        <w:pStyle w:val="ListBullet"/>
      </w:pPr>
      <w:r>
        <w:rPr>
          <w:rFonts w:ascii="Arial" w:hAnsi="Arial" w:cs="Arial"/>
          <w:sz w:val="22"/>
        </w:rPr>
        <w:t>Gestión Migratoria administra autorizaciones atribuidas al departamento, contratación en origen y coordinación con oficinas.</w:t>
      </w:r>
    </w:p>
    <w:p>
      <w:pPr>
        <w:pStyle w:val="ListBullet"/>
      </w:pPr>
      <w:r>
        <w:rPr>
          <w:rFonts w:ascii="Arial" w:hAnsi="Arial" w:cs="Arial"/>
          <w:sz w:val="22"/>
        </w:rPr>
        <w:t>Atención Humanitaria gestiona programas, acogida, plazas, derivaciones, centros y emergencias.</w:t>
      </w:r>
    </w:p>
    <w:p>
      <w:pPr>
        <w:pStyle w:val="ListBullet"/>
      </w:pPr>
      <w:r>
        <w:rPr>
          <w:rFonts w:ascii="Arial" w:hAnsi="Arial" w:cs="Arial"/>
          <w:sz w:val="22"/>
        </w:rPr>
        <w:t>Ciudadanía Exterior atiende derechos, ayudas y retorno de españoles.</w:t>
      </w:r>
    </w:p>
    <w:p>
      <w:pPr>
        <w:pStyle w:val="ListBullet"/>
      </w:pPr>
      <w:r>
        <w:rPr>
          <w:rFonts w:ascii="Arial" w:hAnsi="Arial" w:cs="Arial"/>
          <w:sz w:val="22"/>
        </w:rPr>
        <w:t>OBERAXE analiza discriminación racial o xenófoba y promueve igualdad.</w:t>
      </w:r>
    </w:p>
    <w:p>
      <w:pPr>
        <w:pStyle w:val="ListBullet"/>
      </w:pPr>
      <w:r>
        <w:rPr>
          <w:rFonts w:ascii="Arial" w:hAnsi="Arial" w:cs="Arial"/>
          <w:sz w:val="22"/>
        </w:rPr>
        <w:t>Observatorio Permanente analiza evolución migratoria, estadísticas, coste y calidad.</w:t>
      </w:r>
    </w:p>
    <w:p>
      <w:pPr>
        <w:pStyle w:val="ListBullet"/>
      </w:pPr>
      <w:r>
        <w:rPr>
          <w:rFonts w:ascii="Arial" w:hAnsi="Arial" w:cs="Arial"/>
          <w:sz w:val="22"/>
        </w:rPr>
        <w:t>La unidad económica aporta soporte contractual, presupuestario y de fondos.</w:t>
      </w:r>
    </w:p>
    <w:p>
      <w:pPr>
        <w:jc w:val="both"/>
      </w:pPr>
      <w:r>
        <w:rPr>
          <w:rFonts w:ascii="Arial" w:hAnsi="Arial" w:cs="Arial"/>
          <w:sz w:val="22"/>
        </w:rPr>
        <w:t>Una misma situación puede requerir cooperación, pero la pregunta debe resolverse por su objeto inmediato. Una autorización de residencia y trabajo corresponde al circuito de Gestión Migratoria; una plaza en acogida, al de Atención Humanitaria; una ayuda a un español retornado, al de Ciudadanía Exterior; un estudio sobre delitos de odio o discriminación, a OBERAXE.</w:t>
      </w:r>
    </w:p>
    <w:p>
      <w:pPr>
        <w:pStyle w:val="Heading2"/>
        <w:keepNext/>
      </w:pPr>
      <w:r>
        <w:rPr>
          <w:rFonts w:ascii="Arial" w:hAnsi="Arial" w:cs="Arial"/>
          <w:sz w:val="25"/>
        </w:rPr>
        <w:t>16.4. Inclusión e ingreso mínimo vital</w:t>
      </w:r>
    </w:p>
    <w:p>
      <w:pPr>
        <w:jc w:val="both"/>
      </w:pPr>
      <w:r>
        <w:rPr>
          <w:rFonts w:ascii="Arial" w:hAnsi="Arial" w:cs="Arial"/>
          <w:sz w:val="22"/>
        </w:rPr>
        <w:t>La política de inclusión atraviesa varios órganos. La Secretaría General de Inclusión define indicadores, evalúa trayectorias y políticas, estudia el diseño del ingreso mínimo vital y formula propuestas. La Subdirección General de Objetivos e Indicadores trabaja sobre medición, estadística y evidencia; la de Políticas de Inclusión impulsa y revisa planes, prestaciones y cooperación.</w:t>
      </w:r>
    </w:p>
    <w:p>
      <w:pPr>
        <w:jc w:val="both"/>
      </w:pPr>
      <w:r>
        <w:rPr>
          <w:rFonts w:ascii="Arial" w:hAnsi="Arial" w:cs="Arial"/>
          <w:sz w:val="22"/>
        </w:rPr>
        <w:t xml:space="preserve">El INSS, por su parte, resuelve expedientes individuales del ingreso mínimo vital conforme a su legislación. TGSS y otras Administraciones suministran o contrastan datos dentro del marco legal. La Secretaría General Técnica participa cuando existe un proyecto normativo o una cuestión jurídica transversal. Esta distribución refleja la diferencia entre </w:t>
      </w:r>
      <w:r>
        <w:rPr>
          <w:rFonts w:ascii="Arial" w:hAnsi="Arial" w:cs="Arial"/>
          <w:b/>
          <w:sz w:val="22"/>
        </w:rPr>
        <w:t>diseñar/evaluar una política</w:t>
      </w:r>
      <w:r>
        <w:rPr>
          <w:rFonts w:ascii="Arial" w:hAnsi="Arial" w:cs="Arial"/>
          <w:sz w:val="22"/>
        </w:rPr>
        <w:t xml:space="preserve"> y </w:t>
      </w:r>
      <w:r>
        <w:rPr>
          <w:rFonts w:ascii="Arial" w:hAnsi="Arial" w:cs="Arial"/>
          <w:b/>
          <w:sz w:val="22"/>
        </w:rPr>
        <w:t>gestionar una prestación</w:t>
      </w:r>
      <w:r>
        <w:rPr>
          <w:rFonts w:ascii="Arial" w:hAnsi="Arial" w:cs="Arial"/>
          <w:sz w:val="22"/>
        </w:rPr>
        <w:t>.</w:t>
      </w:r>
    </w:p>
    <w:p>
      <w:pPr>
        <w:pStyle w:val="Heading2"/>
        <w:keepNext/>
      </w:pPr>
      <w:r>
        <w:rPr>
          <w:rFonts w:ascii="Arial" w:hAnsi="Arial" w:cs="Arial"/>
          <w:sz w:val="25"/>
        </w:rPr>
        <w:t>16.5. Servicios comunes generales y específicos</w:t>
      </w:r>
    </w:p>
    <w:p>
      <w:pPr>
        <w:jc w:val="both"/>
      </w:pPr>
      <w:r>
        <w:rPr>
          <w:rFonts w:ascii="Arial" w:hAnsi="Arial" w:cs="Arial"/>
          <w:sz w:val="22"/>
        </w:rPr>
        <w:t>La Subsecretaría presta servicios comunes al conjunto del Ministerio: personal, presupuesto departamental, inspección, transparencia, atención ciudadana, edificios ordinarios, tecnologías departamentales y contratación no atribuida. Sin embargo, el sistema de Seguridad Social conserva servicios comunes específicos —TGSS, GISS y SJASS— y el área de Migraciones dispone de competencias propias sobre centros, infraestructuras, fondos y contratación.</w:t>
      </w:r>
    </w:p>
    <w:p>
      <w:pPr>
        <w:jc w:val="both"/>
      </w:pPr>
      <w:r>
        <w:rPr>
          <w:rFonts w:ascii="Arial" w:hAnsi="Arial" w:cs="Arial"/>
          <w:sz w:val="22"/>
        </w:rPr>
        <w:t>Por eso, la Subdirección General de TIC de la Subsecretaría gestiona sistemas del Ministerio y sus servicios centrales, mientras GISS administra las tecnologías corporativas del sistema de Seguridad Social. La norma preserva expresamente las competencias del Consejo General de Administración Digital de la Seguridad Social. Del mismo modo, la Subsecretaría gestiona inmuebles ordinarios, pero excluye los centros de migraciones y los futuros inmuebles destinados a ellos.</w:t>
      </w:r>
    </w:p>
    <w:p>
      <w:pPr>
        <w:pStyle w:val="Heading2"/>
        <w:keepNext/>
      </w:pPr>
      <w:r>
        <w:rPr>
          <w:rFonts w:ascii="Arial" w:hAnsi="Arial" w:cs="Arial"/>
          <w:sz w:val="25"/>
        </w:rPr>
        <w:t>16.6. Representación y asistencia jurídica</w:t>
      </w:r>
    </w:p>
    <w:p>
      <w:pPr>
        <w:jc w:val="both"/>
      </w:pPr>
      <w:r>
        <w:rPr>
          <w:rFonts w:ascii="Arial" w:hAnsi="Arial" w:cs="Arial"/>
          <w:sz w:val="22"/>
        </w:rPr>
        <w:t>La representación ordinaria del Departamento corresponde a la Subsecretaría. La asistencia inmediata de carácter político u organizativo se articula mediante los distintos Gabinetes. La asistencia jurídica se distribuye:</w:t>
      </w:r>
    </w:p>
    <w:p>
      <w:pPr>
        <w:pStyle w:val="ListBullet"/>
      </w:pPr>
      <w:r>
        <w:rPr>
          <w:rFonts w:ascii="Arial" w:hAnsi="Arial" w:cs="Arial"/>
          <w:sz w:val="22"/>
        </w:rPr>
        <w:t>Secretaría General Técnica: coordinación normativa, recursos, convenios y análisis jurídico-administrativo.</w:t>
      </w:r>
    </w:p>
    <w:p>
      <w:pPr>
        <w:pStyle w:val="ListBullet"/>
      </w:pPr>
      <w:r>
        <w:rPr>
          <w:rFonts w:ascii="Arial" w:hAnsi="Arial" w:cs="Arial"/>
          <w:sz w:val="22"/>
        </w:rPr>
        <w:t>Abogacía del Estado: asistencia conforme a su régimen para el ámbito ministerial.</w:t>
      </w:r>
    </w:p>
    <w:p>
      <w:pPr>
        <w:pStyle w:val="ListBullet"/>
      </w:pPr>
      <w:r>
        <w:rPr>
          <w:rFonts w:ascii="Arial" w:hAnsi="Arial" w:cs="Arial"/>
          <w:sz w:val="22"/>
        </w:rPr>
        <w:t>SJASS: asistencia de entidades gestoras, servicios comunes y demás integrantes públicos de la Administración de la Seguridad Social.</w:t>
      </w:r>
    </w:p>
    <w:p>
      <w:pPr>
        <w:pStyle w:val="ListBullet"/>
      </w:pPr>
      <w:r>
        <w:rPr>
          <w:rFonts w:ascii="Arial" w:hAnsi="Arial" w:cs="Arial"/>
          <w:sz w:val="22"/>
        </w:rPr>
        <w:t>Servicios jurídicos delegados: presencia especializada en entidades y centros, bajo dirección funcional del SJASS.</w:t>
      </w:r>
    </w:p>
    <w:p>
      <w:pPr>
        <w:jc w:val="both"/>
      </w:pPr>
      <w:r>
        <w:rPr>
          <w:rFonts w:ascii="Arial" w:hAnsi="Arial" w:cs="Arial"/>
          <w:sz w:val="22"/>
        </w:rPr>
        <w:t>Una propuesta de resolución de un recurso administrativo departamental puede tramitarla la SGT; la defensa procesal de una entidad de Seguridad Social corresponde al SJASS en su ámbito. No son funciones intercambiables.</w:t>
      </w:r>
    </w:p>
    <w:p>
      <w:pPr>
        <w:pStyle w:val="Heading1"/>
        <w:keepNext/>
      </w:pPr>
      <w:r>
        <w:rPr>
          <w:rFonts w:ascii="Arial" w:hAnsi="Arial" w:cs="Arial"/>
          <w:sz w:val="30"/>
        </w:rPr>
        <w:t>17. Reglas transitorias y organizativas preguntables</w:t>
      </w:r>
    </w:p>
    <w:p>
      <w:pPr>
        <w:jc w:val="both"/>
      </w:pPr>
      <w:r>
        <w:rPr>
          <w:rFonts w:ascii="Arial" w:hAnsi="Arial" w:cs="Arial"/>
          <w:sz w:val="22"/>
        </w:rPr>
        <w:t>Las unidades inferiores a subdirección general afectadas por reorganizaciones subsisten y se pagan con los mismos créditos hasta adaptar relaciones de puestos y distribuir créditos. Esta continuidad evita vacíos.</w:t>
      </w:r>
    </w:p>
    <w:p>
      <w:pPr>
        <w:jc w:val="both"/>
      </w:pPr>
      <w:r>
        <w:rPr>
          <w:rFonts w:ascii="Arial" w:hAnsi="Arial" w:cs="Arial"/>
          <w:sz w:val="22"/>
        </w:rPr>
        <w:t>Hasta la total asunción por el INSS de la gestión del Régimen de Clases Pasivas, la Dirección General de Ordenación mantiene reconocimiento, gestión y propuesta de pagos, recursos, información y atención al público conforme al régimen transitorio aplicable. Por tanto, no debe afirmarse sin matiz que toda gestión de clases pasivas ya corresponde materialmente al INSS.</w:t>
      </w:r>
    </w:p>
    <w:p>
      <w:pPr>
        <w:jc w:val="both"/>
      </w:pPr>
      <w:r>
        <w:rPr>
          <w:rFonts w:ascii="Arial" w:hAnsi="Arial" w:cs="Arial"/>
          <w:sz w:val="22"/>
        </w:rPr>
        <w:t>Las referencias normativas a órganos suprimidos se entienden hechas a los que asumen sus competencias o, en defecto de asignación, al órgano del que dependían.</w:t>
      </w:r>
    </w:p>
    <w:p>
      <w:pPr>
        <w:jc w:val="both"/>
      </w:pPr>
      <w:r>
        <w:rPr>
          <w:rFonts w:ascii="Arial" w:hAnsi="Arial" w:cs="Arial"/>
          <w:sz w:val="22"/>
        </w:rPr>
        <w:t>En suplencias no designadas específicamente, los Secretarios de Estado siguen el orden de precedencia del real decreto; los restantes órganos superiores o directivos se suplen conforme a las reglas que contiene la disposición adicional correspondiente.</w:t>
      </w:r>
    </w:p>
    <w:p>
      <w:pPr>
        <w:pStyle w:val="Heading1"/>
        <w:keepNext/>
      </w:pPr>
      <w:r>
        <w:rPr>
          <w:rFonts w:ascii="Arial" w:hAnsi="Arial" w:cs="Arial"/>
          <w:sz w:val="30"/>
        </w:rPr>
        <w:t>18. Errores frecuentes</w:t>
      </w:r>
    </w:p>
    <w:p>
      <w:pPr>
        <w:spacing w:after="40"/>
        <w:ind w:left="369" w:hanging="227"/>
      </w:pPr>
      <w:r>
        <w:rPr>
          <w:rFonts w:ascii="Arial" w:hAnsi="Arial" w:cs="Arial"/>
          <w:sz w:val="22"/>
        </w:rPr>
        <w:t xml:space="preserve">1. </w:t>
      </w:r>
      <w:r>
        <w:rPr>
          <w:rFonts w:ascii="Arial" w:hAnsi="Arial" w:cs="Arial"/>
          <w:b/>
          <w:sz w:val="22"/>
        </w:rPr>
        <w:t>Situar la Secretaría General de Inclusión dentro de una Secretaría de Estado.</w:t>
      </w:r>
      <w:r>
        <w:rPr>
          <w:rFonts w:ascii="Arial" w:hAnsi="Arial" w:cs="Arial"/>
          <w:sz w:val="22"/>
        </w:rPr>
        <w:t xml:space="preserve"> Depende directamente del titular y tiene rango de Subsecretaría.</w:t>
      </w:r>
    </w:p>
    <w:p>
      <w:pPr>
        <w:spacing w:after="40"/>
        <w:ind w:left="369" w:hanging="227"/>
      </w:pPr>
      <w:r>
        <w:rPr>
          <w:rFonts w:ascii="Arial" w:hAnsi="Arial" w:cs="Arial"/>
          <w:sz w:val="22"/>
        </w:rPr>
        <w:t xml:space="preserve">2. </w:t>
      </w:r>
      <w:r>
        <w:rPr>
          <w:rFonts w:ascii="Arial" w:hAnsi="Arial" w:cs="Arial"/>
          <w:b/>
          <w:sz w:val="22"/>
        </w:rPr>
        <w:t>Dar rango de subdirección al SJASS.</w:t>
      </w:r>
      <w:r>
        <w:rPr>
          <w:rFonts w:ascii="Arial" w:hAnsi="Arial" w:cs="Arial"/>
          <w:sz w:val="22"/>
        </w:rPr>
        <w:t xml:space="preserve"> Desde el 24 de julio de 2026 tiene nivel de Dirección General.</w:t>
      </w:r>
    </w:p>
    <w:p>
      <w:pPr>
        <w:spacing w:after="40"/>
        <w:ind w:left="369" w:hanging="227"/>
      </w:pPr>
      <w:r>
        <w:rPr>
          <w:rFonts w:ascii="Arial" w:hAnsi="Arial" w:cs="Arial"/>
          <w:sz w:val="22"/>
        </w:rPr>
        <w:t xml:space="preserve">3. </w:t>
      </w:r>
      <w:r>
        <w:rPr>
          <w:rFonts w:ascii="Arial" w:hAnsi="Arial" w:cs="Arial"/>
          <w:b/>
          <w:sz w:val="22"/>
        </w:rPr>
        <w:t>Dar personalidad al SJASS.</w:t>
      </w:r>
      <w:r>
        <w:rPr>
          <w:rFonts w:ascii="Arial" w:hAnsi="Arial" w:cs="Arial"/>
          <w:sz w:val="22"/>
        </w:rPr>
        <w:t xml:space="preserve"> Es servicio común sin personalidad; GISS sí tiene personalidad.</w:t>
      </w:r>
    </w:p>
    <w:p>
      <w:pPr>
        <w:spacing w:after="40"/>
        <w:ind w:left="369" w:hanging="227"/>
      </w:pPr>
      <w:r>
        <w:rPr>
          <w:rFonts w:ascii="Arial" w:hAnsi="Arial" w:cs="Arial"/>
          <w:sz w:val="22"/>
        </w:rPr>
        <w:t xml:space="preserve">4. </w:t>
      </w:r>
      <w:r>
        <w:rPr>
          <w:rFonts w:ascii="Arial" w:hAnsi="Arial" w:cs="Arial"/>
          <w:b/>
          <w:sz w:val="22"/>
        </w:rPr>
        <w:t>Confundir adscripción con dependencia funcional.</w:t>
      </w:r>
      <w:r>
        <w:rPr>
          <w:rFonts w:ascii="Arial" w:hAnsi="Arial" w:cs="Arial"/>
          <w:sz w:val="22"/>
        </w:rPr>
        <w:t xml:space="preserve"> IGSS está adscrita a la Secretaría, pero depende funcionalmente de IGAE.</w:t>
      </w:r>
    </w:p>
    <w:p>
      <w:pPr>
        <w:spacing w:after="40"/>
        <w:ind w:left="369" w:hanging="227"/>
      </w:pPr>
      <w:r>
        <w:rPr>
          <w:rFonts w:ascii="Arial" w:hAnsi="Arial" w:cs="Arial"/>
          <w:sz w:val="22"/>
        </w:rPr>
        <w:t xml:space="preserve">5. </w:t>
      </w:r>
      <w:r>
        <w:rPr>
          <w:rFonts w:ascii="Arial" w:hAnsi="Arial" w:cs="Arial"/>
          <w:b/>
          <w:sz w:val="22"/>
        </w:rPr>
        <w:t>Atribuir recaudación al INSS.</w:t>
      </w:r>
      <w:r>
        <w:rPr>
          <w:rFonts w:ascii="Arial" w:hAnsi="Arial" w:cs="Arial"/>
          <w:sz w:val="22"/>
        </w:rPr>
        <w:t xml:space="preserve"> Corresponde a TGSS.</w:t>
      </w:r>
    </w:p>
    <w:p>
      <w:pPr>
        <w:spacing w:after="40"/>
        <w:ind w:left="369" w:hanging="227"/>
      </w:pPr>
      <w:r>
        <w:rPr>
          <w:rFonts w:ascii="Arial" w:hAnsi="Arial" w:cs="Arial"/>
          <w:sz w:val="22"/>
        </w:rPr>
        <w:t xml:space="preserve">6. </w:t>
      </w:r>
      <w:r>
        <w:rPr>
          <w:rFonts w:ascii="Arial" w:hAnsi="Arial" w:cs="Arial"/>
          <w:b/>
          <w:sz w:val="22"/>
        </w:rPr>
        <w:t>Atribuir reconocimiento de prestaciones a DGOSS.</w:t>
      </w:r>
      <w:r>
        <w:rPr>
          <w:rFonts w:ascii="Arial" w:hAnsi="Arial" w:cs="Arial"/>
          <w:sz w:val="22"/>
        </w:rPr>
        <w:t xml:space="preserve"> DGOSS ordena; INSS o ISM gestionan según materia.</w:t>
      </w:r>
    </w:p>
    <w:p>
      <w:pPr>
        <w:spacing w:after="40"/>
        <w:ind w:left="369" w:hanging="227"/>
      </w:pPr>
      <w:r>
        <w:rPr>
          <w:rFonts w:ascii="Arial" w:hAnsi="Arial" w:cs="Arial"/>
          <w:sz w:val="22"/>
        </w:rPr>
        <w:t xml:space="preserve">7. </w:t>
      </w:r>
      <w:r>
        <w:rPr>
          <w:rFonts w:ascii="Arial" w:hAnsi="Arial" w:cs="Arial"/>
          <w:b/>
          <w:sz w:val="22"/>
        </w:rPr>
        <w:t>Confundir Intervención Delegada e IGSS.</w:t>
      </w:r>
      <w:r>
        <w:rPr>
          <w:rFonts w:ascii="Arial" w:hAnsi="Arial" w:cs="Arial"/>
          <w:sz w:val="22"/>
        </w:rPr>
        <w:t xml:space="preserve"> Una atiende el departamento; la otra controla el sistema.</w:t>
      </w:r>
    </w:p>
    <w:p>
      <w:pPr>
        <w:spacing w:after="40"/>
        <w:ind w:left="369" w:hanging="227"/>
      </w:pPr>
      <w:r>
        <w:rPr>
          <w:rFonts w:ascii="Arial" w:hAnsi="Arial" w:cs="Arial"/>
          <w:sz w:val="22"/>
        </w:rPr>
        <w:t xml:space="preserve">8. </w:t>
      </w:r>
      <w:r>
        <w:rPr>
          <w:rFonts w:ascii="Arial" w:hAnsi="Arial" w:cs="Arial"/>
          <w:b/>
          <w:sz w:val="22"/>
        </w:rPr>
        <w:t>Confundir CIE y CETI.</w:t>
      </w:r>
      <w:r>
        <w:rPr>
          <w:rFonts w:ascii="Arial" w:hAnsi="Arial" w:cs="Arial"/>
          <w:sz w:val="22"/>
        </w:rPr>
        <w:t xml:space="preserve"> Solo CETI figura entre los centros dependientes de la Dirección General de Atención Humanitaria.</w:t>
      </w:r>
    </w:p>
    <w:p>
      <w:pPr>
        <w:spacing w:after="40"/>
        <w:ind w:left="369" w:hanging="227"/>
      </w:pPr>
      <w:r>
        <w:rPr>
          <w:rFonts w:ascii="Arial" w:hAnsi="Arial" w:cs="Arial"/>
          <w:sz w:val="22"/>
        </w:rPr>
        <w:t xml:space="preserve">9. </w:t>
      </w:r>
      <w:r>
        <w:rPr>
          <w:rFonts w:ascii="Arial" w:hAnsi="Arial" w:cs="Arial"/>
          <w:b/>
          <w:sz w:val="22"/>
        </w:rPr>
        <w:t>Omitir la Subdirección de Gestión Económica de Migraciones.</w:t>
      </w:r>
      <w:r>
        <w:rPr>
          <w:rFonts w:ascii="Arial" w:hAnsi="Arial" w:cs="Arial"/>
          <w:sz w:val="22"/>
        </w:rPr>
        <w:t xml:space="preserve"> Se incorporó en 2025.</w:t>
      </w:r>
    </w:p>
    <w:p>
      <w:pPr>
        <w:spacing w:after="40"/>
        <w:ind w:left="369" w:hanging="227"/>
      </w:pPr>
      <w:r>
        <w:rPr>
          <w:rFonts w:ascii="Arial" w:hAnsi="Arial" w:cs="Arial"/>
          <w:sz w:val="22"/>
        </w:rPr>
        <w:t xml:space="preserve">10. </w:t>
      </w:r>
      <w:r>
        <w:rPr>
          <w:rFonts w:ascii="Arial" w:hAnsi="Arial" w:cs="Arial"/>
          <w:b/>
          <w:sz w:val="22"/>
        </w:rPr>
        <w:t>Confundir OBERAXE y Observatorio Permanente.</w:t>
      </w:r>
      <w:r>
        <w:rPr>
          <w:rFonts w:ascii="Arial" w:hAnsi="Arial" w:cs="Arial"/>
          <w:sz w:val="22"/>
        </w:rPr>
        <w:t xml:space="preserve"> El primero se centra en racismo y xenofobia; el segundo en análisis migratorio, coste y calidad.</w:t>
      </w:r>
    </w:p>
    <w:p>
      <w:pPr>
        <w:spacing w:after="40"/>
        <w:ind w:left="369" w:hanging="227"/>
      </w:pPr>
      <w:r>
        <w:rPr>
          <w:rFonts w:ascii="Arial" w:hAnsi="Arial" w:cs="Arial"/>
          <w:sz w:val="22"/>
        </w:rPr>
        <w:t xml:space="preserve">11. </w:t>
      </w:r>
      <w:r>
        <w:rPr>
          <w:rFonts w:ascii="Arial" w:hAnsi="Arial" w:cs="Arial"/>
          <w:b/>
          <w:sz w:val="22"/>
        </w:rPr>
        <w:t>Tratar el Foro para la Integración como Dirección General.</w:t>
      </w:r>
      <w:r>
        <w:rPr>
          <w:rFonts w:ascii="Arial" w:hAnsi="Arial" w:cs="Arial"/>
          <w:sz w:val="22"/>
        </w:rPr>
        <w:t xml:space="preserve"> Es órgano colegiado adscrito.</w:t>
      </w:r>
    </w:p>
    <w:p>
      <w:pPr>
        <w:spacing w:after="40"/>
        <w:ind w:left="369" w:hanging="227"/>
      </w:pPr>
      <w:r>
        <w:rPr>
          <w:rFonts w:ascii="Arial" w:hAnsi="Arial" w:cs="Arial"/>
          <w:sz w:val="22"/>
        </w:rPr>
        <w:t xml:space="preserve">12. </w:t>
      </w:r>
      <w:r>
        <w:rPr>
          <w:rFonts w:ascii="Arial" w:hAnsi="Arial" w:cs="Arial"/>
          <w:b/>
          <w:sz w:val="22"/>
        </w:rPr>
        <w:t>Confundir evaluación del IMV con gestión individual.</w:t>
      </w:r>
      <w:r>
        <w:rPr>
          <w:rFonts w:ascii="Arial" w:hAnsi="Arial" w:cs="Arial"/>
          <w:sz w:val="22"/>
        </w:rPr>
        <w:t xml:space="preserve"> Secretaría General de Inclusión evalúa y propone; INSS gestiona.</w:t>
      </w:r>
    </w:p>
    <w:p>
      <w:pPr>
        <w:pStyle w:val="Heading1"/>
        <w:keepNext/>
      </w:pPr>
      <w:r>
        <w:rPr>
          <w:rFonts w:ascii="Arial" w:hAnsi="Arial" w:cs="Arial"/>
          <w:sz w:val="30"/>
        </w:rPr>
        <w:t>19. Resumen de memoria</w:t>
      </w:r>
    </w:p>
    <w:p>
      <w:pPr>
        <w:spacing w:after="40"/>
        <w:ind w:left="369" w:hanging="227"/>
      </w:pPr>
      <w:r>
        <w:rPr>
          <w:rFonts w:ascii="Arial" w:hAnsi="Arial" w:cs="Arial"/>
          <w:sz w:val="22"/>
        </w:rPr>
        <w:t>1. Materias: Seguridad Social y clases pasivas; migraciones; inclusión.</w:t>
      </w:r>
    </w:p>
    <w:p>
      <w:pPr>
        <w:spacing w:after="40"/>
        <w:ind w:left="369" w:hanging="227"/>
      </w:pPr>
      <w:r>
        <w:rPr>
          <w:rFonts w:ascii="Arial" w:hAnsi="Arial" w:cs="Arial"/>
          <w:sz w:val="22"/>
        </w:rPr>
        <w:t>2. Cuatro ramas: dos Secretarías de Estado, Secretaría General de Inclusión y Subsecretaría.</w:t>
      </w:r>
    </w:p>
    <w:p>
      <w:pPr>
        <w:spacing w:after="40"/>
        <w:ind w:left="369" w:hanging="227"/>
      </w:pPr>
      <w:r>
        <w:rPr>
          <w:rFonts w:ascii="Arial" w:hAnsi="Arial" w:cs="Arial"/>
          <w:sz w:val="22"/>
        </w:rPr>
        <w:t>3. Gabinete ministerial: rango de Dirección General.</w:t>
      </w:r>
    </w:p>
    <w:p>
      <w:pPr>
        <w:spacing w:after="40"/>
        <w:ind w:left="369" w:hanging="227"/>
      </w:pPr>
      <w:r>
        <w:rPr>
          <w:rFonts w:ascii="Arial" w:hAnsi="Arial" w:cs="Arial"/>
          <w:sz w:val="22"/>
        </w:rPr>
        <w:t>4. Secretaría de Estado de Seguridad Social: DGOSS dependiente; IGSS y SJASS adscritos con rango DG.</w:t>
      </w:r>
    </w:p>
    <w:p>
      <w:pPr>
        <w:spacing w:after="40"/>
        <w:ind w:left="369" w:hanging="227"/>
      </w:pPr>
      <w:r>
        <w:rPr>
          <w:rFonts w:ascii="Arial" w:hAnsi="Arial" w:cs="Arial"/>
          <w:sz w:val="22"/>
        </w:rPr>
        <w:t>5. INSS, ISM, TGSS, GISS y SJASS quedan adscritos a esa Secretaría.</w:t>
      </w:r>
    </w:p>
    <w:p>
      <w:pPr>
        <w:spacing w:after="40"/>
        <w:ind w:left="369" w:hanging="227"/>
      </w:pPr>
      <w:r>
        <w:rPr>
          <w:rFonts w:ascii="Arial" w:hAnsi="Arial" w:cs="Arial"/>
          <w:sz w:val="22"/>
        </w:rPr>
        <w:t>6. DGOSS: ordenación jurídica, presupuestos, colaboradores, análisis financiero, estadística y fondos de empleo.</w:t>
      </w:r>
    </w:p>
    <w:p>
      <w:pPr>
        <w:spacing w:after="40"/>
        <w:ind w:left="369" w:hanging="227"/>
      </w:pPr>
      <w:r>
        <w:rPr>
          <w:rFonts w:ascii="Arial" w:hAnsi="Arial" w:cs="Arial"/>
          <w:sz w:val="22"/>
        </w:rPr>
        <w:t>7. IGSS: control interno y contabilidad; dependencia funcional de IGAE.</w:t>
      </w:r>
    </w:p>
    <w:p>
      <w:pPr>
        <w:spacing w:after="40"/>
        <w:ind w:left="369" w:hanging="227"/>
      </w:pPr>
      <w:r>
        <w:rPr>
          <w:rFonts w:ascii="Arial" w:hAnsi="Arial" w:cs="Arial"/>
          <w:sz w:val="22"/>
        </w:rPr>
        <w:t>8. SJASS: servicio común sin personalidad, rango DG desde 24-7-2026.</w:t>
      </w:r>
    </w:p>
    <w:p>
      <w:pPr>
        <w:spacing w:after="40"/>
        <w:ind w:left="369" w:hanging="227"/>
      </w:pPr>
      <w:r>
        <w:rPr>
          <w:rFonts w:ascii="Arial" w:hAnsi="Arial" w:cs="Arial"/>
          <w:sz w:val="22"/>
        </w:rPr>
        <w:t>9. TGSS: caja única, recursos, afiliación, cotización y recaudación.</w:t>
      </w:r>
    </w:p>
    <w:p>
      <w:pPr>
        <w:spacing w:after="40"/>
        <w:ind w:left="369" w:hanging="227"/>
      </w:pPr>
      <w:r>
        <w:rPr>
          <w:rFonts w:ascii="Arial" w:hAnsi="Arial" w:cs="Arial"/>
          <w:sz w:val="22"/>
        </w:rPr>
        <w:t>10. GISS: personalidad propia, rango Subdirección General y dependencia funcional plural.</w:t>
      </w:r>
    </w:p>
    <w:p>
      <w:pPr>
        <w:spacing w:after="40"/>
        <w:ind w:left="369" w:hanging="227"/>
      </w:pPr>
      <w:r>
        <w:rPr>
          <w:rFonts w:ascii="Arial" w:hAnsi="Arial" w:cs="Arial"/>
          <w:sz w:val="22"/>
        </w:rPr>
        <w:t>11. Migraciones: DG Gestión Migratoria; DG Atención Humanitaria y Acogida; DG Ciudadanía Exterior y Retorno.</w:t>
      </w:r>
    </w:p>
    <w:p>
      <w:pPr>
        <w:spacing w:after="40"/>
        <w:ind w:left="369" w:hanging="227"/>
      </w:pPr>
      <w:r>
        <w:rPr>
          <w:rFonts w:ascii="Arial" w:hAnsi="Arial" w:cs="Arial"/>
          <w:sz w:val="22"/>
        </w:rPr>
        <w:t>12. Directas de Migraciones: Régimen Jurídico, OBERAXE, Gabinete y Gestión Económica/Fondos/Contratación.</w:t>
      </w:r>
    </w:p>
    <w:p>
      <w:pPr>
        <w:spacing w:after="40"/>
        <w:ind w:left="369" w:hanging="227"/>
      </w:pPr>
      <w:r>
        <w:rPr>
          <w:rFonts w:ascii="Arial" w:hAnsi="Arial" w:cs="Arial"/>
          <w:sz w:val="22"/>
        </w:rPr>
        <w:t>13. Órganos colegiados: Consejo Exterior, Comisión Interministerial, Comisión Laboral Tripartita y Foro.</w:t>
      </w:r>
    </w:p>
    <w:p>
      <w:pPr>
        <w:spacing w:after="40"/>
        <w:ind w:left="369" w:hanging="227"/>
      </w:pPr>
      <w:r>
        <w:rPr>
          <w:rFonts w:ascii="Arial" w:hAnsi="Arial" w:cs="Arial"/>
          <w:sz w:val="22"/>
        </w:rPr>
        <w:t>14. Atención Humanitaria tiene cuatro Subdirecciones y seis categorías de centros.</w:t>
      </w:r>
    </w:p>
    <w:p>
      <w:pPr>
        <w:spacing w:after="40"/>
        <w:ind w:left="369" w:hanging="227"/>
      </w:pPr>
      <w:r>
        <w:rPr>
          <w:rFonts w:ascii="Arial" w:hAnsi="Arial" w:cs="Arial"/>
          <w:sz w:val="22"/>
        </w:rPr>
        <w:t>15. Secretaría General de Inclusión: rango Subsecretaría; dos Subdirecciones y Gabinete Técnico.</w:t>
      </w:r>
    </w:p>
    <w:p>
      <w:pPr>
        <w:spacing w:after="40"/>
        <w:ind w:left="369" w:hanging="227"/>
      </w:pPr>
      <w:r>
        <w:rPr>
          <w:rFonts w:ascii="Arial" w:hAnsi="Arial" w:cs="Arial"/>
          <w:sz w:val="22"/>
        </w:rPr>
        <w:t>16. Subsecretaría: representación ordinaria y servicios comunes; cinco Subdirecciones, Gabinete y SGT.</w:t>
      </w:r>
    </w:p>
    <w:p>
      <w:pPr>
        <w:spacing w:after="40"/>
        <w:ind w:left="369" w:hanging="227"/>
      </w:pPr>
      <w:r>
        <w:rPr>
          <w:rFonts w:ascii="Arial" w:hAnsi="Arial" w:cs="Arial"/>
          <w:sz w:val="22"/>
        </w:rPr>
        <w:t>17. SGT: Vicesecretaría, Coordinación Jurídica y Relaciones Internacionales.</w:t>
      </w:r>
    </w:p>
    <w:p>
      <w:pPr>
        <w:spacing w:after="40"/>
        <w:ind w:left="369" w:hanging="227"/>
      </w:pPr>
      <w:r>
        <w:rPr>
          <w:rFonts w:ascii="Arial" w:hAnsi="Arial" w:cs="Arial"/>
          <w:sz w:val="22"/>
        </w:rPr>
        <w:t>18. RD 689/2025 rige desde 31-7-2025; RD 616/2026 desde 24-7-2026.</w:t>
      </w:r>
    </w:p>
    <w:p>
      <w:pPr>
        <w:pStyle w:val="Heading1"/>
        <w:keepNext/>
      </w:pPr>
      <w:r>
        <w:rPr>
          <w:rFonts w:ascii="Arial" w:hAnsi="Arial" w:cs="Arial"/>
          <w:sz w:val="30"/>
        </w:rPr>
        <w:t>20. Datos preguntables</w:t>
      </w:r>
    </w:p>
    <w:p>
      <w:pPr>
        <w:pStyle w:val="ListBullet"/>
      </w:pPr>
      <w:r>
        <w:rPr>
          <w:rFonts w:ascii="Arial" w:hAnsi="Arial" w:cs="Arial"/>
          <w:b/>
          <w:sz w:val="22"/>
        </w:rPr>
        <w:t>RD 829/2023, artículo 21:</w:t>
      </w:r>
      <w:r>
        <w:rPr>
          <w:rFonts w:ascii="Arial" w:hAnsi="Arial" w:cs="Arial"/>
          <w:sz w:val="22"/>
        </w:rPr>
        <w:t xml:space="preserve"> ámbito material.</w:t>
      </w:r>
    </w:p>
    <w:p>
      <w:pPr>
        <w:pStyle w:val="ListBullet"/>
      </w:pPr>
      <w:r>
        <w:rPr>
          <w:rFonts w:ascii="Arial" w:hAnsi="Arial" w:cs="Arial"/>
          <w:b/>
          <w:sz w:val="22"/>
        </w:rPr>
        <w:t>RD 1009/2023, artículo 20:</w:t>
      </w:r>
      <w:r>
        <w:rPr>
          <w:rFonts w:ascii="Arial" w:hAnsi="Arial" w:cs="Arial"/>
          <w:sz w:val="22"/>
        </w:rPr>
        <w:t xml:space="preserve"> estructura básica.</w:t>
      </w:r>
    </w:p>
    <w:p>
      <w:pPr>
        <w:pStyle w:val="ListBullet"/>
      </w:pPr>
      <w:r>
        <w:rPr>
          <w:rFonts w:ascii="Arial" w:hAnsi="Arial" w:cs="Arial"/>
          <w:b/>
          <w:sz w:val="22"/>
        </w:rPr>
        <w:t>RD 501/2024:</w:t>
      </w:r>
      <w:r>
        <w:rPr>
          <w:rFonts w:ascii="Arial" w:hAnsi="Arial" w:cs="Arial"/>
          <w:sz w:val="22"/>
        </w:rPr>
        <w:t xml:space="preserve"> desarrollo detallado, artículos 1 a 11.</w:t>
      </w:r>
    </w:p>
    <w:p>
      <w:pPr>
        <w:pStyle w:val="ListBullet"/>
      </w:pPr>
      <w:r>
        <w:rPr>
          <w:rFonts w:ascii="Arial" w:hAnsi="Arial" w:cs="Arial"/>
          <w:b/>
          <w:sz w:val="22"/>
        </w:rPr>
        <w:t>RD 689/2025:</w:t>
      </w:r>
      <w:r>
        <w:rPr>
          <w:rFonts w:ascii="Arial" w:hAnsi="Arial" w:cs="Arial"/>
          <w:sz w:val="22"/>
        </w:rPr>
        <w:t xml:space="preserve"> reforma migratoria y de servicios comunes.</w:t>
      </w:r>
    </w:p>
    <w:p>
      <w:pPr>
        <w:pStyle w:val="ListBullet"/>
      </w:pPr>
      <w:r>
        <w:rPr>
          <w:rFonts w:ascii="Arial" w:hAnsi="Arial" w:cs="Arial"/>
          <w:b/>
          <w:sz w:val="22"/>
        </w:rPr>
        <w:t>RD 616/2026:</w:t>
      </w:r>
      <w:r>
        <w:rPr>
          <w:rFonts w:ascii="Arial" w:hAnsi="Arial" w:cs="Arial"/>
          <w:sz w:val="22"/>
        </w:rPr>
        <w:t xml:space="preserve"> rango DG del SJASS.</w:t>
      </w:r>
    </w:p>
    <w:p>
      <w:pPr>
        <w:pStyle w:val="ListBullet"/>
      </w:pPr>
      <w:r>
        <w:rPr>
          <w:rFonts w:ascii="Arial" w:hAnsi="Arial" w:cs="Arial"/>
          <w:b/>
          <w:sz w:val="22"/>
        </w:rPr>
        <w:t>Artículo 2 RD 501/2024:</w:t>
      </w:r>
      <w:r>
        <w:rPr>
          <w:rFonts w:ascii="Arial" w:hAnsi="Arial" w:cs="Arial"/>
          <w:sz w:val="22"/>
        </w:rPr>
        <w:t xml:space="preserve"> Secretaría de Estado de Seguridad Social.</w:t>
      </w:r>
    </w:p>
    <w:p>
      <w:pPr>
        <w:pStyle w:val="ListBullet"/>
      </w:pPr>
      <w:r>
        <w:rPr>
          <w:rFonts w:ascii="Arial" w:hAnsi="Arial" w:cs="Arial"/>
          <w:b/>
          <w:sz w:val="22"/>
        </w:rPr>
        <w:t>Artículo 3:</w:t>
      </w:r>
      <w:r>
        <w:rPr>
          <w:rFonts w:ascii="Arial" w:hAnsi="Arial" w:cs="Arial"/>
          <w:sz w:val="22"/>
        </w:rPr>
        <w:t xml:space="preserve"> DGOSS y sus seis Subdirecciones.</w:t>
      </w:r>
    </w:p>
    <w:p>
      <w:pPr>
        <w:pStyle w:val="ListBullet"/>
      </w:pPr>
      <w:r>
        <w:rPr>
          <w:rFonts w:ascii="Arial" w:hAnsi="Arial" w:cs="Arial"/>
          <w:b/>
          <w:sz w:val="22"/>
        </w:rPr>
        <w:t>Artículo 4:</w:t>
      </w:r>
      <w:r>
        <w:rPr>
          <w:rFonts w:ascii="Arial" w:hAnsi="Arial" w:cs="Arial"/>
          <w:sz w:val="22"/>
        </w:rPr>
        <w:t xml:space="preserve"> IGSS.</w:t>
      </w:r>
    </w:p>
    <w:p>
      <w:pPr>
        <w:pStyle w:val="ListBullet"/>
      </w:pPr>
      <w:r>
        <w:rPr>
          <w:rFonts w:ascii="Arial" w:hAnsi="Arial" w:cs="Arial"/>
          <w:b/>
          <w:sz w:val="22"/>
        </w:rPr>
        <w:t>Artículos 5 a 8:</w:t>
      </w:r>
      <w:r>
        <w:rPr>
          <w:rFonts w:ascii="Arial" w:hAnsi="Arial" w:cs="Arial"/>
          <w:sz w:val="22"/>
        </w:rPr>
        <w:t xml:space="preserve"> área de Migraciones.</w:t>
      </w:r>
    </w:p>
    <w:p>
      <w:pPr>
        <w:pStyle w:val="ListBullet"/>
      </w:pPr>
      <w:r>
        <w:rPr>
          <w:rFonts w:ascii="Arial" w:hAnsi="Arial" w:cs="Arial"/>
          <w:b/>
          <w:sz w:val="22"/>
        </w:rPr>
        <w:t>Artículo 9:</w:t>
      </w:r>
      <w:r>
        <w:rPr>
          <w:rFonts w:ascii="Arial" w:hAnsi="Arial" w:cs="Arial"/>
          <w:sz w:val="22"/>
        </w:rPr>
        <w:t xml:space="preserve"> Secretaría General de Inclusión.</w:t>
      </w:r>
    </w:p>
    <w:p>
      <w:pPr>
        <w:pStyle w:val="ListBullet"/>
      </w:pPr>
      <w:r>
        <w:rPr>
          <w:rFonts w:ascii="Arial" w:hAnsi="Arial" w:cs="Arial"/>
          <w:b/>
          <w:sz w:val="22"/>
        </w:rPr>
        <w:t>Artículo 10:</w:t>
      </w:r>
      <w:r>
        <w:rPr>
          <w:rFonts w:ascii="Arial" w:hAnsi="Arial" w:cs="Arial"/>
          <w:sz w:val="22"/>
        </w:rPr>
        <w:t xml:space="preserve"> Subsecretaría.</w:t>
      </w:r>
    </w:p>
    <w:p>
      <w:pPr>
        <w:pStyle w:val="ListBullet"/>
      </w:pPr>
      <w:r>
        <w:rPr>
          <w:rFonts w:ascii="Arial" w:hAnsi="Arial" w:cs="Arial"/>
          <w:b/>
          <w:sz w:val="22"/>
        </w:rPr>
        <w:t>Artículo 11:</w:t>
      </w:r>
      <w:r>
        <w:rPr>
          <w:rFonts w:ascii="Arial" w:hAnsi="Arial" w:cs="Arial"/>
          <w:sz w:val="22"/>
        </w:rPr>
        <w:t xml:space="preserve"> Secretaría General Técnica.</w:t>
      </w:r>
    </w:p>
    <w:p>
      <w:pPr>
        <w:pStyle w:val="ListBullet"/>
      </w:pPr>
      <w:r>
        <w:rPr>
          <w:rFonts w:ascii="Arial" w:hAnsi="Arial" w:cs="Arial"/>
          <w:b/>
          <w:sz w:val="22"/>
        </w:rPr>
        <w:t>Disposición adicional primera:</w:t>
      </w:r>
      <w:r>
        <w:rPr>
          <w:rFonts w:ascii="Arial" w:hAnsi="Arial" w:cs="Arial"/>
          <w:sz w:val="22"/>
        </w:rPr>
        <w:t xml:space="preserve"> SJASS.</w:t>
      </w:r>
    </w:p>
    <w:p>
      <w:pPr>
        <w:pStyle w:val="ListBullet"/>
      </w:pPr>
      <w:r>
        <w:rPr>
          <w:rFonts w:ascii="Arial" w:hAnsi="Arial" w:cs="Arial"/>
          <w:b/>
          <w:sz w:val="22"/>
        </w:rPr>
        <w:t>Disposición adicional segunda:</w:t>
      </w:r>
      <w:r>
        <w:rPr>
          <w:rFonts w:ascii="Arial" w:hAnsi="Arial" w:cs="Arial"/>
          <w:sz w:val="22"/>
        </w:rPr>
        <w:t xml:space="preserve"> GISS.</w:t>
      </w:r>
    </w:p>
    <w:p>
      <w:pPr>
        <w:pStyle w:val="ListBullet"/>
      </w:pPr>
      <w:r>
        <w:rPr>
          <w:rFonts w:ascii="Arial" w:hAnsi="Arial" w:cs="Arial"/>
          <w:b/>
          <w:sz w:val="22"/>
        </w:rPr>
        <w:t>LGSS, artículos 66, 74 y 74 bis:</w:t>
      </w:r>
      <w:r>
        <w:rPr>
          <w:rFonts w:ascii="Arial" w:hAnsi="Arial" w:cs="Arial"/>
          <w:sz w:val="22"/>
        </w:rPr>
        <w:t xml:space="preserve"> entidades gestoras, TGSS y GISS.</w:t>
      </w:r>
    </w:p>
    <w:p>
      <w:pPr>
        <w:pStyle w:val="ListBullet"/>
      </w:pPr>
      <w:r>
        <w:rPr>
          <w:rFonts w:ascii="Arial" w:hAnsi="Arial" w:cs="Arial"/>
          <w:b/>
          <w:sz w:val="22"/>
        </w:rPr>
        <w:t>24-7-2026:</w:t>
      </w:r>
      <w:r>
        <w:rPr>
          <w:rFonts w:ascii="Arial" w:hAnsi="Arial" w:cs="Arial"/>
          <w:sz w:val="22"/>
        </w:rPr>
        <w:t xml:space="preserve"> entrada en vigor de la elevación de rango del SJASS.</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G12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bl>
    <w:p>
      <w:pPr>
        <w:spacing w:after="40"/>
      </w:pPr>
    </w:p>
    <w:p>
      <w:pPr>
        <w:jc w:val="both"/>
      </w:pPr>
      <w:r>
        <w:rPr>
          <w:rFonts w:ascii="Arial" w:hAnsi="Arial" w:cs="Arial"/>
          <w:b/>
          <w:sz w:val="22"/>
        </w:rPr>
        <w:t>Normas que más aparecen:</w:t>
      </w:r>
      <w:r>
        <w:rPr>
          <w:rFonts w:ascii="Arial" w:hAnsi="Arial" w:cs="Arial"/>
          <w:sz w:val="22"/>
        </w:rPr>
        <w:t xml:space="preserve"> Real Decreto 501/2024 (5).</w:t>
      </w:r>
    </w:p>
    <w:p>
      <w:pPr>
        <w:jc w:val="both"/>
      </w:pPr>
      <w:r>
        <w:rPr>
          <w:rFonts w:ascii="Arial" w:hAnsi="Arial" w:cs="Arial"/>
          <w:b/>
          <w:sz w:val="22"/>
        </w:rPr>
        <w:t>Artículos o preceptos más repetidos:</w:t>
      </w:r>
      <w:r>
        <w:rPr>
          <w:rFonts w:ascii="Arial" w:hAnsi="Arial" w:cs="Arial"/>
          <w:sz w:val="22"/>
        </w:rPr>
        <w:t xml:space="preserve"> 7 (1); 1 (1); 2 (1); 3 (1).</w:t>
      </w:r>
    </w:p>
    <w:p>
      <w:pPr>
        <w:jc w:val="both"/>
      </w:pPr>
      <w:r>
        <w:rPr>
          <w:rFonts w:ascii="Arial" w:hAnsi="Arial" w:cs="Arial"/>
          <w:b/>
          <w:sz w:val="22"/>
        </w:rPr>
        <w:t>Formas de pregunta predominantes:</w:t>
      </w:r>
      <w:r>
        <w:rPr>
          <w:rFonts w:ascii="Arial" w:hAnsi="Arial" w:cs="Arial"/>
          <w:sz w:val="22"/>
        </w:rPr>
        <w:t xml:space="preserve"> Artículos literales (4); Órganos (1).</w:t>
      </w:r>
    </w:p>
    <w:p>
      <w:pPr>
        <w:pStyle w:val="Heading2"/>
        <w:keepNext/>
      </w:pPr>
      <w:r>
        <w:rPr>
          <w:rFonts w:ascii="Arial" w:hAnsi="Arial" w:cs="Arial"/>
          <w:sz w:val="25"/>
        </w:rPr>
        <w:t>Patrones observados</w:t>
      </w:r>
    </w:p>
    <w:p>
      <w:pPr>
        <w:pStyle w:val="ListBullet"/>
      </w:pPr>
      <w:r>
        <w:rPr>
          <w:rFonts w:ascii="Arial" w:hAnsi="Arial" w:cs="Arial"/>
          <w:b/>
          <w:sz w:val="22"/>
        </w:rPr>
        <w:t>2024, teoría 12:</w:t>
      </w:r>
      <w:r>
        <w:rPr>
          <w:rFonts w:ascii="Arial" w:hAnsi="Arial" w:cs="Arial"/>
          <w:sz w:val="22"/>
        </w:rPr>
        <w:t xml:space="preserve"> Según eI artículo I del Real Decreto 501/2024, de 21 de mayo, el Ministerio de Inclusión, Seguridad Social y Migraciones posee dos Secretarías de Estado que se denominan:</w:t>
      </w:r>
    </w:p>
    <w:p>
      <w:pPr>
        <w:pStyle w:val="ListBullet"/>
      </w:pPr>
      <w:r>
        <w:rPr>
          <w:rFonts w:ascii="Arial" w:hAnsi="Arial" w:cs="Arial"/>
          <w:b/>
          <w:sz w:val="22"/>
        </w:rPr>
        <w:t>2025, teoría 12:</w:t>
      </w:r>
      <w:r>
        <w:rPr>
          <w:rFonts w:ascii="Arial" w:hAnsi="Arial" w:cs="Arial"/>
          <w:sz w:val="22"/>
        </w:rPr>
        <w:t xml:space="preserve"> Conforme lo previsto en el Artículo 7 del Real Decreto 501/2024, de 21 de mayo, por el que se desarrolla la estructura orgánica básica del Ministerio de Inclusión, Seguridad Social y Migraciones, y se…</w:t>
      </w:r>
    </w:p>
    <w:p>
      <w:pPr>
        <w:pStyle w:val="ListBullet"/>
      </w:pPr>
      <w:r>
        <w:rPr>
          <w:rFonts w:ascii="Arial" w:hAnsi="Arial" w:cs="Arial"/>
          <w:b/>
          <w:sz w:val="22"/>
        </w:rPr>
        <w:t>2025, teoría 12:</w:t>
      </w:r>
      <w:r>
        <w:rPr>
          <w:rFonts w:ascii="Arial" w:hAnsi="Arial" w:cs="Arial"/>
          <w:sz w:val="22"/>
        </w:rPr>
        <w:t xml:space="preserve"> Conforme a 10 previsto en eI artículo 1 del Real Decreto 501/2024, de 21 de mayo, por el que se desarrolla la estructura orgánica básica del Ministerio de Inclusión, Seguridad Social y Migraciones, como…</w:t>
      </w:r>
    </w:p>
    <w:p>
      <w:pPr>
        <w:pStyle w:val="ListBullet"/>
      </w:pPr>
      <w:r>
        <w:rPr>
          <w:rFonts w:ascii="Arial" w:hAnsi="Arial" w:cs="Arial"/>
          <w:b/>
          <w:sz w:val="22"/>
        </w:rPr>
        <w:t>2025, teoría 12:</w:t>
      </w:r>
      <w:r>
        <w:rPr>
          <w:rFonts w:ascii="Arial" w:hAnsi="Arial" w:cs="Arial"/>
          <w:sz w:val="22"/>
        </w:rPr>
        <w:t xml:space="preserve"> Conforme a lo previsto en el artículo 2 d el Real Decreto 501/2024, de 21 de mayo, por el que se desarrolla la estructura orgánica básica del Ministerio de Inclusión, Seguridad Social y Migraciones, está…</w:t>
      </w:r>
    </w:p>
    <w:p>
      <w:pPr>
        <w:pStyle w:val="ListBullet"/>
      </w:pPr>
      <w:r>
        <w:rPr>
          <w:rFonts w:ascii="Arial" w:hAnsi="Arial" w:cs="Arial"/>
          <w:b/>
          <w:sz w:val="22"/>
        </w:rPr>
        <w:t>2026, teoría 16:</w:t>
      </w:r>
      <w:r>
        <w:rPr>
          <w:rFonts w:ascii="Arial" w:hAnsi="Arial" w:cs="Arial"/>
          <w:sz w:val="22"/>
        </w:rPr>
        <w:t xml:space="preserve"> Según recoge eI artículo 3 del Real Decreto 501/2024, de 21 de mayo, por eI que se desarrolla la estructura orgánica básica del Ministerio de Inclusión, Seguridad Social y Migraciones, señale la respuesta…</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1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w:t>
      </w:r>
    </w:p>
    <w:p>
      <w:pPr>
        <w:pStyle w:val="ListBullet"/>
      </w:pPr>
      <w:r>
        <w:rPr>
          <w:rFonts w:ascii="Arial" w:hAnsi="Arial" w:cs="Arial"/>
          <w:sz w:val="22"/>
        </w:rPr>
        <w:t>Real Decreto 829/2023, de 20 de noviembre, artículo 21 (https://www.boe.es/buscar/act.php?id=BOE-A-2023-23537).</w:t>
      </w:r>
    </w:p>
    <w:p>
      <w:pPr>
        <w:pStyle w:val="ListBullet"/>
      </w:pPr>
      <w:r>
        <w:rPr>
          <w:rFonts w:ascii="Arial" w:hAnsi="Arial" w:cs="Arial"/>
          <w:sz w:val="22"/>
        </w:rPr>
        <w:t>Real Decreto 1009/2023, de 5 de diciembre, artículo 20 (https://www.boe.es/buscar/act.php?id=BOE-A-2023-24842).</w:t>
      </w:r>
    </w:p>
    <w:p>
      <w:pPr>
        <w:pStyle w:val="ListBullet"/>
      </w:pPr>
      <w:r>
        <w:rPr>
          <w:rFonts w:ascii="Arial" w:hAnsi="Arial" w:cs="Arial"/>
          <w:sz w:val="22"/>
        </w:rPr>
        <w:t>Real Decreto 501/2024, de 21 de mayo, texto consolidado (https://www.boe.es/buscar/act.php?id=BOE-A-2024-10237).</w:t>
      </w:r>
    </w:p>
    <w:p>
      <w:pPr>
        <w:pStyle w:val="ListBullet"/>
      </w:pPr>
      <w:r>
        <w:rPr>
          <w:rFonts w:ascii="Arial" w:hAnsi="Arial" w:cs="Arial"/>
          <w:sz w:val="22"/>
        </w:rPr>
        <w:t>Real Decreto 689/2025, de 29 de julio (https://www.boe.es/diario_boe/txt.php?id=BOE-A-2025-15752).</w:t>
      </w:r>
    </w:p>
    <w:p>
      <w:pPr>
        <w:pStyle w:val="ListBullet"/>
      </w:pPr>
      <w:r>
        <w:rPr>
          <w:rFonts w:ascii="Arial" w:hAnsi="Arial" w:cs="Arial"/>
          <w:sz w:val="22"/>
        </w:rPr>
        <w:t>Real Decreto 616/2026, de 22 de julio (https://www.boe.es/diario_boe/txt.php?id=BOE-A-2026-16016).</w:t>
      </w:r>
    </w:p>
    <w:p>
      <w:pPr>
        <w:pStyle w:val="ListBullet"/>
      </w:pPr>
      <w:r>
        <w:rPr>
          <w:rFonts w:ascii="Arial" w:hAnsi="Arial" w:cs="Arial"/>
          <w:sz w:val="22"/>
        </w:rPr>
        <w:t>Real Decreto 629/2022, de 26 de julio, mandato de creación de la UTEX (https://www.boe.es/diario_boe/txt.php?id=BOE-A-2022-12504).</w:t>
      </w:r>
    </w:p>
    <w:p>
      <w:pPr>
        <w:pStyle w:val="ListBullet"/>
      </w:pPr>
      <w:r>
        <w:rPr>
          <w:rFonts w:ascii="Arial" w:hAnsi="Arial" w:cs="Arial"/>
          <w:sz w:val="22"/>
        </w:rPr>
        <w:t>Real Decreto 316/2026, de 14 de abril, funciones extraordinarias de la UTEX (https://www.boe.es/diario_boe/txt.php?id=BOE-A-2026-8284).</w:t>
      </w:r>
    </w:p>
    <w:p>
      <w:pPr>
        <w:pStyle w:val="ListBullet"/>
      </w:pPr>
      <w:r>
        <w:rPr>
          <w:rFonts w:ascii="Arial" w:hAnsi="Arial" w:cs="Arial"/>
          <w:sz w:val="22"/>
        </w:rPr>
        <w:t>Ley 40/2015, de 1 de octubre, artículos 58 a 65 (https://www.boe.es/buscar/act.php?id=BOE-A-2015-10566).</w:t>
      </w:r>
    </w:p>
    <w:p>
      <w:pPr>
        <w:pStyle w:val="ListBullet"/>
      </w:pPr>
      <w:r>
        <w:rPr>
          <w:rFonts w:ascii="Arial" w:hAnsi="Arial" w:cs="Arial"/>
          <w:sz w:val="22"/>
        </w:rPr>
        <w:t>Texto refundido de la Ley General de la Seguridad Social, artículos 66 a 74 bis (https://www.boe.es/buscar/act.php?id=BOE-A-2015-11724).</w:t>
      </w:r>
    </w:p>
    <w:p>
      <w:pPr>
        <w:pStyle w:val="ListBullet"/>
      </w:pPr>
      <w:r>
        <w:rPr>
          <w:rFonts w:ascii="Arial" w:hAnsi="Arial" w:cs="Arial"/>
          <w:sz w:val="22"/>
        </w:rPr>
        <w:t>Real Decreto 2583/1996, de 13 de diciembre, estructura y funciones del INSS (https://www.boe.es/buscar/act.php?id=BOE-A-1997-86).</w:t>
      </w:r>
    </w:p>
    <w:p>
      <w:pPr>
        <w:pStyle w:val="ListBullet"/>
      </w:pPr>
      <w:r>
        <w:rPr>
          <w:rFonts w:ascii="Arial" w:hAnsi="Arial" w:cs="Arial"/>
          <w:sz w:val="22"/>
        </w:rPr>
        <w:t>Real Decreto 504/2011, de 8 de abril, estructura y funciones del ISM (https://www.boe.es/buscar/act.php?id=BOE-A-2011-8282).</w:t>
      </w:r>
    </w:p>
    <w:p>
      <w:pPr>
        <w:pStyle w:val="ListBullet"/>
      </w:pPr>
      <w:r>
        <w:rPr>
          <w:rFonts w:ascii="Arial" w:hAnsi="Arial" w:cs="Arial"/>
          <w:sz w:val="22"/>
        </w:rPr>
        <w:t>Real Decreto 1314/1984, de 20 de junio, estructura y competencias de la TGSS (https://www.boe.es/buscar/act.php?id=BOE-A-1984-15723).</w:t>
      </w:r>
    </w:p>
    <w:p>
      <w:pPr>
        <w:pStyle w:val="ListBullet"/>
      </w:pPr>
      <w:r>
        <w:rPr>
          <w:rFonts w:ascii="Arial" w:hAnsi="Arial" w:cs="Arial"/>
          <w:sz w:val="22"/>
        </w:rPr>
        <w:t>Real Decreto 947/2001, de 3 de agosto, Reglamento del SJASS (https://www.boe.es/buscar/act.php?id=BOE-A-2001-17026).</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G12 · Tema 12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12. El Ministerio de Inclusión, Seguridad Social y Migraciones. Organización. Estructura y funciones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