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GENERAL</w:t>
      </w:r>
    </w:p>
    <w:p>
      <w:pPr>
        <w:spacing w:before="0" w:after="160"/>
      </w:pPr>
      <w:r>
        <w:rPr>
          <w:rFonts w:ascii="Arial" w:hAnsi="Arial" w:cs="Arial"/>
          <w:b/>
          <w:color w:val="1F4E79"/>
          <w:sz w:val="26"/>
        </w:rPr>
        <w:t>TEMA 13</w:t>
      </w:r>
    </w:p>
    <w:p>
      <w:pPr>
        <w:keepNext/>
        <w:spacing w:before="0" w:after="280"/>
        <w:pBdr>
          <w:bottom w:val="single" w:sz="12" w:space="1" w:color="2F75B5"/>
        </w:pBdr>
      </w:pPr>
      <w:r>
        <w:rPr>
          <w:rFonts w:ascii="Arial" w:hAnsi="Arial" w:cs="Arial"/>
          <w:b/>
          <w:color w:val="17365D"/>
          <w:sz w:val="40"/>
        </w:rPr>
        <w:t>Las fuentes del Derecho Administrativo. Concepto y clases. La jerarquía de las fuentes.</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sz w:val="22"/>
        </w:rPr>
        <w:t xml:space="preserve">Las fuentes del Derecho Administrativo son los modos de producción y exteriorización de las normas que rigen la organización, potestades y actividad de las Administraciones públicas y sus relaciones con la ciudadanía. El sistema no se reduce a «ley y reglamento»: parte de la Constitución, recibe Derecho de la Unión y tratados, integra leyes estatales y autonómicas, normas gubernamentales con fuerza de ley, reglamentos de varios niveles, costumbre en su ámbito limitado, principios generales y una jurisprudencia con funciones interpretativas y uniformadoras. La exposición se ajusta al ordenamiento vigente a </w:t>
      </w:r>
      <w:r>
        <w:rPr>
          <w:rFonts w:ascii="Arial" w:hAnsi="Arial" w:cs="Arial"/>
          <w:b/>
          <w:sz w:val="22"/>
        </w:rPr>
        <w:t>30 de julio de 2026</w:t>
      </w:r>
      <w:r>
        <w:rPr>
          <w:rFonts w:ascii="Arial" w:hAnsi="Arial" w:cs="Arial"/>
          <w:sz w:val="22"/>
        </w:rPr>
        <w:t>.</w:t>
      </w:r>
    </w:p>
    <w:p>
      <w:pPr>
        <w:pStyle w:val="Heading1"/>
        <w:keepNext/>
      </w:pPr>
      <w:r>
        <w:rPr>
          <w:rFonts w:ascii="Arial" w:hAnsi="Arial" w:cs="Arial"/>
          <w:sz w:val="30"/>
        </w:rPr>
        <w:t>1. Concepto de fuente y Derecho Administrativo</w:t>
      </w:r>
    </w:p>
    <w:p>
      <w:pPr>
        <w:pStyle w:val="Heading2"/>
        <w:keepNext/>
      </w:pPr>
      <w:r>
        <w:rPr>
          <w:rFonts w:ascii="Arial" w:hAnsi="Arial" w:cs="Arial"/>
          <w:sz w:val="25"/>
        </w:rPr>
        <w:t>1.1. Qué es una fuente</w:t>
      </w:r>
    </w:p>
    <w:p>
      <w:pPr>
        <w:jc w:val="both"/>
      </w:pPr>
      <w:r>
        <w:rPr>
          <w:rFonts w:ascii="Arial" w:hAnsi="Arial" w:cs="Arial"/>
          <w:sz w:val="22"/>
        </w:rPr>
        <w:t>La expresión «fuente» se utiliza en varios sentidos:</w:t>
      </w:r>
    </w:p>
    <w:p>
      <w:pPr>
        <w:pStyle w:val="ListBullet"/>
      </w:pPr>
      <w:r>
        <w:rPr>
          <w:rFonts w:ascii="Arial" w:hAnsi="Arial" w:cs="Arial"/>
          <w:b/>
          <w:sz w:val="22"/>
        </w:rPr>
        <w:t>Fuente material:</w:t>
      </w:r>
      <w:r>
        <w:rPr>
          <w:rFonts w:ascii="Arial" w:hAnsi="Arial" w:cs="Arial"/>
          <w:sz w:val="22"/>
        </w:rPr>
        <w:t xml:space="preserve"> poder, órgano o grupo del que procede la norma: Cortes, Gobierno, parlamento autonómico, pleno municipal o, excepcionalmente, comunidad social que genera una costumbre.</w:t>
      </w:r>
    </w:p>
    <w:p>
      <w:pPr>
        <w:pStyle w:val="ListBullet"/>
      </w:pPr>
      <w:r>
        <w:rPr>
          <w:rFonts w:ascii="Arial" w:hAnsi="Arial" w:cs="Arial"/>
          <w:b/>
          <w:sz w:val="22"/>
        </w:rPr>
        <w:t>Fuente formal:</w:t>
      </w:r>
      <w:r>
        <w:rPr>
          <w:rFonts w:ascii="Arial" w:hAnsi="Arial" w:cs="Arial"/>
          <w:sz w:val="22"/>
        </w:rPr>
        <w:t xml:space="preserve"> forma jurídica mediante la cual se manifiesta: Constitución, ley, real decreto-ley, reglamento, costumbre o principio.</w:t>
      </w:r>
    </w:p>
    <w:p>
      <w:pPr>
        <w:pStyle w:val="ListBullet"/>
      </w:pPr>
      <w:r>
        <w:rPr>
          <w:rFonts w:ascii="Arial" w:hAnsi="Arial" w:cs="Arial"/>
          <w:b/>
          <w:sz w:val="22"/>
        </w:rPr>
        <w:t>Fuente de producción:</w:t>
      </w:r>
      <w:r>
        <w:rPr>
          <w:rFonts w:ascii="Arial" w:hAnsi="Arial" w:cs="Arial"/>
          <w:sz w:val="22"/>
        </w:rPr>
        <w:t xml:space="preserve"> procedimiento de creación.</w:t>
      </w:r>
    </w:p>
    <w:p>
      <w:pPr>
        <w:pStyle w:val="ListBullet"/>
      </w:pPr>
      <w:r>
        <w:rPr>
          <w:rFonts w:ascii="Arial" w:hAnsi="Arial" w:cs="Arial"/>
          <w:b/>
          <w:sz w:val="22"/>
        </w:rPr>
        <w:t>Fuente de conocimiento:</w:t>
      </w:r>
      <w:r>
        <w:rPr>
          <w:rFonts w:ascii="Arial" w:hAnsi="Arial" w:cs="Arial"/>
          <w:sz w:val="22"/>
        </w:rPr>
        <w:t xml:space="preserve"> medio que permite conocer la norma, como el BOE. El diario oficial publica la fuente, pero no es él mismo la norma.</w:t>
      </w:r>
    </w:p>
    <w:p>
      <w:pPr>
        <w:jc w:val="both"/>
      </w:pPr>
      <w:r>
        <w:rPr>
          <w:rFonts w:ascii="Arial" w:hAnsi="Arial" w:cs="Arial"/>
          <w:sz w:val="22"/>
        </w:rPr>
        <w:t xml:space="preserve">También cabe distinguir fuentes </w:t>
      </w:r>
      <w:r>
        <w:rPr>
          <w:rFonts w:ascii="Arial" w:hAnsi="Arial" w:cs="Arial"/>
          <w:b/>
          <w:sz w:val="22"/>
        </w:rPr>
        <w:t>directas</w:t>
      </w:r>
      <w:r>
        <w:rPr>
          <w:rFonts w:ascii="Arial" w:hAnsi="Arial" w:cs="Arial"/>
          <w:sz w:val="22"/>
        </w:rPr>
        <w:t xml:space="preserve">, que contienen reglas aplicables —normas y principios—, e </w:t>
      </w:r>
      <w:r>
        <w:rPr>
          <w:rFonts w:ascii="Arial" w:hAnsi="Arial" w:cs="Arial"/>
          <w:b/>
          <w:sz w:val="22"/>
        </w:rPr>
        <w:t>indirectas</w:t>
      </w:r>
      <w:r>
        <w:rPr>
          <w:rFonts w:ascii="Arial" w:hAnsi="Arial" w:cs="Arial"/>
          <w:sz w:val="22"/>
        </w:rPr>
        <w:t>, que ayudan a identificarlas e interpretarlas —jurisprudencia y doctrina—. La clasificación no debe manejarse rígidamente: las sentencias del Tribunal Constitucional y del Tribunal de Justicia de la Unión Europea producen efectos que superan la mera orientación.</w:t>
      </w:r>
    </w:p>
    <w:p>
      <w:pPr>
        <w:pStyle w:val="Heading2"/>
        <w:keepNext/>
      </w:pPr>
      <w:r>
        <w:rPr>
          <w:rFonts w:ascii="Arial" w:hAnsi="Arial" w:cs="Arial"/>
          <w:sz w:val="25"/>
        </w:rPr>
        <w:t>1.2. Norma, acto y contrato</w:t>
      </w:r>
    </w:p>
    <w:p>
      <w:pPr>
        <w:jc w:val="both"/>
      </w:pPr>
      <w:r>
        <w:rPr>
          <w:rFonts w:ascii="Arial" w:hAnsi="Arial" w:cs="Arial"/>
          <w:sz w:val="22"/>
        </w:rPr>
        <w:t>Una disposición general innova el ordenamiento con vocación de permanencia y destinatarios definidos de manera abstracta. Un acto administrativo aplica el ordenamiento a una situación concreta y se agota, ordinariamente, con su cumplimiento. Un contrato crea derechos y obligaciones entre partes dentro del marco normativo, pero no suele ser fuente general.</w:t>
      </w:r>
    </w:p>
    <w:p>
      <w:pPr>
        <w:jc w:val="both"/>
      </w:pPr>
      <w:r>
        <w:rPr>
          <w:rFonts w:ascii="Arial" w:hAnsi="Arial" w:cs="Arial"/>
          <w:sz w:val="22"/>
        </w:rPr>
        <w:t>La denominación no decide. Una «orden» puede contener un reglamento o un acto; un real decreto puede ser reglamentario, aprobar un nombramiento o contener una norma con fuerza de ley si se trata de un real decreto legislativo. Para calificarlo se atiende a competencia, procedimiento, contenido y efectos.</w:t>
      </w:r>
    </w:p>
    <w:p>
      <w:pPr>
        <w:jc w:val="both"/>
      </w:pPr>
      <w:r>
        <w:rPr>
          <w:rFonts w:ascii="Arial" w:hAnsi="Arial" w:cs="Arial"/>
          <w:sz w:val="22"/>
        </w:rPr>
        <w:t>Esta distinción afecta al régimen jurídico:</w:t>
      </w:r>
    </w:p>
    <w:tbl>
      <w:tblPr>
        <w:tblStyle w:val="TableGrid"/>
        <w:tblW w:type="dxa" w:w="9026"/>
        <w:jc w:val="left"/>
        <w:tblLayout w:type="fixed"/>
        <w:tblLook w:firstColumn="1" w:firstRow="1" w:lastColumn="0" w:lastRow="0" w:noHBand="0" w:noVBand="1" w:val="04A0"/>
        <w:tblInd w:w="120" w:type="dxa"/>
      </w:tblPr>
      <w:tblGrid>
        <w:gridCol w:w="1658"/>
        <w:gridCol w:w="3224"/>
        <w:gridCol w:w="4144"/>
      </w:tblGrid>
      <w:tr>
        <w:trPr>
          <w:tblHeader w:val="true"/>
        </w:trPr>
        <w:tc>
          <w:tcPr>
            <w:tcW w:type="dxa" w:w="165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Criterio</w:t>
            </w:r>
          </w:p>
        </w:tc>
        <w:tc>
          <w:tcPr>
            <w:tcW w:type="dxa" w:w="322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Disposición general</w:t>
            </w:r>
          </w:p>
        </w:tc>
        <w:tc>
          <w:tcPr>
            <w:tcW w:type="dxa" w:w="414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Acto administrativo</w:t>
            </w:r>
          </w:p>
        </w:tc>
      </w:tr>
      <w:tr>
        <w:tc>
          <w:tcPr>
            <w:tcW w:type="dxa" w:w="1658"/>
            <w:tcMar>
              <w:top w:w="80" w:type="dxa"/>
              <w:start w:w="120" w:type="dxa"/>
              <w:bottom w:w="80" w:type="dxa"/>
              <w:end w:w="120" w:type="dxa"/>
            </w:tcMar>
            <w:vAlign w:val="center"/>
          </w:tcPr>
          <w:p>
            <w:pPr>
              <w:spacing w:before="0" w:after="0" w:line="240" w:lineRule="auto"/>
              <w:jc w:val="left"/>
            </w:pPr>
            <w:r/>
            <w:r>
              <w:rPr>
                <w:rFonts w:ascii="Arial" w:hAnsi="Arial" w:cs="Arial"/>
                <w:sz w:val="18"/>
              </w:rPr>
              <w:t>Función</w:t>
            </w:r>
          </w:p>
        </w:tc>
        <w:tc>
          <w:tcPr>
            <w:tcW w:type="dxa" w:w="3224"/>
            <w:tcMar>
              <w:top w:w="80" w:type="dxa"/>
              <w:start w:w="120" w:type="dxa"/>
              <w:bottom w:w="80" w:type="dxa"/>
              <w:end w:w="120" w:type="dxa"/>
            </w:tcMar>
            <w:vAlign w:val="center"/>
          </w:tcPr>
          <w:p>
            <w:pPr>
              <w:spacing w:before="0" w:after="0" w:line="240" w:lineRule="auto"/>
              <w:jc w:val="left"/>
            </w:pPr>
            <w:r/>
            <w:r>
              <w:rPr>
                <w:rFonts w:ascii="Arial" w:hAnsi="Arial" w:cs="Arial"/>
                <w:sz w:val="18"/>
              </w:rPr>
              <w:t>Innovar el ordenamiento</w:t>
            </w:r>
          </w:p>
        </w:tc>
        <w:tc>
          <w:tcPr>
            <w:tcW w:type="dxa" w:w="4144"/>
            <w:tcMar>
              <w:top w:w="80" w:type="dxa"/>
              <w:start w:w="120" w:type="dxa"/>
              <w:bottom w:w="80" w:type="dxa"/>
              <w:end w:w="120" w:type="dxa"/>
            </w:tcMar>
            <w:vAlign w:val="center"/>
          </w:tcPr>
          <w:p>
            <w:pPr>
              <w:spacing w:before="0" w:after="0" w:line="240" w:lineRule="auto"/>
              <w:jc w:val="left"/>
            </w:pPr>
            <w:r/>
            <w:r>
              <w:rPr>
                <w:rFonts w:ascii="Arial" w:hAnsi="Arial" w:cs="Arial"/>
                <w:sz w:val="18"/>
              </w:rPr>
              <w:t>Aplicarlo a un caso</w:t>
            </w:r>
          </w:p>
        </w:tc>
      </w:tr>
      <w:tr>
        <w:tc>
          <w:tcPr>
            <w:tcW w:type="dxa" w:w="1658"/>
            <w:tcMar>
              <w:top w:w="80" w:type="dxa"/>
              <w:start w:w="120" w:type="dxa"/>
              <w:bottom w:w="80" w:type="dxa"/>
              <w:end w:w="120" w:type="dxa"/>
            </w:tcMar>
            <w:vAlign w:val="center"/>
          </w:tcPr>
          <w:p>
            <w:pPr>
              <w:spacing w:before="0" w:after="0" w:line="240" w:lineRule="auto"/>
              <w:jc w:val="left"/>
            </w:pPr>
            <w:r/>
            <w:r>
              <w:rPr>
                <w:rFonts w:ascii="Arial" w:hAnsi="Arial" w:cs="Arial"/>
                <w:sz w:val="18"/>
              </w:rPr>
              <w:t>Destinatario</w:t>
            </w:r>
          </w:p>
        </w:tc>
        <w:tc>
          <w:tcPr>
            <w:tcW w:type="dxa" w:w="3224"/>
            <w:tcMar>
              <w:top w:w="80" w:type="dxa"/>
              <w:start w:w="120" w:type="dxa"/>
              <w:bottom w:w="80" w:type="dxa"/>
              <w:end w:w="120" w:type="dxa"/>
            </w:tcMar>
            <w:vAlign w:val="center"/>
          </w:tcPr>
          <w:p>
            <w:pPr>
              <w:spacing w:before="0" w:after="0" w:line="240" w:lineRule="auto"/>
              <w:jc w:val="left"/>
            </w:pPr>
            <w:r/>
            <w:r>
              <w:rPr>
                <w:rFonts w:ascii="Arial" w:hAnsi="Arial" w:cs="Arial"/>
                <w:sz w:val="18"/>
              </w:rPr>
              <w:t>General o categoría abstracta</w:t>
            </w:r>
          </w:p>
        </w:tc>
        <w:tc>
          <w:tcPr>
            <w:tcW w:type="dxa" w:w="4144"/>
            <w:tcMar>
              <w:top w:w="80" w:type="dxa"/>
              <w:start w:w="120" w:type="dxa"/>
              <w:bottom w:w="80" w:type="dxa"/>
              <w:end w:w="120" w:type="dxa"/>
            </w:tcMar>
            <w:vAlign w:val="center"/>
          </w:tcPr>
          <w:p>
            <w:pPr>
              <w:spacing w:before="0" w:after="0" w:line="240" w:lineRule="auto"/>
              <w:jc w:val="left"/>
            </w:pPr>
            <w:r/>
            <w:r>
              <w:rPr>
                <w:rFonts w:ascii="Arial" w:hAnsi="Arial" w:cs="Arial"/>
                <w:sz w:val="18"/>
              </w:rPr>
              <w:t>Persona o supuesto individualizado</w:t>
            </w:r>
          </w:p>
        </w:tc>
      </w:tr>
      <w:tr>
        <w:tc>
          <w:tcPr>
            <w:tcW w:type="dxa" w:w="1658"/>
            <w:tcMar>
              <w:top w:w="80" w:type="dxa"/>
              <w:start w:w="120" w:type="dxa"/>
              <w:bottom w:w="80" w:type="dxa"/>
              <w:end w:w="120" w:type="dxa"/>
            </w:tcMar>
            <w:vAlign w:val="center"/>
          </w:tcPr>
          <w:p>
            <w:pPr>
              <w:spacing w:before="0" w:after="0" w:line="240" w:lineRule="auto"/>
              <w:jc w:val="left"/>
            </w:pPr>
            <w:r/>
            <w:r>
              <w:rPr>
                <w:rFonts w:ascii="Arial" w:hAnsi="Arial" w:cs="Arial"/>
                <w:sz w:val="18"/>
              </w:rPr>
              <w:t>Permanencia</w:t>
            </w:r>
          </w:p>
        </w:tc>
        <w:tc>
          <w:tcPr>
            <w:tcW w:type="dxa" w:w="3224"/>
            <w:tcMar>
              <w:top w:w="80" w:type="dxa"/>
              <w:start w:w="120" w:type="dxa"/>
              <w:bottom w:w="80" w:type="dxa"/>
              <w:end w:w="120" w:type="dxa"/>
            </w:tcMar>
            <w:vAlign w:val="center"/>
          </w:tcPr>
          <w:p>
            <w:pPr>
              <w:spacing w:before="0" w:after="0" w:line="240" w:lineRule="auto"/>
              <w:jc w:val="left"/>
            </w:pPr>
            <w:r/>
            <w:r>
              <w:rPr>
                <w:rFonts w:ascii="Arial" w:hAnsi="Arial" w:cs="Arial"/>
                <w:sz w:val="18"/>
              </w:rPr>
              <w:t>Vocación de vigencia sucesiva</w:t>
            </w:r>
          </w:p>
        </w:tc>
        <w:tc>
          <w:tcPr>
            <w:tcW w:type="dxa" w:w="4144"/>
            <w:tcMar>
              <w:top w:w="80" w:type="dxa"/>
              <w:start w:w="120" w:type="dxa"/>
              <w:bottom w:w="80" w:type="dxa"/>
              <w:end w:w="120" w:type="dxa"/>
            </w:tcMar>
            <w:vAlign w:val="center"/>
          </w:tcPr>
          <w:p>
            <w:pPr>
              <w:spacing w:before="0" w:after="0" w:line="240" w:lineRule="auto"/>
              <w:jc w:val="left"/>
            </w:pPr>
            <w:r/>
            <w:r>
              <w:rPr>
                <w:rFonts w:ascii="Arial" w:hAnsi="Arial" w:cs="Arial"/>
                <w:sz w:val="18"/>
              </w:rPr>
              <w:t>Se consume normalmente al ejecutarse</w:t>
            </w:r>
          </w:p>
        </w:tc>
      </w:tr>
      <w:tr>
        <w:tc>
          <w:tcPr>
            <w:tcW w:type="dxa" w:w="1658"/>
            <w:tcMar>
              <w:top w:w="80" w:type="dxa"/>
              <w:start w:w="120" w:type="dxa"/>
              <w:bottom w:w="80" w:type="dxa"/>
              <w:end w:w="120" w:type="dxa"/>
            </w:tcMar>
            <w:vAlign w:val="center"/>
          </w:tcPr>
          <w:p>
            <w:pPr>
              <w:spacing w:before="0" w:after="0" w:line="240" w:lineRule="auto"/>
              <w:jc w:val="left"/>
            </w:pPr>
            <w:r/>
            <w:r>
              <w:rPr>
                <w:rFonts w:ascii="Arial" w:hAnsi="Arial" w:cs="Arial"/>
                <w:sz w:val="18"/>
              </w:rPr>
              <w:t>Impugnación</w:t>
            </w:r>
          </w:p>
        </w:tc>
        <w:tc>
          <w:tcPr>
            <w:tcW w:type="dxa" w:w="3224"/>
            <w:tcMar>
              <w:top w:w="80" w:type="dxa"/>
              <w:start w:w="120" w:type="dxa"/>
              <w:bottom w:w="80" w:type="dxa"/>
              <w:end w:w="120" w:type="dxa"/>
            </w:tcMar>
            <w:vAlign w:val="center"/>
          </w:tcPr>
          <w:p>
            <w:pPr>
              <w:spacing w:before="0" w:after="0" w:line="240" w:lineRule="auto"/>
              <w:jc w:val="left"/>
            </w:pPr>
            <w:r/>
            <w:r>
              <w:rPr>
                <w:rFonts w:ascii="Arial" w:hAnsi="Arial" w:cs="Arial"/>
                <w:sz w:val="18"/>
              </w:rPr>
              <w:t>Recurso contencioso directo o indirecto</w:t>
            </w:r>
          </w:p>
        </w:tc>
        <w:tc>
          <w:tcPr>
            <w:tcW w:type="dxa" w:w="4144"/>
            <w:tcMar>
              <w:top w:w="80" w:type="dxa"/>
              <w:start w:w="120" w:type="dxa"/>
              <w:bottom w:w="80" w:type="dxa"/>
              <w:end w:w="120" w:type="dxa"/>
            </w:tcMar>
            <w:vAlign w:val="center"/>
          </w:tcPr>
          <w:p>
            <w:pPr>
              <w:spacing w:before="0" w:after="0" w:line="240" w:lineRule="auto"/>
              <w:jc w:val="left"/>
            </w:pPr>
            <w:r/>
            <w:r>
              <w:rPr>
                <w:rFonts w:ascii="Arial" w:hAnsi="Arial" w:cs="Arial"/>
                <w:sz w:val="18"/>
              </w:rPr>
              <w:t>Recursos administrativos y judiciales procedentes</w:t>
            </w:r>
          </w:p>
        </w:tc>
      </w:tr>
      <w:tr>
        <w:tc>
          <w:tcPr>
            <w:tcW w:type="dxa" w:w="1658"/>
            <w:tcMar>
              <w:top w:w="80" w:type="dxa"/>
              <w:start w:w="120" w:type="dxa"/>
              <w:bottom w:w="80" w:type="dxa"/>
              <w:end w:w="120" w:type="dxa"/>
            </w:tcMar>
            <w:vAlign w:val="center"/>
          </w:tcPr>
          <w:p>
            <w:pPr>
              <w:spacing w:before="0" w:after="0" w:line="240" w:lineRule="auto"/>
              <w:jc w:val="left"/>
            </w:pPr>
            <w:r/>
            <w:r>
              <w:rPr>
                <w:rFonts w:ascii="Arial" w:hAnsi="Arial" w:cs="Arial"/>
                <w:sz w:val="18"/>
              </w:rPr>
              <w:t>Revocación/revisión</w:t>
            </w:r>
          </w:p>
        </w:tc>
        <w:tc>
          <w:tcPr>
            <w:tcW w:type="dxa" w:w="3224"/>
            <w:tcMar>
              <w:top w:w="80" w:type="dxa"/>
              <w:start w:w="120" w:type="dxa"/>
              <w:bottom w:w="80" w:type="dxa"/>
              <w:end w:w="120" w:type="dxa"/>
            </w:tcMar>
            <w:vAlign w:val="center"/>
          </w:tcPr>
          <w:p>
            <w:pPr>
              <w:spacing w:before="0" w:after="0" w:line="240" w:lineRule="auto"/>
              <w:jc w:val="left"/>
            </w:pPr>
            <w:r/>
            <w:r>
              <w:rPr>
                <w:rFonts w:ascii="Arial" w:hAnsi="Arial" w:cs="Arial"/>
                <w:sz w:val="18"/>
              </w:rPr>
              <w:t>Derogación o revisión de oficio</w:t>
            </w:r>
          </w:p>
        </w:tc>
        <w:tc>
          <w:tcPr>
            <w:tcW w:type="dxa" w:w="4144"/>
            <w:tcMar>
              <w:top w:w="80" w:type="dxa"/>
              <w:start w:w="120" w:type="dxa"/>
              <w:bottom w:w="80" w:type="dxa"/>
              <w:end w:w="120" w:type="dxa"/>
            </w:tcMar>
            <w:vAlign w:val="center"/>
          </w:tcPr>
          <w:p>
            <w:pPr>
              <w:spacing w:before="0" w:after="0" w:line="240" w:lineRule="auto"/>
              <w:jc w:val="left"/>
            </w:pPr>
            <w:r/>
            <w:r>
              <w:rPr>
                <w:rFonts w:ascii="Arial" w:hAnsi="Arial" w:cs="Arial"/>
                <w:sz w:val="18"/>
              </w:rPr>
              <w:t>Revisión, revocación o recursos según el caso</w:t>
            </w:r>
          </w:p>
        </w:tc>
      </w:tr>
      <w:tr>
        <w:tc>
          <w:tcPr>
            <w:tcW w:type="dxa" w:w="1658"/>
            <w:tcMar>
              <w:top w:w="80" w:type="dxa"/>
              <w:start w:w="120" w:type="dxa"/>
              <w:bottom w:w="80" w:type="dxa"/>
              <w:end w:w="120" w:type="dxa"/>
            </w:tcMar>
            <w:vAlign w:val="center"/>
          </w:tcPr>
          <w:p>
            <w:pPr>
              <w:spacing w:before="0" w:after="0" w:line="240" w:lineRule="auto"/>
              <w:jc w:val="left"/>
            </w:pPr>
            <w:r/>
            <w:r>
              <w:rPr>
                <w:rFonts w:ascii="Arial" w:hAnsi="Arial" w:cs="Arial"/>
                <w:sz w:val="18"/>
              </w:rPr>
              <w:t>Ilegalidad</w:t>
            </w:r>
          </w:p>
        </w:tc>
        <w:tc>
          <w:tcPr>
            <w:tcW w:type="dxa" w:w="3224"/>
            <w:tcMar>
              <w:top w:w="80" w:type="dxa"/>
              <w:start w:w="120" w:type="dxa"/>
              <w:bottom w:w="80" w:type="dxa"/>
              <w:end w:w="120" w:type="dxa"/>
            </w:tcMar>
            <w:vAlign w:val="center"/>
          </w:tcPr>
          <w:p>
            <w:pPr>
              <w:spacing w:before="0" w:after="0" w:line="240" w:lineRule="auto"/>
              <w:jc w:val="left"/>
            </w:pPr>
            <w:r/>
            <w:r>
              <w:rPr>
                <w:rFonts w:ascii="Arial" w:hAnsi="Arial" w:cs="Arial"/>
                <w:sz w:val="18"/>
              </w:rPr>
              <w:t>Nulidad de pleno derecho</w:t>
            </w:r>
          </w:p>
        </w:tc>
        <w:tc>
          <w:tcPr>
            <w:tcW w:type="dxa" w:w="4144"/>
            <w:tcMar>
              <w:top w:w="80" w:type="dxa"/>
              <w:start w:w="120" w:type="dxa"/>
              <w:bottom w:w="80" w:type="dxa"/>
              <w:end w:w="120" w:type="dxa"/>
            </w:tcMar>
            <w:vAlign w:val="center"/>
          </w:tcPr>
          <w:p>
            <w:pPr>
              <w:spacing w:before="0" w:after="0" w:line="240" w:lineRule="auto"/>
              <w:jc w:val="left"/>
            </w:pPr>
            <w:r/>
            <w:r>
              <w:rPr>
                <w:rFonts w:ascii="Arial" w:hAnsi="Arial" w:cs="Arial"/>
                <w:sz w:val="18"/>
              </w:rPr>
              <w:t>Nulidad o anulabilidad según el vicio</w:t>
            </w:r>
          </w:p>
        </w:tc>
      </w:tr>
    </w:tbl>
    <w:p>
      <w:pPr>
        <w:spacing w:after="40"/>
      </w:pPr>
    </w:p>
    <w:p>
      <w:pPr>
        <w:jc w:val="both"/>
      </w:pPr>
      <w:r>
        <w:rPr>
          <w:rFonts w:ascii="Arial" w:hAnsi="Arial" w:cs="Arial"/>
          <w:sz w:val="22"/>
        </w:rPr>
        <w:t>Un acto dirigido a muchas personas no se convierte por ello en reglamento; una disposición puede tener ámbito reducido y seguir siendo normativa si formula una regla abstracta para situaciones sucesivas.</w:t>
      </w:r>
    </w:p>
    <w:p>
      <w:pPr>
        <w:pStyle w:val="Heading2"/>
        <w:keepNext/>
      </w:pPr>
      <w:r>
        <w:rPr>
          <w:rFonts w:ascii="Arial" w:hAnsi="Arial" w:cs="Arial"/>
          <w:sz w:val="25"/>
        </w:rPr>
        <w:t>1.3. Especialidad del Derecho Administrativo</w:t>
      </w:r>
    </w:p>
    <w:p>
      <w:pPr>
        <w:jc w:val="both"/>
      </w:pPr>
      <w:r>
        <w:rPr>
          <w:rFonts w:ascii="Arial" w:hAnsi="Arial" w:cs="Arial"/>
          <w:sz w:val="22"/>
        </w:rPr>
        <w:t>El Derecho Administrativo forma parte del Derecho público. Ordena Administraciones dotadas de potestades para servir objetivamente los intereses generales, pero sometidas plenamente a la ley y al Derecho —artículo 103.1 CE—. Por eso sus fuentes presentan dos tensiones:</w:t>
      </w:r>
    </w:p>
    <w:p>
      <w:pPr>
        <w:pStyle w:val="ListBullet"/>
      </w:pPr>
      <w:r>
        <w:rPr>
          <w:rFonts w:ascii="Arial" w:hAnsi="Arial" w:cs="Arial"/>
          <w:sz w:val="22"/>
        </w:rPr>
        <w:t>La Administración produce reglamentos y aplica normas, pero no puede disponer libremente del sistema de fuentes.</w:t>
      </w:r>
    </w:p>
    <w:p>
      <w:pPr>
        <w:pStyle w:val="ListBullet"/>
      </w:pPr>
      <w:r>
        <w:rPr>
          <w:rFonts w:ascii="Arial" w:hAnsi="Arial" w:cs="Arial"/>
          <w:sz w:val="22"/>
        </w:rPr>
        <w:t>La legalidad la habilita para actuar y simultáneamente la limita.</w:t>
      </w:r>
    </w:p>
    <w:p>
      <w:pPr>
        <w:jc w:val="both"/>
      </w:pPr>
      <w:r>
        <w:rPr>
          <w:rFonts w:ascii="Arial" w:hAnsi="Arial" w:cs="Arial"/>
          <w:sz w:val="22"/>
        </w:rPr>
        <w:t>El principio de juridicidad es más amplio que la obediencia literal a la ley: incluye Constitución, Derecho de la Unión, tratados, reglamentos válidos y principios generales.</w:t>
      </w:r>
    </w:p>
    <w:p>
      <w:pPr>
        <w:pStyle w:val="Heading1"/>
        <w:keepNext/>
      </w:pPr>
      <w:r>
        <w:rPr>
          <w:rFonts w:ascii="Arial" w:hAnsi="Arial" w:cs="Arial"/>
          <w:sz w:val="30"/>
        </w:rPr>
        <w:t>2. El artículo 1 del Código Civil y su adaptación al Derecho público</w:t>
      </w:r>
    </w:p>
    <w:p>
      <w:pPr>
        <w:jc w:val="both"/>
      </w:pPr>
      <w:r>
        <w:rPr>
          <w:rFonts w:ascii="Arial" w:hAnsi="Arial" w:cs="Arial"/>
          <w:sz w:val="22"/>
        </w:rPr>
        <w:t xml:space="preserve">El artículo 1.1 del Código Civil enumera como fuentes del ordenamiento español la </w:t>
      </w:r>
      <w:r>
        <w:rPr>
          <w:rFonts w:ascii="Arial" w:hAnsi="Arial" w:cs="Arial"/>
          <w:b/>
          <w:sz w:val="22"/>
        </w:rPr>
        <w:t>ley, la costumbre y los principios generales del Derecho</w:t>
      </w:r>
      <w:r>
        <w:rPr>
          <w:rFonts w:ascii="Arial" w:hAnsi="Arial" w:cs="Arial"/>
          <w:sz w:val="22"/>
        </w:rPr>
        <w:t>. Añade reglas esenciales:</w:t>
      </w:r>
    </w:p>
    <w:p>
      <w:pPr>
        <w:pStyle w:val="ListBullet"/>
      </w:pPr>
      <w:r>
        <w:rPr>
          <w:rFonts w:ascii="Arial" w:hAnsi="Arial" w:cs="Arial"/>
          <w:sz w:val="22"/>
        </w:rPr>
        <w:t>Carecen de validez las disposiciones que contradigan otra de rango superior.</w:t>
      </w:r>
    </w:p>
    <w:p>
      <w:pPr>
        <w:pStyle w:val="ListBullet"/>
      </w:pPr>
      <w:r>
        <w:rPr>
          <w:rFonts w:ascii="Arial" w:hAnsi="Arial" w:cs="Arial"/>
          <w:sz w:val="22"/>
        </w:rPr>
        <w:t>La costumbre rige solo en defecto de ley aplicable, si no es contraria a moral u orden público y resulta probada.</w:t>
      </w:r>
    </w:p>
    <w:p>
      <w:pPr>
        <w:pStyle w:val="ListBullet"/>
      </w:pPr>
      <w:r>
        <w:rPr>
          <w:rFonts w:ascii="Arial" w:hAnsi="Arial" w:cs="Arial"/>
          <w:sz w:val="22"/>
        </w:rPr>
        <w:t>Los usos jurídicos no meramente interpretativos tienen consideración de costumbre.</w:t>
      </w:r>
    </w:p>
    <w:p>
      <w:pPr>
        <w:pStyle w:val="ListBullet"/>
      </w:pPr>
      <w:r>
        <w:rPr>
          <w:rFonts w:ascii="Arial" w:hAnsi="Arial" w:cs="Arial"/>
          <w:sz w:val="22"/>
        </w:rPr>
        <w:t>Los principios generales se aplican en defecto de ley o costumbre, sin perjuicio de su carácter informador.</w:t>
      </w:r>
    </w:p>
    <w:p>
      <w:pPr>
        <w:pStyle w:val="ListBullet"/>
      </w:pPr>
      <w:r>
        <w:rPr>
          <w:rFonts w:ascii="Arial" w:hAnsi="Arial" w:cs="Arial"/>
          <w:sz w:val="22"/>
        </w:rPr>
        <w:t>Las normas de tratados no son directamente aplicables hasta su publicación íntegra en el BOE.</w:t>
      </w:r>
    </w:p>
    <w:p>
      <w:pPr>
        <w:pStyle w:val="ListBullet"/>
      </w:pPr>
      <w:r>
        <w:rPr>
          <w:rFonts w:ascii="Arial" w:hAnsi="Arial" w:cs="Arial"/>
          <w:sz w:val="22"/>
        </w:rPr>
        <w:t>La jurisprudencia complementa el ordenamiento con la doctrina reiterada del Tribunal Supremo.</w:t>
      </w:r>
    </w:p>
    <w:p>
      <w:pPr>
        <w:pStyle w:val="ListBullet"/>
      </w:pPr>
      <w:r>
        <w:rPr>
          <w:rFonts w:ascii="Arial" w:hAnsi="Arial" w:cs="Arial"/>
          <w:sz w:val="22"/>
        </w:rPr>
        <w:t>Jueces y tribunales tienen el deber inexcusable de resolver conforme al sistema de fuentes.</w:t>
      </w:r>
    </w:p>
    <w:p>
      <w:pPr>
        <w:jc w:val="both"/>
      </w:pPr>
      <w:r>
        <w:rPr>
          <w:rFonts w:ascii="Arial" w:hAnsi="Arial" w:cs="Arial"/>
          <w:sz w:val="22"/>
        </w:rPr>
        <w:t>En Derecho Administrativo, «ley» debe entenderse aquí en sentido amplio de norma escrita. La Constitución de 1978, el Estado autonómico y la integración europea hacen insuficiente una lectura lineal. La costumbre es mucho menos intensa que en el Derecho privado, la potestad reglamentaria ocupa un lugar central y la competencia territorial o material resulta tan importante como el rango.</w:t>
      </w:r>
    </w:p>
    <w:p>
      <w:pPr>
        <w:spacing w:after="100"/>
        <w:ind w:left="340" w:right="227"/>
        <w:shd w:fill="EAF2F8"/>
      </w:pPr>
      <w:r>
        <w:rPr>
          <w:rFonts w:ascii="Arial" w:hAnsi="Arial" w:cs="Arial"/>
          <w:b/>
          <w:sz w:val="20"/>
        </w:rPr>
        <w:t>Trampa frecuente:</w:t>
      </w:r>
      <w:r>
        <w:rPr>
          <w:rFonts w:ascii="Arial" w:hAnsi="Arial" w:cs="Arial"/>
          <w:sz w:val="20"/>
        </w:rPr>
        <w:t xml:space="preserve"> el Código Civil no coloca la jurisprudencia en la enumeración del artículo 1.1; dice que </w:t>
      </w:r>
      <w:r>
        <w:rPr>
          <w:rFonts w:ascii="Arial" w:hAnsi="Arial" w:cs="Arial"/>
          <w:b/>
          <w:sz w:val="20"/>
        </w:rPr>
        <w:t>complementa</w:t>
      </w:r>
      <w:r>
        <w:rPr>
          <w:rFonts w:ascii="Arial" w:hAnsi="Arial" w:cs="Arial"/>
          <w:sz w:val="20"/>
        </w:rPr>
        <w:t xml:space="preserve"> el ordenamiento. Esto no permite ignorar las sentencias vinculantes del Tribunal Constitucional o del TJUE, que tienen su propio fundamento normativo.</w:t>
      </w:r>
    </w:p>
    <w:p>
      <w:pPr>
        <w:pStyle w:val="Heading1"/>
        <w:keepNext/>
      </w:pPr>
      <w:r>
        <w:rPr>
          <w:rFonts w:ascii="Arial" w:hAnsi="Arial" w:cs="Arial"/>
          <w:sz w:val="30"/>
        </w:rPr>
        <w:t>3. La Constitución como norma suprema</w:t>
      </w:r>
    </w:p>
    <w:p>
      <w:pPr>
        <w:pStyle w:val="Heading2"/>
        <w:keepNext/>
      </w:pPr>
      <w:r>
        <w:rPr>
          <w:rFonts w:ascii="Arial" w:hAnsi="Arial" w:cs="Arial"/>
          <w:sz w:val="25"/>
        </w:rPr>
        <w:t>3.1. Fuerza normativa</w:t>
      </w:r>
    </w:p>
    <w:p>
      <w:pPr>
        <w:jc w:val="both"/>
      </w:pPr>
      <w:r>
        <w:rPr>
          <w:rFonts w:ascii="Arial" w:hAnsi="Arial" w:cs="Arial"/>
          <w:sz w:val="22"/>
        </w:rPr>
        <w:t>La Constitución es norma jurídica directamente vinculante para ciudadanía y poderes públicos, no un programa político. El artículo 9.1 somete a ambos a la Constitución y al resto del ordenamiento. Vincula al legislador, delimita competencias, reconoce derechos, organiza poderes y fija procedimientos de producción normativa.</w:t>
      </w:r>
    </w:p>
    <w:p>
      <w:pPr>
        <w:jc w:val="both"/>
      </w:pPr>
      <w:r>
        <w:rPr>
          <w:rFonts w:ascii="Arial" w:hAnsi="Arial" w:cs="Arial"/>
          <w:sz w:val="22"/>
        </w:rPr>
        <w:t>Su disposición derogatoria eliminó las normas anteriores incompatibles. Las posteriores contrarias pueden ser declaradas inconstitucionales. Todas las normas deben interpretarse, entre los sentidos razonablemente posibles, de modo conforme a la Constitución.</w:t>
      </w:r>
    </w:p>
    <w:p>
      <w:pPr>
        <w:jc w:val="both"/>
      </w:pPr>
      <w:r>
        <w:rPr>
          <w:rFonts w:ascii="Arial" w:hAnsi="Arial" w:cs="Arial"/>
          <w:sz w:val="22"/>
        </w:rPr>
        <w:t>El artículo 9.3 garantiza legalidad, jerarquía normativa, publicidad, irretroactividad de disposiciones sancionadoras no favorables o restrictivas de derechos individuales, seguridad jurídica, responsabilidad e interdicción de arbitrariedad. Son principios estructurales del sistema de fuentes y parámetros de control.</w:t>
      </w:r>
    </w:p>
    <w:p>
      <w:pPr>
        <w:pStyle w:val="Heading2"/>
        <w:keepNext/>
      </w:pPr>
      <w:r>
        <w:rPr>
          <w:rFonts w:ascii="Arial" w:hAnsi="Arial" w:cs="Arial"/>
          <w:sz w:val="25"/>
        </w:rPr>
        <w:t>3.2. Constitución y ley</w:t>
      </w:r>
    </w:p>
    <w:p>
      <w:pPr>
        <w:jc w:val="both"/>
      </w:pPr>
      <w:r>
        <w:rPr>
          <w:rFonts w:ascii="Arial" w:hAnsi="Arial" w:cs="Arial"/>
          <w:sz w:val="22"/>
        </w:rPr>
        <w:t>La ley no es soberana: está subordinada a la Constitución. El control de las leyes y normas con fuerza de ley corresponde al Tribunal Constitucional mediante los procesos previstos en la Constitución y la LOTC. Los jueces ordinarios no inaplican una ley por considerarla inconstitucional; si la decisión depende de ella y no cabe interpretación conforme, deben plantear cuestión de inconstitucionalidad en las condiciones del artículo 163 CE.</w:t>
      </w:r>
    </w:p>
    <w:p>
      <w:pPr>
        <w:jc w:val="both"/>
      </w:pPr>
      <w:r>
        <w:rPr>
          <w:rFonts w:ascii="Arial" w:hAnsi="Arial" w:cs="Arial"/>
          <w:sz w:val="22"/>
        </w:rPr>
        <w:t>Distinto es el conflicto con Derecho de la Unión directamente aplicable: el juez ordinario puede tener que dejar inaplicada la ley nacional por primacía, sin declarar su nulidad. Tampoco debe confundirse con el control de un reglamento: los jueces ordinarios sí pueden inaplicar reglamentos contrarios a Constitución o ley.</w:t>
      </w:r>
    </w:p>
    <w:p>
      <w:pPr>
        <w:pStyle w:val="Heading2"/>
        <w:keepNext/>
      </w:pPr>
      <w:r>
        <w:rPr>
          <w:rFonts w:ascii="Arial" w:hAnsi="Arial" w:cs="Arial"/>
          <w:sz w:val="25"/>
        </w:rPr>
        <w:t>3.3. Bloque de constitucionalidad</w:t>
      </w:r>
    </w:p>
    <w:p>
      <w:pPr>
        <w:jc w:val="both"/>
      </w:pPr>
      <w:r>
        <w:rPr>
          <w:rFonts w:ascii="Arial" w:hAnsi="Arial" w:cs="Arial"/>
          <w:sz w:val="22"/>
        </w:rPr>
        <w:t>Para controlar la distribución territorial de competencias, el Tribunal Constitucional utiliza junto a la Constitución determinadas normas que delimitan competencias, especialmente Estatutos de Autonomía y leyes a las que la Constitución atribuye esa función. «Bloque de constitucionalidad» no significa que todas esas normas tengan rango constitucional ni idéntico procedimiento de reforma.</w:t>
      </w:r>
    </w:p>
    <w:p>
      <w:pPr>
        <w:jc w:val="both"/>
      </w:pPr>
      <w:r>
        <w:rPr>
          <w:rFonts w:ascii="Arial" w:hAnsi="Arial" w:cs="Arial"/>
          <w:sz w:val="22"/>
        </w:rPr>
        <w:t>Los Estatutos son leyes orgánicas estatales con función institucional específica: norma institucional básica de cada Comunidad. Su relación con otras leyes se explica en buena medida por competencia y función, no por una superioridad general sobre toda ley estatal.</w:t>
      </w:r>
    </w:p>
    <w:p>
      <w:pPr>
        <w:pStyle w:val="Heading1"/>
        <w:keepNext/>
      </w:pPr>
      <w:r>
        <w:rPr>
          <w:rFonts w:ascii="Arial" w:hAnsi="Arial" w:cs="Arial"/>
          <w:sz w:val="30"/>
        </w:rPr>
        <w:t>4. Derecho de la Unión Europea</w:t>
      </w:r>
    </w:p>
    <w:p>
      <w:pPr>
        <w:jc w:val="both"/>
      </w:pPr>
      <w:r>
        <w:rPr>
          <w:rFonts w:ascii="Arial" w:hAnsi="Arial" w:cs="Arial"/>
          <w:sz w:val="22"/>
        </w:rPr>
        <w:t>El Derecho de la Unión se integra en el sistema aplicado por las Administraciones españolas. Sus fuentes —Tratados, Carta, principios generales, reglamentos, directivas, decisiones y acuerdos internacionales de la Unión— se estudian específicamente en el tema correspondiente. Para ordenar las fuentes administrativas deben retenerse cuatro reglas:</w:t>
      </w:r>
    </w:p>
    <w:p>
      <w:pPr>
        <w:spacing w:after="40"/>
        <w:ind w:left="369" w:hanging="227"/>
      </w:pPr>
      <w:r>
        <w:rPr>
          <w:rFonts w:ascii="Arial" w:hAnsi="Arial" w:cs="Arial"/>
          <w:sz w:val="22"/>
        </w:rPr>
        <w:t xml:space="preserve">1. </w:t>
      </w:r>
      <w:r>
        <w:rPr>
          <w:rFonts w:ascii="Arial" w:hAnsi="Arial" w:cs="Arial"/>
          <w:b/>
          <w:sz w:val="22"/>
        </w:rPr>
        <w:t>Primacía:</w:t>
      </w:r>
      <w:r>
        <w:rPr>
          <w:rFonts w:ascii="Arial" w:hAnsi="Arial" w:cs="Arial"/>
          <w:sz w:val="22"/>
        </w:rPr>
        <w:t xml:space="preserve"> una norma de la Unión aplicable prevalece sobre la nacional incompatible dentro de su ámbito.</w:t>
      </w:r>
    </w:p>
    <w:p>
      <w:pPr>
        <w:spacing w:after="40"/>
        <w:ind w:left="369" w:hanging="227"/>
      </w:pPr>
      <w:r>
        <w:rPr>
          <w:rFonts w:ascii="Arial" w:hAnsi="Arial" w:cs="Arial"/>
          <w:sz w:val="22"/>
        </w:rPr>
        <w:t xml:space="preserve">2. </w:t>
      </w:r>
      <w:r>
        <w:rPr>
          <w:rFonts w:ascii="Arial" w:hAnsi="Arial" w:cs="Arial"/>
          <w:b/>
          <w:sz w:val="22"/>
        </w:rPr>
        <w:t>Efecto directo:</w:t>
      </w:r>
      <w:r>
        <w:rPr>
          <w:rFonts w:ascii="Arial" w:hAnsi="Arial" w:cs="Arial"/>
          <w:sz w:val="22"/>
        </w:rPr>
        <w:t xml:space="preserve"> solo las disposiciones suficientemente claras, precisas e incondicionales pueden invocarse como regla inmediata en las condiciones propias de cada fuente.</w:t>
      </w:r>
    </w:p>
    <w:p>
      <w:pPr>
        <w:spacing w:after="40"/>
        <w:ind w:left="369" w:hanging="227"/>
      </w:pPr>
      <w:r>
        <w:rPr>
          <w:rFonts w:ascii="Arial" w:hAnsi="Arial" w:cs="Arial"/>
          <w:sz w:val="22"/>
        </w:rPr>
        <w:t xml:space="preserve">3. </w:t>
      </w:r>
      <w:r>
        <w:rPr>
          <w:rFonts w:ascii="Arial" w:hAnsi="Arial" w:cs="Arial"/>
          <w:b/>
          <w:sz w:val="22"/>
        </w:rPr>
        <w:t>Interpretación conforme:</w:t>
      </w:r>
      <w:r>
        <w:rPr>
          <w:rFonts w:ascii="Arial" w:hAnsi="Arial" w:cs="Arial"/>
          <w:sz w:val="22"/>
        </w:rPr>
        <w:t xml:space="preserve"> el Derecho interno debe interpretarse, en lo posible, de acuerdo con el Derecho de la Unión.</w:t>
      </w:r>
    </w:p>
    <w:p>
      <w:pPr>
        <w:spacing w:after="40"/>
        <w:ind w:left="369" w:hanging="227"/>
      </w:pPr>
      <w:r>
        <w:rPr>
          <w:rFonts w:ascii="Arial" w:hAnsi="Arial" w:cs="Arial"/>
          <w:sz w:val="22"/>
        </w:rPr>
        <w:t xml:space="preserve">4. </w:t>
      </w:r>
      <w:r>
        <w:rPr>
          <w:rFonts w:ascii="Arial" w:hAnsi="Arial" w:cs="Arial"/>
          <w:b/>
          <w:sz w:val="22"/>
        </w:rPr>
        <w:t>Cooperación leal:</w:t>
      </w:r>
      <w:r>
        <w:rPr>
          <w:rFonts w:ascii="Arial" w:hAnsi="Arial" w:cs="Arial"/>
          <w:sz w:val="22"/>
        </w:rPr>
        <w:t xml:space="preserve"> todas las autoridades deben garantizar el cumplimiento.</w:t>
      </w:r>
    </w:p>
    <w:p>
      <w:pPr>
        <w:jc w:val="both"/>
      </w:pPr>
      <w:r>
        <w:rPr>
          <w:rFonts w:ascii="Arial" w:hAnsi="Arial" w:cs="Arial"/>
          <w:sz w:val="22"/>
        </w:rPr>
        <w:t>La primacía no es una simple posición en una pirámide nacional. El Derecho de la Unión procede de un ordenamiento autónomo y desplaza la norma nacional incompatible, que no queda necesariamente anulada o derogada. En España, el artículo 93 CE ofrece el fundamento constitucional de la atribución del ejercicio de competencias.</w:t>
      </w:r>
    </w:p>
    <w:p>
      <w:pPr>
        <w:jc w:val="both"/>
      </w:pPr>
      <w:r>
        <w:rPr>
          <w:rFonts w:ascii="Arial" w:hAnsi="Arial" w:cs="Arial"/>
          <w:sz w:val="22"/>
        </w:rPr>
        <w:t>Un reglamento europeo es directamente aplicable. Una directiva requiere transposición y, vencido el plazo, puede producir efecto directo vertical si reúne requisitos, pero no impone por sí sola obligaciones a un particular. Estas diferencias inciden en cómo la Administración y los jueces seleccionan la fuente aplicable.</w:t>
      </w:r>
    </w:p>
    <w:p>
      <w:pPr>
        <w:pStyle w:val="Heading1"/>
        <w:keepNext/>
      </w:pPr>
      <w:r>
        <w:rPr>
          <w:rFonts w:ascii="Arial" w:hAnsi="Arial" w:cs="Arial"/>
          <w:sz w:val="30"/>
        </w:rPr>
        <w:t>5. Tratados internacionales</w:t>
      </w:r>
    </w:p>
    <w:p>
      <w:pPr>
        <w:pStyle w:val="Heading2"/>
        <w:keepNext/>
      </w:pPr>
      <w:r>
        <w:rPr>
          <w:rFonts w:ascii="Arial" w:hAnsi="Arial" w:cs="Arial"/>
          <w:sz w:val="25"/>
        </w:rPr>
        <w:t>5.1. Incorporación y posición</w:t>
      </w:r>
    </w:p>
    <w:p>
      <w:pPr>
        <w:jc w:val="both"/>
      </w:pPr>
      <w:r>
        <w:rPr>
          <w:rFonts w:ascii="Arial" w:hAnsi="Arial" w:cs="Arial"/>
          <w:sz w:val="22"/>
        </w:rPr>
        <w:t>Los tratados válidamente celebrados, una vez publicados oficialmente en España, forman parte del ordenamiento interno —artículo 96 CE—. La Ley 25/2014 precisa que producen efectos desde la fecha determinada en el tratado o, en defecto, desde su entrada en vigor.</w:t>
      </w:r>
    </w:p>
    <w:p>
      <w:pPr>
        <w:jc w:val="both"/>
      </w:pPr>
      <w:r>
        <w:rPr>
          <w:rFonts w:ascii="Arial" w:hAnsi="Arial" w:cs="Arial"/>
          <w:sz w:val="22"/>
        </w:rPr>
        <w:t>Las normas de los tratados publicados prevalecen en caso de conflicto sobre cualquier otra norma interna salvo las de rango constitucional —artículo 31 de la Ley 25/2014—. No pueden ser derogadas, modificadas o suspendidas por una ley interna ordinaria fuera de las formas previstas en el tratado o el Derecho internacional.</w:t>
      </w:r>
    </w:p>
    <w:p>
      <w:pPr>
        <w:jc w:val="both"/>
      </w:pPr>
      <w:r>
        <w:rPr>
          <w:rFonts w:ascii="Arial" w:hAnsi="Arial" w:cs="Arial"/>
          <w:sz w:val="22"/>
        </w:rPr>
        <w:t>Si un tratado contiene estipulaciones contrarias a la Constitución, exige previa revisión constitucional —artículo 95 CE—. Gobierno o Cámaras pueden requerir al Tribunal Constitucional para que declare si existe contradicción.</w:t>
      </w:r>
    </w:p>
    <w:p>
      <w:pPr>
        <w:pStyle w:val="Heading2"/>
        <w:keepNext/>
      </w:pPr>
      <w:r>
        <w:rPr>
          <w:rFonts w:ascii="Arial" w:hAnsi="Arial" w:cs="Arial"/>
          <w:sz w:val="25"/>
        </w:rPr>
        <w:t>5.2. Aplicabilidad</w:t>
      </w:r>
    </w:p>
    <w:p>
      <w:pPr>
        <w:jc w:val="both"/>
      </w:pPr>
      <w:r>
        <w:rPr>
          <w:rFonts w:ascii="Arial" w:hAnsi="Arial" w:cs="Arial"/>
          <w:sz w:val="22"/>
        </w:rPr>
        <w:t>Los tratados son directamente aplicables salvo que de su texto resulte que requieren ley o reglamento de ejecución. Debe distinguirse:</w:t>
      </w:r>
    </w:p>
    <w:p>
      <w:pPr>
        <w:pStyle w:val="ListBullet"/>
      </w:pPr>
      <w:r>
        <w:rPr>
          <w:rFonts w:ascii="Arial" w:hAnsi="Arial" w:cs="Arial"/>
          <w:b/>
          <w:sz w:val="22"/>
        </w:rPr>
        <w:t>Validez internacional:</w:t>
      </w:r>
      <w:r>
        <w:rPr>
          <w:rFonts w:ascii="Arial" w:hAnsi="Arial" w:cs="Arial"/>
          <w:sz w:val="22"/>
        </w:rPr>
        <w:t xml:space="preserve"> obliga a España en el plano internacional.</w:t>
      </w:r>
    </w:p>
    <w:p>
      <w:pPr>
        <w:pStyle w:val="ListBullet"/>
      </w:pPr>
      <w:r>
        <w:rPr>
          <w:rFonts w:ascii="Arial" w:hAnsi="Arial" w:cs="Arial"/>
          <w:b/>
          <w:sz w:val="22"/>
        </w:rPr>
        <w:t>Integración interna:</w:t>
      </w:r>
      <w:r>
        <w:rPr>
          <w:rFonts w:ascii="Arial" w:hAnsi="Arial" w:cs="Arial"/>
          <w:sz w:val="22"/>
        </w:rPr>
        <w:t xml:space="preserve"> exige publicación oficial.</w:t>
      </w:r>
    </w:p>
    <w:p>
      <w:pPr>
        <w:pStyle w:val="ListBullet"/>
      </w:pPr>
      <w:r>
        <w:rPr>
          <w:rFonts w:ascii="Arial" w:hAnsi="Arial" w:cs="Arial"/>
          <w:b/>
          <w:sz w:val="22"/>
        </w:rPr>
        <w:t>Aplicabilidad directa:</w:t>
      </w:r>
      <w:r>
        <w:rPr>
          <w:rFonts w:ascii="Arial" w:hAnsi="Arial" w:cs="Arial"/>
          <w:sz w:val="22"/>
        </w:rPr>
        <w:t xml:space="preserve"> depende de que la disposición sea completa y no necesite desarrollo.</w:t>
      </w:r>
    </w:p>
    <w:p>
      <w:pPr>
        <w:jc w:val="both"/>
      </w:pPr>
      <w:r>
        <w:rPr>
          <w:rFonts w:ascii="Arial" w:hAnsi="Arial" w:cs="Arial"/>
          <w:sz w:val="22"/>
        </w:rPr>
        <w:t>Un acuerdo internacional administrativo o no normativo no tiene automáticamente la posición de un tratado. La Ley 25/2014 diferencia tratados, acuerdos internacionales administrativos y acuerdos no normativos.</w:t>
      </w:r>
    </w:p>
    <w:p>
      <w:pPr>
        <w:pStyle w:val="Heading1"/>
        <w:keepNext/>
      </w:pPr>
      <w:r>
        <w:rPr>
          <w:rFonts w:ascii="Arial" w:hAnsi="Arial" w:cs="Arial"/>
          <w:sz w:val="30"/>
        </w:rPr>
        <w:t>6. La ley y las normas con fuerza de ley</w:t>
      </w:r>
    </w:p>
    <w:p>
      <w:pPr>
        <w:jc w:val="both"/>
      </w:pPr>
      <w:r>
        <w:rPr>
          <w:rFonts w:ascii="Arial" w:hAnsi="Arial" w:cs="Arial"/>
          <w:sz w:val="22"/>
        </w:rPr>
        <w:t>La ley es norma aprobada por un parlamento mediante procedimiento legislativo. En el Estado compuesto existen leyes estatales y autonómicas. La relación entre ambas no es una jerarquía general: decide la distribución competencial fijada por Constitución, Estatutos y normas delimitadoras.</w:t>
      </w:r>
    </w:p>
    <w:p>
      <w:pPr>
        <w:jc w:val="both"/>
      </w:pPr>
      <w:r>
        <w:rPr>
          <w:rFonts w:ascii="Arial" w:hAnsi="Arial" w:cs="Arial"/>
          <w:sz w:val="22"/>
        </w:rPr>
        <w:t>En el ámbito estatal se distinguen:</w:t>
      </w:r>
    </w:p>
    <w:p>
      <w:pPr>
        <w:pStyle w:val="ListBullet"/>
      </w:pPr>
      <w:r>
        <w:rPr>
          <w:rFonts w:ascii="Arial" w:hAnsi="Arial" w:cs="Arial"/>
          <w:b/>
          <w:sz w:val="22"/>
        </w:rPr>
        <w:t>Leyes orgánicas</w:t>
      </w:r>
      <w:r>
        <w:rPr>
          <w:rFonts w:ascii="Arial" w:hAnsi="Arial" w:cs="Arial"/>
          <w:sz w:val="22"/>
        </w:rPr>
        <w:t>, reservadas a las materias del artículo 81 CE y aprobadas, modificadas o derogadas por mayoría absoluta del Congreso en votación final sobre el conjunto.</w:t>
      </w:r>
    </w:p>
    <w:p>
      <w:pPr>
        <w:pStyle w:val="ListBullet"/>
      </w:pPr>
      <w:r>
        <w:rPr>
          <w:rFonts w:ascii="Arial" w:hAnsi="Arial" w:cs="Arial"/>
          <w:b/>
          <w:sz w:val="22"/>
        </w:rPr>
        <w:t>Leyes ordinarias</w:t>
      </w:r>
      <w:r>
        <w:rPr>
          <w:rFonts w:ascii="Arial" w:hAnsi="Arial" w:cs="Arial"/>
          <w:sz w:val="22"/>
        </w:rPr>
        <w:t>, para las restantes materias.</w:t>
      </w:r>
    </w:p>
    <w:p>
      <w:pPr>
        <w:pStyle w:val="ListBullet"/>
      </w:pPr>
      <w:r>
        <w:rPr>
          <w:rFonts w:ascii="Arial" w:hAnsi="Arial" w:cs="Arial"/>
          <w:sz w:val="22"/>
        </w:rPr>
        <w:t>Leyes con función específica: presupuestos, bases, marco, transferencia o delegación, armonización y otras previstas constitucionalmente.</w:t>
      </w:r>
    </w:p>
    <w:p>
      <w:pPr>
        <w:jc w:val="both"/>
      </w:pPr>
      <w:r>
        <w:rPr>
          <w:rFonts w:ascii="Arial" w:hAnsi="Arial" w:cs="Arial"/>
          <w:sz w:val="22"/>
        </w:rPr>
        <w:t>El Gobierno puede dictar normas con rango o fuerza de ley:</w:t>
      </w:r>
    </w:p>
    <w:p>
      <w:pPr>
        <w:pStyle w:val="ListBullet"/>
      </w:pPr>
      <w:r>
        <w:rPr>
          <w:rFonts w:ascii="Arial" w:hAnsi="Arial" w:cs="Arial"/>
          <w:b/>
          <w:sz w:val="22"/>
        </w:rPr>
        <w:t>Real decreto-ley</w:t>
      </w:r>
      <w:r>
        <w:rPr>
          <w:rFonts w:ascii="Arial" w:hAnsi="Arial" w:cs="Arial"/>
          <w:sz w:val="22"/>
        </w:rPr>
        <w:t>, en extraordinaria y urgente necesidad, con límites materiales y control parlamentario en treinta días.</w:t>
      </w:r>
    </w:p>
    <w:p>
      <w:pPr>
        <w:pStyle w:val="ListBullet"/>
      </w:pPr>
      <w:r>
        <w:rPr>
          <w:rFonts w:ascii="Arial" w:hAnsi="Arial" w:cs="Arial"/>
          <w:b/>
          <w:sz w:val="22"/>
        </w:rPr>
        <w:t>Real decreto legislativo</w:t>
      </w:r>
      <w:r>
        <w:rPr>
          <w:rFonts w:ascii="Arial" w:hAnsi="Arial" w:cs="Arial"/>
          <w:sz w:val="22"/>
        </w:rPr>
        <w:t>, previa delegación expresa de las Cortes mediante ley de bases o ley ordinaria de refundición.</w:t>
      </w:r>
    </w:p>
    <w:p>
      <w:pPr>
        <w:jc w:val="both"/>
      </w:pPr>
      <w:r>
        <w:rPr>
          <w:rFonts w:ascii="Arial" w:hAnsi="Arial" w:cs="Arial"/>
          <w:sz w:val="22"/>
        </w:rPr>
        <w:t>No son reglamentos pese a denominarse «real decreto». Están sometidos a la Constitución y al control del Tribunal Constitucional. Los excesos de delegación de un decreto legislativo pueden además ser controlados por la jurisdicción ordinaria en los términos legalmente previstos.</w:t>
      </w:r>
    </w:p>
    <w:p>
      <w:pPr>
        <w:jc w:val="both"/>
      </w:pPr>
      <w:r>
        <w:rPr>
          <w:rFonts w:ascii="Arial" w:hAnsi="Arial" w:cs="Arial"/>
          <w:sz w:val="22"/>
        </w:rPr>
        <w:t>G14 desarrolla clases, reservas, elaboración y controles. En este tema basta situarlos en la jerarquía: ley orgánica y ordinaria tienen rango legal; la orgánica no es jerárquicamente superior en todo, sino competente en su reserva. Decreto-ley y decreto legislativo tienen fuerza de ley dentro de sus presupuestos constitucionales.</w:t>
      </w:r>
    </w:p>
    <w:p>
      <w:pPr>
        <w:pStyle w:val="Heading1"/>
        <w:keepNext/>
      </w:pPr>
      <w:r>
        <w:rPr>
          <w:rFonts w:ascii="Arial" w:hAnsi="Arial" w:cs="Arial"/>
          <w:sz w:val="30"/>
        </w:rPr>
        <w:t>7. El reglamento y las disposiciones administrativas generales</w:t>
      </w:r>
    </w:p>
    <w:p>
      <w:pPr>
        <w:pStyle w:val="Heading2"/>
        <w:keepNext/>
      </w:pPr>
      <w:r>
        <w:rPr>
          <w:rFonts w:ascii="Arial" w:hAnsi="Arial" w:cs="Arial"/>
          <w:sz w:val="25"/>
        </w:rPr>
        <w:t>7.1. Concepto</w:t>
      </w:r>
    </w:p>
    <w:p>
      <w:pPr>
        <w:jc w:val="both"/>
      </w:pPr>
      <w:r>
        <w:rPr>
          <w:rFonts w:ascii="Arial" w:hAnsi="Arial" w:cs="Arial"/>
          <w:sz w:val="22"/>
        </w:rPr>
        <w:t>El reglamento es una norma escrita de rango inferior a la ley dictada por una Administración u órgano con potestad reglamentaria. El artículo 97 CE atribuye al Gobierno la potestad reglamentaria de acuerdo con Constitución y leyes. El artículo 128 LPAC reconoce potestad al Gobierno de la Nación, órganos de gobierno autonómicos y órganos de gobierno locales dentro de su marco.</w:t>
      </w:r>
    </w:p>
    <w:p>
      <w:pPr>
        <w:jc w:val="both"/>
      </w:pPr>
      <w:r>
        <w:rPr>
          <w:rFonts w:ascii="Arial" w:hAnsi="Arial" w:cs="Arial"/>
          <w:sz w:val="22"/>
        </w:rPr>
        <w:t>Los ministros ejercen potestad reglamentaria en materias propias de su departamento. Otros órganos solo pueden dictar normas si una ley lo habilita. La potestad no se presume ilimitada por la existencia de jerarquía administrativa.</w:t>
      </w:r>
    </w:p>
    <w:p>
      <w:pPr>
        <w:pStyle w:val="Heading2"/>
        <w:keepNext/>
      </w:pPr>
      <w:r>
        <w:rPr>
          <w:rFonts w:ascii="Arial" w:hAnsi="Arial" w:cs="Arial"/>
          <w:sz w:val="25"/>
        </w:rPr>
        <w:t>7.2. Clases básicas</w:t>
      </w:r>
    </w:p>
    <w:p>
      <w:pPr>
        <w:pStyle w:val="ListBullet"/>
      </w:pPr>
      <w:r>
        <w:rPr>
          <w:rFonts w:ascii="Arial" w:hAnsi="Arial" w:cs="Arial"/>
          <w:b/>
          <w:sz w:val="22"/>
        </w:rPr>
        <w:t>Ejecutivos:</w:t>
      </w:r>
      <w:r>
        <w:rPr>
          <w:rFonts w:ascii="Arial" w:hAnsi="Arial" w:cs="Arial"/>
          <w:sz w:val="22"/>
        </w:rPr>
        <w:t xml:space="preserve"> desarrollan una ley y requieren habilitación suficiente.</w:t>
      </w:r>
    </w:p>
    <w:p>
      <w:pPr>
        <w:pStyle w:val="ListBullet"/>
      </w:pPr>
      <w:r>
        <w:rPr>
          <w:rFonts w:ascii="Arial" w:hAnsi="Arial" w:cs="Arial"/>
          <w:b/>
          <w:sz w:val="22"/>
        </w:rPr>
        <w:t>Independientes:</w:t>
      </w:r>
      <w:r>
        <w:rPr>
          <w:rFonts w:ascii="Arial" w:hAnsi="Arial" w:cs="Arial"/>
          <w:sz w:val="22"/>
        </w:rPr>
        <w:t xml:space="preserve"> regulan materias organizativas o internas no reservadas a ley y dentro de la competencia propia.</w:t>
      </w:r>
    </w:p>
    <w:p>
      <w:pPr>
        <w:pStyle w:val="ListBullet"/>
      </w:pPr>
      <w:r>
        <w:rPr>
          <w:rFonts w:ascii="Arial" w:hAnsi="Arial" w:cs="Arial"/>
          <w:b/>
          <w:sz w:val="22"/>
        </w:rPr>
        <w:t>De necesidad:</w:t>
      </w:r>
      <w:r>
        <w:rPr>
          <w:rFonts w:ascii="Arial" w:hAnsi="Arial" w:cs="Arial"/>
          <w:sz w:val="22"/>
        </w:rPr>
        <w:t xml:space="preserve"> previstos por el ordenamiento para situaciones excepcionales, temporales y sujetos a habilitación y control.</w:t>
      </w:r>
    </w:p>
    <w:p>
      <w:pPr>
        <w:pStyle w:val="ListBullet"/>
      </w:pPr>
      <w:r>
        <w:rPr>
          <w:rFonts w:ascii="Arial" w:hAnsi="Arial" w:cs="Arial"/>
          <w:b/>
          <w:sz w:val="22"/>
        </w:rPr>
        <w:t>Estatales, autonómicos y locales:</w:t>
      </w:r>
      <w:r>
        <w:rPr>
          <w:rFonts w:ascii="Arial" w:hAnsi="Arial" w:cs="Arial"/>
          <w:sz w:val="22"/>
        </w:rPr>
        <w:t xml:space="preserve"> según el ordenamiento territorial.</w:t>
      </w:r>
    </w:p>
    <w:p>
      <w:pPr>
        <w:pStyle w:val="ListBullet"/>
      </w:pPr>
      <w:r>
        <w:rPr>
          <w:rFonts w:ascii="Arial" w:hAnsi="Arial" w:cs="Arial"/>
          <w:b/>
          <w:sz w:val="22"/>
        </w:rPr>
        <w:t>Organizativos o jurídicos:</w:t>
      </w:r>
      <w:r>
        <w:rPr>
          <w:rFonts w:ascii="Arial" w:hAnsi="Arial" w:cs="Arial"/>
          <w:sz w:val="22"/>
        </w:rPr>
        <w:t xml:space="preserve"> según predomine la estructura interna o la incidencia en derechos y deberes.</w:t>
      </w:r>
    </w:p>
    <w:p>
      <w:pPr>
        <w:jc w:val="both"/>
      </w:pPr>
      <w:r>
        <w:rPr>
          <w:rFonts w:ascii="Arial" w:hAnsi="Arial" w:cs="Arial"/>
          <w:sz w:val="22"/>
        </w:rPr>
        <w:t>Todo reglamento está subordinado a Constitución, ley y normas de rango superior. No puede tipificar delitos, infracciones, penas o sanciones ni crear tributos o prestaciones patrimoniales públicas, sin perjuicio de la colaboración reglamentaria permitida por una ley que cumpla la reserva.</w:t>
      </w:r>
    </w:p>
    <w:p>
      <w:pPr>
        <w:pStyle w:val="Heading2"/>
        <w:keepNext/>
      </w:pPr>
      <w:r>
        <w:rPr>
          <w:rFonts w:ascii="Arial" w:hAnsi="Arial" w:cs="Arial"/>
          <w:sz w:val="25"/>
        </w:rPr>
        <w:t>7.3. Jerarquía estatal</w:t>
      </w:r>
    </w:p>
    <w:p>
      <w:pPr>
        <w:jc w:val="both"/>
      </w:pPr>
      <w:r>
        <w:rPr>
          <w:rFonts w:ascii="Arial" w:hAnsi="Arial" w:cs="Arial"/>
          <w:sz w:val="22"/>
        </w:rPr>
        <w:t>Según el artículo 24 de la Ley 50/1997:</w:t>
      </w:r>
    </w:p>
    <w:p>
      <w:pPr>
        <w:spacing w:after="40"/>
        <w:ind w:left="369" w:hanging="227"/>
      </w:pPr>
      <w:r>
        <w:rPr>
          <w:rFonts w:ascii="Arial" w:hAnsi="Arial" w:cs="Arial"/>
          <w:sz w:val="22"/>
        </w:rPr>
        <w:t>1. Disposiciones aprobadas por real decreto del Presidente o acordado en Consejo de Ministros.</w:t>
      </w:r>
    </w:p>
    <w:p>
      <w:pPr>
        <w:spacing w:after="40"/>
        <w:ind w:left="369" w:hanging="227"/>
      </w:pPr>
      <w:r>
        <w:rPr>
          <w:rFonts w:ascii="Arial" w:hAnsi="Arial" w:cs="Arial"/>
          <w:sz w:val="22"/>
        </w:rPr>
        <w:t>2. Disposiciones aprobadas por orden ministerial.</w:t>
      </w:r>
    </w:p>
    <w:p>
      <w:pPr>
        <w:jc w:val="both"/>
      </w:pPr>
      <w:r>
        <w:rPr>
          <w:rFonts w:ascii="Arial" w:hAnsi="Arial" w:cs="Arial"/>
          <w:sz w:val="22"/>
        </w:rPr>
        <w:t xml:space="preserve">Entre real decreto del Presidente y real decreto del Consejo interviene principalmente la </w:t>
      </w:r>
      <w:r>
        <w:rPr>
          <w:rFonts w:ascii="Arial" w:hAnsi="Arial" w:cs="Arial"/>
          <w:b/>
          <w:sz w:val="22"/>
        </w:rPr>
        <w:t>competencia</w:t>
      </w:r>
      <w:r>
        <w:rPr>
          <w:rFonts w:ascii="Arial" w:hAnsi="Arial" w:cs="Arial"/>
          <w:sz w:val="22"/>
        </w:rPr>
        <w:t>, pues cada uno tiene su esfera. Dentro de un nivel, la norma especial o posterior puede resolver antinomias solo si el órgano era competente y no vulnera reglas superiores.</w:t>
      </w:r>
    </w:p>
    <w:p>
      <w:pPr>
        <w:jc w:val="both"/>
      </w:pPr>
      <w:r>
        <w:rPr>
          <w:rFonts w:ascii="Arial" w:hAnsi="Arial" w:cs="Arial"/>
          <w:sz w:val="22"/>
        </w:rPr>
        <w:t>Las ordenanzas y reglamentos locales se subordinan a la Constitución y a la ley y actúan dentro de autonomía y competencias locales. No existe una subordinación jerárquica general de la ordenanza a cualquier reglamento estatal o autonómico: debe examinarse competencia y cobertura legal.</w:t>
      </w:r>
    </w:p>
    <w:p>
      <w:pPr>
        <w:pStyle w:val="Heading2"/>
        <w:keepNext/>
      </w:pPr>
      <w:r>
        <w:rPr>
          <w:rFonts w:ascii="Arial" w:hAnsi="Arial" w:cs="Arial"/>
          <w:sz w:val="25"/>
        </w:rPr>
        <w:t>7.4. Publicidad y vigencia</w:t>
      </w:r>
    </w:p>
    <w:p>
      <w:pPr>
        <w:jc w:val="both"/>
      </w:pPr>
      <w:r>
        <w:rPr>
          <w:rFonts w:ascii="Arial" w:hAnsi="Arial" w:cs="Arial"/>
          <w:sz w:val="22"/>
        </w:rPr>
        <w:t>Las normas con rango de ley, reglamentos y disposiciones administrativas deben publicarse en el diario oficial correspondiente para entrar en vigor y producir efectos —artículo 131 LPAC—. La regla general del artículo 2.1 CC fija veinte días desde la publicación completa si la norma no dispone otra cosa.</w:t>
      </w:r>
    </w:p>
    <w:p>
      <w:pPr>
        <w:jc w:val="both"/>
      </w:pPr>
      <w:r>
        <w:rPr>
          <w:rFonts w:ascii="Arial" w:hAnsi="Arial" w:cs="Arial"/>
          <w:sz w:val="22"/>
        </w:rPr>
        <w:t>La publicación condiciona eficacia y seguridad jurídica. Una instrucción puramente interna puede tener otro régimen, pero no cabe imponer a la ciudadanía una regla normativa secreta.</w:t>
      </w:r>
    </w:p>
    <w:p>
      <w:pPr>
        <w:pStyle w:val="Heading1"/>
        <w:keepNext/>
      </w:pPr>
      <w:r>
        <w:rPr>
          <w:rFonts w:ascii="Arial" w:hAnsi="Arial" w:cs="Arial"/>
          <w:sz w:val="30"/>
        </w:rPr>
        <w:t>8. Ordenamientos territoriales y criterio de competencia</w:t>
      </w:r>
    </w:p>
    <w:p>
      <w:pPr>
        <w:pStyle w:val="Heading2"/>
        <w:keepNext/>
      </w:pPr>
      <w:r>
        <w:rPr>
          <w:rFonts w:ascii="Arial" w:hAnsi="Arial" w:cs="Arial"/>
          <w:sz w:val="25"/>
        </w:rPr>
        <w:t>8.1. Un sistema plural, no una única pirámide</w:t>
      </w:r>
    </w:p>
    <w:p>
      <w:pPr>
        <w:jc w:val="both"/>
      </w:pPr>
      <w:r>
        <w:rPr>
          <w:rFonts w:ascii="Arial" w:hAnsi="Arial" w:cs="Arial"/>
          <w:sz w:val="22"/>
        </w:rPr>
        <w:t xml:space="preserve">La imagen de una pirámide normativa es útil, pero incompleta. España integra el ordenamiento estatal, los ordenamientos autonómicos y el local, además del Derecho de la Unión y de los tratados. Dentro de cada subsistema funciona la jerarquía; entre normas estatales y autonómicas resulta decisiva la </w:t>
      </w:r>
      <w:r>
        <w:rPr>
          <w:rFonts w:ascii="Arial" w:hAnsi="Arial" w:cs="Arial"/>
          <w:b/>
          <w:sz w:val="22"/>
        </w:rPr>
        <w:t>competencia</w:t>
      </w:r>
      <w:r>
        <w:rPr>
          <w:rFonts w:ascii="Arial" w:hAnsi="Arial" w:cs="Arial"/>
          <w:sz w:val="22"/>
        </w:rPr>
        <w:t xml:space="preserve"> distribuida por la Constitución, los estatutos de autonomía y las restantes normas del bloque de la constitucionalidad.</w:t>
      </w:r>
    </w:p>
    <w:p>
      <w:pPr>
        <w:jc w:val="both"/>
      </w:pPr>
      <w:r>
        <w:rPr>
          <w:rFonts w:ascii="Arial" w:hAnsi="Arial" w:cs="Arial"/>
          <w:sz w:val="22"/>
        </w:rPr>
        <w:t>Una ley estatal no desplaza siempre a una ley autonómica por proceder del Estado. Si la comunidad autónoma legisla válidamente en una competencia asumida, su ley se aplica en su ámbito territorial. Si uno de los legisladores invade la competencia ajena, el problema es de constitucionalidad, no de superioridad abstracta. Tampoco una norma autonómica puede contradecir la legislación básica estatal cuando el Estado posee competencia para fijar bases; la norma autonómica completa o desarrolla esas bases dentro de su competencia.</w:t>
      </w:r>
    </w:p>
    <w:p>
      <w:pPr>
        <w:jc w:val="both"/>
      </w:pPr>
      <w:r>
        <w:rPr>
          <w:rFonts w:ascii="Arial" w:hAnsi="Arial" w:cs="Arial"/>
          <w:sz w:val="22"/>
        </w:rPr>
        <w:t>Conviene separar tres preguntas:</w:t>
      </w:r>
    </w:p>
    <w:p>
      <w:pPr>
        <w:spacing w:after="40"/>
        <w:ind w:left="369" w:hanging="227"/>
      </w:pPr>
      <w:r>
        <w:rPr>
          <w:rFonts w:ascii="Arial" w:hAnsi="Arial" w:cs="Arial"/>
          <w:sz w:val="22"/>
        </w:rPr>
        <w:t xml:space="preserve">1. </w:t>
      </w:r>
      <w:r>
        <w:rPr>
          <w:rFonts w:ascii="Arial" w:hAnsi="Arial" w:cs="Arial"/>
          <w:b/>
          <w:sz w:val="22"/>
        </w:rPr>
        <w:t>¿Qué ordenamiento es competente?</w:t>
      </w:r>
      <w:r>
        <w:rPr>
          <w:rFonts w:ascii="Arial" w:hAnsi="Arial" w:cs="Arial"/>
          <w:sz w:val="22"/>
        </w:rPr>
        <w:t xml:space="preserve"> Se examinan Constitución, estatuto y leyes de delimitación competencial.</w:t>
      </w:r>
    </w:p>
    <w:p>
      <w:pPr>
        <w:spacing w:after="40"/>
        <w:ind w:left="369" w:hanging="227"/>
      </w:pPr>
      <w:r>
        <w:rPr>
          <w:rFonts w:ascii="Arial" w:hAnsi="Arial" w:cs="Arial"/>
          <w:sz w:val="22"/>
        </w:rPr>
        <w:t xml:space="preserve">2. </w:t>
      </w:r>
      <w:r>
        <w:rPr>
          <w:rFonts w:ascii="Arial" w:hAnsi="Arial" w:cs="Arial"/>
          <w:b/>
          <w:sz w:val="22"/>
        </w:rPr>
        <w:t>¿Qué rango tiene la norma dentro de ese ordenamiento?</w:t>
      </w:r>
      <w:r>
        <w:rPr>
          <w:rFonts w:ascii="Arial" w:hAnsi="Arial" w:cs="Arial"/>
          <w:sz w:val="22"/>
        </w:rPr>
        <w:t xml:space="preserve"> Se aplica la jerarquía.</w:t>
      </w:r>
    </w:p>
    <w:p>
      <w:pPr>
        <w:spacing w:after="40"/>
        <w:ind w:left="369" w:hanging="227"/>
      </w:pPr>
      <w:r>
        <w:rPr>
          <w:rFonts w:ascii="Arial" w:hAnsi="Arial" w:cs="Arial"/>
          <w:sz w:val="22"/>
        </w:rPr>
        <w:t xml:space="preserve">3. </w:t>
      </w:r>
      <w:r>
        <w:rPr>
          <w:rFonts w:ascii="Arial" w:hAnsi="Arial" w:cs="Arial"/>
          <w:b/>
          <w:sz w:val="22"/>
        </w:rPr>
        <w:t>¿Existe una regla especial de articulación?</w:t>
      </w:r>
      <w:r>
        <w:rPr>
          <w:rFonts w:ascii="Arial" w:hAnsi="Arial" w:cs="Arial"/>
          <w:sz w:val="22"/>
        </w:rPr>
        <w:t xml:space="preserve"> Pueden intervenir bases y desarrollo, prevalencia o supletoriedad del artículo 149.3 CE, cooperación o mecanismos constitucionales específicos.</w:t>
      </w:r>
    </w:p>
    <w:p>
      <w:pPr>
        <w:jc w:val="both"/>
      </w:pPr>
      <w:r>
        <w:rPr>
          <w:rFonts w:ascii="Arial" w:hAnsi="Arial" w:cs="Arial"/>
          <w:sz w:val="22"/>
        </w:rPr>
        <w:t>La cláusula de prevalencia del artículo 149.3 CE opera, en caso de conflicto, en lo no atribuido a la exclusiva competencia autonómica; no convierte sin más toda norma estatal en superior. La supletoriedad del Derecho estatal tampoco es un título competencial autónomo: permite colmar, cuando proceda, lagunas de un ordenamiento autonómico, pero no autoriza al Estado a producir normas invocando únicamente que serán supletorias.</w:t>
      </w:r>
    </w:p>
    <w:p>
      <w:pPr>
        <w:pStyle w:val="Heading2"/>
        <w:keepNext/>
      </w:pPr>
      <w:r>
        <w:rPr>
          <w:rFonts w:ascii="Arial" w:hAnsi="Arial" w:cs="Arial"/>
          <w:sz w:val="25"/>
        </w:rPr>
        <w:t>8.2. Estatutos, leyes autonómicas y reglamentos autonómicos</w:t>
      </w:r>
    </w:p>
    <w:p>
      <w:pPr>
        <w:jc w:val="both"/>
      </w:pPr>
      <w:r>
        <w:rPr>
          <w:rFonts w:ascii="Arial" w:hAnsi="Arial" w:cs="Arial"/>
          <w:sz w:val="22"/>
        </w:rPr>
        <w:t>Los estatutos de autonomía son leyes orgánicas estatales y, a la vez, normas institucionales básicas de cada comunidad. Forman parte del bloque de la constitucionalidad para delimitar competencias y deben respetar la Constitución. La ley autonómica tiene rango de ley en su ámbito y queda sometida a control del Tribunal Constitucional. Los reglamentos autonómicos se subordinan a la Constitución, al estatuto, a la legislación aplicable y a las leyes autonómicas.</w:t>
      </w:r>
    </w:p>
    <w:p>
      <w:pPr>
        <w:jc w:val="both"/>
      </w:pPr>
      <w:r>
        <w:rPr>
          <w:rFonts w:ascii="Arial" w:hAnsi="Arial" w:cs="Arial"/>
          <w:sz w:val="22"/>
        </w:rPr>
        <w:t>La relación entre una ley estatal y una autonómica no se formula normalmente como «ley superior frente a ley inferior». El examen correcto consiste en identificar la materia, el título competencial y, cuando exista legislación básica, qué parte corresponde al Estado y qué margen de desarrollo conserva la comunidad. Una orden administrativa nunca puede corregir una ley autonómica válida.</w:t>
      </w:r>
    </w:p>
    <w:p>
      <w:pPr>
        <w:pStyle w:val="Heading2"/>
        <w:keepNext/>
      </w:pPr>
      <w:r>
        <w:rPr>
          <w:rFonts w:ascii="Arial" w:hAnsi="Arial" w:cs="Arial"/>
          <w:sz w:val="25"/>
        </w:rPr>
        <w:t>8.3. Fuentes locales</w:t>
      </w:r>
    </w:p>
    <w:p>
      <w:pPr>
        <w:jc w:val="both"/>
      </w:pPr>
      <w:r>
        <w:rPr>
          <w:rFonts w:ascii="Arial" w:hAnsi="Arial" w:cs="Arial"/>
          <w:sz w:val="22"/>
        </w:rPr>
        <w:t xml:space="preserve">La autonomía local reconocida por los artículos 137, 140 y 141 CE permite a municipios, provincias e islas gestionar sus intereses, pero no les atribuye potestad legislativa. Sus normas son principalmente </w:t>
      </w:r>
      <w:r>
        <w:rPr>
          <w:rFonts w:ascii="Arial" w:hAnsi="Arial" w:cs="Arial"/>
          <w:b/>
          <w:sz w:val="22"/>
        </w:rPr>
        <w:t>ordenanzas</w:t>
      </w:r>
      <w:r>
        <w:rPr>
          <w:rFonts w:ascii="Arial" w:hAnsi="Arial" w:cs="Arial"/>
          <w:sz w:val="22"/>
        </w:rPr>
        <w:t xml:space="preserve"> y </w:t>
      </w:r>
      <w:r>
        <w:rPr>
          <w:rFonts w:ascii="Arial" w:hAnsi="Arial" w:cs="Arial"/>
          <w:b/>
          <w:sz w:val="22"/>
        </w:rPr>
        <w:t>reglamentos</w:t>
      </w:r>
      <w:r>
        <w:rPr>
          <w:rFonts w:ascii="Arial" w:hAnsi="Arial" w:cs="Arial"/>
          <w:sz w:val="22"/>
        </w:rPr>
        <w:t>, aprobados con arreglo a la legislación de régimen local. Tienen rango reglamentario y deben respetar Constitución, leyes y el marco competencial estatal y autonómico.</w:t>
      </w:r>
    </w:p>
    <w:p>
      <w:pPr>
        <w:jc w:val="both"/>
      </w:pPr>
      <w:r>
        <w:rPr>
          <w:rFonts w:ascii="Arial" w:hAnsi="Arial" w:cs="Arial"/>
          <w:sz w:val="22"/>
        </w:rPr>
        <w:t>La ordenanza puede concretar materias locales y, en ámbitos legalmente habilitados, colaborar con la ley. No puede crear por sí sola una competencia, un tributo o una sanción sin cobertura suficiente. La autonomía local no elimina ni la reserva de ley ni el control judicial. Al comparar una ordenanza con un reglamento estatal o autonómico no basta preguntar cuál fue publicado por una Administración territorial «mayor»; hay que examinar rango, competencia y cobertura legal.</w:t>
      </w:r>
    </w:p>
    <w:tbl>
      <w:tblPr>
        <w:tblStyle w:val="TableGrid"/>
        <w:tblW w:type="dxa" w:w="9026"/>
        <w:jc w:val="left"/>
        <w:tblLayout w:type="fixed"/>
        <w:tblLook w:firstColumn="1" w:firstRow="1" w:lastColumn="0" w:lastRow="0" w:noHBand="0" w:noVBand="1" w:val="04A0"/>
        <w:tblInd w:w="120" w:type="dxa"/>
      </w:tblPr>
      <w:tblGrid>
        <w:gridCol w:w="4616"/>
        <w:gridCol w:w="4410"/>
      </w:tblGrid>
      <w:tr>
        <w:trPr>
          <w:tblHeader w:val="true"/>
        </w:trPr>
        <w:tc>
          <w:tcPr>
            <w:tcW w:type="dxa" w:w="461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Relación</w:t>
            </w:r>
          </w:p>
        </w:tc>
        <w:tc>
          <w:tcPr>
            <w:tcW w:type="dxa" w:w="441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Criterio principal</w:t>
            </w:r>
          </w:p>
        </w:tc>
      </w:tr>
      <w:tr>
        <w:tc>
          <w:tcPr>
            <w:tcW w:type="dxa" w:w="4616"/>
            <w:tcMar>
              <w:top w:w="80" w:type="dxa"/>
              <w:start w:w="120" w:type="dxa"/>
              <w:bottom w:w="80" w:type="dxa"/>
              <w:end w:w="120" w:type="dxa"/>
            </w:tcMar>
            <w:vAlign w:val="center"/>
          </w:tcPr>
          <w:p>
            <w:pPr>
              <w:spacing w:before="0" w:after="0" w:line="240" w:lineRule="auto"/>
              <w:jc w:val="left"/>
            </w:pPr>
            <w:r/>
            <w:r>
              <w:rPr>
                <w:rFonts w:ascii="Arial" w:hAnsi="Arial" w:cs="Arial"/>
                <w:sz w:val="18"/>
              </w:rPr>
              <w:t>Constitución frente a cualquier norma interna</w:t>
            </w:r>
          </w:p>
        </w:tc>
        <w:tc>
          <w:tcPr>
            <w:tcW w:type="dxa" w:w="4410"/>
            <w:tcMar>
              <w:top w:w="80" w:type="dxa"/>
              <w:start w:w="120" w:type="dxa"/>
              <w:bottom w:w="80" w:type="dxa"/>
              <w:end w:w="120" w:type="dxa"/>
            </w:tcMar>
            <w:vAlign w:val="center"/>
          </w:tcPr>
          <w:p>
            <w:pPr>
              <w:spacing w:before="0" w:after="0" w:line="240" w:lineRule="auto"/>
              <w:jc w:val="left"/>
            </w:pPr>
            <w:r/>
            <w:r>
              <w:rPr>
                <w:rFonts w:ascii="Arial" w:hAnsi="Arial" w:cs="Arial"/>
                <w:sz w:val="18"/>
              </w:rPr>
              <w:t>Supremacía constitucional</w:t>
            </w:r>
          </w:p>
        </w:tc>
      </w:tr>
      <w:tr>
        <w:tc>
          <w:tcPr>
            <w:tcW w:type="dxa" w:w="4616"/>
            <w:tcMar>
              <w:top w:w="80" w:type="dxa"/>
              <w:start w:w="120" w:type="dxa"/>
              <w:bottom w:w="80" w:type="dxa"/>
              <w:end w:w="120" w:type="dxa"/>
            </w:tcMar>
            <w:vAlign w:val="center"/>
          </w:tcPr>
          <w:p>
            <w:pPr>
              <w:spacing w:before="0" w:after="0" w:line="240" w:lineRule="auto"/>
              <w:jc w:val="left"/>
            </w:pPr>
            <w:r/>
            <w:r>
              <w:rPr>
                <w:rFonts w:ascii="Arial" w:hAnsi="Arial" w:cs="Arial"/>
                <w:sz w:val="18"/>
              </w:rPr>
              <w:t>Ley frente a reglamento del mismo sistema</w:t>
            </w:r>
          </w:p>
        </w:tc>
        <w:tc>
          <w:tcPr>
            <w:tcW w:type="dxa" w:w="4410"/>
            <w:tcMar>
              <w:top w:w="80" w:type="dxa"/>
              <w:start w:w="120" w:type="dxa"/>
              <w:bottom w:w="80" w:type="dxa"/>
              <w:end w:w="120" w:type="dxa"/>
            </w:tcMar>
            <w:vAlign w:val="center"/>
          </w:tcPr>
          <w:p>
            <w:pPr>
              <w:spacing w:before="0" w:after="0" w:line="240" w:lineRule="auto"/>
              <w:jc w:val="left"/>
            </w:pPr>
            <w:r/>
            <w:r>
              <w:rPr>
                <w:rFonts w:ascii="Arial" w:hAnsi="Arial" w:cs="Arial"/>
                <w:sz w:val="18"/>
              </w:rPr>
              <w:t>Jerarquía y reserva de ley</w:t>
            </w:r>
          </w:p>
        </w:tc>
      </w:tr>
      <w:tr>
        <w:tc>
          <w:tcPr>
            <w:tcW w:type="dxa" w:w="4616"/>
            <w:tcMar>
              <w:top w:w="80" w:type="dxa"/>
              <w:start w:w="120" w:type="dxa"/>
              <w:bottom w:w="80" w:type="dxa"/>
              <w:end w:w="120" w:type="dxa"/>
            </w:tcMar>
            <w:vAlign w:val="center"/>
          </w:tcPr>
          <w:p>
            <w:pPr>
              <w:spacing w:before="0" w:after="0" w:line="240" w:lineRule="auto"/>
              <w:jc w:val="left"/>
            </w:pPr>
            <w:r/>
            <w:r>
              <w:rPr>
                <w:rFonts w:ascii="Arial" w:hAnsi="Arial" w:cs="Arial"/>
                <w:sz w:val="18"/>
              </w:rPr>
              <w:t>Ley estatal frente a ley autonómica</w:t>
            </w:r>
          </w:p>
        </w:tc>
        <w:tc>
          <w:tcPr>
            <w:tcW w:type="dxa" w:w="4410"/>
            <w:tcMar>
              <w:top w:w="80" w:type="dxa"/>
              <w:start w:w="120" w:type="dxa"/>
              <w:bottom w:w="80" w:type="dxa"/>
              <w:end w:w="120" w:type="dxa"/>
            </w:tcMar>
            <w:vAlign w:val="center"/>
          </w:tcPr>
          <w:p>
            <w:pPr>
              <w:spacing w:before="0" w:after="0" w:line="240" w:lineRule="auto"/>
              <w:jc w:val="left"/>
            </w:pPr>
            <w:r/>
            <w:r>
              <w:rPr>
                <w:rFonts w:ascii="Arial" w:hAnsi="Arial" w:cs="Arial"/>
                <w:sz w:val="18"/>
              </w:rPr>
              <w:t>Competencia y bloque de la constitucionalidad</w:t>
            </w:r>
          </w:p>
        </w:tc>
      </w:tr>
      <w:tr>
        <w:tc>
          <w:tcPr>
            <w:tcW w:type="dxa" w:w="4616"/>
            <w:tcMar>
              <w:top w:w="80" w:type="dxa"/>
              <w:start w:w="120" w:type="dxa"/>
              <w:bottom w:w="80" w:type="dxa"/>
              <w:end w:w="120" w:type="dxa"/>
            </w:tcMar>
            <w:vAlign w:val="center"/>
          </w:tcPr>
          <w:p>
            <w:pPr>
              <w:spacing w:before="0" w:after="0" w:line="240" w:lineRule="auto"/>
              <w:jc w:val="left"/>
            </w:pPr>
            <w:r/>
            <w:r>
              <w:rPr>
                <w:rFonts w:ascii="Arial" w:hAnsi="Arial" w:cs="Arial"/>
                <w:sz w:val="18"/>
              </w:rPr>
              <w:t>Legislación básica estatal y desarrollo autonómico</w:t>
            </w:r>
          </w:p>
        </w:tc>
        <w:tc>
          <w:tcPr>
            <w:tcW w:type="dxa" w:w="4410"/>
            <w:tcMar>
              <w:top w:w="80" w:type="dxa"/>
              <w:start w:w="120" w:type="dxa"/>
              <w:bottom w:w="80" w:type="dxa"/>
              <w:end w:w="120" w:type="dxa"/>
            </w:tcMar>
            <w:vAlign w:val="center"/>
          </w:tcPr>
          <w:p>
            <w:pPr>
              <w:spacing w:before="0" w:after="0" w:line="240" w:lineRule="auto"/>
              <w:jc w:val="left"/>
            </w:pPr>
            <w:r/>
            <w:r>
              <w:rPr>
                <w:rFonts w:ascii="Arial" w:hAnsi="Arial" w:cs="Arial"/>
                <w:sz w:val="18"/>
              </w:rPr>
              <w:t>Competencia compartida: bases/desarrollo</w:t>
            </w:r>
          </w:p>
        </w:tc>
      </w:tr>
      <w:tr>
        <w:tc>
          <w:tcPr>
            <w:tcW w:type="dxa" w:w="4616"/>
            <w:tcMar>
              <w:top w:w="80" w:type="dxa"/>
              <w:start w:w="120" w:type="dxa"/>
              <w:bottom w:w="80" w:type="dxa"/>
              <w:end w:w="120" w:type="dxa"/>
            </w:tcMar>
            <w:vAlign w:val="center"/>
          </w:tcPr>
          <w:p>
            <w:pPr>
              <w:spacing w:before="0" w:after="0" w:line="240" w:lineRule="auto"/>
              <w:jc w:val="left"/>
            </w:pPr>
            <w:r/>
            <w:r>
              <w:rPr>
                <w:rFonts w:ascii="Arial" w:hAnsi="Arial" w:cs="Arial"/>
                <w:sz w:val="18"/>
              </w:rPr>
              <w:t>Reglamento estatal y autonómico</w:t>
            </w:r>
          </w:p>
        </w:tc>
        <w:tc>
          <w:tcPr>
            <w:tcW w:type="dxa" w:w="4410"/>
            <w:tcMar>
              <w:top w:w="80" w:type="dxa"/>
              <w:start w:w="120" w:type="dxa"/>
              <w:bottom w:w="80" w:type="dxa"/>
              <w:end w:w="120" w:type="dxa"/>
            </w:tcMar>
            <w:vAlign w:val="center"/>
          </w:tcPr>
          <w:p>
            <w:pPr>
              <w:spacing w:before="0" w:after="0" w:line="240" w:lineRule="auto"/>
              <w:jc w:val="left"/>
            </w:pPr>
            <w:r/>
            <w:r>
              <w:rPr>
                <w:rFonts w:ascii="Arial" w:hAnsi="Arial" w:cs="Arial"/>
                <w:sz w:val="18"/>
              </w:rPr>
              <w:t>Competencia, además de jerarquía interna</w:t>
            </w:r>
          </w:p>
        </w:tc>
      </w:tr>
      <w:tr>
        <w:tc>
          <w:tcPr>
            <w:tcW w:type="dxa" w:w="4616"/>
            <w:tcMar>
              <w:top w:w="80" w:type="dxa"/>
              <w:start w:w="120" w:type="dxa"/>
              <w:bottom w:w="80" w:type="dxa"/>
              <w:end w:w="120" w:type="dxa"/>
            </w:tcMar>
            <w:vAlign w:val="center"/>
          </w:tcPr>
          <w:p>
            <w:pPr>
              <w:spacing w:before="0" w:after="0" w:line="240" w:lineRule="auto"/>
              <w:jc w:val="left"/>
            </w:pPr>
            <w:r/>
            <w:r>
              <w:rPr>
                <w:rFonts w:ascii="Arial" w:hAnsi="Arial" w:cs="Arial"/>
                <w:sz w:val="18"/>
              </w:rPr>
              <w:t>Ordenanza local y ley</w:t>
            </w:r>
          </w:p>
        </w:tc>
        <w:tc>
          <w:tcPr>
            <w:tcW w:type="dxa" w:w="4410"/>
            <w:tcMar>
              <w:top w:w="80" w:type="dxa"/>
              <w:start w:w="120" w:type="dxa"/>
              <w:bottom w:w="80" w:type="dxa"/>
              <w:end w:w="120" w:type="dxa"/>
            </w:tcMar>
            <w:vAlign w:val="center"/>
          </w:tcPr>
          <w:p>
            <w:pPr>
              <w:spacing w:before="0" w:after="0" w:line="240" w:lineRule="auto"/>
              <w:jc w:val="left"/>
            </w:pPr>
            <w:r/>
            <w:r>
              <w:rPr>
                <w:rFonts w:ascii="Arial" w:hAnsi="Arial" w:cs="Arial"/>
                <w:sz w:val="18"/>
              </w:rPr>
              <w:t>Subordinación de la ordenanza y competencia local</w:t>
            </w:r>
          </w:p>
        </w:tc>
      </w:tr>
    </w:tbl>
    <w:p>
      <w:pPr>
        <w:spacing w:after="40"/>
      </w:pPr>
    </w:p>
    <w:p>
      <w:pPr>
        <w:pStyle w:val="Heading1"/>
        <w:keepNext/>
      </w:pPr>
      <w:r>
        <w:rPr>
          <w:rFonts w:ascii="Arial" w:hAnsi="Arial" w:cs="Arial"/>
          <w:sz w:val="30"/>
        </w:rPr>
        <w:t>9. La costumbre, los usos y la práctica administrativa</w:t>
      </w:r>
    </w:p>
    <w:p>
      <w:pPr>
        <w:pStyle w:val="Heading2"/>
        <w:keepNext/>
      </w:pPr>
      <w:r>
        <w:rPr>
          <w:rFonts w:ascii="Arial" w:hAnsi="Arial" w:cs="Arial"/>
          <w:sz w:val="25"/>
        </w:rPr>
        <w:t>9.1. Costumbre como fuente subsidiaria</w:t>
      </w:r>
    </w:p>
    <w:p>
      <w:pPr>
        <w:jc w:val="both"/>
      </w:pPr>
      <w:r>
        <w:rPr>
          <w:rFonts w:ascii="Arial" w:hAnsi="Arial" w:cs="Arial"/>
          <w:sz w:val="22"/>
        </w:rPr>
        <w:t>El artículo 1.3 CC dispone que la costumbre rige en defecto de ley aplicable, siempre que no sea contraria a la moral o al orden público y resulte probada. En Derecho administrativo su función es reducida porque la Administración está intensamente sometida a normas escritas y solo puede ejercer potestades atribuidas por el ordenamiento. La costumbre no crea una potestad pública ni permite prescindir de un procedimiento exigido por ley.</w:t>
      </w:r>
    </w:p>
    <w:p>
      <w:pPr>
        <w:jc w:val="both"/>
      </w:pPr>
      <w:r>
        <w:rPr>
          <w:rFonts w:ascii="Arial" w:hAnsi="Arial" w:cs="Arial"/>
          <w:sz w:val="22"/>
        </w:rPr>
        <w:t xml:space="preserve">Para apreciar una costumbre se exigen un comportamiento reiterado y uniforme y la convicción de su obligatoriedad jurídica. Quien la invoca debe probarla, salvo que sea notoria en los términos procesales admisibles. Puede actuar </w:t>
      </w:r>
      <w:r>
        <w:rPr>
          <w:rFonts w:ascii="Arial" w:hAnsi="Arial" w:cs="Arial"/>
          <w:b/>
          <w:sz w:val="22"/>
        </w:rPr>
        <w:t>praeter legem</w:t>
      </w:r>
      <w:r>
        <w:rPr>
          <w:rFonts w:ascii="Arial" w:hAnsi="Arial" w:cs="Arial"/>
          <w:sz w:val="22"/>
        </w:rPr>
        <w:t xml:space="preserve">, en una laguna, pero nunca </w:t>
      </w:r>
      <w:r>
        <w:rPr>
          <w:rFonts w:ascii="Arial" w:hAnsi="Arial" w:cs="Arial"/>
          <w:b/>
          <w:sz w:val="22"/>
        </w:rPr>
        <w:t>contra legem</w:t>
      </w:r>
      <w:r>
        <w:rPr>
          <w:rFonts w:ascii="Arial" w:hAnsi="Arial" w:cs="Arial"/>
          <w:sz w:val="22"/>
        </w:rPr>
        <w:t>. La mera repetición de una actuación ilegal no la transforma en Derecho.</w:t>
      </w:r>
    </w:p>
    <w:p>
      <w:pPr>
        <w:jc w:val="both"/>
      </w:pPr>
      <w:r>
        <w:rPr>
          <w:rFonts w:ascii="Arial" w:hAnsi="Arial" w:cs="Arial"/>
          <w:sz w:val="22"/>
        </w:rPr>
        <w:t>Existen remisiones legales expresas a usos o costumbres en ámbitos concretos. Esas remisiones refuerzan su relevancia, aunque la aplicabilidad deriva en último término de la norma que abre ese espacio. También puede haber costumbres constitucionales o prácticas institucionales, pero no desplazan reglas constitucionales escritas.</w:t>
      </w:r>
    </w:p>
    <w:p>
      <w:pPr>
        <w:pStyle w:val="Heading2"/>
        <w:keepNext/>
      </w:pPr>
      <w:r>
        <w:rPr>
          <w:rFonts w:ascii="Arial" w:hAnsi="Arial" w:cs="Arial"/>
          <w:sz w:val="25"/>
        </w:rPr>
        <w:t>9.2. Precedente y práctica administrativa</w:t>
      </w:r>
    </w:p>
    <w:p>
      <w:pPr>
        <w:jc w:val="both"/>
      </w:pPr>
      <w:r>
        <w:rPr>
          <w:rFonts w:ascii="Arial" w:hAnsi="Arial" w:cs="Arial"/>
          <w:sz w:val="22"/>
        </w:rPr>
        <w:t xml:space="preserve">El </w:t>
      </w:r>
      <w:r>
        <w:rPr>
          <w:rFonts w:ascii="Arial" w:hAnsi="Arial" w:cs="Arial"/>
          <w:b/>
          <w:sz w:val="22"/>
        </w:rPr>
        <w:t>precedente administrativo</w:t>
      </w:r>
      <w:r>
        <w:rPr>
          <w:rFonts w:ascii="Arial" w:hAnsi="Arial" w:cs="Arial"/>
          <w:sz w:val="22"/>
        </w:rPr>
        <w:t xml:space="preserve"> es la solución adoptada antes por una Administración en casos semejantes. No es una fuente equiparable a la ley ni genera un derecho a repetir una ilegalidad. Sin embargo, tiene relevancia por igualdad, interdicción de arbitrariedad, seguridad jurídica y confianza legítima. El artículo 35.1.c LPAC exige motivar los actos que se separen del criterio seguido en actuaciones precedentes o del dictamen de órganos consultivos.</w:t>
      </w:r>
    </w:p>
    <w:p>
      <w:pPr>
        <w:jc w:val="both"/>
      </w:pPr>
      <w:r>
        <w:rPr>
          <w:rFonts w:ascii="Arial" w:hAnsi="Arial" w:cs="Arial"/>
          <w:sz w:val="22"/>
        </w:rPr>
        <w:t xml:space="preserve">La Administración puede cambiar un criterio interpretativo para aplicar mejor la legalidad, pero debe explicar por qué y tratar de forma coherente supuestos sustancialmente iguales. El precedente ilegal no vincula: igualdad significa igualdad </w:t>
      </w:r>
      <w:r>
        <w:rPr>
          <w:rFonts w:ascii="Arial" w:hAnsi="Arial" w:cs="Arial"/>
          <w:b/>
          <w:sz w:val="22"/>
        </w:rPr>
        <w:t>en la legalidad</w:t>
      </w:r>
      <w:r>
        <w:rPr>
          <w:rFonts w:ascii="Arial" w:hAnsi="Arial" w:cs="Arial"/>
          <w:sz w:val="22"/>
        </w:rPr>
        <w:t>, no derecho a obtener un nuevo acto contrario al ordenamiento.</w:t>
      </w:r>
    </w:p>
    <w:p>
      <w:pPr>
        <w:jc w:val="both"/>
      </w:pPr>
      <w:r>
        <w:rPr>
          <w:rFonts w:ascii="Arial" w:hAnsi="Arial" w:cs="Arial"/>
          <w:sz w:val="22"/>
        </w:rPr>
        <w:t xml:space="preserve">La </w:t>
      </w:r>
      <w:r>
        <w:rPr>
          <w:rFonts w:ascii="Arial" w:hAnsi="Arial" w:cs="Arial"/>
          <w:b/>
          <w:sz w:val="22"/>
        </w:rPr>
        <w:t>práctica administrativa</w:t>
      </w:r>
      <w:r>
        <w:rPr>
          <w:rFonts w:ascii="Arial" w:hAnsi="Arial" w:cs="Arial"/>
          <w:sz w:val="22"/>
        </w:rPr>
        <w:t xml:space="preserve"> es una conducta interna reiterada; una circular, manual o hábito de oficina puede facilitar gestión, pero no altera competencias, plazos o derechos fijados por una norma. La </w:t>
      </w:r>
      <w:r>
        <w:rPr>
          <w:rFonts w:ascii="Arial" w:hAnsi="Arial" w:cs="Arial"/>
          <w:b/>
          <w:sz w:val="22"/>
        </w:rPr>
        <w:t>tolerancia</w:t>
      </w:r>
      <w:r>
        <w:rPr>
          <w:rFonts w:ascii="Arial" w:hAnsi="Arial" w:cs="Arial"/>
          <w:sz w:val="22"/>
        </w:rPr>
        <w:t xml:space="preserve"> de la Administración tampoco deroga una prohibición. La </w:t>
      </w:r>
      <w:r>
        <w:rPr>
          <w:rFonts w:ascii="Arial" w:hAnsi="Arial" w:cs="Arial"/>
          <w:b/>
          <w:sz w:val="22"/>
        </w:rPr>
        <w:t>desuetudo</w:t>
      </w:r>
      <w:r>
        <w:rPr>
          <w:rFonts w:ascii="Arial" w:hAnsi="Arial" w:cs="Arial"/>
          <w:sz w:val="22"/>
        </w:rPr>
        <w:t>, o falta prolongada de aplicación, no deroga por sí sola una ley o reglamento vigente.</w:t>
      </w:r>
    </w:p>
    <w:tbl>
      <w:tblPr>
        <w:tblStyle w:val="TableGrid"/>
        <w:tblW w:type="dxa" w:w="9026"/>
        <w:jc w:val="left"/>
        <w:tblLayout w:type="fixed"/>
        <w:tblLook w:firstColumn="1" w:firstRow="1" w:lastColumn="0" w:lastRow="0" w:noHBand="0" w:noVBand="1" w:val="04A0"/>
        <w:tblInd w:w="120" w:type="dxa"/>
      </w:tblPr>
      <w:tblGrid>
        <w:gridCol w:w="3359"/>
        <w:gridCol w:w="1679"/>
        <w:gridCol w:w="3988"/>
      </w:tblGrid>
      <w:tr>
        <w:trPr>
          <w:tblHeader w:val="true"/>
        </w:trPr>
        <w:tc>
          <w:tcPr>
            <w:tcW w:type="dxa" w:w="335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Figura</w:t>
            </w:r>
          </w:p>
        </w:tc>
        <w:tc>
          <w:tcPr>
            <w:tcW w:type="dxa" w:w="1679"/>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¿Es norma?</w:t>
            </w:r>
          </w:p>
        </w:tc>
        <w:tc>
          <w:tcPr>
            <w:tcW w:type="dxa" w:w="3988"/>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Efecto correcto</w:t>
            </w:r>
          </w:p>
        </w:tc>
      </w:tr>
      <w:tr>
        <w:tc>
          <w:tcPr>
            <w:tcW w:type="dxa" w:w="3359"/>
            <w:tcMar>
              <w:top w:w="80" w:type="dxa"/>
              <w:start w:w="120" w:type="dxa"/>
              <w:bottom w:w="80" w:type="dxa"/>
              <w:end w:w="120" w:type="dxa"/>
            </w:tcMar>
            <w:vAlign w:val="center"/>
          </w:tcPr>
          <w:p>
            <w:pPr>
              <w:spacing w:before="0" w:after="0" w:line="240" w:lineRule="auto"/>
              <w:jc w:val="left"/>
            </w:pPr>
            <w:r/>
            <w:r>
              <w:rPr>
                <w:rFonts w:ascii="Arial" w:hAnsi="Arial" w:cs="Arial"/>
                <w:sz w:val="18"/>
              </w:rPr>
              <w:t>Costumbre probada y no contraria a ley</w:t>
            </w:r>
          </w:p>
        </w:tc>
        <w:tc>
          <w:tcPr>
            <w:tcW w:type="dxa" w:w="1679"/>
            <w:tcMar>
              <w:top w:w="80" w:type="dxa"/>
              <w:start w:w="120" w:type="dxa"/>
              <w:bottom w:w="80" w:type="dxa"/>
              <w:end w:w="120" w:type="dxa"/>
            </w:tcMar>
            <w:vAlign w:val="center"/>
          </w:tcPr>
          <w:p>
            <w:pPr>
              <w:spacing w:before="0" w:after="0" w:line="240" w:lineRule="auto"/>
              <w:jc w:val="center"/>
            </w:pPr>
            <w:r/>
            <w:r>
              <w:rPr>
                <w:rFonts w:ascii="Arial" w:hAnsi="Arial" w:cs="Arial"/>
                <w:sz w:val="18"/>
              </w:rPr>
              <w:t>Sí, subsidiaria</w:t>
            </w:r>
          </w:p>
        </w:tc>
        <w:tc>
          <w:tcPr>
            <w:tcW w:type="dxa" w:w="3988"/>
            <w:tcMar>
              <w:top w:w="80" w:type="dxa"/>
              <w:start w:w="120" w:type="dxa"/>
              <w:bottom w:w="80" w:type="dxa"/>
              <w:end w:w="120" w:type="dxa"/>
            </w:tcMar>
            <w:vAlign w:val="center"/>
          </w:tcPr>
          <w:p>
            <w:pPr>
              <w:spacing w:before="0" w:after="0" w:line="240" w:lineRule="auto"/>
              <w:jc w:val="left"/>
            </w:pPr>
            <w:r/>
            <w:r>
              <w:rPr>
                <w:rFonts w:ascii="Arial" w:hAnsi="Arial" w:cs="Arial"/>
                <w:sz w:val="18"/>
              </w:rPr>
              <w:t>Rige en defecto de ley aplicable</w:t>
            </w:r>
          </w:p>
        </w:tc>
      </w:tr>
      <w:tr>
        <w:tc>
          <w:tcPr>
            <w:tcW w:type="dxa" w:w="3359"/>
            <w:tcMar>
              <w:top w:w="80" w:type="dxa"/>
              <w:start w:w="120" w:type="dxa"/>
              <w:bottom w:w="80" w:type="dxa"/>
              <w:end w:w="120" w:type="dxa"/>
            </w:tcMar>
            <w:vAlign w:val="center"/>
          </w:tcPr>
          <w:p>
            <w:pPr>
              <w:spacing w:before="0" w:after="0" w:line="240" w:lineRule="auto"/>
              <w:jc w:val="left"/>
            </w:pPr>
            <w:r/>
            <w:r>
              <w:rPr>
                <w:rFonts w:ascii="Arial" w:hAnsi="Arial" w:cs="Arial"/>
                <w:sz w:val="18"/>
              </w:rPr>
              <w:t>Precedente administrativo</w:t>
            </w:r>
          </w:p>
        </w:tc>
        <w:tc>
          <w:tcPr>
            <w:tcW w:type="dxa" w:w="1679"/>
            <w:tcMar>
              <w:top w:w="80" w:type="dxa"/>
              <w:start w:w="120" w:type="dxa"/>
              <w:bottom w:w="80" w:type="dxa"/>
              <w:end w:w="120" w:type="dxa"/>
            </w:tcMar>
            <w:vAlign w:val="center"/>
          </w:tcPr>
          <w:p>
            <w:pPr>
              <w:spacing w:before="0" w:after="0" w:line="240" w:lineRule="auto"/>
              <w:jc w:val="center"/>
            </w:pPr>
            <w:r/>
            <w:r>
              <w:rPr>
                <w:rFonts w:ascii="Arial" w:hAnsi="Arial" w:cs="Arial"/>
                <w:sz w:val="18"/>
              </w:rPr>
              <w:t>No</w:t>
            </w:r>
          </w:p>
        </w:tc>
        <w:tc>
          <w:tcPr>
            <w:tcW w:type="dxa" w:w="3988"/>
            <w:tcMar>
              <w:top w:w="80" w:type="dxa"/>
              <w:start w:w="120" w:type="dxa"/>
              <w:bottom w:w="80" w:type="dxa"/>
              <w:end w:w="120" w:type="dxa"/>
            </w:tcMar>
            <w:vAlign w:val="center"/>
          </w:tcPr>
          <w:p>
            <w:pPr>
              <w:spacing w:before="0" w:after="0" w:line="240" w:lineRule="auto"/>
              <w:jc w:val="left"/>
            </w:pPr>
            <w:r/>
            <w:r>
              <w:rPr>
                <w:rFonts w:ascii="Arial" w:hAnsi="Arial" w:cs="Arial"/>
                <w:sz w:val="18"/>
              </w:rPr>
              <w:t>Exige coherencia o motivación del cambio</w:t>
            </w:r>
          </w:p>
        </w:tc>
      </w:tr>
      <w:tr>
        <w:tc>
          <w:tcPr>
            <w:tcW w:type="dxa" w:w="3359"/>
            <w:tcMar>
              <w:top w:w="80" w:type="dxa"/>
              <w:start w:w="120" w:type="dxa"/>
              <w:bottom w:w="80" w:type="dxa"/>
              <w:end w:w="120" w:type="dxa"/>
            </w:tcMar>
            <w:vAlign w:val="center"/>
          </w:tcPr>
          <w:p>
            <w:pPr>
              <w:spacing w:before="0" w:after="0" w:line="240" w:lineRule="auto"/>
              <w:jc w:val="left"/>
            </w:pPr>
            <w:r/>
            <w:r>
              <w:rPr>
                <w:rFonts w:ascii="Arial" w:hAnsi="Arial" w:cs="Arial"/>
                <w:sz w:val="18"/>
              </w:rPr>
              <w:t>Práctica interna</w:t>
            </w:r>
          </w:p>
        </w:tc>
        <w:tc>
          <w:tcPr>
            <w:tcW w:type="dxa" w:w="1679"/>
            <w:tcMar>
              <w:top w:w="80" w:type="dxa"/>
              <w:start w:w="120" w:type="dxa"/>
              <w:bottom w:w="80" w:type="dxa"/>
              <w:end w:w="120" w:type="dxa"/>
            </w:tcMar>
            <w:vAlign w:val="center"/>
          </w:tcPr>
          <w:p>
            <w:pPr>
              <w:spacing w:before="0" w:after="0" w:line="240" w:lineRule="auto"/>
              <w:jc w:val="left"/>
            </w:pPr>
            <w:r/>
            <w:r>
              <w:rPr>
                <w:rFonts w:ascii="Arial" w:hAnsi="Arial" w:cs="Arial"/>
                <w:sz w:val="18"/>
              </w:rPr>
              <w:t>No necesariamente</w:t>
            </w:r>
          </w:p>
        </w:tc>
        <w:tc>
          <w:tcPr>
            <w:tcW w:type="dxa" w:w="3988"/>
            <w:tcMar>
              <w:top w:w="80" w:type="dxa"/>
              <w:start w:w="120" w:type="dxa"/>
              <w:bottom w:w="80" w:type="dxa"/>
              <w:end w:w="120" w:type="dxa"/>
            </w:tcMar>
            <w:vAlign w:val="center"/>
          </w:tcPr>
          <w:p>
            <w:pPr>
              <w:spacing w:before="0" w:after="0" w:line="240" w:lineRule="auto"/>
              <w:jc w:val="left"/>
            </w:pPr>
            <w:r/>
            <w:r>
              <w:rPr>
                <w:rFonts w:ascii="Arial" w:hAnsi="Arial" w:cs="Arial"/>
                <w:sz w:val="18"/>
              </w:rPr>
              <w:t>Orienta gestión, sin alterar el ordenamiento</w:t>
            </w:r>
          </w:p>
        </w:tc>
      </w:tr>
      <w:tr>
        <w:tc>
          <w:tcPr>
            <w:tcW w:type="dxa" w:w="3359"/>
            <w:tcMar>
              <w:top w:w="80" w:type="dxa"/>
              <w:start w:w="120" w:type="dxa"/>
              <w:bottom w:w="80" w:type="dxa"/>
              <w:end w:w="120" w:type="dxa"/>
            </w:tcMar>
            <w:vAlign w:val="center"/>
          </w:tcPr>
          <w:p>
            <w:pPr>
              <w:spacing w:before="0" w:after="0" w:line="240" w:lineRule="auto"/>
              <w:jc w:val="left"/>
            </w:pPr>
            <w:r/>
            <w:r>
              <w:rPr>
                <w:rFonts w:ascii="Arial" w:hAnsi="Arial" w:cs="Arial"/>
                <w:sz w:val="18"/>
              </w:rPr>
              <w:t>Reiteración de una ilegalidad</w:t>
            </w:r>
          </w:p>
        </w:tc>
        <w:tc>
          <w:tcPr>
            <w:tcW w:type="dxa" w:w="1679"/>
            <w:tcMar>
              <w:top w:w="80" w:type="dxa"/>
              <w:start w:w="120" w:type="dxa"/>
              <w:bottom w:w="80" w:type="dxa"/>
              <w:end w:w="120" w:type="dxa"/>
            </w:tcMar>
            <w:vAlign w:val="center"/>
          </w:tcPr>
          <w:p>
            <w:pPr>
              <w:spacing w:before="0" w:after="0" w:line="240" w:lineRule="auto"/>
              <w:jc w:val="center"/>
            </w:pPr>
            <w:r/>
            <w:r>
              <w:rPr>
                <w:rFonts w:ascii="Arial" w:hAnsi="Arial" w:cs="Arial"/>
                <w:sz w:val="18"/>
              </w:rPr>
              <w:t>No</w:t>
            </w:r>
          </w:p>
        </w:tc>
        <w:tc>
          <w:tcPr>
            <w:tcW w:type="dxa" w:w="3988"/>
            <w:tcMar>
              <w:top w:w="80" w:type="dxa"/>
              <w:start w:w="120" w:type="dxa"/>
              <w:bottom w:w="80" w:type="dxa"/>
              <w:end w:w="120" w:type="dxa"/>
            </w:tcMar>
            <w:vAlign w:val="center"/>
          </w:tcPr>
          <w:p>
            <w:pPr>
              <w:spacing w:before="0" w:after="0" w:line="240" w:lineRule="auto"/>
              <w:jc w:val="left"/>
            </w:pPr>
            <w:r/>
            <w:r>
              <w:rPr>
                <w:rFonts w:ascii="Arial" w:hAnsi="Arial" w:cs="Arial"/>
                <w:sz w:val="18"/>
              </w:rPr>
              <w:t>No crea derecho a repetirla</w:t>
            </w:r>
          </w:p>
        </w:tc>
      </w:tr>
      <w:tr>
        <w:tc>
          <w:tcPr>
            <w:tcW w:type="dxa" w:w="3359"/>
            <w:tcMar>
              <w:top w:w="80" w:type="dxa"/>
              <w:start w:w="120" w:type="dxa"/>
              <w:bottom w:w="80" w:type="dxa"/>
              <w:end w:w="120" w:type="dxa"/>
            </w:tcMar>
            <w:vAlign w:val="center"/>
          </w:tcPr>
          <w:p>
            <w:pPr>
              <w:spacing w:before="0" w:after="0" w:line="240" w:lineRule="auto"/>
              <w:jc w:val="left"/>
            </w:pPr>
            <w:r/>
            <w:r>
              <w:rPr>
                <w:rFonts w:ascii="Arial" w:hAnsi="Arial" w:cs="Arial"/>
                <w:sz w:val="18"/>
              </w:rPr>
              <w:t>Falta de uso de una norma</w:t>
            </w:r>
          </w:p>
        </w:tc>
        <w:tc>
          <w:tcPr>
            <w:tcW w:type="dxa" w:w="1679"/>
            <w:tcMar>
              <w:top w:w="80" w:type="dxa"/>
              <w:start w:w="120" w:type="dxa"/>
              <w:bottom w:w="80" w:type="dxa"/>
              <w:end w:w="120" w:type="dxa"/>
            </w:tcMar>
            <w:vAlign w:val="center"/>
          </w:tcPr>
          <w:p>
            <w:pPr>
              <w:spacing w:before="0" w:after="0" w:line="240" w:lineRule="auto"/>
              <w:jc w:val="center"/>
            </w:pPr>
            <w:r/>
            <w:r>
              <w:rPr>
                <w:rFonts w:ascii="Arial" w:hAnsi="Arial" w:cs="Arial"/>
                <w:sz w:val="18"/>
              </w:rPr>
              <w:t>No</w:t>
            </w:r>
          </w:p>
        </w:tc>
        <w:tc>
          <w:tcPr>
            <w:tcW w:type="dxa" w:w="3988"/>
            <w:tcMar>
              <w:top w:w="80" w:type="dxa"/>
              <w:start w:w="120" w:type="dxa"/>
              <w:bottom w:w="80" w:type="dxa"/>
              <w:end w:w="120" w:type="dxa"/>
            </w:tcMar>
            <w:vAlign w:val="center"/>
          </w:tcPr>
          <w:p>
            <w:pPr>
              <w:spacing w:before="0" w:after="0" w:line="240" w:lineRule="auto"/>
              <w:jc w:val="left"/>
            </w:pPr>
            <w:r/>
            <w:r>
              <w:rPr>
                <w:rFonts w:ascii="Arial" w:hAnsi="Arial" w:cs="Arial"/>
                <w:sz w:val="18"/>
              </w:rPr>
              <w:t>No produce derogación por sí sola</w:t>
            </w:r>
          </w:p>
        </w:tc>
      </w:tr>
    </w:tbl>
    <w:p>
      <w:pPr>
        <w:spacing w:after="40"/>
      </w:pPr>
    </w:p>
    <w:p>
      <w:pPr>
        <w:pStyle w:val="Heading1"/>
        <w:keepNext/>
      </w:pPr>
      <w:r>
        <w:rPr>
          <w:rFonts w:ascii="Arial" w:hAnsi="Arial" w:cs="Arial"/>
          <w:sz w:val="30"/>
        </w:rPr>
        <w:t>10. Los principios generales del Derecho</w:t>
      </w:r>
    </w:p>
    <w:p>
      <w:pPr>
        <w:pStyle w:val="Heading2"/>
        <w:keepNext/>
      </w:pPr>
      <w:r>
        <w:rPr>
          <w:rFonts w:ascii="Arial" w:hAnsi="Arial" w:cs="Arial"/>
          <w:sz w:val="25"/>
        </w:rPr>
        <w:t>10.1. Doble función</w:t>
      </w:r>
    </w:p>
    <w:p>
      <w:pPr>
        <w:jc w:val="both"/>
      </w:pPr>
      <w:r>
        <w:rPr>
          <w:rFonts w:ascii="Arial" w:hAnsi="Arial" w:cs="Arial"/>
          <w:sz w:val="22"/>
        </w:rPr>
        <w:t>El artículo 1.4 CC reconoce los principios generales como fuente aplicable en defecto de ley o costumbre, «sin perjuicio de su carácter informador del ordenamiento jurídico». Cumplen, por tanto, una doble función:</w:t>
      </w:r>
    </w:p>
    <w:p>
      <w:pPr>
        <w:pStyle w:val="ListBullet"/>
      </w:pPr>
      <w:r>
        <w:rPr>
          <w:rFonts w:ascii="Arial" w:hAnsi="Arial" w:cs="Arial"/>
          <w:b/>
          <w:sz w:val="22"/>
        </w:rPr>
        <w:t>Fuente subsidiaria:</w:t>
      </w:r>
      <w:r>
        <w:rPr>
          <w:rFonts w:ascii="Arial" w:hAnsi="Arial" w:cs="Arial"/>
          <w:sz w:val="22"/>
        </w:rPr>
        <w:t xml:space="preserve"> ofrecen una solución jurídica cuando falta una regla escrita y no existe costumbre aplicable.</w:t>
      </w:r>
    </w:p>
    <w:p>
      <w:pPr>
        <w:pStyle w:val="ListBullet"/>
      </w:pPr>
      <w:r>
        <w:rPr>
          <w:rFonts w:ascii="Arial" w:hAnsi="Arial" w:cs="Arial"/>
          <w:b/>
          <w:sz w:val="22"/>
        </w:rPr>
        <w:t>Función informadora e interpretativa:</w:t>
      </w:r>
      <w:r>
        <w:rPr>
          <w:rFonts w:ascii="Arial" w:hAnsi="Arial" w:cs="Arial"/>
          <w:sz w:val="22"/>
        </w:rPr>
        <w:t xml:space="preserve"> orientan la elaboración, interpretación y aplicación de todas las normas, incluso cuando hay una regla escrita.</w:t>
      </w:r>
    </w:p>
    <w:p>
      <w:pPr>
        <w:jc w:val="both"/>
      </w:pPr>
      <w:r>
        <w:rPr>
          <w:rFonts w:ascii="Arial" w:hAnsi="Arial" w:cs="Arial"/>
          <w:sz w:val="22"/>
        </w:rPr>
        <w:t>En Derecho administrativo poseen especial intensidad porque limitan el poder público y permiten controlar decisiones discrecionales. No autorizan al órgano a ignorar una ley clara; sirven para interpretarla conforme al sistema, colmar lagunas y enjuiciar la legalidad de la actuación.</w:t>
      </w:r>
    </w:p>
    <w:p>
      <w:pPr>
        <w:pStyle w:val="Heading2"/>
        <w:keepNext/>
      </w:pPr>
      <w:r>
        <w:rPr>
          <w:rFonts w:ascii="Arial" w:hAnsi="Arial" w:cs="Arial"/>
          <w:sz w:val="25"/>
        </w:rPr>
        <w:t>10.2. Principios constitucionalizados y principios reconocidos</w:t>
      </w:r>
    </w:p>
    <w:p>
      <w:pPr>
        <w:jc w:val="both"/>
      </w:pPr>
      <w:r>
        <w:rPr>
          <w:rFonts w:ascii="Arial" w:hAnsi="Arial" w:cs="Arial"/>
          <w:sz w:val="22"/>
        </w:rPr>
        <w:t>Muchos principios generales han sido positivizados. El artículo 9.3 CE garantiza legalidad, jerarquía normativa, publicidad, irretroactividad de disposiciones sancionadoras no favorables o restrictivas de derechos individuales, seguridad jurídica, responsabilidad e interdicción de arbitrariedad. El artículo 14 incorpora igualdad; el 103.1 somete la Administración a eficacia, jerarquía, descentralización, desconcentración, coordinación y pleno sometimiento a la ley y al Derecho; el 106.1 permite controlar potestad reglamentaria, legalidad y sometimiento a sus fines.</w:t>
      </w:r>
    </w:p>
    <w:p>
      <w:pPr>
        <w:jc w:val="both"/>
      </w:pPr>
      <w:r>
        <w:rPr>
          <w:rFonts w:ascii="Arial" w:hAnsi="Arial" w:cs="Arial"/>
          <w:sz w:val="22"/>
        </w:rPr>
        <w:t>Entre los principios de aplicación frecuente destacan:</w:t>
      </w:r>
    </w:p>
    <w:p>
      <w:pPr>
        <w:pStyle w:val="ListBullet"/>
      </w:pPr>
      <w:r>
        <w:rPr>
          <w:rFonts w:ascii="Arial" w:hAnsi="Arial" w:cs="Arial"/>
          <w:b/>
          <w:sz w:val="22"/>
        </w:rPr>
        <w:t>Legalidad y juridicidad:</w:t>
      </w:r>
      <w:r>
        <w:rPr>
          <w:rFonts w:ascii="Arial" w:hAnsi="Arial" w:cs="Arial"/>
          <w:sz w:val="22"/>
        </w:rPr>
        <w:t xml:space="preserve"> la Administración necesita competencia y fundamento jurídico; está sometida no solo a la ley formal, sino al Derecho en su conjunto.</w:t>
      </w:r>
    </w:p>
    <w:p>
      <w:pPr>
        <w:pStyle w:val="ListBullet"/>
      </w:pPr>
      <w:r>
        <w:rPr>
          <w:rFonts w:ascii="Arial" w:hAnsi="Arial" w:cs="Arial"/>
          <w:b/>
          <w:sz w:val="22"/>
        </w:rPr>
        <w:t>Igualdad:</w:t>
      </w:r>
      <w:r>
        <w:rPr>
          <w:rFonts w:ascii="Arial" w:hAnsi="Arial" w:cs="Arial"/>
          <w:sz w:val="22"/>
        </w:rPr>
        <w:t xml:space="preserve"> supuestos equivalentes deben recibir tratamiento equivalente, salvo justificación objetiva y razonable.</w:t>
      </w:r>
    </w:p>
    <w:p>
      <w:pPr>
        <w:pStyle w:val="ListBullet"/>
      </w:pPr>
      <w:r>
        <w:rPr>
          <w:rFonts w:ascii="Arial" w:hAnsi="Arial" w:cs="Arial"/>
          <w:b/>
          <w:sz w:val="22"/>
        </w:rPr>
        <w:t>Proporcionalidad:</w:t>
      </w:r>
      <w:r>
        <w:rPr>
          <w:rFonts w:ascii="Arial" w:hAnsi="Arial" w:cs="Arial"/>
          <w:sz w:val="22"/>
        </w:rPr>
        <w:t xml:space="preserve"> la medida debe ser idónea, necesaria y equilibrada respecto del fin legítimo perseguido.</w:t>
      </w:r>
    </w:p>
    <w:p>
      <w:pPr>
        <w:pStyle w:val="ListBullet"/>
      </w:pPr>
      <w:r>
        <w:rPr>
          <w:rFonts w:ascii="Arial" w:hAnsi="Arial" w:cs="Arial"/>
          <w:b/>
          <w:sz w:val="22"/>
        </w:rPr>
        <w:t>Buena fe y confianza legítima:</w:t>
      </w:r>
      <w:r>
        <w:rPr>
          <w:rFonts w:ascii="Arial" w:hAnsi="Arial" w:cs="Arial"/>
          <w:sz w:val="22"/>
        </w:rPr>
        <w:t xml:space="preserve"> protegen expectativas razonables creadas por una conducta pública concluyente, sin congelar el ordenamiento ni legitimar situaciones ilegales.</w:t>
      </w:r>
    </w:p>
    <w:p>
      <w:pPr>
        <w:pStyle w:val="ListBullet"/>
      </w:pPr>
      <w:r>
        <w:rPr>
          <w:rFonts w:ascii="Arial" w:hAnsi="Arial" w:cs="Arial"/>
          <w:b/>
          <w:sz w:val="22"/>
        </w:rPr>
        <w:t>Seguridad jurídica:</w:t>
      </w:r>
      <w:r>
        <w:rPr>
          <w:rFonts w:ascii="Arial" w:hAnsi="Arial" w:cs="Arial"/>
          <w:sz w:val="22"/>
        </w:rPr>
        <w:t xml:space="preserve"> exige cognoscibilidad, estabilidad razonable, claridad y coherencia normativa.</w:t>
      </w:r>
    </w:p>
    <w:p>
      <w:pPr>
        <w:pStyle w:val="ListBullet"/>
      </w:pPr>
      <w:r>
        <w:rPr>
          <w:rFonts w:ascii="Arial" w:hAnsi="Arial" w:cs="Arial"/>
          <w:b/>
          <w:sz w:val="22"/>
        </w:rPr>
        <w:t>Interdicción de arbitrariedad:</w:t>
      </w:r>
      <w:r>
        <w:rPr>
          <w:rFonts w:ascii="Arial" w:hAnsi="Arial" w:cs="Arial"/>
          <w:sz w:val="22"/>
        </w:rPr>
        <w:t xml:space="preserve"> prohíbe decisiones carentes de razón objetiva y permite controlar la motivación y el uso de la discrecionalidad.</w:t>
      </w:r>
    </w:p>
    <w:p>
      <w:pPr>
        <w:pStyle w:val="ListBullet"/>
      </w:pPr>
      <w:r>
        <w:rPr>
          <w:rFonts w:ascii="Arial" w:hAnsi="Arial" w:cs="Arial"/>
          <w:b/>
          <w:sz w:val="22"/>
        </w:rPr>
        <w:t>Audiencia, contradicción y defensa:</w:t>
      </w:r>
      <w:r>
        <w:rPr>
          <w:rFonts w:ascii="Arial" w:hAnsi="Arial" w:cs="Arial"/>
          <w:sz w:val="22"/>
        </w:rPr>
        <w:t xml:space="preserve"> estructuran el procedimiento cuando una decisión puede afectar derechos o intereses.</w:t>
      </w:r>
    </w:p>
    <w:p>
      <w:pPr>
        <w:pStyle w:val="ListBullet"/>
      </w:pPr>
      <w:r>
        <w:rPr>
          <w:rFonts w:ascii="Arial" w:hAnsi="Arial" w:cs="Arial"/>
          <w:b/>
          <w:sz w:val="22"/>
        </w:rPr>
        <w:t>Responsabilidad:</w:t>
      </w:r>
      <w:r>
        <w:rPr>
          <w:rFonts w:ascii="Arial" w:hAnsi="Arial" w:cs="Arial"/>
          <w:sz w:val="22"/>
        </w:rPr>
        <w:t xml:space="preserve"> el ejercicio del poder genera las consecuencias previstas cuando causa lesiones antijurídicas o se aparta del ordenamiento.</w:t>
      </w:r>
    </w:p>
    <w:p>
      <w:pPr>
        <w:pStyle w:val="ListBullet"/>
      </w:pPr>
      <w:r>
        <w:rPr>
          <w:rFonts w:ascii="Arial" w:hAnsi="Arial" w:cs="Arial"/>
          <w:b/>
          <w:sz w:val="22"/>
        </w:rPr>
        <w:t>Eficacia y servicio objetivo al interés general:</w:t>
      </w:r>
      <w:r>
        <w:rPr>
          <w:rFonts w:ascii="Arial" w:hAnsi="Arial" w:cs="Arial"/>
          <w:sz w:val="22"/>
        </w:rPr>
        <w:t xml:space="preserve"> orientan la organización, sin justificar la elusión de garantías.</w:t>
      </w:r>
    </w:p>
    <w:p>
      <w:pPr>
        <w:jc w:val="both"/>
      </w:pPr>
      <w:r>
        <w:rPr>
          <w:rFonts w:ascii="Arial" w:hAnsi="Arial" w:cs="Arial"/>
          <w:sz w:val="22"/>
        </w:rPr>
        <w:t>Los principios pueden concurrir y requerir ponderación. La confianza legítima, por ejemplo, no impide que una norma válida cambie para el futuro por razones de interés general; exige valorar transición, previsibilidad y proporcionalidad. La eficacia no prevalece automáticamente sobre legalidad o defensa.</w:t>
      </w:r>
    </w:p>
    <w:p>
      <w:pPr>
        <w:jc w:val="both"/>
      </w:pPr>
      <w:r>
        <w:rPr>
          <w:rFonts w:ascii="Arial" w:hAnsi="Arial" w:cs="Arial"/>
          <w:sz w:val="22"/>
        </w:rPr>
        <w:t xml:space="preserve">G14 desarrolla especialmente su función como límite de ley y reglamento. Para G13 debe memorizarse la fórmula: </w:t>
      </w:r>
      <w:r>
        <w:rPr>
          <w:rFonts w:ascii="Arial" w:hAnsi="Arial" w:cs="Arial"/>
          <w:b/>
          <w:sz w:val="22"/>
        </w:rPr>
        <w:t>los principios son fuente subsidiaria y, siempre, criterio informador</w:t>
      </w:r>
      <w:r>
        <w:rPr>
          <w:rFonts w:ascii="Arial" w:hAnsi="Arial" w:cs="Arial"/>
          <w:sz w:val="22"/>
        </w:rPr>
        <w:t>.</w:t>
      </w:r>
    </w:p>
    <w:p>
      <w:pPr>
        <w:pStyle w:val="Heading1"/>
        <w:keepNext/>
      </w:pPr>
      <w:r>
        <w:rPr>
          <w:rFonts w:ascii="Arial" w:hAnsi="Arial" w:cs="Arial"/>
          <w:sz w:val="30"/>
        </w:rPr>
        <w:t>11. Jurisprudencia, doctrina constitucional y Derecho de la Unión</w:t>
      </w:r>
    </w:p>
    <w:p>
      <w:pPr>
        <w:pStyle w:val="Heading2"/>
        <w:keepNext/>
      </w:pPr>
      <w:r>
        <w:rPr>
          <w:rFonts w:ascii="Arial" w:hAnsi="Arial" w:cs="Arial"/>
          <w:sz w:val="25"/>
        </w:rPr>
        <w:t>11.1. Jurisprudencia del Tribunal Supremo</w:t>
      </w:r>
    </w:p>
    <w:p>
      <w:pPr>
        <w:jc w:val="both"/>
      </w:pPr>
      <w:r>
        <w:rPr>
          <w:rFonts w:ascii="Arial" w:hAnsi="Arial" w:cs="Arial"/>
          <w:sz w:val="22"/>
        </w:rPr>
        <w:t>Según el artículo 1.6 CC, la jurisprudencia complementa el ordenamiento con la doctrina que, de modo reiterado, establece el Tribunal Supremo al interpretar y aplicar ley, costumbre y principios generales. No aparece en el listado del artículo 1.1 como fuente primaria; su misión es unificar e integrar la interpretación.</w:t>
      </w:r>
    </w:p>
    <w:p>
      <w:pPr>
        <w:jc w:val="both"/>
      </w:pPr>
      <w:r>
        <w:rPr>
          <w:rFonts w:ascii="Arial" w:hAnsi="Arial" w:cs="Arial"/>
          <w:sz w:val="22"/>
        </w:rPr>
        <w:t>Una sentencia aislada no constituye por sí sola «jurisprudencia» en ese sentido tradicional, aunque posea valor argumentativo. La doctrina reiterada del Tribunal Supremo ofrece estabilidad y debe ser atendida. En el sistema de casación contencioso-administrativa, la formación de jurisprudencia sobre cuestiones con interés casacional objetivo refuerza esa función unificadora.</w:t>
      </w:r>
    </w:p>
    <w:p>
      <w:pPr>
        <w:jc w:val="both"/>
      </w:pPr>
      <w:r>
        <w:rPr>
          <w:rFonts w:ascii="Arial" w:hAnsi="Arial" w:cs="Arial"/>
          <w:sz w:val="22"/>
        </w:rPr>
        <w:t>No debe confundirse jurisprudencia con precedente administrativo. La primera procede de órganos judiciales al interpretar el Derecho; el segundo es una conducta anterior de la Administración. Tampoco se identifica con la doctrina científica, que carece de fuerza vinculante aunque sea útil para construir conceptos y orientar reformas.</w:t>
      </w:r>
    </w:p>
    <w:p>
      <w:pPr>
        <w:pStyle w:val="Heading2"/>
        <w:keepNext/>
      </w:pPr>
      <w:r>
        <w:rPr>
          <w:rFonts w:ascii="Arial" w:hAnsi="Arial" w:cs="Arial"/>
          <w:sz w:val="25"/>
        </w:rPr>
        <w:t>11.2. Tribunal Constitucional</w:t>
      </w:r>
    </w:p>
    <w:p>
      <w:pPr>
        <w:jc w:val="both"/>
      </w:pPr>
      <w:r>
        <w:rPr>
          <w:rFonts w:ascii="Arial" w:hAnsi="Arial" w:cs="Arial"/>
          <w:sz w:val="22"/>
        </w:rPr>
        <w:t>El Tribunal Constitucional no pertenece al Poder Judicial y es el intérprete supremo de la Constitución. Sus sentencias en procedimientos de inconstitucionalidad tienen cosa juzgada, vinculan a todos los poderes públicos y producen efectos generales desde su publicación en el BOE, conforme al artículo 38.1 LOTC. La doctrina constitucional determina el sentido constitucionalmente admisible de las leyes y del reparto de competencias.</w:t>
      </w:r>
    </w:p>
    <w:p>
      <w:pPr>
        <w:jc w:val="both"/>
      </w:pPr>
      <w:r>
        <w:rPr>
          <w:rFonts w:ascii="Arial" w:hAnsi="Arial" w:cs="Arial"/>
          <w:sz w:val="22"/>
        </w:rPr>
        <w:t>El artículo 5.1 LOPJ ordena a jueces y tribunales interpretar y aplicar leyes y reglamentos según los preceptos y principios constitucionales, conforme a la interpretación resultante de las resoluciones del Tribunal Constitucional. Esta posición es distinta de la fórmula del artículo 1.6 CC.</w:t>
      </w:r>
    </w:p>
    <w:p>
      <w:pPr>
        <w:pStyle w:val="Heading2"/>
        <w:keepNext/>
      </w:pPr>
      <w:r>
        <w:rPr>
          <w:rFonts w:ascii="Arial" w:hAnsi="Arial" w:cs="Arial"/>
          <w:sz w:val="25"/>
        </w:rPr>
        <w:t>11.3. Tribunal de Justicia de la Unión Europea</w:t>
      </w:r>
    </w:p>
    <w:p>
      <w:pPr>
        <w:jc w:val="both"/>
      </w:pPr>
      <w:r>
        <w:rPr>
          <w:rFonts w:ascii="Arial" w:hAnsi="Arial" w:cs="Arial"/>
          <w:sz w:val="22"/>
        </w:rPr>
        <w:t>El Tribunal de Justicia garantiza el respeto del Derecho en la interpretación y aplicación de los Tratados. Sus sentencias interpretativas, especialmente las dictadas en cuestión prejudicial, fijan el sentido del Derecho de la Unión que deben respetar órganos judiciales y Administraciones nacionales. La interpretación se integra con primacía, efecto directo e interpretación conforme.</w:t>
      </w:r>
    </w:p>
    <w:p>
      <w:pPr>
        <w:jc w:val="both"/>
      </w:pPr>
      <w:r>
        <w:rPr>
          <w:rFonts w:ascii="Arial" w:hAnsi="Arial" w:cs="Arial"/>
          <w:sz w:val="22"/>
        </w:rPr>
        <w:t>Una sentencia prejudicial no «deroga» formalmente una ley española. Si revela incompatibilidad con una norma de la Unión dotada de primacía y aplicable, el órgano competente deja inaplicada la norma interna en el caso, sin esperar a su derogación ni a una declaración de inconstitucionalidad. Si hay duda interpretativa relevante, entra en juego el artículo 267 TFUE y, para órganos de última instancia, la obligación de plantear cuestión con las excepciones reconocidas por la jurisprudencia europea.</w:t>
      </w:r>
    </w:p>
    <w:p>
      <w:pPr>
        <w:pStyle w:val="Heading2"/>
        <w:keepNext/>
      </w:pPr>
      <w:r>
        <w:rPr>
          <w:rFonts w:ascii="Arial" w:hAnsi="Arial" w:cs="Arial"/>
          <w:sz w:val="25"/>
        </w:rPr>
        <w:t>11.4. Tribunal Europeo de Derechos Humanos</w:t>
      </w:r>
    </w:p>
    <w:p>
      <w:pPr>
        <w:jc w:val="both"/>
      </w:pPr>
      <w:r>
        <w:rPr>
          <w:rFonts w:ascii="Arial" w:hAnsi="Arial" w:cs="Arial"/>
          <w:sz w:val="22"/>
        </w:rPr>
        <w:t>El Convenio Europeo de Derechos Humanos es un tratado internacional y las sentencias del Tribunal Europeo de Derechos Humanos interpretan sus garantías. El artículo 10.2 CE ordena interpretar las normas relativas a derechos fundamentales y libertades conforme a la Declaración Universal y a los tratados ratificados por España. No debe confundirse el Consejo de Europa, al que pertenece el TEDH, con la Unión Europea y su TJUE.</w:t>
      </w:r>
    </w:p>
    <w:p>
      <w:pPr>
        <w:pStyle w:val="Heading1"/>
        <w:keepNext/>
      </w:pPr>
      <w:r>
        <w:rPr>
          <w:rFonts w:ascii="Arial" w:hAnsi="Arial" w:cs="Arial"/>
          <w:sz w:val="30"/>
        </w:rPr>
        <w:t>12. Instrucciones, órdenes de servicio, circulares y «soft law»</w:t>
      </w:r>
    </w:p>
    <w:p>
      <w:pPr>
        <w:pStyle w:val="Heading2"/>
        <w:keepNext/>
      </w:pPr>
      <w:r>
        <w:rPr>
          <w:rFonts w:ascii="Arial" w:hAnsi="Arial" w:cs="Arial"/>
          <w:sz w:val="25"/>
        </w:rPr>
        <w:t>12.1. Regla del artículo 6 LRJSP</w:t>
      </w:r>
    </w:p>
    <w:p>
      <w:pPr>
        <w:jc w:val="both"/>
      </w:pPr>
      <w:r>
        <w:rPr>
          <w:rFonts w:ascii="Arial" w:hAnsi="Arial" w:cs="Arial"/>
          <w:sz w:val="22"/>
        </w:rPr>
        <w:t xml:space="preserve">Los órganos administrativos pueden dirigir la actividad de sus órganos jerárquicamente dependientes mediante </w:t>
      </w:r>
      <w:r>
        <w:rPr>
          <w:rFonts w:ascii="Arial" w:hAnsi="Arial" w:cs="Arial"/>
          <w:b/>
          <w:sz w:val="22"/>
        </w:rPr>
        <w:t>instrucciones y órdenes de servicio</w:t>
      </w:r>
      <w:r>
        <w:rPr>
          <w:rFonts w:ascii="Arial" w:hAnsi="Arial" w:cs="Arial"/>
          <w:sz w:val="22"/>
        </w:rPr>
        <w:t>. Cuando lo disponga una norma específica o resulte conveniente por destinatarios o efectos, se publican en el boletín oficial correspondiente, sin perjuicio de la difusión exigida por transparencia.</w:t>
      </w:r>
    </w:p>
    <w:p>
      <w:pPr>
        <w:jc w:val="both"/>
      </w:pPr>
      <w:r>
        <w:rPr>
          <w:rFonts w:ascii="Arial" w:hAnsi="Arial" w:cs="Arial"/>
          <w:sz w:val="22"/>
        </w:rPr>
        <w:t>El incumplimiento de una instrucción u orden de servicio no afecta, por sí solo, a la validez del acto dictado, aunque pueda originar responsabilidad disciplinaria. Esta regla confirma su naturaleza ordinariamente interna: ordenan cómo actuar a órganos dependientes, pero no sustituyen al reglamento.</w:t>
      </w:r>
    </w:p>
    <w:p>
      <w:pPr>
        <w:pStyle w:val="Heading2"/>
        <w:keepNext/>
      </w:pPr>
      <w:r>
        <w:rPr>
          <w:rFonts w:ascii="Arial" w:hAnsi="Arial" w:cs="Arial"/>
          <w:sz w:val="25"/>
        </w:rPr>
        <w:t>12.2. El contenido prevalece sobre el nombre</w:t>
      </w:r>
    </w:p>
    <w:p>
      <w:pPr>
        <w:jc w:val="both"/>
      </w:pPr>
      <w:r>
        <w:rPr>
          <w:rFonts w:ascii="Arial" w:hAnsi="Arial" w:cs="Arial"/>
          <w:sz w:val="22"/>
        </w:rPr>
        <w:t>Una circular puede ser:</w:t>
      </w:r>
    </w:p>
    <w:p>
      <w:pPr>
        <w:pStyle w:val="ListBullet"/>
      </w:pPr>
      <w:r>
        <w:rPr>
          <w:rFonts w:ascii="Arial" w:hAnsi="Arial" w:cs="Arial"/>
          <w:sz w:val="22"/>
        </w:rPr>
        <w:t>una verdadera instrucción interna, sin innovación normativa para terceros;</w:t>
      </w:r>
    </w:p>
    <w:p>
      <w:pPr>
        <w:pStyle w:val="ListBullet"/>
      </w:pPr>
      <w:r>
        <w:rPr>
          <w:rFonts w:ascii="Arial" w:hAnsi="Arial" w:cs="Arial"/>
          <w:sz w:val="22"/>
        </w:rPr>
        <w:t>una interpretación o criterio orientativo;</w:t>
      </w:r>
    </w:p>
    <w:p>
      <w:pPr>
        <w:pStyle w:val="ListBullet"/>
      </w:pPr>
      <w:r>
        <w:rPr>
          <w:rFonts w:ascii="Arial" w:hAnsi="Arial" w:cs="Arial"/>
          <w:sz w:val="22"/>
        </w:rPr>
        <w:t>o, pese a su nombre, una disposición general si contiene mandatos abstractos, innovadores y con vocación de permanencia dirigidos externamente.</w:t>
      </w:r>
    </w:p>
    <w:p>
      <w:pPr>
        <w:jc w:val="both"/>
      </w:pPr>
      <w:r>
        <w:rPr>
          <w:rFonts w:ascii="Arial" w:hAnsi="Arial" w:cs="Arial"/>
          <w:sz w:val="22"/>
        </w:rPr>
        <w:t xml:space="preserve">La calificación depende del </w:t>
      </w:r>
      <w:r>
        <w:rPr>
          <w:rFonts w:ascii="Arial" w:hAnsi="Arial" w:cs="Arial"/>
          <w:b/>
          <w:sz w:val="22"/>
        </w:rPr>
        <w:t>contenido, efectos y procedimiento</w:t>
      </w:r>
      <w:r>
        <w:rPr>
          <w:rFonts w:ascii="Arial" w:hAnsi="Arial" w:cs="Arial"/>
          <w:sz w:val="22"/>
        </w:rPr>
        <w:t>, no de la etiqueta. Si un texto llamado «instrucción» pretende imponer obligaciones nuevas a la ciudadanía, debe comprobarse si el órgano posee potestad reglamentaria, si se siguió el procedimiento y si hubo publicación. El uso de un rótulo interno no permite eludir reservas ni controles.</w:t>
      </w:r>
    </w:p>
    <w:p>
      <w:pPr>
        <w:jc w:val="both"/>
      </w:pPr>
      <w:r>
        <w:rPr>
          <w:rFonts w:ascii="Arial" w:hAnsi="Arial" w:cs="Arial"/>
          <w:sz w:val="22"/>
        </w:rPr>
        <w:t xml:space="preserve">Recomendaciones, guías, códigos, protocolos o criterios técnicos forman el denominado </w:t>
      </w:r>
      <w:r>
        <w:rPr>
          <w:rFonts w:ascii="Arial" w:hAnsi="Arial" w:cs="Arial"/>
          <w:b/>
          <w:sz w:val="22"/>
        </w:rPr>
        <w:t>Derecho blando</w:t>
      </w:r>
      <w:r>
        <w:rPr>
          <w:rFonts w:ascii="Arial" w:hAnsi="Arial" w:cs="Arial"/>
          <w:sz w:val="22"/>
        </w:rPr>
        <w:t xml:space="preserve"> o </w:t>
      </w:r>
      <w:r>
        <w:rPr>
          <w:rFonts w:ascii="Arial" w:hAnsi="Arial" w:cs="Arial"/>
          <w:i/>
          <w:sz w:val="22"/>
        </w:rPr>
        <w:t>soft law</w:t>
      </w:r>
      <w:r>
        <w:rPr>
          <w:rFonts w:ascii="Arial" w:hAnsi="Arial" w:cs="Arial"/>
          <w:sz w:val="22"/>
        </w:rPr>
        <w:t>. Pueden orientar, favorecer uniformidad y generar expectativas de coherencia, pero carecen por sí solos de capacidad para crear obligaciones coercibles si no existe base normativa. Cuando influyen decisivamente en actos posteriores, esos actos siguen sujetos a motivación y control.</w:t>
      </w:r>
    </w:p>
    <w:p>
      <w:pPr>
        <w:pStyle w:val="Heading1"/>
        <w:keepNext/>
      </w:pPr>
      <w:r>
        <w:rPr>
          <w:rFonts w:ascii="Arial" w:hAnsi="Arial" w:cs="Arial"/>
          <w:sz w:val="30"/>
        </w:rPr>
        <w:t>13. Vigencia temporal, derogación y aplicación de las fuentes</w:t>
      </w:r>
    </w:p>
    <w:p>
      <w:pPr>
        <w:pStyle w:val="Heading2"/>
        <w:keepNext/>
      </w:pPr>
      <w:r>
        <w:rPr>
          <w:rFonts w:ascii="Arial" w:hAnsi="Arial" w:cs="Arial"/>
          <w:sz w:val="25"/>
        </w:rPr>
        <w:t>13.1. Entrada en vigor</w:t>
      </w:r>
    </w:p>
    <w:p>
      <w:pPr>
        <w:jc w:val="both"/>
      </w:pPr>
      <w:r>
        <w:rPr>
          <w:rFonts w:ascii="Arial" w:hAnsi="Arial" w:cs="Arial"/>
          <w:sz w:val="22"/>
        </w:rPr>
        <w:t xml:space="preserve">El artículo 2.1 CC establece que las leyes entran en vigor a los veinte días de su completa publicación en el BOE si no disponen otra cosa. Es la </w:t>
      </w:r>
      <w:r>
        <w:rPr>
          <w:rFonts w:ascii="Arial" w:hAnsi="Arial" w:cs="Arial"/>
          <w:i/>
          <w:sz w:val="22"/>
        </w:rPr>
        <w:t>vacatio legis</w:t>
      </w:r>
      <w:r>
        <w:rPr>
          <w:rFonts w:ascii="Arial" w:hAnsi="Arial" w:cs="Arial"/>
          <w:sz w:val="22"/>
        </w:rPr>
        <w:t xml:space="preserve"> general; una norma puede fijar entrada inmediata, diferida o escalonada. En los diarios autonómicos y provinciales se aplican además las reglas específicas correspondientes.</w:t>
      </w:r>
    </w:p>
    <w:p>
      <w:pPr>
        <w:jc w:val="both"/>
      </w:pPr>
      <w:r>
        <w:rPr>
          <w:rFonts w:ascii="Arial" w:hAnsi="Arial" w:cs="Arial"/>
          <w:sz w:val="22"/>
        </w:rPr>
        <w:t>La fecha de publicación no siempre coincide con la de vigencia. En una pregunta debe leerse la disposición final: puede haber distintos momentos para distintos preceptos. La corrección de errores subsana errores de publicación, pero no es cauce para introducir una reforma material encubierta.</w:t>
      </w:r>
    </w:p>
    <w:p>
      <w:pPr>
        <w:pStyle w:val="Heading2"/>
        <w:keepNext/>
      </w:pPr>
      <w:r>
        <w:rPr>
          <w:rFonts w:ascii="Arial" w:hAnsi="Arial" w:cs="Arial"/>
          <w:sz w:val="25"/>
        </w:rPr>
        <w:t>13.2. Derogación</w:t>
      </w:r>
    </w:p>
    <w:p>
      <w:pPr>
        <w:jc w:val="both"/>
      </w:pPr>
      <w:r>
        <w:rPr>
          <w:rFonts w:ascii="Arial" w:hAnsi="Arial" w:cs="Arial"/>
          <w:sz w:val="22"/>
        </w:rPr>
        <w:t>El artículo 2.2 CC señala que las leyes solo se derogan por otras posteriores. La derogación alcanza lo expresamente declarado y todo aquello que en la nueva ley resulte incompatible con la anterior. Puede ser:</w:t>
      </w:r>
    </w:p>
    <w:p>
      <w:pPr>
        <w:pStyle w:val="ListBullet"/>
      </w:pPr>
      <w:r>
        <w:rPr>
          <w:rFonts w:ascii="Arial" w:hAnsi="Arial" w:cs="Arial"/>
          <w:b/>
          <w:sz w:val="22"/>
        </w:rPr>
        <w:t>expresa</w:t>
      </w:r>
      <w:r>
        <w:rPr>
          <w:rFonts w:ascii="Arial" w:hAnsi="Arial" w:cs="Arial"/>
          <w:sz w:val="22"/>
        </w:rPr>
        <w:t>, cuando la nueva norma identifica lo derogado;</w:t>
      </w:r>
    </w:p>
    <w:p>
      <w:pPr>
        <w:pStyle w:val="ListBullet"/>
      </w:pPr>
      <w:r>
        <w:rPr>
          <w:rFonts w:ascii="Arial" w:hAnsi="Arial" w:cs="Arial"/>
          <w:b/>
          <w:sz w:val="22"/>
        </w:rPr>
        <w:t>tácita</w:t>
      </w:r>
      <w:r>
        <w:rPr>
          <w:rFonts w:ascii="Arial" w:hAnsi="Arial" w:cs="Arial"/>
          <w:sz w:val="22"/>
        </w:rPr>
        <w:t>, por incompatibilidad material insalvable;</w:t>
      </w:r>
    </w:p>
    <w:p>
      <w:pPr>
        <w:pStyle w:val="ListBullet"/>
      </w:pPr>
      <w:r>
        <w:rPr>
          <w:rFonts w:ascii="Arial" w:hAnsi="Arial" w:cs="Arial"/>
          <w:b/>
          <w:sz w:val="22"/>
        </w:rPr>
        <w:t>total</w:t>
      </w:r>
      <w:r>
        <w:rPr>
          <w:rFonts w:ascii="Arial" w:hAnsi="Arial" w:cs="Arial"/>
          <w:sz w:val="22"/>
        </w:rPr>
        <w:t xml:space="preserve"> o </w:t>
      </w:r>
      <w:r>
        <w:rPr>
          <w:rFonts w:ascii="Arial" w:hAnsi="Arial" w:cs="Arial"/>
          <w:b/>
          <w:sz w:val="22"/>
        </w:rPr>
        <w:t>parcial</w:t>
      </w:r>
      <w:r>
        <w:rPr>
          <w:rFonts w:ascii="Arial" w:hAnsi="Arial" w:cs="Arial"/>
          <w:sz w:val="22"/>
        </w:rPr>
        <w:t>.</w:t>
      </w:r>
    </w:p>
    <w:p>
      <w:pPr>
        <w:jc w:val="both"/>
      </w:pPr>
      <w:r>
        <w:rPr>
          <w:rFonts w:ascii="Arial" w:hAnsi="Arial" w:cs="Arial"/>
          <w:sz w:val="22"/>
        </w:rPr>
        <w:t xml:space="preserve">La derogación de una norma derogatoria no hace recobrar vigencia a la inicialmente derogada, salvo previsión expresa. Una norma inferior no puede derogar otra superior. La norma especial puede prevalecer sobre la general en su ámbito, pero no queda necesariamente derogada por una general posterior: hay que interpretar materia, finalidad y voluntad normativa. Los aforismos </w:t>
      </w:r>
      <w:r>
        <w:rPr>
          <w:rFonts w:ascii="Arial" w:hAnsi="Arial" w:cs="Arial"/>
          <w:i/>
          <w:sz w:val="22"/>
        </w:rPr>
        <w:t>lex posterior</w:t>
      </w:r>
      <w:r>
        <w:rPr>
          <w:rFonts w:ascii="Arial" w:hAnsi="Arial" w:cs="Arial"/>
          <w:sz w:val="22"/>
        </w:rPr>
        <w:t xml:space="preserve">, </w:t>
      </w:r>
      <w:r>
        <w:rPr>
          <w:rFonts w:ascii="Arial" w:hAnsi="Arial" w:cs="Arial"/>
          <w:i/>
          <w:sz w:val="22"/>
        </w:rPr>
        <w:t>lex specialis</w:t>
      </w:r>
      <w:r>
        <w:rPr>
          <w:rFonts w:ascii="Arial" w:hAnsi="Arial" w:cs="Arial"/>
          <w:sz w:val="22"/>
        </w:rPr>
        <w:t xml:space="preserve"> y </w:t>
      </w:r>
      <w:r>
        <w:rPr>
          <w:rFonts w:ascii="Arial" w:hAnsi="Arial" w:cs="Arial"/>
          <w:i/>
          <w:sz w:val="22"/>
        </w:rPr>
        <w:t>lex superior</w:t>
      </w:r>
      <w:r>
        <w:rPr>
          <w:rFonts w:ascii="Arial" w:hAnsi="Arial" w:cs="Arial"/>
          <w:sz w:val="22"/>
        </w:rPr>
        <w:t xml:space="preserve"> son criterios de solución, no excusas para ignorar competencia o reserva.</w:t>
      </w:r>
    </w:p>
    <w:p>
      <w:pPr>
        <w:pStyle w:val="Heading2"/>
        <w:keepNext/>
      </w:pPr>
      <w:r>
        <w:rPr>
          <w:rFonts w:ascii="Arial" w:hAnsi="Arial" w:cs="Arial"/>
          <w:sz w:val="25"/>
        </w:rPr>
        <w:t>13.3. Retroactividad</w:t>
      </w:r>
    </w:p>
    <w:p>
      <w:pPr>
        <w:jc w:val="both"/>
      </w:pPr>
      <w:r>
        <w:rPr>
          <w:rFonts w:ascii="Arial" w:hAnsi="Arial" w:cs="Arial"/>
          <w:sz w:val="22"/>
        </w:rPr>
        <w:t>El artículo 2.3 CC parte de que las leyes no tienen efecto retroactivo si no disponen lo contrario. Aun cuando una norma proclame retroactividad, debe respetar límites constitucionales. El artículo 9.3 CE garantiza irretroactividad de disposiciones sancionadoras no favorables o restrictivas de derechos individuales. En materia sancionadora opera retroactividad favorable, conforme a su normativa específica.</w:t>
      </w:r>
    </w:p>
    <w:p>
      <w:pPr>
        <w:jc w:val="both"/>
      </w:pPr>
      <w:r>
        <w:rPr>
          <w:rFonts w:ascii="Arial" w:hAnsi="Arial" w:cs="Arial"/>
          <w:sz w:val="22"/>
        </w:rPr>
        <w:t>No toda incidencia sobre relaciones nacidas en el pasado es la misma. Debe distinguirse entre aplicar la nueva norma a efectos futuros de una situación en curso y alterar efectos jurídicos ya agotados. La seguridad jurídica, la confianza legítima y las disposiciones transitorias ayudan a resolver el tránsito.</w:t>
      </w:r>
    </w:p>
    <w:p>
      <w:pPr>
        <w:pStyle w:val="Heading2"/>
        <w:keepNext/>
      </w:pPr>
      <w:r>
        <w:rPr>
          <w:rFonts w:ascii="Arial" w:hAnsi="Arial" w:cs="Arial"/>
          <w:sz w:val="25"/>
        </w:rPr>
        <w:t>13.4. Ámbito espacial y personal</w:t>
      </w:r>
    </w:p>
    <w:p>
      <w:pPr>
        <w:jc w:val="both"/>
      </w:pPr>
      <w:r>
        <w:rPr>
          <w:rFonts w:ascii="Arial" w:hAnsi="Arial" w:cs="Arial"/>
          <w:sz w:val="22"/>
        </w:rPr>
        <w:t>Las normas estatales rigen en el territorio nacional salvo delimitación distinta; las autonómicas en su comunidad y las locales en el término o ámbito correspondiente. Tratados y Derecho de la Unión delimitan su propio campo. El territorio no suple competencia: un ayuntamiento no puede regular cualquier materia porque el hecho ocurra en su municipio.</w:t>
      </w:r>
    </w:p>
    <w:p>
      <w:pPr>
        <w:jc w:val="both"/>
      </w:pPr>
      <w:r>
        <w:rPr>
          <w:rFonts w:ascii="Arial" w:hAnsi="Arial" w:cs="Arial"/>
          <w:sz w:val="22"/>
        </w:rPr>
        <w:t>Las normas pueden contener regímenes personales o sectoriales especiales, pero deben respetar igualdad y los títulos que habilitan la diferencia. Una disposición general se aplica a sus destinatarios objetivos, no solo a quienes intervinieron en su elaboración.</w:t>
      </w:r>
    </w:p>
    <w:p>
      <w:pPr>
        <w:pStyle w:val="Heading1"/>
        <w:keepNext/>
      </w:pPr>
      <w:r>
        <w:rPr>
          <w:rFonts w:ascii="Arial" w:hAnsi="Arial" w:cs="Arial"/>
          <w:sz w:val="30"/>
        </w:rPr>
        <w:t>14. Cómo resolver una antinomia normativa</w:t>
      </w:r>
    </w:p>
    <w:p>
      <w:pPr>
        <w:jc w:val="both"/>
      </w:pPr>
      <w:r>
        <w:rPr>
          <w:rFonts w:ascii="Arial" w:hAnsi="Arial" w:cs="Arial"/>
          <w:sz w:val="22"/>
        </w:rPr>
        <w:t xml:space="preserve">Una </w:t>
      </w:r>
      <w:r>
        <w:rPr>
          <w:rFonts w:ascii="Arial" w:hAnsi="Arial" w:cs="Arial"/>
          <w:b/>
          <w:sz w:val="22"/>
        </w:rPr>
        <w:t>antinomia</w:t>
      </w:r>
      <w:r>
        <w:rPr>
          <w:rFonts w:ascii="Arial" w:hAnsi="Arial" w:cs="Arial"/>
          <w:sz w:val="22"/>
        </w:rPr>
        <w:t xml:space="preserve"> existe cuando dos normas aplicables atribuyen consecuencias incompatibles al mismo supuesto. La respuesta ordenada evita el error de usar siempre la jerarquía.</w:t>
      </w:r>
    </w:p>
    <w:p>
      <w:pPr>
        <w:pStyle w:val="Heading2"/>
        <w:keepNext/>
      </w:pPr>
      <w:r>
        <w:rPr>
          <w:rFonts w:ascii="Arial" w:hAnsi="Arial" w:cs="Arial"/>
          <w:sz w:val="25"/>
        </w:rPr>
        <w:t>Paso 1. Identificar cada instrumento</w:t>
      </w:r>
    </w:p>
    <w:p>
      <w:pPr>
        <w:jc w:val="both"/>
      </w:pPr>
      <w:r>
        <w:rPr>
          <w:rFonts w:ascii="Arial" w:hAnsi="Arial" w:cs="Arial"/>
          <w:sz w:val="22"/>
        </w:rPr>
        <w:t>Debe precisarse si es Constitución, tratado, acto de la Unión, ley, norma con fuerza de ley, reglamento, ordenanza, instrucción o acto administrativo. El nombre no basta: un real decreto puede aprobar un reglamento, pero también un real decreto legislativo tiene fuerza de ley.</w:t>
      </w:r>
    </w:p>
    <w:p>
      <w:pPr>
        <w:pStyle w:val="Heading2"/>
        <w:keepNext/>
      </w:pPr>
      <w:r>
        <w:rPr>
          <w:rFonts w:ascii="Arial" w:hAnsi="Arial" w:cs="Arial"/>
          <w:sz w:val="25"/>
        </w:rPr>
        <w:t>Paso 2. Comprobar validez y competencia</w:t>
      </w:r>
    </w:p>
    <w:p>
      <w:pPr>
        <w:jc w:val="both"/>
      </w:pPr>
      <w:r>
        <w:rPr>
          <w:rFonts w:ascii="Arial" w:hAnsi="Arial" w:cs="Arial"/>
          <w:sz w:val="22"/>
        </w:rPr>
        <w:t>Se identifica el órgano, el procedimiento, la materia y la habilitación. Entre Estado y comunidad autónoma o entre reglamentos de ámbitos distintos suele dominar la competencia. Una norma dictada sin competencia no gana validez por ser posterior.</w:t>
      </w:r>
    </w:p>
    <w:p>
      <w:pPr>
        <w:pStyle w:val="Heading2"/>
        <w:keepNext/>
      </w:pPr>
      <w:r>
        <w:rPr>
          <w:rFonts w:ascii="Arial" w:hAnsi="Arial" w:cs="Arial"/>
          <w:sz w:val="25"/>
        </w:rPr>
        <w:t>Paso 3. Aplicar supremacía, primacía o jerarquía</w:t>
      </w:r>
    </w:p>
    <w:p>
      <w:pPr>
        <w:pStyle w:val="ListBullet"/>
      </w:pPr>
      <w:r>
        <w:rPr>
          <w:rFonts w:ascii="Arial" w:hAnsi="Arial" w:cs="Arial"/>
          <w:sz w:val="22"/>
        </w:rPr>
        <w:t>La Constitución es norma suprema interna.</w:t>
      </w:r>
    </w:p>
    <w:p>
      <w:pPr>
        <w:pStyle w:val="ListBullet"/>
      </w:pPr>
      <w:r>
        <w:rPr>
          <w:rFonts w:ascii="Arial" w:hAnsi="Arial" w:cs="Arial"/>
          <w:sz w:val="22"/>
        </w:rPr>
        <w:t>El Derecho de la Unión aplicable goza de primacía en su ámbito; la norma interna incompatible se inaplica en el caso.</w:t>
      </w:r>
    </w:p>
    <w:p>
      <w:pPr>
        <w:pStyle w:val="ListBullet"/>
      </w:pPr>
      <w:r>
        <w:rPr>
          <w:rFonts w:ascii="Arial" w:hAnsi="Arial" w:cs="Arial"/>
          <w:sz w:val="22"/>
        </w:rPr>
        <w:t>Los tratados válidamente celebrados y publicados prevalecen sobre normas internas salvo la Constitución, en los términos de la Ley 25/2014.</w:t>
      </w:r>
    </w:p>
    <w:p>
      <w:pPr>
        <w:pStyle w:val="ListBullet"/>
      </w:pPr>
      <w:r>
        <w:rPr>
          <w:rFonts w:ascii="Arial" w:hAnsi="Arial" w:cs="Arial"/>
          <w:sz w:val="22"/>
        </w:rPr>
        <w:t>La ley prevalece sobre el reglamento.</w:t>
      </w:r>
    </w:p>
    <w:p>
      <w:pPr>
        <w:pStyle w:val="ListBullet"/>
      </w:pPr>
      <w:r>
        <w:rPr>
          <w:rFonts w:ascii="Arial" w:hAnsi="Arial" w:cs="Arial"/>
          <w:sz w:val="22"/>
        </w:rPr>
        <w:t>Dentro del orden reglamentario se aplica la jerarquía correspondiente.</w:t>
      </w:r>
    </w:p>
    <w:p>
      <w:pPr>
        <w:pStyle w:val="Heading2"/>
        <w:keepNext/>
      </w:pPr>
      <w:r>
        <w:rPr>
          <w:rFonts w:ascii="Arial" w:hAnsi="Arial" w:cs="Arial"/>
          <w:sz w:val="25"/>
        </w:rPr>
        <w:t>Paso 4. Examinar especialidad y temporalidad</w:t>
      </w:r>
    </w:p>
    <w:p>
      <w:pPr>
        <w:jc w:val="both"/>
      </w:pPr>
      <w:r>
        <w:rPr>
          <w:rFonts w:ascii="Arial" w:hAnsi="Arial" w:cs="Arial"/>
          <w:sz w:val="22"/>
        </w:rPr>
        <w:t>Entre normas del mismo rango y ordenamiento puede prevalecer la especial en su ámbito. La posterior puede derogar la anterior cuando existe incompatibilidad. Antes de afirmar derogación tácita se intenta una interpretación sistemática que permita coexistencia.</w:t>
      </w:r>
    </w:p>
    <w:p>
      <w:pPr>
        <w:pStyle w:val="Heading2"/>
        <w:keepNext/>
      </w:pPr>
      <w:r>
        <w:rPr>
          <w:rFonts w:ascii="Arial" w:hAnsi="Arial" w:cs="Arial"/>
          <w:sz w:val="25"/>
        </w:rPr>
        <w:t>Paso 5. Interpretar conforme y determinar la consecuencia</w:t>
      </w:r>
    </w:p>
    <w:p>
      <w:pPr>
        <w:jc w:val="both"/>
      </w:pPr>
      <w:r>
        <w:rPr>
          <w:rFonts w:ascii="Arial" w:hAnsi="Arial" w:cs="Arial"/>
          <w:sz w:val="22"/>
        </w:rPr>
        <w:t>Siempre que el tenor lo permita se busca interpretación conforme con Constitución y Derecho de la Unión. Si persiste la incompatibilidad, la consecuencia depende de la fuente y del órgano:</w:t>
      </w:r>
    </w:p>
    <w:p>
      <w:pPr>
        <w:pStyle w:val="ListBullet"/>
      </w:pPr>
      <w:r>
        <w:rPr>
          <w:rFonts w:ascii="Arial" w:hAnsi="Arial" w:cs="Arial"/>
          <w:sz w:val="22"/>
        </w:rPr>
        <w:t>el juez ordinario no anula una ley por inconstitucionalidad; plantea cuestión al Tribunal Constitucional si concurren sus requisitos;</w:t>
      </w:r>
    </w:p>
    <w:p>
      <w:pPr>
        <w:pStyle w:val="ListBullet"/>
      </w:pPr>
      <w:r>
        <w:rPr>
          <w:rFonts w:ascii="Arial" w:hAnsi="Arial" w:cs="Arial"/>
          <w:sz w:val="22"/>
        </w:rPr>
        <w:t>el juez inaplica un reglamento ilegal y el órgano contencioso competente puede anularlo;</w:t>
      </w:r>
    </w:p>
    <w:p>
      <w:pPr>
        <w:pStyle w:val="ListBullet"/>
      </w:pPr>
      <w:r>
        <w:rPr>
          <w:rFonts w:ascii="Arial" w:hAnsi="Arial" w:cs="Arial"/>
          <w:sz w:val="22"/>
        </w:rPr>
        <w:t>el órgano nacional inaplica la norma interna incompatible con Derecho de la Unión directamente aplicable;</w:t>
      </w:r>
    </w:p>
    <w:p>
      <w:pPr>
        <w:pStyle w:val="ListBullet"/>
      </w:pPr>
      <w:r>
        <w:rPr>
          <w:rFonts w:ascii="Arial" w:hAnsi="Arial" w:cs="Arial"/>
          <w:sz w:val="22"/>
        </w:rPr>
        <w:t>una Administración no puede declarar por su cuenta inconstitucional una ley vigente, aunque debe aplicar primacía europea en los términos establecidos por el TJUE.</w:t>
      </w:r>
    </w:p>
    <w:tbl>
      <w:tblPr>
        <w:tblStyle w:val="TableGrid"/>
        <w:tblW w:type="dxa" w:w="9026"/>
        <w:jc w:val="left"/>
        <w:tblLayout w:type="fixed"/>
        <w:tblLook w:firstColumn="1" w:firstRow="1" w:lastColumn="0" w:lastRow="0" w:noHBand="0" w:noVBand="1" w:val="04A0"/>
        <w:tblInd w:w="120" w:type="dxa"/>
      </w:tblPr>
      <w:tblGrid>
        <w:gridCol w:w="3112"/>
        <w:gridCol w:w="2490"/>
        <w:gridCol w:w="3424"/>
      </w:tblGrid>
      <w:tr>
        <w:trPr>
          <w:tblHeader w:val="true"/>
        </w:trPr>
        <w:tc>
          <w:tcPr>
            <w:tcW w:type="dxa" w:w="311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Conflicto</w:t>
            </w:r>
          </w:p>
        </w:tc>
        <w:tc>
          <w:tcPr>
            <w:tcW w:type="dxa" w:w="249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Técnica predominante</w:t>
            </w:r>
          </w:p>
        </w:tc>
        <w:tc>
          <w:tcPr>
            <w:tcW w:type="dxa" w:w="342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Consecuencia típica</w:t>
            </w:r>
          </w:p>
        </w:tc>
      </w:tr>
      <w:tr>
        <w:tc>
          <w:tcPr>
            <w:tcW w:type="dxa" w:w="3112"/>
            <w:tcMar>
              <w:top w:w="80" w:type="dxa"/>
              <w:start w:w="120" w:type="dxa"/>
              <w:bottom w:w="80" w:type="dxa"/>
              <w:end w:w="120" w:type="dxa"/>
            </w:tcMar>
            <w:vAlign w:val="center"/>
          </w:tcPr>
          <w:p>
            <w:pPr>
              <w:spacing w:before="0" w:after="0" w:line="240" w:lineRule="auto"/>
              <w:jc w:val="left"/>
            </w:pPr>
            <w:r/>
            <w:r>
              <w:rPr>
                <w:rFonts w:ascii="Arial" w:hAnsi="Arial" w:cs="Arial"/>
                <w:sz w:val="18"/>
              </w:rPr>
              <w:t>Constitución–ley</w:t>
            </w:r>
          </w:p>
        </w:tc>
        <w:tc>
          <w:tcPr>
            <w:tcW w:type="dxa" w:w="2490"/>
            <w:tcMar>
              <w:top w:w="80" w:type="dxa"/>
              <w:start w:w="120" w:type="dxa"/>
              <w:bottom w:w="80" w:type="dxa"/>
              <w:end w:w="120" w:type="dxa"/>
            </w:tcMar>
            <w:vAlign w:val="center"/>
          </w:tcPr>
          <w:p>
            <w:pPr>
              <w:spacing w:before="0" w:after="0" w:line="240" w:lineRule="auto"/>
              <w:jc w:val="left"/>
            </w:pPr>
            <w:r/>
            <w:r>
              <w:rPr>
                <w:rFonts w:ascii="Arial" w:hAnsi="Arial" w:cs="Arial"/>
                <w:sz w:val="18"/>
              </w:rPr>
              <w:t>Constitucionalidad</w:t>
            </w:r>
          </w:p>
        </w:tc>
        <w:tc>
          <w:tcPr>
            <w:tcW w:type="dxa" w:w="3424"/>
            <w:tcMar>
              <w:top w:w="80" w:type="dxa"/>
              <w:start w:w="120" w:type="dxa"/>
              <w:bottom w:w="80" w:type="dxa"/>
              <w:end w:w="120" w:type="dxa"/>
            </w:tcMar>
            <w:vAlign w:val="center"/>
          </w:tcPr>
          <w:p>
            <w:pPr>
              <w:spacing w:before="0" w:after="0" w:line="240" w:lineRule="auto"/>
              <w:jc w:val="left"/>
            </w:pPr>
            <w:r/>
            <w:r>
              <w:rPr>
                <w:rFonts w:ascii="Arial" w:hAnsi="Arial" w:cs="Arial"/>
                <w:sz w:val="18"/>
              </w:rPr>
              <w:t>Declaración del TC</w:t>
            </w:r>
          </w:p>
        </w:tc>
      </w:tr>
      <w:tr>
        <w:tc>
          <w:tcPr>
            <w:tcW w:type="dxa" w:w="3112"/>
            <w:tcMar>
              <w:top w:w="80" w:type="dxa"/>
              <w:start w:w="120" w:type="dxa"/>
              <w:bottom w:w="80" w:type="dxa"/>
              <w:end w:w="120" w:type="dxa"/>
            </w:tcMar>
            <w:vAlign w:val="center"/>
          </w:tcPr>
          <w:p>
            <w:pPr>
              <w:spacing w:before="0" w:after="0" w:line="240" w:lineRule="auto"/>
              <w:jc w:val="left"/>
            </w:pPr>
            <w:r/>
            <w:r>
              <w:rPr>
                <w:rFonts w:ascii="Arial" w:hAnsi="Arial" w:cs="Arial"/>
                <w:sz w:val="18"/>
              </w:rPr>
              <w:t>Derecho UE aplicable–norma interna</w:t>
            </w:r>
          </w:p>
        </w:tc>
        <w:tc>
          <w:tcPr>
            <w:tcW w:type="dxa" w:w="2490"/>
            <w:tcMar>
              <w:top w:w="80" w:type="dxa"/>
              <w:start w:w="120" w:type="dxa"/>
              <w:bottom w:w="80" w:type="dxa"/>
              <w:end w:w="120" w:type="dxa"/>
            </w:tcMar>
            <w:vAlign w:val="center"/>
          </w:tcPr>
          <w:p>
            <w:pPr>
              <w:spacing w:before="0" w:after="0" w:line="240" w:lineRule="auto"/>
              <w:jc w:val="center"/>
            </w:pPr>
            <w:r/>
            <w:r>
              <w:rPr>
                <w:rFonts w:ascii="Arial" w:hAnsi="Arial" w:cs="Arial"/>
                <w:sz w:val="18"/>
              </w:rPr>
              <w:t>Primacía</w:t>
            </w:r>
          </w:p>
        </w:tc>
        <w:tc>
          <w:tcPr>
            <w:tcW w:type="dxa" w:w="3424"/>
            <w:tcMar>
              <w:top w:w="80" w:type="dxa"/>
              <w:start w:w="120" w:type="dxa"/>
              <w:bottom w:w="80" w:type="dxa"/>
              <w:end w:w="120" w:type="dxa"/>
            </w:tcMar>
            <w:vAlign w:val="center"/>
          </w:tcPr>
          <w:p>
            <w:pPr>
              <w:spacing w:before="0" w:after="0" w:line="240" w:lineRule="auto"/>
              <w:jc w:val="left"/>
            </w:pPr>
            <w:r/>
            <w:r>
              <w:rPr>
                <w:rFonts w:ascii="Arial" w:hAnsi="Arial" w:cs="Arial"/>
                <w:sz w:val="18"/>
              </w:rPr>
              <w:t>Inaplicación interna en el caso</w:t>
            </w:r>
          </w:p>
        </w:tc>
      </w:tr>
      <w:tr>
        <w:tc>
          <w:tcPr>
            <w:tcW w:type="dxa" w:w="3112"/>
            <w:tcMar>
              <w:top w:w="80" w:type="dxa"/>
              <w:start w:w="120" w:type="dxa"/>
              <w:bottom w:w="80" w:type="dxa"/>
              <w:end w:w="120" w:type="dxa"/>
            </w:tcMar>
            <w:vAlign w:val="center"/>
          </w:tcPr>
          <w:p>
            <w:pPr>
              <w:spacing w:before="0" w:after="0" w:line="240" w:lineRule="auto"/>
              <w:jc w:val="left"/>
            </w:pPr>
            <w:r/>
            <w:r>
              <w:rPr>
                <w:rFonts w:ascii="Arial" w:hAnsi="Arial" w:cs="Arial"/>
                <w:sz w:val="18"/>
              </w:rPr>
              <w:t>Tratado–ley interna</w:t>
            </w:r>
          </w:p>
        </w:tc>
        <w:tc>
          <w:tcPr>
            <w:tcW w:type="dxa" w:w="2490"/>
            <w:tcMar>
              <w:top w:w="80" w:type="dxa"/>
              <w:start w:w="120" w:type="dxa"/>
              <w:bottom w:w="80" w:type="dxa"/>
              <w:end w:w="120" w:type="dxa"/>
            </w:tcMar>
            <w:vAlign w:val="center"/>
          </w:tcPr>
          <w:p>
            <w:pPr>
              <w:spacing w:before="0" w:after="0" w:line="240" w:lineRule="auto"/>
              <w:jc w:val="left"/>
            </w:pPr>
            <w:r/>
            <w:r>
              <w:rPr>
                <w:rFonts w:ascii="Arial" w:hAnsi="Arial" w:cs="Arial"/>
                <w:sz w:val="18"/>
              </w:rPr>
              <w:t>Prevalencia del tratado</w:t>
            </w:r>
          </w:p>
        </w:tc>
        <w:tc>
          <w:tcPr>
            <w:tcW w:type="dxa" w:w="3424"/>
            <w:tcMar>
              <w:top w:w="80" w:type="dxa"/>
              <w:start w:w="120" w:type="dxa"/>
              <w:bottom w:w="80" w:type="dxa"/>
              <w:end w:w="120" w:type="dxa"/>
            </w:tcMar>
            <w:vAlign w:val="center"/>
          </w:tcPr>
          <w:p>
            <w:pPr>
              <w:spacing w:before="0" w:after="0" w:line="240" w:lineRule="auto"/>
              <w:jc w:val="left"/>
            </w:pPr>
            <w:r/>
            <w:r>
              <w:rPr>
                <w:rFonts w:ascii="Arial" w:hAnsi="Arial" w:cs="Arial"/>
                <w:sz w:val="18"/>
              </w:rPr>
              <w:t>Aplicación preferente del tratado</w:t>
            </w:r>
          </w:p>
        </w:tc>
      </w:tr>
      <w:tr>
        <w:tc>
          <w:tcPr>
            <w:tcW w:type="dxa" w:w="3112"/>
            <w:tcMar>
              <w:top w:w="80" w:type="dxa"/>
              <w:start w:w="120" w:type="dxa"/>
              <w:bottom w:w="80" w:type="dxa"/>
              <w:end w:w="120" w:type="dxa"/>
            </w:tcMar>
            <w:vAlign w:val="center"/>
          </w:tcPr>
          <w:p>
            <w:pPr>
              <w:spacing w:before="0" w:after="0" w:line="240" w:lineRule="auto"/>
              <w:jc w:val="left"/>
            </w:pPr>
            <w:r/>
            <w:r>
              <w:rPr>
                <w:rFonts w:ascii="Arial" w:hAnsi="Arial" w:cs="Arial"/>
                <w:sz w:val="18"/>
              </w:rPr>
              <w:t>Ley–reglamento</w:t>
            </w:r>
          </w:p>
        </w:tc>
        <w:tc>
          <w:tcPr>
            <w:tcW w:type="dxa" w:w="2490"/>
            <w:tcMar>
              <w:top w:w="80" w:type="dxa"/>
              <w:start w:w="120" w:type="dxa"/>
              <w:bottom w:w="80" w:type="dxa"/>
              <w:end w:w="120" w:type="dxa"/>
            </w:tcMar>
            <w:vAlign w:val="center"/>
          </w:tcPr>
          <w:p>
            <w:pPr>
              <w:spacing w:before="0" w:after="0" w:line="240" w:lineRule="auto"/>
              <w:jc w:val="left"/>
            </w:pPr>
            <w:r/>
            <w:r>
              <w:rPr>
                <w:rFonts w:ascii="Arial" w:hAnsi="Arial" w:cs="Arial"/>
                <w:sz w:val="18"/>
              </w:rPr>
              <w:t>Jerarquía/reserva</w:t>
            </w:r>
          </w:p>
        </w:tc>
        <w:tc>
          <w:tcPr>
            <w:tcW w:type="dxa" w:w="3424"/>
            <w:tcMar>
              <w:top w:w="80" w:type="dxa"/>
              <w:start w:w="120" w:type="dxa"/>
              <w:bottom w:w="80" w:type="dxa"/>
              <w:end w:w="120" w:type="dxa"/>
            </w:tcMar>
            <w:vAlign w:val="center"/>
          </w:tcPr>
          <w:p>
            <w:pPr>
              <w:spacing w:before="0" w:after="0" w:line="240" w:lineRule="auto"/>
              <w:jc w:val="left"/>
            </w:pPr>
            <w:r/>
            <w:r>
              <w:rPr>
                <w:rFonts w:ascii="Arial" w:hAnsi="Arial" w:cs="Arial"/>
                <w:sz w:val="18"/>
              </w:rPr>
              <w:t>Nulidad o inaplicación del reglamento</w:t>
            </w:r>
          </w:p>
        </w:tc>
      </w:tr>
      <w:tr>
        <w:tc>
          <w:tcPr>
            <w:tcW w:type="dxa" w:w="3112"/>
            <w:tcMar>
              <w:top w:w="80" w:type="dxa"/>
              <w:start w:w="120" w:type="dxa"/>
              <w:bottom w:w="80" w:type="dxa"/>
              <w:end w:w="120" w:type="dxa"/>
            </w:tcMar>
            <w:vAlign w:val="center"/>
          </w:tcPr>
          <w:p>
            <w:pPr>
              <w:spacing w:before="0" w:after="0" w:line="240" w:lineRule="auto"/>
              <w:jc w:val="left"/>
            </w:pPr>
            <w:r/>
            <w:r>
              <w:rPr>
                <w:rFonts w:ascii="Arial" w:hAnsi="Arial" w:cs="Arial"/>
                <w:sz w:val="18"/>
              </w:rPr>
              <w:t>Ley estatal–ley autonómica</w:t>
            </w:r>
          </w:p>
        </w:tc>
        <w:tc>
          <w:tcPr>
            <w:tcW w:type="dxa" w:w="2490"/>
            <w:tcMar>
              <w:top w:w="80" w:type="dxa"/>
              <w:start w:w="120" w:type="dxa"/>
              <w:bottom w:w="80" w:type="dxa"/>
              <w:end w:w="120" w:type="dxa"/>
            </w:tcMar>
            <w:vAlign w:val="center"/>
          </w:tcPr>
          <w:p>
            <w:pPr>
              <w:spacing w:before="0" w:after="0" w:line="240" w:lineRule="auto"/>
              <w:jc w:val="center"/>
            </w:pPr>
            <w:r/>
            <w:r>
              <w:rPr>
                <w:rFonts w:ascii="Arial" w:hAnsi="Arial" w:cs="Arial"/>
                <w:sz w:val="18"/>
              </w:rPr>
              <w:t>Competencia</w:t>
            </w:r>
          </w:p>
        </w:tc>
        <w:tc>
          <w:tcPr>
            <w:tcW w:type="dxa" w:w="3424"/>
            <w:tcMar>
              <w:top w:w="80" w:type="dxa"/>
              <w:start w:w="120" w:type="dxa"/>
              <w:bottom w:w="80" w:type="dxa"/>
              <w:end w:w="120" w:type="dxa"/>
            </w:tcMar>
            <w:vAlign w:val="center"/>
          </w:tcPr>
          <w:p>
            <w:pPr>
              <w:spacing w:before="0" w:after="0" w:line="240" w:lineRule="auto"/>
              <w:jc w:val="left"/>
            </w:pPr>
            <w:r/>
            <w:r>
              <w:rPr>
                <w:rFonts w:ascii="Arial" w:hAnsi="Arial" w:cs="Arial"/>
                <w:sz w:val="18"/>
              </w:rPr>
              <w:t>Control constitucional</w:t>
            </w:r>
          </w:p>
        </w:tc>
      </w:tr>
      <w:tr>
        <w:tc>
          <w:tcPr>
            <w:tcW w:type="dxa" w:w="3112"/>
            <w:tcMar>
              <w:top w:w="80" w:type="dxa"/>
              <w:start w:w="120" w:type="dxa"/>
              <w:bottom w:w="80" w:type="dxa"/>
              <w:end w:w="120" w:type="dxa"/>
            </w:tcMar>
            <w:vAlign w:val="center"/>
          </w:tcPr>
          <w:p>
            <w:pPr>
              <w:spacing w:before="0" w:after="0" w:line="240" w:lineRule="auto"/>
              <w:jc w:val="left"/>
            </w:pPr>
            <w:r/>
            <w:r>
              <w:rPr>
                <w:rFonts w:ascii="Arial" w:hAnsi="Arial" w:cs="Arial"/>
                <w:sz w:val="18"/>
              </w:rPr>
              <w:t>Normas del mismo rango</w:t>
            </w:r>
          </w:p>
        </w:tc>
        <w:tc>
          <w:tcPr>
            <w:tcW w:type="dxa" w:w="2490"/>
            <w:tcMar>
              <w:top w:w="80" w:type="dxa"/>
              <w:start w:w="120" w:type="dxa"/>
              <w:bottom w:w="80" w:type="dxa"/>
              <w:end w:w="120" w:type="dxa"/>
            </w:tcMar>
            <w:vAlign w:val="center"/>
          </w:tcPr>
          <w:p>
            <w:pPr>
              <w:spacing w:before="0" w:after="0" w:line="240" w:lineRule="auto"/>
              <w:jc w:val="left"/>
            </w:pPr>
            <w:r/>
            <w:r>
              <w:rPr>
                <w:rFonts w:ascii="Arial" w:hAnsi="Arial" w:cs="Arial"/>
                <w:sz w:val="18"/>
              </w:rPr>
              <w:t>Especialidad/temporalidad</w:t>
            </w:r>
          </w:p>
        </w:tc>
        <w:tc>
          <w:tcPr>
            <w:tcW w:type="dxa" w:w="3424"/>
            <w:tcMar>
              <w:top w:w="80" w:type="dxa"/>
              <w:start w:w="120" w:type="dxa"/>
              <w:bottom w:w="80" w:type="dxa"/>
              <w:end w:w="120" w:type="dxa"/>
            </w:tcMar>
            <w:vAlign w:val="center"/>
          </w:tcPr>
          <w:p>
            <w:pPr>
              <w:spacing w:before="0" w:after="0" w:line="240" w:lineRule="auto"/>
              <w:jc w:val="left"/>
            </w:pPr>
            <w:r/>
            <w:r>
              <w:rPr>
                <w:rFonts w:ascii="Arial" w:hAnsi="Arial" w:cs="Arial"/>
                <w:sz w:val="18"/>
              </w:rPr>
              <w:t>Aplicación preferente o derogación</w:t>
            </w:r>
          </w:p>
        </w:tc>
      </w:tr>
      <w:tr>
        <w:tc>
          <w:tcPr>
            <w:tcW w:type="dxa" w:w="3112"/>
            <w:tcMar>
              <w:top w:w="80" w:type="dxa"/>
              <w:start w:w="120" w:type="dxa"/>
              <w:bottom w:w="80" w:type="dxa"/>
              <w:end w:w="120" w:type="dxa"/>
            </w:tcMar>
            <w:vAlign w:val="center"/>
          </w:tcPr>
          <w:p>
            <w:pPr>
              <w:spacing w:before="0" w:after="0" w:line="240" w:lineRule="auto"/>
              <w:jc w:val="left"/>
            </w:pPr>
            <w:r/>
            <w:r>
              <w:rPr>
                <w:rFonts w:ascii="Arial" w:hAnsi="Arial" w:cs="Arial"/>
                <w:sz w:val="18"/>
              </w:rPr>
              <w:t>Instrucción–reglamento</w:t>
            </w:r>
          </w:p>
        </w:tc>
        <w:tc>
          <w:tcPr>
            <w:tcW w:type="dxa" w:w="2490"/>
            <w:tcMar>
              <w:top w:w="80" w:type="dxa"/>
              <w:start w:w="120" w:type="dxa"/>
              <w:bottom w:w="80" w:type="dxa"/>
              <w:end w:w="120" w:type="dxa"/>
            </w:tcMar>
            <w:vAlign w:val="center"/>
          </w:tcPr>
          <w:p>
            <w:pPr>
              <w:spacing w:before="0" w:after="0" w:line="240" w:lineRule="auto"/>
              <w:jc w:val="left"/>
            </w:pPr>
            <w:r/>
            <w:r>
              <w:rPr>
                <w:rFonts w:ascii="Arial" w:hAnsi="Arial" w:cs="Arial"/>
                <w:sz w:val="18"/>
              </w:rPr>
              <w:t>Jerarquía y naturaleza</w:t>
            </w:r>
          </w:p>
        </w:tc>
        <w:tc>
          <w:tcPr>
            <w:tcW w:type="dxa" w:w="3424"/>
            <w:tcMar>
              <w:top w:w="80" w:type="dxa"/>
              <w:start w:w="120" w:type="dxa"/>
              <w:bottom w:w="80" w:type="dxa"/>
              <w:end w:w="120" w:type="dxa"/>
            </w:tcMar>
            <w:vAlign w:val="center"/>
          </w:tcPr>
          <w:p>
            <w:pPr>
              <w:spacing w:before="0" w:after="0" w:line="240" w:lineRule="auto"/>
              <w:jc w:val="left"/>
            </w:pPr>
            <w:r/>
            <w:r>
              <w:rPr>
                <w:rFonts w:ascii="Arial" w:hAnsi="Arial" w:cs="Arial"/>
                <w:sz w:val="18"/>
              </w:rPr>
              <w:t>Prevalece el reglamento</w:t>
            </w:r>
          </w:p>
        </w:tc>
      </w:tr>
    </w:tbl>
    <w:p>
      <w:pPr>
        <w:spacing w:after="40"/>
      </w:pPr>
    </w:p>
    <w:p>
      <w:pPr>
        <w:pStyle w:val="Heading1"/>
        <w:keepNext/>
      </w:pPr>
      <w:r>
        <w:rPr>
          <w:rFonts w:ascii="Arial" w:hAnsi="Arial" w:cs="Arial"/>
          <w:sz w:val="30"/>
        </w:rPr>
        <w:t>15. Garantías y control del sistema de fuentes</w:t>
      </w:r>
    </w:p>
    <w:p>
      <w:pPr>
        <w:pStyle w:val="Heading2"/>
        <w:keepNext/>
      </w:pPr>
      <w:r>
        <w:rPr>
          <w:rFonts w:ascii="Arial" w:hAnsi="Arial" w:cs="Arial"/>
          <w:sz w:val="25"/>
        </w:rPr>
        <w:t>15.1. Control de leyes y normas con fuerza de ley</w:t>
      </w:r>
    </w:p>
    <w:p>
      <w:pPr>
        <w:jc w:val="both"/>
      </w:pPr>
      <w:r>
        <w:rPr>
          <w:rFonts w:ascii="Arial" w:hAnsi="Arial" w:cs="Arial"/>
          <w:sz w:val="22"/>
        </w:rPr>
        <w:t>Corresponde al Tribunal Constitucional controlar leyes, estatutos y disposiciones con fuerza de ley mediante recurso y cuestión de inconstitucionalidad, además de los procesos competenciales previstos. Los jueces están vinculados por la ley; si una norma con rango legal aplicable y decisiva para el fallo puede ser contraria a la Constitución, plantean cuestión conforme al artículo 163 CE y la LOTC, siempre que no sea posible una interpretación conforme.</w:t>
      </w:r>
    </w:p>
    <w:p>
      <w:pPr>
        <w:jc w:val="both"/>
      </w:pPr>
      <w:r>
        <w:rPr>
          <w:rFonts w:ascii="Arial" w:hAnsi="Arial" w:cs="Arial"/>
          <w:sz w:val="22"/>
        </w:rPr>
        <w:t>El recurso de inconstitucionalidad es control abstracto promovido por los legitimados constitucional y legalmente. La cuestión nace en un proceso judicial concreto. Que una ley esté recurrida no suspende en general su vigencia; la suspensión exige una previsión específica.</w:t>
      </w:r>
    </w:p>
    <w:p>
      <w:pPr>
        <w:pStyle w:val="Heading2"/>
        <w:keepNext/>
      </w:pPr>
      <w:r>
        <w:rPr>
          <w:rFonts w:ascii="Arial" w:hAnsi="Arial" w:cs="Arial"/>
          <w:sz w:val="25"/>
        </w:rPr>
        <w:t>15.2. Control de reglamentos</w:t>
      </w:r>
    </w:p>
    <w:p>
      <w:pPr>
        <w:jc w:val="both"/>
      </w:pPr>
      <w:r>
        <w:rPr>
          <w:rFonts w:ascii="Arial" w:hAnsi="Arial" w:cs="Arial"/>
          <w:sz w:val="22"/>
        </w:rPr>
        <w:t>El artículo 106.1 CE encomienda a los tribunales controlar la potestad reglamentaria y la legalidad de la actuación administrativa, así como su sometimiento a los fines que la justifican. El artículo 6 LOPJ ordena a jueces y tribunales no aplicar reglamentos o disposiciones contrarios a Constitución, ley o jerarquía normativa.</w:t>
      </w:r>
    </w:p>
    <w:p>
      <w:pPr>
        <w:jc w:val="both"/>
      </w:pPr>
      <w:r>
        <w:rPr>
          <w:rFonts w:ascii="Arial" w:hAnsi="Arial" w:cs="Arial"/>
          <w:sz w:val="22"/>
        </w:rPr>
        <w:t>La jurisdicción contencioso-administrativa ofrece:</w:t>
      </w:r>
    </w:p>
    <w:p>
      <w:pPr>
        <w:pStyle w:val="ListBullet"/>
      </w:pPr>
      <w:r>
        <w:rPr>
          <w:rFonts w:ascii="Arial" w:hAnsi="Arial" w:cs="Arial"/>
          <w:b/>
          <w:sz w:val="22"/>
        </w:rPr>
        <w:t>recurso directo</w:t>
      </w:r>
      <w:r>
        <w:rPr>
          <w:rFonts w:ascii="Arial" w:hAnsi="Arial" w:cs="Arial"/>
          <w:sz w:val="22"/>
        </w:rPr>
        <w:t xml:space="preserve"> contra la disposición general;</w:t>
      </w:r>
    </w:p>
    <w:p>
      <w:pPr>
        <w:pStyle w:val="ListBullet"/>
      </w:pPr>
      <w:r>
        <w:rPr>
          <w:rFonts w:ascii="Arial" w:hAnsi="Arial" w:cs="Arial"/>
          <w:b/>
          <w:sz w:val="22"/>
        </w:rPr>
        <w:t>recurso indirecto</w:t>
      </w:r>
      <w:r>
        <w:rPr>
          <w:rFonts w:ascii="Arial" w:hAnsi="Arial" w:cs="Arial"/>
          <w:sz w:val="22"/>
        </w:rPr>
        <w:t xml:space="preserve"> contra un acto de aplicación fundado en la ilegalidad del reglamento;</w:t>
      </w:r>
    </w:p>
    <w:p>
      <w:pPr>
        <w:pStyle w:val="ListBullet"/>
      </w:pPr>
      <w:r>
        <w:rPr>
          <w:rFonts w:ascii="Arial" w:hAnsi="Arial" w:cs="Arial"/>
          <w:b/>
          <w:sz w:val="22"/>
        </w:rPr>
        <w:t>cuestión de ilegalidad</w:t>
      </w:r>
      <w:r>
        <w:rPr>
          <w:rFonts w:ascii="Arial" w:hAnsi="Arial" w:cs="Arial"/>
          <w:sz w:val="22"/>
        </w:rPr>
        <w:t>, cuando el órgano que estima definitivamente el recurso indirecto no es competente para anular directamente la disposición;</w:t>
      </w:r>
    </w:p>
    <w:p>
      <w:pPr>
        <w:pStyle w:val="ListBullet"/>
      </w:pPr>
      <w:r>
        <w:rPr>
          <w:rFonts w:ascii="Arial" w:hAnsi="Arial" w:cs="Arial"/>
          <w:sz w:val="22"/>
        </w:rPr>
        <w:t>potestad del Tribunal Supremo para anular la disposición sin cuestión de ilegalidad cuando conoce del recurso en cualquier grado.</w:t>
      </w:r>
    </w:p>
    <w:p>
      <w:pPr>
        <w:jc w:val="both"/>
      </w:pPr>
      <w:r>
        <w:rPr>
          <w:rFonts w:ascii="Arial" w:hAnsi="Arial" w:cs="Arial"/>
          <w:sz w:val="22"/>
        </w:rPr>
        <w:t>La falta de impugnación directa o la desestimación de esta no impiden necesariamente combatir los actos de aplicación fundándose en la ilegalidad de la disposición. La anulación de un reglamento produce los efectos que fija la LJCA y no equivale a declarar inconstitucional una ley.</w:t>
      </w:r>
    </w:p>
    <w:p>
      <w:pPr>
        <w:jc w:val="both"/>
      </w:pPr>
      <w:r>
        <w:rPr>
          <w:rFonts w:ascii="Arial" w:hAnsi="Arial" w:cs="Arial"/>
          <w:sz w:val="22"/>
        </w:rPr>
        <w:t>El artículo 47.2 LPAC sanciona con nulidad de pleno derecho las disposiciones administrativas que vulneren Constitución, leyes u otras disposiciones superiores, regulen materias reservadas a ley o establezcan retroactividad sancionadora no favorable o restrictiva de derechos individuales. El artículo 106.2 LPAC permite a las Administraciones, previo dictamen favorable del Consejo de Estado u órgano consultivo autonómico equivalente, declarar de oficio la nulidad de disposiciones administrativas en esos supuestos.</w:t>
      </w:r>
    </w:p>
    <w:p>
      <w:pPr>
        <w:pStyle w:val="Heading2"/>
        <w:keepNext/>
      </w:pPr>
      <w:r>
        <w:rPr>
          <w:rFonts w:ascii="Arial" w:hAnsi="Arial" w:cs="Arial"/>
          <w:sz w:val="25"/>
        </w:rPr>
        <w:t>15.3. Publicidad, participación y técnica normativa</w:t>
      </w:r>
    </w:p>
    <w:p>
      <w:pPr>
        <w:jc w:val="both"/>
      </w:pPr>
      <w:r>
        <w:rPr>
          <w:rFonts w:ascii="Arial" w:hAnsi="Arial" w:cs="Arial"/>
          <w:sz w:val="22"/>
        </w:rPr>
        <w:t>La publicación oficial hace cognoscible la norma. La participación, los informes, la memoria de análisis de impacto, la audiencia y los principios de buena regulación previenen defectos antes de la aprobación. No todos los trámites tienen el mismo ámbito territorial ni toda omisión ocasiona automáticamente idéntica consecuencia: debe atenderse a la norma reguladora, a su carácter y a la jurisprudencia.</w:t>
      </w:r>
    </w:p>
    <w:p>
      <w:pPr>
        <w:jc w:val="both"/>
      </w:pPr>
      <w:r>
        <w:rPr>
          <w:rFonts w:ascii="Arial" w:hAnsi="Arial" w:cs="Arial"/>
          <w:sz w:val="22"/>
        </w:rPr>
        <w:t>La STC 55/2018 precisó el alcance competencial de varios preceptos del título VI de la LPAC respecto de las iniciativas legislativas y reglamentarias autonómicas. Para la Administración General del Estado, la Ley 50/1997 contiene el procedimiento específico de elaboración. Es una trampa afirmar que cada detalle del artículo 133 LPAC rige de forma uniforme y plena para todos los legisladores y Administraciones.</w:t>
      </w:r>
    </w:p>
    <w:p>
      <w:pPr>
        <w:pStyle w:val="Heading1"/>
        <w:keepNext/>
      </w:pPr>
      <w:r>
        <w:rPr>
          <w:rFonts w:ascii="Arial" w:hAnsi="Arial" w:cs="Arial"/>
          <w:sz w:val="30"/>
        </w:rPr>
        <w:t>16. Errores frecuentes y trampas de examen</w:t>
      </w:r>
    </w:p>
    <w:tbl>
      <w:tblPr>
        <w:tblStyle w:val="TableGrid"/>
        <w:tblW w:type="dxa" w:w="9026"/>
        <w:jc w:val="left"/>
        <w:tblLayout w:type="fixed"/>
        <w:tblLook w:firstColumn="1" w:firstRow="1" w:lastColumn="0" w:lastRow="0" w:noHBand="0" w:noVBand="1" w:val="04A0"/>
        <w:tblInd w:w="120" w:type="dxa"/>
      </w:tblPr>
      <w:tblGrid>
        <w:gridCol w:w="4513"/>
        <w:gridCol w:w="4513"/>
      </w:tblGrid>
      <w:tr>
        <w:trPr>
          <w:tblHeader w:val="true"/>
        </w:trPr>
        <w:tc>
          <w:tcPr>
            <w:tcW w:type="dxa" w:w="451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Error</w:t>
            </w:r>
          </w:p>
        </w:tc>
        <w:tc>
          <w:tcPr>
            <w:tcW w:type="dxa" w:w="4513"/>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Corrección</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«Toda fuente se ordena solo por jerarquía»</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También operan competencia, primacía, reserva, especialidad y temporalidad.</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«La ley orgánica es superior a cualquier ley ordinaria»</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La relación gira en torno a la reserva material del artículo 81 CE, no a una superioridad universal.</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«Una ley estatal siempre vence a una autonómica»</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Entre ellas decide principalmente la distribución de competencias.</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«El Derecho de la Unión deroga automáticamente la ley española incompatible»</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La primacía conduce a inaplicarla en el caso; no equivale por sí sola a derogación formal.</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«Todo tratado es directamente invocable»</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Puede requerir desarrollo si sus disposiciones no son directamente aplicables.</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«La costumbre puede crear potestades administrativas»</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No puede sustituir la habilitación normativa exigida al poder público.</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«El precedente obliga a reiterar el acto anterior»</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Exige coherencia o motivación, pero no perpetúa ilegalidades.</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«Una circular nunca es reglamento»</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Se atiende a su contenido y efectos, no a su denominación.</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«No aplicar una norma durante años la deroga»</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La desuetudo no es forma general de derogación.</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«Los principios solo actúan cuando no hay ley»</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Además informan siempre interpretación y aplicación.</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«Una sentencia aislada del Supremo ya es jurisprudencia reiterada»</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Puede ser relevante, pero el artículo 1.6 CC habla de doctrina reiterada.</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«Un juez ordinario anula una ley inconstitucional»</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Debe plantear cuestión al TC si concurren los requisitos.</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«Un reglamento ilegal sigue aplicándose hasta que sea anulado»</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Los jueces no aplican reglamentos contrarios a normas superiores.</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«Publicación y entrada en vigor son la misma fecha»</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 xml:space="preserve">Puede existir </w:t>
            </w:r>
            <w:r>
              <w:rPr>
                <w:rFonts w:ascii="Arial" w:hAnsi="Arial" w:cs="Arial"/>
                <w:i/>
                <w:sz w:val="18"/>
              </w:rPr>
              <w:t>vacatio legis</w:t>
            </w:r>
            <w:r>
              <w:rPr>
                <w:rFonts w:ascii="Arial" w:hAnsi="Arial" w:cs="Arial"/>
                <w:sz w:val="18"/>
              </w:rPr>
              <w:t xml:space="preserve"> o fecha específica.</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«Derogar la norma derogatoria revive automáticamente la anterior»</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Solo revive si se establece expresamente.</w:t>
            </w:r>
          </w:p>
        </w:tc>
      </w:tr>
    </w:tbl>
    <w:p>
      <w:pPr>
        <w:spacing w:after="40"/>
      </w:pPr>
    </w:p>
    <w:p>
      <w:pPr>
        <w:pStyle w:val="Heading1"/>
        <w:keepNext/>
      </w:pPr>
      <w:r>
        <w:rPr>
          <w:rFonts w:ascii="Arial" w:hAnsi="Arial" w:cs="Arial"/>
          <w:sz w:val="30"/>
        </w:rPr>
        <w:t>17. Esquema de memoria</w:t>
      </w:r>
    </w:p>
    <w:p>
      <w:pPr>
        <w:pStyle w:val="Heading2"/>
        <w:keepNext/>
      </w:pPr>
      <w:r>
        <w:rPr>
          <w:rFonts w:ascii="Arial" w:hAnsi="Arial" w:cs="Arial"/>
          <w:sz w:val="25"/>
        </w:rPr>
        <w:t>17.1. Fórmula central</w:t>
      </w:r>
    </w:p>
    <w:p>
      <w:pPr>
        <w:jc w:val="both"/>
      </w:pPr>
      <w:r>
        <w:rPr>
          <w:rFonts w:ascii="Arial" w:hAnsi="Arial" w:cs="Arial"/>
          <w:b/>
          <w:sz w:val="22"/>
        </w:rPr>
        <w:t>Fuentes = Constitución + Derecho UE + tratados + ley y normas con fuerza de ley + reglamento + costumbre + principios; jurisprudencia complementa y las instrucciones normalmente ordenan internamente.</w:t>
      </w:r>
    </w:p>
    <w:p>
      <w:pPr>
        <w:pStyle w:val="Heading2"/>
        <w:keepNext/>
      </w:pPr>
      <w:r>
        <w:rPr>
          <w:rFonts w:ascii="Arial" w:hAnsi="Arial" w:cs="Arial"/>
          <w:sz w:val="25"/>
        </w:rPr>
        <w:t>17.2. Cinco criterios de articulación</w:t>
      </w:r>
    </w:p>
    <w:p>
      <w:pPr>
        <w:spacing w:after="40"/>
        <w:ind w:left="369" w:hanging="227"/>
      </w:pPr>
      <w:r>
        <w:rPr>
          <w:rFonts w:ascii="Arial" w:hAnsi="Arial" w:cs="Arial"/>
          <w:sz w:val="22"/>
        </w:rPr>
        <w:t xml:space="preserve">1. </w:t>
      </w:r>
      <w:r>
        <w:rPr>
          <w:rFonts w:ascii="Arial" w:hAnsi="Arial" w:cs="Arial"/>
          <w:b/>
          <w:sz w:val="22"/>
        </w:rPr>
        <w:t>Supremacía:</w:t>
      </w:r>
      <w:r>
        <w:rPr>
          <w:rFonts w:ascii="Arial" w:hAnsi="Arial" w:cs="Arial"/>
          <w:sz w:val="22"/>
        </w:rPr>
        <w:t xml:space="preserve"> Constitución.</w:t>
      </w:r>
    </w:p>
    <w:p>
      <w:pPr>
        <w:spacing w:after="40"/>
        <w:ind w:left="369" w:hanging="227"/>
      </w:pPr>
      <w:r>
        <w:rPr>
          <w:rFonts w:ascii="Arial" w:hAnsi="Arial" w:cs="Arial"/>
          <w:sz w:val="22"/>
        </w:rPr>
        <w:t xml:space="preserve">2. </w:t>
      </w:r>
      <w:r>
        <w:rPr>
          <w:rFonts w:ascii="Arial" w:hAnsi="Arial" w:cs="Arial"/>
          <w:b/>
          <w:sz w:val="22"/>
        </w:rPr>
        <w:t>Primacía:</w:t>
      </w:r>
      <w:r>
        <w:rPr>
          <w:rFonts w:ascii="Arial" w:hAnsi="Arial" w:cs="Arial"/>
          <w:sz w:val="22"/>
        </w:rPr>
        <w:t xml:space="preserve"> Derecho de la Unión dentro de su ámbito.</w:t>
      </w:r>
    </w:p>
    <w:p>
      <w:pPr>
        <w:spacing w:after="40"/>
        <w:ind w:left="369" w:hanging="227"/>
      </w:pPr>
      <w:r>
        <w:rPr>
          <w:rFonts w:ascii="Arial" w:hAnsi="Arial" w:cs="Arial"/>
          <w:sz w:val="22"/>
        </w:rPr>
        <w:t xml:space="preserve">3. </w:t>
      </w:r>
      <w:r>
        <w:rPr>
          <w:rFonts w:ascii="Arial" w:hAnsi="Arial" w:cs="Arial"/>
          <w:b/>
          <w:sz w:val="22"/>
        </w:rPr>
        <w:t>Competencia:</w:t>
      </w:r>
      <w:r>
        <w:rPr>
          <w:rFonts w:ascii="Arial" w:hAnsi="Arial" w:cs="Arial"/>
          <w:sz w:val="22"/>
        </w:rPr>
        <w:t xml:space="preserve"> Estado, comunidades y entidades locales; ley orgánica y ordinaria en sus reservas.</w:t>
      </w:r>
    </w:p>
    <w:p>
      <w:pPr>
        <w:spacing w:after="40"/>
        <w:ind w:left="369" w:hanging="227"/>
      </w:pPr>
      <w:r>
        <w:rPr>
          <w:rFonts w:ascii="Arial" w:hAnsi="Arial" w:cs="Arial"/>
          <w:sz w:val="22"/>
        </w:rPr>
        <w:t xml:space="preserve">4. </w:t>
      </w:r>
      <w:r>
        <w:rPr>
          <w:rFonts w:ascii="Arial" w:hAnsi="Arial" w:cs="Arial"/>
          <w:b/>
          <w:sz w:val="22"/>
        </w:rPr>
        <w:t>Jerarquía:</w:t>
      </w:r>
      <w:r>
        <w:rPr>
          <w:rFonts w:ascii="Arial" w:hAnsi="Arial" w:cs="Arial"/>
          <w:sz w:val="22"/>
        </w:rPr>
        <w:t xml:space="preserve"> ley sobre reglamento; reglamento superior sobre inferior.</w:t>
      </w:r>
    </w:p>
    <w:p>
      <w:pPr>
        <w:spacing w:after="40"/>
        <w:ind w:left="369" w:hanging="227"/>
      </w:pPr>
      <w:r>
        <w:rPr>
          <w:rFonts w:ascii="Arial" w:hAnsi="Arial" w:cs="Arial"/>
          <w:sz w:val="22"/>
        </w:rPr>
        <w:t xml:space="preserve">5. </w:t>
      </w:r>
      <w:r>
        <w:rPr>
          <w:rFonts w:ascii="Arial" w:hAnsi="Arial" w:cs="Arial"/>
          <w:b/>
          <w:sz w:val="22"/>
        </w:rPr>
        <w:t>Especialidad y temporalidad:</w:t>
      </w:r>
      <w:r>
        <w:rPr>
          <w:rFonts w:ascii="Arial" w:hAnsi="Arial" w:cs="Arial"/>
          <w:sz w:val="22"/>
        </w:rPr>
        <w:t xml:space="preserve"> entre normas válidas del mismo rango y sistema.</w:t>
      </w:r>
    </w:p>
    <w:p>
      <w:pPr>
        <w:pStyle w:val="Heading2"/>
        <w:keepNext/>
      </w:pPr>
      <w:r>
        <w:rPr>
          <w:rFonts w:ascii="Arial" w:hAnsi="Arial" w:cs="Arial"/>
          <w:sz w:val="25"/>
        </w:rPr>
        <w:t>17.3. Escalera de examen</w:t>
      </w:r>
    </w:p>
    <w:p>
      <w:pPr>
        <w:jc w:val="both"/>
      </w:pPr>
      <w:r>
        <w:rPr>
          <w:rFonts w:ascii="Arial" w:hAnsi="Arial" w:cs="Arial"/>
          <w:b/>
          <w:sz w:val="22"/>
        </w:rPr>
        <w:t>Identifica → comprueba competencia → revisa reserva → aplica supremacía/primacía/jerarquía → especialidad/tiempo → determina control.</w:t>
      </w:r>
    </w:p>
    <w:p>
      <w:pPr>
        <w:pStyle w:val="Heading2"/>
        <w:keepNext/>
      </w:pPr>
      <w:r>
        <w:rPr>
          <w:rFonts w:ascii="Arial" w:hAnsi="Arial" w:cs="Arial"/>
          <w:sz w:val="25"/>
        </w:rPr>
        <w:t>17.4. Tríos que conviene retener</w:t>
      </w:r>
    </w:p>
    <w:p>
      <w:pPr>
        <w:pStyle w:val="ListBullet"/>
      </w:pPr>
      <w:r>
        <w:rPr>
          <w:rFonts w:ascii="Arial" w:hAnsi="Arial" w:cs="Arial"/>
          <w:sz w:val="22"/>
        </w:rPr>
        <w:t xml:space="preserve">Código Civil: </w:t>
      </w:r>
      <w:r>
        <w:rPr>
          <w:rFonts w:ascii="Arial" w:hAnsi="Arial" w:cs="Arial"/>
          <w:b/>
          <w:sz w:val="22"/>
        </w:rPr>
        <w:t>ley, costumbre, principios</w:t>
      </w:r>
      <w:r>
        <w:rPr>
          <w:rFonts w:ascii="Arial" w:hAnsi="Arial" w:cs="Arial"/>
          <w:sz w:val="22"/>
        </w:rPr>
        <w:t>.</w:t>
      </w:r>
    </w:p>
    <w:p>
      <w:pPr>
        <w:pStyle w:val="ListBullet"/>
      </w:pPr>
      <w:r>
        <w:rPr>
          <w:rFonts w:ascii="Arial" w:hAnsi="Arial" w:cs="Arial"/>
          <w:sz w:val="22"/>
        </w:rPr>
        <w:t xml:space="preserve">Costumbre: </w:t>
      </w:r>
      <w:r>
        <w:rPr>
          <w:rFonts w:ascii="Arial" w:hAnsi="Arial" w:cs="Arial"/>
          <w:b/>
          <w:sz w:val="22"/>
        </w:rPr>
        <w:t>defecto de ley, no contraria a moral/orden público, probada</w:t>
      </w:r>
      <w:r>
        <w:rPr>
          <w:rFonts w:ascii="Arial" w:hAnsi="Arial" w:cs="Arial"/>
          <w:sz w:val="22"/>
        </w:rPr>
        <w:t>.</w:t>
      </w:r>
    </w:p>
    <w:p>
      <w:pPr>
        <w:pStyle w:val="ListBullet"/>
      </w:pPr>
      <w:r>
        <w:rPr>
          <w:rFonts w:ascii="Arial" w:hAnsi="Arial" w:cs="Arial"/>
          <w:sz w:val="22"/>
        </w:rPr>
        <w:t xml:space="preserve">Principios: </w:t>
      </w:r>
      <w:r>
        <w:rPr>
          <w:rFonts w:ascii="Arial" w:hAnsi="Arial" w:cs="Arial"/>
          <w:b/>
          <w:sz w:val="22"/>
        </w:rPr>
        <w:t>fuente subsidiaria + carácter informador</w:t>
      </w:r>
      <w:r>
        <w:rPr>
          <w:rFonts w:ascii="Arial" w:hAnsi="Arial" w:cs="Arial"/>
          <w:sz w:val="22"/>
        </w:rPr>
        <w:t>.</w:t>
      </w:r>
    </w:p>
    <w:p>
      <w:pPr>
        <w:pStyle w:val="ListBullet"/>
      </w:pPr>
      <w:r>
        <w:rPr>
          <w:rFonts w:ascii="Arial" w:hAnsi="Arial" w:cs="Arial"/>
          <w:sz w:val="22"/>
        </w:rPr>
        <w:t xml:space="preserve">Jurisprudencia: </w:t>
      </w:r>
      <w:r>
        <w:rPr>
          <w:rFonts w:ascii="Arial" w:hAnsi="Arial" w:cs="Arial"/>
          <w:b/>
          <w:sz w:val="22"/>
        </w:rPr>
        <w:t>doctrina reiterada del Supremo + complementa</w:t>
      </w:r>
      <w:r>
        <w:rPr>
          <w:rFonts w:ascii="Arial" w:hAnsi="Arial" w:cs="Arial"/>
          <w:sz w:val="22"/>
        </w:rPr>
        <w:t>.</w:t>
      </w:r>
    </w:p>
    <w:p>
      <w:pPr>
        <w:pStyle w:val="ListBullet"/>
      </w:pPr>
      <w:r>
        <w:rPr>
          <w:rFonts w:ascii="Arial" w:hAnsi="Arial" w:cs="Arial"/>
          <w:sz w:val="22"/>
        </w:rPr>
        <w:t xml:space="preserve">Reglamento nulo: </w:t>
      </w:r>
      <w:r>
        <w:rPr>
          <w:rFonts w:ascii="Arial" w:hAnsi="Arial" w:cs="Arial"/>
          <w:b/>
          <w:sz w:val="22"/>
        </w:rPr>
        <w:t>vulnera superior, invade reserva o retroactividad prohibida</w:t>
      </w:r>
      <w:r>
        <w:rPr>
          <w:rFonts w:ascii="Arial" w:hAnsi="Arial" w:cs="Arial"/>
          <w:sz w:val="22"/>
        </w:rPr>
        <w:t>.</w:t>
      </w:r>
    </w:p>
    <w:p>
      <w:pPr>
        <w:pStyle w:val="ListBullet"/>
      </w:pPr>
      <w:r>
        <w:rPr>
          <w:rFonts w:ascii="Arial" w:hAnsi="Arial" w:cs="Arial"/>
          <w:sz w:val="22"/>
        </w:rPr>
        <w:t xml:space="preserve">Conflicto territorial: </w:t>
      </w:r>
      <w:r>
        <w:rPr>
          <w:rFonts w:ascii="Arial" w:hAnsi="Arial" w:cs="Arial"/>
          <w:b/>
          <w:sz w:val="22"/>
        </w:rPr>
        <w:t>materia, competencia, bloque de constitucionalidad</w:t>
      </w:r>
      <w:r>
        <w:rPr>
          <w:rFonts w:ascii="Arial" w:hAnsi="Arial" w:cs="Arial"/>
          <w:sz w:val="22"/>
        </w:rPr>
        <w:t>.</w:t>
      </w:r>
    </w:p>
    <w:p>
      <w:pPr>
        <w:pStyle w:val="Heading1"/>
        <w:keepNext/>
      </w:pPr>
      <w:r>
        <w:rPr>
          <w:rFonts w:ascii="Arial" w:hAnsi="Arial" w:cs="Arial"/>
          <w:sz w:val="30"/>
        </w:rPr>
        <w:t>18. Datos especialmente preguntables</w:t>
      </w:r>
    </w:p>
    <w:p>
      <w:pPr>
        <w:spacing w:after="40"/>
        <w:ind w:left="369" w:hanging="227"/>
      </w:pPr>
      <w:r>
        <w:rPr>
          <w:rFonts w:ascii="Arial" w:hAnsi="Arial" w:cs="Arial"/>
          <w:sz w:val="22"/>
        </w:rPr>
        <w:t>1. Artículo 1.1 CC: fuentes del ordenamiento, ley, costumbre y principios generales.</w:t>
      </w:r>
    </w:p>
    <w:p>
      <w:pPr>
        <w:spacing w:after="40"/>
        <w:ind w:left="369" w:hanging="227"/>
      </w:pPr>
      <w:r>
        <w:rPr>
          <w:rFonts w:ascii="Arial" w:hAnsi="Arial" w:cs="Arial"/>
          <w:sz w:val="22"/>
        </w:rPr>
        <w:t>2. Artículo 1.2 CC: carecen de validez las disposiciones contrarias a otra de rango superior.</w:t>
      </w:r>
    </w:p>
    <w:p>
      <w:pPr>
        <w:spacing w:after="40"/>
        <w:ind w:left="369" w:hanging="227"/>
      </w:pPr>
      <w:r>
        <w:rPr>
          <w:rFonts w:ascii="Arial" w:hAnsi="Arial" w:cs="Arial"/>
          <w:sz w:val="22"/>
        </w:rPr>
        <w:t>3. Artículo 1.3 CC: requisitos de la costumbre y valor de los usos jurídicos no meramente interpretativos.</w:t>
      </w:r>
    </w:p>
    <w:p>
      <w:pPr>
        <w:spacing w:after="40"/>
        <w:ind w:left="369" w:hanging="227"/>
      </w:pPr>
      <w:r>
        <w:rPr>
          <w:rFonts w:ascii="Arial" w:hAnsi="Arial" w:cs="Arial"/>
          <w:sz w:val="22"/>
        </w:rPr>
        <w:t>4. Artículo 1.4 CC: principios como fuente subsidiaria y carácter informador.</w:t>
      </w:r>
    </w:p>
    <w:p>
      <w:pPr>
        <w:spacing w:after="40"/>
        <w:ind w:left="369" w:hanging="227"/>
      </w:pPr>
      <w:r>
        <w:rPr>
          <w:rFonts w:ascii="Arial" w:hAnsi="Arial" w:cs="Arial"/>
          <w:sz w:val="22"/>
        </w:rPr>
        <w:t>5. Artículo 1.5 CC: tratado no se aplica directamente en España hasta su publicación íntegra en el BOE.</w:t>
      </w:r>
    </w:p>
    <w:p>
      <w:pPr>
        <w:spacing w:after="40"/>
        <w:ind w:left="369" w:hanging="227"/>
      </w:pPr>
      <w:r>
        <w:rPr>
          <w:rFonts w:ascii="Arial" w:hAnsi="Arial" w:cs="Arial"/>
          <w:sz w:val="22"/>
        </w:rPr>
        <w:t>6. Artículo 1.6 CC: jurisprudencia reiterada del Tribunal Supremo complementa el ordenamiento.</w:t>
      </w:r>
    </w:p>
    <w:p>
      <w:pPr>
        <w:spacing w:after="40"/>
        <w:ind w:left="369" w:hanging="227"/>
      </w:pPr>
      <w:r>
        <w:rPr>
          <w:rFonts w:ascii="Arial" w:hAnsi="Arial" w:cs="Arial"/>
          <w:sz w:val="22"/>
        </w:rPr>
        <w:t>7. Artículo 9.1 CE: ciudadanía y poderes públicos sujetos a Constitución y resto del ordenamiento.</w:t>
      </w:r>
    </w:p>
    <w:p>
      <w:pPr>
        <w:spacing w:after="40"/>
        <w:ind w:left="369" w:hanging="227"/>
      </w:pPr>
      <w:r>
        <w:rPr>
          <w:rFonts w:ascii="Arial" w:hAnsi="Arial" w:cs="Arial"/>
          <w:sz w:val="22"/>
        </w:rPr>
        <w:t>8. Artículo 9.3 CE: nueve garantías, entre ellas legalidad, jerarquía, publicidad, seguridad e interdicción de arbitrariedad.</w:t>
      </w:r>
    </w:p>
    <w:p>
      <w:pPr>
        <w:spacing w:after="40"/>
        <w:ind w:left="369" w:hanging="227"/>
      </w:pPr>
      <w:r>
        <w:rPr>
          <w:rFonts w:ascii="Arial" w:hAnsi="Arial" w:cs="Arial"/>
          <w:sz w:val="22"/>
        </w:rPr>
        <w:t>9. Artículo 96.1 CE: tratados válidamente celebrados y publicados forman parte del ordenamiento interno.</w:t>
      </w:r>
    </w:p>
    <w:p>
      <w:pPr>
        <w:spacing w:after="40"/>
        <w:ind w:left="369" w:hanging="227"/>
      </w:pPr>
      <w:r>
        <w:rPr>
          <w:rFonts w:ascii="Arial" w:hAnsi="Arial" w:cs="Arial"/>
          <w:sz w:val="22"/>
        </w:rPr>
        <w:t>10. Artículo 97 CE: el Gobierno ejerce potestad reglamentaria conforme a Constitución y leyes.</w:t>
      </w:r>
    </w:p>
    <w:p>
      <w:pPr>
        <w:spacing w:after="40"/>
        <w:ind w:left="369" w:hanging="227"/>
      </w:pPr>
      <w:r>
        <w:rPr>
          <w:rFonts w:ascii="Arial" w:hAnsi="Arial" w:cs="Arial"/>
          <w:sz w:val="22"/>
        </w:rPr>
        <w:t>11. Artículo 103.1 CE: pleno sometimiento de la Administración a ley y Derecho.</w:t>
      </w:r>
    </w:p>
    <w:p>
      <w:pPr>
        <w:spacing w:after="40"/>
        <w:ind w:left="369" w:hanging="227"/>
      </w:pPr>
      <w:r>
        <w:rPr>
          <w:rFonts w:ascii="Arial" w:hAnsi="Arial" w:cs="Arial"/>
          <w:sz w:val="22"/>
        </w:rPr>
        <w:t>12. Artículo 106.1 CE: control judicial de potestad reglamentaria, legalidad y sometimiento a fines.</w:t>
      </w:r>
    </w:p>
    <w:p>
      <w:pPr>
        <w:spacing w:after="40"/>
        <w:ind w:left="369" w:hanging="227"/>
      </w:pPr>
      <w:r>
        <w:rPr>
          <w:rFonts w:ascii="Arial" w:hAnsi="Arial" w:cs="Arial"/>
          <w:sz w:val="22"/>
        </w:rPr>
        <w:t>13. Artículo 149.3 CE: cláusulas de prevalencia y supletoriedad en sus términos constitucionales.</w:t>
      </w:r>
    </w:p>
    <w:p>
      <w:pPr>
        <w:spacing w:after="40"/>
        <w:ind w:left="369" w:hanging="227"/>
      </w:pPr>
      <w:r>
        <w:rPr>
          <w:rFonts w:ascii="Arial" w:hAnsi="Arial" w:cs="Arial"/>
          <w:sz w:val="22"/>
        </w:rPr>
        <w:t>14. Artículo 24 de la Ley del Gobierno: reales decretos por encima de órdenes ministeriales en jerarquía reglamentaria estatal.</w:t>
      </w:r>
    </w:p>
    <w:p>
      <w:pPr>
        <w:spacing w:after="40"/>
        <w:ind w:left="369" w:hanging="227"/>
      </w:pPr>
      <w:r>
        <w:rPr>
          <w:rFonts w:ascii="Arial" w:hAnsi="Arial" w:cs="Arial"/>
          <w:sz w:val="22"/>
        </w:rPr>
        <w:t>15. Artículo 31 de la Ley 25/2014: prevalencia de tratados sobre normas internas salvo las de rango constitucional.</w:t>
      </w:r>
    </w:p>
    <w:p>
      <w:pPr>
        <w:spacing w:after="40"/>
        <w:ind w:left="369" w:hanging="227"/>
      </w:pPr>
      <w:r>
        <w:rPr>
          <w:rFonts w:ascii="Arial" w:hAnsi="Arial" w:cs="Arial"/>
          <w:sz w:val="22"/>
        </w:rPr>
        <w:t>16. Artículo 35.1.c LPAC: motivación al apartarse de precedentes o dictámenes consultivos.</w:t>
      </w:r>
    </w:p>
    <w:p>
      <w:pPr>
        <w:spacing w:after="40"/>
        <w:ind w:left="369" w:hanging="227"/>
      </w:pPr>
      <w:r>
        <w:rPr>
          <w:rFonts w:ascii="Arial" w:hAnsi="Arial" w:cs="Arial"/>
          <w:sz w:val="22"/>
        </w:rPr>
        <w:t>17. Artículo 47.2 LPAC: nulidad de pleno derecho de disposiciones administrativas ilegales.</w:t>
      </w:r>
    </w:p>
    <w:p>
      <w:pPr>
        <w:spacing w:after="40"/>
        <w:ind w:left="369" w:hanging="227"/>
      </w:pPr>
      <w:r>
        <w:rPr>
          <w:rFonts w:ascii="Arial" w:hAnsi="Arial" w:cs="Arial"/>
          <w:sz w:val="22"/>
        </w:rPr>
        <w:t>18. Artículo 6 LRJSP: instrucciones y órdenes de servicio; su incumplimiento no invalida por sí solo el acto.</w:t>
      </w:r>
    </w:p>
    <w:p>
      <w:pPr>
        <w:spacing w:after="40"/>
        <w:ind w:left="369" w:hanging="227"/>
      </w:pPr>
      <w:r>
        <w:rPr>
          <w:rFonts w:ascii="Arial" w:hAnsi="Arial" w:cs="Arial"/>
          <w:sz w:val="22"/>
        </w:rPr>
        <w:t>19. Artículo 6 LOPJ: jueces y tribunales no aplican reglamentos contrarios a Constitución, ley o jerarquía.</w:t>
      </w:r>
    </w:p>
    <w:p>
      <w:pPr>
        <w:spacing w:after="40"/>
        <w:ind w:left="369" w:hanging="227"/>
      </w:pPr>
      <w:r>
        <w:rPr>
          <w:rFonts w:ascii="Arial" w:hAnsi="Arial" w:cs="Arial"/>
          <w:sz w:val="22"/>
        </w:rPr>
        <w:t>20. Artículos 25 a 27 LJCA: recurso directo, indirecto y cuestión de ilegalidad.</w:t>
      </w:r>
    </w:p>
    <w:p>
      <w:pPr>
        <w:pStyle w:val="Heading1"/>
        <w:keepNext/>
      </w:pPr>
      <w:r>
        <w:rPr>
          <w:rFonts w:ascii="Arial" w:hAnsi="Arial" w:cs="Arial"/>
          <w:sz w:val="30"/>
        </w:rPr>
        <w:t>19. Fuentes oficiales de estudio</w:t>
      </w:r>
    </w:p>
    <w:p>
      <w:pPr>
        <w:pStyle w:val="ListBullet"/>
      </w:pPr>
      <w:r>
        <w:rPr>
          <w:rFonts w:ascii="Arial" w:hAnsi="Arial" w:cs="Arial"/>
          <w:sz w:val="22"/>
        </w:rPr>
        <w:t>Constitución Española, texto consolidado (https://www.boe.es/buscar/act.php?id=BOE-A-1978-31229).</w:t>
      </w:r>
    </w:p>
    <w:p>
      <w:pPr>
        <w:pStyle w:val="ListBullet"/>
      </w:pPr>
      <w:r>
        <w:rPr>
          <w:rFonts w:ascii="Arial" w:hAnsi="Arial" w:cs="Arial"/>
          <w:sz w:val="22"/>
        </w:rPr>
        <w:t>Código Civil, artículos 1 y 2 (https://www.boe.es/buscar/act.php?id=BOE-A-1889-4763).</w:t>
      </w:r>
    </w:p>
    <w:p>
      <w:pPr>
        <w:pStyle w:val="ListBullet"/>
      </w:pPr>
      <w:r>
        <w:rPr>
          <w:rFonts w:ascii="Arial" w:hAnsi="Arial" w:cs="Arial"/>
          <w:sz w:val="22"/>
        </w:rPr>
        <w:t>Tratado de la Unión Europea, EUR-Lex (https://eur-lex.europa.eu/legal-content/ES/TXT/?uri=CELEX:12016M/TXT).</w:t>
      </w:r>
    </w:p>
    <w:p>
      <w:pPr>
        <w:pStyle w:val="ListBullet"/>
      </w:pPr>
      <w:r>
        <w:rPr>
          <w:rFonts w:ascii="Arial" w:hAnsi="Arial" w:cs="Arial"/>
          <w:sz w:val="22"/>
        </w:rPr>
        <w:t>Tratado de Funcionamiento de la Unión Europea, EUR-Lex (https://eur-lex.europa.eu/legal-content/ES/TXT/?uri=CELEX:12016E/TXT).</w:t>
      </w:r>
    </w:p>
    <w:p>
      <w:pPr>
        <w:pStyle w:val="ListBullet"/>
      </w:pPr>
      <w:r>
        <w:rPr>
          <w:rFonts w:ascii="Arial" w:hAnsi="Arial" w:cs="Arial"/>
          <w:sz w:val="22"/>
        </w:rPr>
        <w:t>Ley 25/2014, de Tratados y otros Acuerdos Internacionales (https://www.boe.es/buscar/act.php?id=BOE-A-2014-12326).</w:t>
      </w:r>
    </w:p>
    <w:p>
      <w:pPr>
        <w:pStyle w:val="ListBullet"/>
      </w:pPr>
      <w:r>
        <w:rPr>
          <w:rFonts w:ascii="Arial" w:hAnsi="Arial" w:cs="Arial"/>
          <w:sz w:val="22"/>
        </w:rPr>
        <w:t>Ley 50/1997, del Gobierno (https://www.boe.es/buscar/act.php?id=BOE-A-1997-25336).</w:t>
      </w:r>
    </w:p>
    <w:p>
      <w:pPr>
        <w:pStyle w:val="ListBullet"/>
      </w:pPr>
      <w:r>
        <w:rPr>
          <w:rFonts w:ascii="Arial" w:hAnsi="Arial" w:cs="Arial"/>
          <w:sz w:val="22"/>
        </w:rPr>
        <w:t>Ley 39/2015, del Procedimiento Administrativo Común (https://www.boe.es/buscar/act.php?id=BOE-A-2015-10565).</w:t>
      </w:r>
    </w:p>
    <w:p>
      <w:pPr>
        <w:pStyle w:val="ListBullet"/>
      </w:pPr>
      <w:r>
        <w:rPr>
          <w:rFonts w:ascii="Arial" w:hAnsi="Arial" w:cs="Arial"/>
          <w:sz w:val="22"/>
        </w:rPr>
        <w:t>Ley 40/2015, de Régimen Jurídico del Sector Público (https://www.boe.es/buscar/act.php?id=BOE-A-2015-10566).</w:t>
      </w:r>
    </w:p>
    <w:p>
      <w:pPr>
        <w:pStyle w:val="ListBullet"/>
      </w:pPr>
      <w:r>
        <w:rPr>
          <w:rFonts w:ascii="Arial" w:hAnsi="Arial" w:cs="Arial"/>
          <w:sz w:val="22"/>
        </w:rPr>
        <w:t>Ley Orgánica 6/1985, del Poder Judicial (https://www.boe.es/buscar/act.php?id=BOE-A-1985-12666).</w:t>
      </w:r>
    </w:p>
    <w:p>
      <w:pPr>
        <w:pStyle w:val="ListBullet"/>
      </w:pPr>
      <w:r>
        <w:rPr>
          <w:rFonts w:ascii="Arial" w:hAnsi="Arial" w:cs="Arial"/>
          <w:sz w:val="22"/>
        </w:rPr>
        <w:t>Ley 29/1998, reguladora de la Jurisdicción Contencioso-administrativa (https://www.boe.es/buscar/act.php?id=BOE-A-1998-16718).</w:t>
      </w:r>
    </w:p>
    <w:p>
      <w:pPr>
        <w:pStyle w:val="ListBullet"/>
      </w:pPr>
      <w:r>
        <w:rPr>
          <w:rFonts w:ascii="Arial" w:hAnsi="Arial" w:cs="Arial"/>
          <w:sz w:val="22"/>
        </w:rPr>
        <w:t>Ley Orgánica 2/1979, del Tribunal Constitucional (https://www.boe.es/buscar/act.php?id=BOE-A-1979-23709).</w:t>
      </w:r>
    </w:p>
    <w:p>
      <w:pPr>
        <w:pStyle w:val="ListBullet"/>
      </w:pPr>
      <w:r>
        <w:rPr>
          <w:rFonts w:ascii="Arial" w:hAnsi="Arial" w:cs="Arial"/>
          <w:sz w:val="22"/>
        </w:rPr>
        <w:t>STC 55/2018, alcance competencial de reglas de elaboración normativa (https://hj.tribunalconstitucional.es/es/Resolucion/Show/25660).</w:t>
      </w:r>
    </w:p>
    <w:p>
      <w:pPr>
        <w:spacing w:after="100"/>
        <w:ind w:left="340" w:right="227"/>
        <w:shd w:fill="EAF2F8"/>
      </w:pPr>
      <w:r>
        <w:rPr>
          <w:rFonts w:ascii="Arial" w:hAnsi="Arial" w:cs="Arial"/>
          <w:b/>
          <w:sz w:val="20"/>
        </w:rPr>
        <w:t>Actualización:</w:t>
      </w:r>
      <w:r>
        <w:rPr>
          <w:rFonts w:ascii="Arial" w:hAnsi="Arial" w:cs="Arial"/>
          <w:sz w:val="20"/>
        </w:rPr>
        <w:t xml:space="preserve"> contenido comprobado con los textos oficiales consolidados disponibles a 30 de julio de 2026.</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G13</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4</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1, 2025: 2, 2026: 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4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bl>
    <w:p>
      <w:pPr>
        <w:spacing w:after="40"/>
      </w:pPr>
    </w:p>
    <w:p>
      <w:pPr>
        <w:jc w:val="both"/>
      </w:pPr>
      <w:r>
        <w:rPr>
          <w:rFonts w:ascii="Arial" w:hAnsi="Arial" w:cs="Arial"/>
          <w:b/>
          <w:sz w:val="22"/>
        </w:rPr>
        <w:t>Normas que más aparecen:</w:t>
      </w:r>
      <w:r>
        <w:rPr>
          <w:rFonts w:ascii="Arial" w:hAnsi="Arial" w:cs="Arial"/>
          <w:sz w:val="22"/>
        </w:rPr>
        <w:t xml:space="preserve"> Constitución Española (2).</w:t>
      </w:r>
    </w:p>
    <w:p>
      <w:pPr>
        <w:jc w:val="both"/>
      </w:pPr>
      <w:r>
        <w:rPr>
          <w:rFonts w:ascii="Arial" w:hAnsi="Arial" w:cs="Arial"/>
          <w:b/>
          <w:sz w:val="22"/>
        </w:rPr>
        <w:t>Artículos o preceptos más repetidos:</w:t>
      </w:r>
      <w:r>
        <w:rPr>
          <w:rFonts w:ascii="Arial" w:hAnsi="Arial" w:cs="Arial"/>
          <w:sz w:val="22"/>
        </w:rPr>
        <w:t xml:space="preserve"> 1 (1); 2 (1); 94 y 96 (1).</w:t>
      </w:r>
    </w:p>
    <w:p>
      <w:pPr>
        <w:jc w:val="both"/>
      </w:pPr>
      <w:r>
        <w:rPr>
          <w:rFonts w:ascii="Arial" w:hAnsi="Arial" w:cs="Arial"/>
          <w:b/>
          <w:sz w:val="22"/>
        </w:rPr>
        <w:t>Formas de pregunta predominantes:</w:t>
      </w:r>
      <w:r>
        <w:rPr>
          <w:rFonts w:ascii="Arial" w:hAnsi="Arial" w:cs="Arial"/>
          <w:sz w:val="22"/>
        </w:rPr>
        <w:t xml:space="preserve"> Artículos literales (4).</w:t>
      </w:r>
    </w:p>
    <w:p>
      <w:pPr>
        <w:pStyle w:val="Heading2"/>
        <w:keepNext/>
      </w:pPr>
      <w:r>
        <w:rPr>
          <w:rFonts w:ascii="Arial" w:hAnsi="Arial" w:cs="Arial"/>
          <w:sz w:val="25"/>
        </w:rPr>
        <w:t>Patrones observados</w:t>
      </w:r>
    </w:p>
    <w:p>
      <w:pPr>
        <w:pStyle w:val="ListBullet"/>
      </w:pPr>
      <w:r>
        <w:rPr>
          <w:rFonts w:ascii="Arial" w:hAnsi="Arial" w:cs="Arial"/>
          <w:b/>
          <w:sz w:val="22"/>
        </w:rPr>
        <w:t>2024, teoría 13:</w:t>
      </w:r>
      <w:r>
        <w:rPr>
          <w:rFonts w:ascii="Arial" w:hAnsi="Arial" w:cs="Arial"/>
          <w:sz w:val="22"/>
        </w:rPr>
        <w:t xml:space="preserve"> Señale la respuesta CORRECTA de acuerdo con 10 dispuesto en el articulo 1 del Código Civil:</w:t>
      </w:r>
    </w:p>
    <w:p>
      <w:pPr>
        <w:pStyle w:val="ListBullet"/>
      </w:pPr>
      <w:r>
        <w:rPr>
          <w:rFonts w:ascii="Arial" w:hAnsi="Arial" w:cs="Arial"/>
          <w:b/>
          <w:sz w:val="22"/>
        </w:rPr>
        <w:t>2025, teoría 13:</w:t>
      </w:r>
      <w:r>
        <w:rPr>
          <w:rFonts w:ascii="Arial" w:hAnsi="Arial" w:cs="Arial"/>
          <w:sz w:val="22"/>
        </w:rPr>
        <w:t xml:space="preserve"> Señale la afirmación correcta sobre la entrada en vigor de las leyes, de acuerdo con lo establecido en el artículo 2 del Código Civil:</w:t>
      </w:r>
    </w:p>
    <w:p>
      <w:pPr>
        <w:pStyle w:val="ListBullet"/>
      </w:pPr>
      <w:r>
        <w:rPr>
          <w:rFonts w:ascii="Arial" w:hAnsi="Arial" w:cs="Arial"/>
          <w:b/>
          <w:sz w:val="22"/>
        </w:rPr>
        <w:t>2025, teoría 13:</w:t>
      </w:r>
      <w:r>
        <w:rPr>
          <w:rFonts w:ascii="Arial" w:hAnsi="Arial" w:cs="Arial"/>
          <w:sz w:val="22"/>
        </w:rPr>
        <w:t xml:space="preserve"> De acuerdo con los artículos 94 y 96 de la Constitución Española, en relación con los Tratados Internacionales, señale la respuesta correcta:</w:t>
      </w:r>
    </w:p>
    <w:p>
      <w:pPr>
        <w:pStyle w:val="ListBullet"/>
      </w:pPr>
      <w:r>
        <w:rPr>
          <w:rFonts w:ascii="Arial" w:hAnsi="Arial" w:cs="Arial"/>
          <w:b/>
          <w:sz w:val="22"/>
        </w:rPr>
        <w:t>2026, teoría 17:</w:t>
      </w:r>
      <w:r>
        <w:rPr>
          <w:rFonts w:ascii="Arial" w:hAnsi="Arial" w:cs="Arial"/>
          <w:sz w:val="22"/>
        </w:rPr>
        <w:t xml:space="preserve"> Señale la respuesta correcta en relación con los artículos que recoge el Capítulo Tercero del Título III de la Constitución Española denominado "De los tratados internacionales":</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0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G13 · Tema 13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13. Las fuentes del Derecho Administrativo. Concepto y clases. La jerarquía de las fuentes</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