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14</w:t>
      </w:r>
    </w:p>
    <w:p>
      <w:pPr>
        <w:keepNext/>
        <w:spacing w:before="0" w:after="280"/>
        <w:pBdr>
          <w:bottom w:val="single" w:sz="12" w:space="1" w:color="2F75B5"/>
        </w:pBdr>
      </w:pPr>
      <w:r>
        <w:rPr>
          <w:rFonts w:ascii="Arial" w:hAnsi="Arial" w:cs="Arial"/>
          <w:b/>
          <w:color w:val="17365D"/>
          <w:sz w:val="40"/>
        </w:rPr>
        <w:t>La Ley. Tipos de leyes. Disposiciones del Gobierno con fuerza de ley: decreto-ley y decreto legislativo. El Reglamento: concepto, clases y límites. Los principios generales del Derecho.</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 ley es la norma aprobada por el poder legislativo mediante el procedimiento constitucional y dotada de rango y fuerza de ley. El sistema español combina leyes estatales y autonómicas, reservas materiales, normas gubernamentales con fuerza legal y reglamentos subordinados. Dominar este tema exige no confundir </w:t>
      </w:r>
      <w:r>
        <w:rPr>
          <w:rFonts w:ascii="Arial" w:hAnsi="Arial" w:cs="Arial"/>
          <w:b/>
          <w:sz w:val="22"/>
        </w:rPr>
        <w:t>rango, competencia y procedimiento</w:t>
      </w:r>
      <w:r>
        <w:rPr>
          <w:rFonts w:ascii="Arial" w:hAnsi="Arial" w:cs="Arial"/>
          <w:sz w:val="22"/>
        </w:rPr>
        <w:t xml:space="preserve">: una ley orgánica no es superior en toda materia a una ordinaria; un real decreto-ley no es un reglamento; y un reglamento válido necesita competencia, procedimiento y respeto a ley, reserva y principios. Contenido actualizado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La ley: concepto y posición</w:t>
      </w:r>
    </w:p>
    <w:p>
      <w:pPr>
        <w:pStyle w:val="Heading2"/>
        <w:keepNext/>
      </w:pPr>
      <w:r>
        <w:rPr>
          <w:rFonts w:ascii="Arial" w:hAnsi="Arial" w:cs="Arial"/>
          <w:sz w:val="25"/>
        </w:rPr>
        <w:t>1.1. Conceptos formal y material</w:t>
      </w:r>
    </w:p>
    <w:p>
      <w:pPr>
        <w:jc w:val="both"/>
      </w:pPr>
      <w:r>
        <w:rPr>
          <w:rFonts w:ascii="Arial" w:hAnsi="Arial" w:cs="Arial"/>
          <w:sz w:val="22"/>
        </w:rPr>
        <w:t xml:space="preserve">En sentido </w:t>
      </w:r>
      <w:r>
        <w:rPr>
          <w:rFonts w:ascii="Arial" w:hAnsi="Arial" w:cs="Arial"/>
          <w:b/>
          <w:sz w:val="22"/>
        </w:rPr>
        <w:t>formal</w:t>
      </w:r>
      <w:r>
        <w:rPr>
          <w:rFonts w:ascii="Arial" w:hAnsi="Arial" w:cs="Arial"/>
          <w:sz w:val="22"/>
        </w:rPr>
        <w:t xml:space="preserve">, es ley la norma aprobada por las Cortes Generales o una asamblea legislativa autonómica con el procedimiento previsto, sancionada, promulgada y publicada cuando corresponda. En sentido </w:t>
      </w:r>
      <w:r>
        <w:rPr>
          <w:rFonts w:ascii="Arial" w:hAnsi="Arial" w:cs="Arial"/>
          <w:b/>
          <w:sz w:val="22"/>
        </w:rPr>
        <w:t>material</w:t>
      </w:r>
      <w:r>
        <w:rPr>
          <w:rFonts w:ascii="Arial" w:hAnsi="Arial" w:cs="Arial"/>
          <w:sz w:val="22"/>
        </w:rPr>
        <w:t>, se llama ley a una regulación general y abstracta, con independencia del órgano que la produzca. En España interesa sobre todo el concepto formal, porque determina rango, reservas y control.</w:t>
      </w:r>
    </w:p>
    <w:p>
      <w:pPr>
        <w:jc w:val="both"/>
      </w:pPr>
      <w:r>
        <w:rPr>
          <w:rFonts w:ascii="Arial" w:hAnsi="Arial" w:cs="Arial"/>
          <w:sz w:val="22"/>
        </w:rPr>
        <w:t>No toda ley contiene reglas generales. Puede haber leyes singulares para un supuesto específico, siempre que respeten Constitución, igualdad, interdicción de arbitrariedad, tutela judicial y demás garantías. A la inversa, un reglamento contiene reglas generales, pero no adquiere rango legal por su generalidad.</w:t>
      </w:r>
    </w:p>
    <w:p>
      <w:pPr>
        <w:pStyle w:val="Heading2"/>
        <w:keepNext/>
      </w:pPr>
      <w:r>
        <w:rPr>
          <w:rFonts w:ascii="Arial" w:hAnsi="Arial" w:cs="Arial"/>
          <w:sz w:val="25"/>
        </w:rPr>
        <w:t>1.2. Rango, fuerza y valor de ley</w:t>
      </w:r>
    </w:p>
    <w:p>
      <w:pPr>
        <w:pStyle w:val="ListBullet"/>
      </w:pPr>
      <w:r>
        <w:rPr>
          <w:rFonts w:ascii="Arial" w:hAnsi="Arial" w:cs="Arial"/>
          <w:b/>
          <w:sz w:val="22"/>
        </w:rPr>
        <w:t>Rango de ley:</w:t>
      </w:r>
      <w:r>
        <w:rPr>
          <w:rFonts w:ascii="Arial" w:hAnsi="Arial" w:cs="Arial"/>
          <w:sz w:val="22"/>
        </w:rPr>
        <w:t xml:space="preserve"> posición jerárquica superior al reglamento.</w:t>
      </w:r>
    </w:p>
    <w:p>
      <w:pPr>
        <w:pStyle w:val="ListBullet"/>
      </w:pPr>
      <w:r>
        <w:rPr>
          <w:rFonts w:ascii="Arial" w:hAnsi="Arial" w:cs="Arial"/>
          <w:b/>
          <w:sz w:val="22"/>
        </w:rPr>
        <w:t>Fuerza activa:</w:t>
      </w:r>
      <w:r>
        <w:rPr>
          <w:rFonts w:ascii="Arial" w:hAnsi="Arial" w:cs="Arial"/>
          <w:sz w:val="22"/>
        </w:rPr>
        <w:t xml:space="preserve"> capacidad para modificar o derogar normas legales anteriores dentro de competencia y reservas.</w:t>
      </w:r>
    </w:p>
    <w:p>
      <w:pPr>
        <w:pStyle w:val="ListBullet"/>
      </w:pPr>
      <w:r>
        <w:rPr>
          <w:rFonts w:ascii="Arial" w:hAnsi="Arial" w:cs="Arial"/>
          <w:b/>
          <w:sz w:val="22"/>
        </w:rPr>
        <w:t>Fuerza pasiva:</w:t>
      </w:r>
      <w:r>
        <w:rPr>
          <w:rFonts w:ascii="Arial" w:hAnsi="Arial" w:cs="Arial"/>
          <w:sz w:val="22"/>
        </w:rPr>
        <w:t xml:space="preserve"> resistencia frente a normas inferiores, que no pueden modificarla.</w:t>
      </w:r>
    </w:p>
    <w:p>
      <w:pPr>
        <w:pStyle w:val="ListBullet"/>
      </w:pPr>
      <w:r>
        <w:rPr>
          <w:rFonts w:ascii="Arial" w:hAnsi="Arial" w:cs="Arial"/>
          <w:b/>
          <w:sz w:val="22"/>
        </w:rPr>
        <w:t>Valor de ley:</w:t>
      </w:r>
      <w:r>
        <w:rPr>
          <w:rFonts w:ascii="Arial" w:hAnsi="Arial" w:cs="Arial"/>
          <w:sz w:val="22"/>
        </w:rPr>
        <w:t xml:space="preserve"> sometimiento al régimen constitucional de control de las normas legales.</w:t>
      </w:r>
    </w:p>
    <w:p>
      <w:pPr>
        <w:jc w:val="both"/>
      </w:pPr>
      <w:r>
        <w:rPr>
          <w:rFonts w:ascii="Arial" w:hAnsi="Arial" w:cs="Arial"/>
          <w:sz w:val="22"/>
        </w:rPr>
        <w:t>La ley está subordinada a la Constitución y, dentro de sus respectivos ámbitos, vinculada por Derecho de la Unión, tratados y distribución territorial de competencias. El Tribunal Constitucional controla su constitucionalidad; los jueces ordinarios no pueden anularla ni inaplicarla por considerarla inconstitucional, sino plantear cuestión si concurren los requisitos. Sí deben aplicar la primacía del Derecho de la Unión cuando proceda.</w:t>
      </w:r>
    </w:p>
    <w:p>
      <w:pPr>
        <w:pStyle w:val="Heading2"/>
        <w:keepNext/>
      </w:pPr>
      <w:r>
        <w:rPr>
          <w:rFonts w:ascii="Arial" w:hAnsi="Arial" w:cs="Arial"/>
          <w:sz w:val="25"/>
        </w:rPr>
        <w:t>1.3. Ley y democracia representativa</w:t>
      </w:r>
    </w:p>
    <w:p>
      <w:pPr>
        <w:jc w:val="both"/>
      </w:pPr>
      <w:r>
        <w:rPr>
          <w:rFonts w:ascii="Arial" w:hAnsi="Arial" w:cs="Arial"/>
          <w:sz w:val="22"/>
        </w:rPr>
        <w:t>La posición central de la ley se explica por su aprobación parlamentaria, publicidad, deliberación y pluralismo. La Constitución reserva materias al legislador precisamente para que las decisiones esenciales sean adoptadas por representantes. Esa centralidad no significa poder ilimitado: el legislador está sujeto a derechos fundamentales, competencias, procedimiento y prohibición de arbitrariedad.</w:t>
      </w:r>
    </w:p>
    <w:p>
      <w:pPr>
        <w:pStyle w:val="Heading1"/>
        <w:keepNext/>
      </w:pPr>
      <w:r>
        <w:rPr>
          <w:rFonts w:ascii="Arial" w:hAnsi="Arial" w:cs="Arial"/>
          <w:sz w:val="30"/>
        </w:rPr>
        <w:t>2. Iniciativa y procedimiento legislativo estatal</w:t>
      </w:r>
    </w:p>
    <w:p>
      <w:pPr>
        <w:pStyle w:val="Heading2"/>
        <w:keepNext/>
      </w:pPr>
      <w:r>
        <w:rPr>
          <w:rFonts w:ascii="Arial" w:hAnsi="Arial" w:cs="Arial"/>
          <w:sz w:val="25"/>
        </w:rPr>
        <w:t>2.1. Sujetos con iniciativa</w:t>
      </w:r>
    </w:p>
    <w:p>
      <w:pPr>
        <w:jc w:val="both"/>
      </w:pPr>
      <w:r>
        <w:rPr>
          <w:rFonts w:ascii="Arial" w:hAnsi="Arial" w:cs="Arial"/>
          <w:sz w:val="22"/>
        </w:rPr>
        <w:t>El artículo 87 CE atribuye iniciativa legislativa:</w:t>
      </w:r>
    </w:p>
    <w:p>
      <w:pPr>
        <w:spacing w:after="40"/>
        <w:ind w:left="369" w:hanging="227"/>
      </w:pPr>
      <w:r>
        <w:rPr>
          <w:rFonts w:ascii="Arial" w:hAnsi="Arial" w:cs="Arial"/>
          <w:sz w:val="22"/>
        </w:rPr>
        <w:t xml:space="preserve">1. Al </w:t>
      </w:r>
      <w:r>
        <w:rPr>
          <w:rFonts w:ascii="Arial" w:hAnsi="Arial" w:cs="Arial"/>
          <w:b/>
          <w:sz w:val="22"/>
        </w:rPr>
        <w:t>Gobierno</w:t>
      </w:r>
      <w:r>
        <w:rPr>
          <w:rFonts w:ascii="Arial" w:hAnsi="Arial" w:cs="Arial"/>
          <w:sz w:val="22"/>
        </w:rPr>
        <w:t>.</w:t>
      </w:r>
    </w:p>
    <w:p>
      <w:pPr>
        <w:spacing w:after="40"/>
        <w:ind w:left="369" w:hanging="227"/>
      </w:pPr>
      <w:r>
        <w:rPr>
          <w:rFonts w:ascii="Arial" w:hAnsi="Arial" w:cs="Arial"/>
          <w:sz w:val="22"/>
        </w:rPr>
        <w:t xml:space="preserve">2. Al </w:t>
      </w:r>
      <w:r>
        <w:rPr>
          <w:rFonts w:ascii="Arial" w:hAnsi="Arial" w:cs="Arial"/>
          <w:b/>
          <w:sz w:val="22"/>
        </w:rPr>
        <w:t>Congreso</w:t>
      </w:r>
      <w:r>
        <w:rPr>
          <w:rFonts w:ascii="Arial" w:hAnsi="Arial" w:cs="Arial"/>
          <w:sz w:val="22"/>
        </w:rPr>
        <w:t xml:space="preserve"> y al </w:t>
      </w:r>
      <w:r>
        <w:rPr>
          <w:rFonts w:ascii="Arial" w:hAnsi="Arial" w:cs="Arial"/>
          <w:b/>
          <w:sz w:val="22"/>
        </w:rPr>
        <w:t>Senado</w:t>
      </w:r>
      <w:r>
        <w:rPr>
          <w:rFonts w:ascii="Arial" w:hAnsi="Arial" w:cs="Arial"/>
          <w:sz w:val="22"/>
        </w:rPr>
        <w:t>, según Constitución y reglamentos parlamentarios.</w:t>
      </w:r>
    </w:p>
    <w:p>
      <w:pPr>
        <w:spacing w:after="40"/>
        <w:ind w:left="369" w:hanging="227"/>
      </w:pPr>
      <w:r>
        <w:rPr>
          <w:rFonts w:ascii="Arial" w:hAnsi="Arial" w:cs="Arial"/>
          <w:sz w:val="22"/>
        </w:rPr>
        <w:t xml:space="preserve">3. A las </w:t>
      </w:r>
      <w:r>
        <w:rPr>
          <w:rFonts w:ascii="Arial" w:hAnsi="Arial" w:cs="Arial"/>
          <w:b/>
          <w:sz w:val="22"/>
        </w:rPr>
        <w:t>asambleas autonómicas</w:t>
      </w:r>
      <w:r>
        <w:rPr>
          <w:rFonts w:ascii="Arial" w:hAnsi="Arial" w:cs="Arial"/>
          <w:sz w:val="22"/>
        </w:rPr>
        <w:t>, que pueden solicitar al Gobierno la adopción de un proyecto o remitir a la Mesa del Congreso una proposición, delegando hasta tres miembros para defenderla.</w:t>
      </w:r>
    </w:p>
    <w:p>
      <w:pPr>
        <w:spacing w:after="40"/>
        <w:ind w:left="369" w:hanging="227"/>
      </w:pPr>
      <w:r>
        <w:rPr>
          <w:rFonts w:ascii="Arial" w:hAnsi="Arial" w:cs="Arial"/>
          <w:sz w:val="22"/>
        </w:rPr>
        <w:t xml:space="preserve">4. A la </w:t>
      </w:r>
      <w:r>
        <w:rPr>
          <w:rFonts w:ascii="Arial" w:hAnsi="Arial" w:cs="Arial"/>
          <w:b/>
          <w:sz w:val="22"/>
        </w:rPr>
        <w:t>iniciativa popular</w:t>
      </w:r>
      <w:r>
        <w:rPr>
          <w:rFonts w:ascii="Arial" w:hAnsi="Arial" w:cs="Arial"/>
          <w:sz w:val="22"/>
        </w:rPr>
        <w:t xml:space="preserve">, regulada por ley orgánica y respaldada por no menos de </w:t>
      </w:r>
      <w:r>
        <w:rPr>
          <w:rFonts w:ascii="Arial" w:hAnsi="Arial" w:cs="Arial"/>
          <w:b/>
          <w:sz w:val="22"/>
        </w:rPr>
        <w:t>500.000 firmas acreditadas</w:t>
      </w:r>
      <w:r>
        <w:rPr>
          <w:rFonts w:ascii="Arial" w:hAnsi="Arial" w:cs="Arial"/>
          <w:sz w:val="22"/>
        </w:rPr>
        <w:t>.</w:t>
      </w:r>
    </w:p>
    <w:p>
      <w:pPr>
        <w:jc w:val="both"/>
      </w:pPr>
      <w:r>
        <w:rPr>
          <w:rFonts w:ascii="Arial" w:hAnsi="Arial" w:cs="Arial"/>
          <w:sz w:val="22"/>
        </w:rPr>
        <w:t>La iniciativa popular no procede en materias propias de ley orgánica, tributarias, de carácter internacional ni relativas a la prerrogativa de gracia. La iniciativa abre el procedimiento; no obliga a aprobar el texto.</w:t>
      </w:r>
    </w:p>
    <w:p>
      <w:pPr>
        <w:pStyle w:val="Heading2"/>
        <w:keepNext/>
      </w:pPr>
      <w:r>
        <w:rPr>
          <w:rFonts w:ascii="Arial" w:hAnsi="Arial" w:cs="Arial"/>
          <w:sz w:val="25"/>
        </w:rPr>
        <w:t>2.2. Proyecto y proposición de ley</w:t>
      </w:r>
    </w:p>
    <w:p>
      <w:pPr>
        <w:jc w:val="both"/>
      </w:pPr>
      <w:r>
        <w:rPr>
          <w:rFonts w:ascii="Arial" w:hAnsi="Arial" w:cs="Arial"/>
          <w:sz w:val="22"/>
        </w:rPr>
        <w:t xml:space="preserve">Los </w:t>
      </w:r>
      <w:r>
        <w:rPr>
          <w:rFonts w:ascii="Arial" w:hAnsi="Arial" w:cs="Arial"/>
          <w:b/>
          <w:sz w:val="22"/>
        </w:rPr>
        <w:t>proyectos de ley</w:t>
      </w:r>
      <w:r>
        <w:rPr>
          <w:rFonts w:ascii="Arial" w:hAnsi="Arial" w:cs="Arial"/>
          <w:sz w:val="22"/>
        </w:rPr>
        <w:t xml:space="preserve"> proceden del Gobierno. El Consejo de Ministros los aprueba y remite al Congreso acompañados de exposición de motivos y antecedentes necesarios para pronunciarse, según el artículo 88 CE. Antes se tramita el anteproyecto conforme a la Ley del Gobierno: estudios, consulta cuando proceda, Memoria del Análisis de Impacto Normativo, informes y deliberación gubernamental.</w:t>
      </w:r>
    </w:p>
    <w:p>
      <w:pPr>
        <w:jc w:val="both"/>
      </w:pPr>
      <w:r>
        <w:rPr>
          <w:rFonts w:ascii="Arial" w:hAnsi="Arial" w:cs="Arial"/>
          <w:sz w:val="22"/>
        </w:rPr>
        <w:t xml:space="preserve">Las </w:t>
      </w:r>
      <w:r>
        <w:rPr>
          <w:rFonts w:ascii="Arial" w:hAnsi="Arial" w:cs="Arial"/>
          <w:b/>
          <w:sz w:val="22"/>
        </w:rPr>
        <w:t>proposiciones de ley</w:t>
      </w:r>
      <w:r>
        <w:rPr>
          <w:rFonts w:ascii="Arial" w:hAnsi="Arial" w:cs="Arial"/>
          <w:sz w:val="22"/>
        </w:rPr>
        <w:t xml:space="preserve"> proceden de los restantes titulares. Su toma en consideración y tramitación siguen los reglamentos de las Cámaras. El Gobierno puede manifestar criterio y oponerse a proposiciones o enmiendas que supongan aumento de créditos o disminución de ingresos presupuestarios en los términos constitucionales y parlamentarios.</w:t>
      </w:r>
    </w:p>
    <w:p>
      <w:pPr>
        <w:pStyle w:val="Heading2"/>
        <w:keepNext/>
      </w:pPr>
      <w:r>
        <w:rPr>
          <w:rFonts w:ascii="Arial" w:hAnsi="Arial" w:cs="Arial"/>
          <w:sz w:val="25"/>
        </w:rPr>
        <w:t>2.3. Congreso, Senado y aprobación</w:t>
      </w:r>
    </w:p>
    <w:p>
      <w:pPr>
        <w:jc w:val="both"/>
      </w:pPr>
      <w:r>
        <w:rPr>
          <w:rFonts w:ascii="Arial" w:hAnsi="Arial" w:cs="Arial"/>
          <w:sz w:val="22"/>
        </w:rPr>
        <w:t xml:space="preserve">El procedimiento común comprende iniciativa, publicación, enmiendas, trabajo en ponencia y comisión, deliberación y votación. Aprobado el texto por el Congreso, se remite al Senado. Este dispone ordinariamente de </w:t>
      </w:r>
      <w:r>
        <w:rPr>
          <w:rFonts w:ascii="Arial" w:hAnsi="Arial" w:cs="Arial"/>
          <w:b/>
          <w:sz w:val="22"/>
        </w:rPr>
        <w:t>dos meses</w:t>
      </w:r>
      <w:r>
        <w:rPr>
          <w:rFonts w:ascii="Arial" w:hAnsi="Arial" w:cs="Arial"/>
          <w:sz w:val="22"/>
        </w:rPr>
        <w:t xml:space="preserve"> para vetar o introducir enmiendas; en proyectos declarados urgentes, el plazo se reduce a </w:t>
      </w:r>
      <w:r>
        <w:rPr>
          <w:rFonts w:ascii="Arial" w:hAnsi="Arial" w:cs="Arial"/>
          <w:b/>
          <w:sz w:val="22"/>
        </w:rPr>
        <w:t>veinte días naturales</w:t>
      </w:r>
      <w:r>
        <w:rPr>
          <w:rFonts w:ascii="Arial" w:hAnsi="Arial" w:cs="Arial"/>
          <w:sz w:val="22"/>
        </w:rPr>
        <w:t>.</w:t>
      </w:r>
    </w:p>
    <w:p>
      <w:pPr>
        <w:jc w:val="both"/>
      </w:pPr>
      <w:r>
        <w:rPr>
          <w:rFonts w:ascii="Arial" w:hAnsi="Arial" w:cs="Arial"/>
          <w:sz w:val="22"/>
        </w:rPr>
        <w:t>El veto del Senado exige mayoría absoluta. El Congreso puede levantarlo ratificando el texto inicial por mayoría absoluta o, transcurridos dos meses desde su interposición, por mayoría simple. Las enmiendas senatoriales se aceptan o rechazan por mayoría simple del Congreso.</w:t>
      </w:r>
    </w:p>
    <w:p>
      <w:pPr>
        <w:jc w:val="both"/>
      </w:pPr>
      <w:r>
        <w:rPr>
          <w:rFonts w:ascii="Arial" w:hAnsi="Arial" w:cs="Arial"/>
          <w:sz w:val="22"/>
        </w:rPr>
        <w:t>Los artículos 89 y 90 CE remiten detalles a reglamentos parlamentarios. Existen procedimientos especiales —competencia legislativa plena de comisiones, lectura única, urgencia—, pero son modalidades procedimentales, no nuevos rangos normativos. Las Cámaras no pueden delegar en comisiones la reforma constitucional, cuestiones internacionales, leyes orgánicas y de bases ni Presupuestos Generales del Estado, conforme al artículo 75.3 CE.</w:t>
      </w:r>
    </w:p>
    <w:p>
      <w:pPr>
        <w:pStyle w:val="Heading2"/>
        <w:keepNext/>
      </w:pPr>
      <w:r>
        <w:rPr>
          <w:rFonts w:ascii="Arial" w:hAnsi="Arial" w:cs="Arial"/>
          <w:sz w:val="25"/>
        </w:rPr>
        <w:t>2.4. Sanción, promulgación y publicación</w:t>
      </w:r>
    </w:p>
    <w:p>
      <w:pPr>
        <w:jc w:val="both"/>
      </w:pPr>
      <w:r>
        <w:rPr>
          <w:rFonts w:ascii="Arial" w:hAnsi="Arial" w:cs="Arial"/>
          <w:sz w:val="22"/>
        </w:rPr>
        <w:t xml:space="preserve">El Rey sanciona en el plazo de </w:t>
      </w:r>
      <w:r>
        <w:rPr>
          <w:rFonts w:ascii="Arial" w:hAnsi="Arial" w:cs="Arial"/>
          <w:b/>
          <w:sz w:val="22"/>
        </w:rPr>
        <w:t>quince días</w:t>
      </w:r>
      <w:r>
        <w:rPr>
          <w:rFonts w:ascii="Arial" w:hAnsi="Arial" w:cs="Arial"/>
          <w:sz w:val="22"/>
        </w:rPr>
        <w:t xml:space="preserve"> las leyes aprobadas por las Cortes, las promulga y ordena su inmediata publicación. En la monarquía parlamentaria, la sanción es un acto debido, sujeto a refrendo; no existe veto regio.</w:t>
      </w:r>
    </w:p>
    <w:p>
      <w:pPr>
        <w:jc w:val="both"/>
      </w:pPr>
      <w:r>
        <w:rPr>
          <w:rFonts w:ascii="Arial" w:hAnsi="Arial" w:cs="Arial"/>
          <w:sz w:val="22"/>
        </w:rPr>
        <w:t>La publicación íntegra en el BOE permite conocimiento y condiciona vigencia. Como regla supletoria, las leyes entran en vigor a los veinte días de su completa publicación si no establecen otra cosa. Debe diferenciarse aprobación, sanción, publicación y entrada en vigor.</w:t>
      </w:r>
    </w:p>
    <w:p>
      <w:pPr>
        <w:pStyle w:val="Heading1"/>
        <w:keepNext/>
      </w:pPr>
      <w:r>
        <w:rPr>
          <w:rFonts w:ascii="Arial" w:hAnsi="Arial" w:cs="Arial"/>
          <w:sz w:val="30"/>
        </w:rPr>
        <w:t>3. Tipos de leyes</w:t>
      </w:r>
    </w:p>
    <w:p>
      <w:pPr>
        <w:pStyle w:val="Heading2"/>
        <w:keepNext/>
      </w:pPr>
      <w:r>
        <w:rPr>
          <w:rFonts w:ascii="Arial" w:hAnsi="Arial" w:cs="Arial"/>
          <w:sz w:val="25"/>
        </w:rPr>
        <w:t>3.1. Ley orgánica</w:t>
      </w:r>
    </w:p>
    <w:p>
      <w:pPr>
        <w:jc w:val="both"/>
      </w:pPr>
      <w:r>
        <w:rPr>
          <w:rFonts w:ascii="Arial" w:hAnsi="Arial" w:cs="Arial"/>
          <w:sz w:val="22"/>
        </w:rPr>
        <w:t>El artículo 81.1 CE reserva a ley orgánica:</w:t>
      </w:r>
    </w:p>
    <w:p>
      <w:pPr>
        <w:spacing w:after="40"/>
        <w:ind w:left="369" w:hanging="227"/>
      </w:pPr>
      <w:r>
        <w:rPr>
          <w:rFonts w:ascii="Arial" w:hAnsi="Arial" w:cs="Arial"/>
          <w:sz w:val="22"/>
        </w:rPr>
        <w:t>1. el desarrollo de los derechos fundamentales y libertades públicas;</w:t>
      </w:r>
    </w:p>
    <w:p>
      <w:pPr>
        <w:spacing w:after="40"/>
        <w:ind w:left="369" w:hanging="227"/>
      </w:pPr>
      <w:r>
        <w:rPr>
          <w:rFonts w:ascii="Arial" w:hAnsi="Arial" w:cs="Arial"/>
          <w:sz w:val="22"/>
        </w:rPr>
        <w:t>2. la aprobación de estatutos de autonomía;</w:t>
      </w:r>
    </w:p>
    <w:p>
      <w:pPr>
        <w:spacing w:after="40"/>
        <w:ind w:left="369" w:hanging="227"/>
      </w:pPr>
      <w:r>
        <w:rPr>
          <w:rFonts w:ascii="Arial" w:hAnsi="Arial" w:cs="Arial"/>
          <w:sz w:val="22"/>
        </w:rPr>
        <w:t>3. el régimen electoral general;</w:t>
      </w:r>
    </w:p>
    <w:p>
      <w:pPr>
        <w:spacing w:after="40"/>
        <w:ind w:left="369" w:hanging="227"/>
      </w:pPr>
      <w:r>
        <w:rPr>
          <w:rFonts w:ascii="Arial" w:hAnsi="Arial" w:cs="Arial"/>
          <w:sz w:val="22"/>
        </w:rPr>
        <w:t>4. las demás materias previstas expresamente en la Constitución.</w:t>
      </w:r>
    </w:p>
    <w:p>
      <w:pPr>
        <w:jc w:val="both"/>
      </w:pPr>
      <w:r>
        <w:rPr>
          <w:rFonts w:ascii="Arial" w:hAnsi="Arial" w:cs="Arial"/>
          <w:sz w:val="22"/>
        </w:rPr>
        <w:t xml:space="preserve">Su aprobación, modificación o derogación exige </w:t>
      </w:r>
      <w:r>
        <w:rPr>
          <w:rFonts w:ascii="Arial" w:hAnsi="Arial" w:cs="Arial"/>
          <w:b/>
          <w:sz w:val="22"/>
        </w:rPr>
        <w:t>mayoría absoluta del Congreso</w:t>
      </w:r>
      <w:r>
        <w:rPr>
          <w:rFonts w:ascii="Arial" w:hAnsi="Arial" w:cs="Arial"/>
          <w:sz w:val="22"/>
        </w:rPr>
        <w:t>, en una votación final sobre el conjunto del proyecto. La reserva se interpreta de manera estricta: «desarrollo» no equivale a cualquier incidencia sobre un derecho, sino a la regulación directa de sus elementos esenciales en el ámbito reservado.</w:t>
      </w:r>
    </w:p>
    <w:p>
      <w:pPr>
        <w:jc w:val="both"/>
      </w:pPr>
      <w:r>
        <w:rPr>
          <w:rFonts w:ascii="Arial" w:hAnsi="Arial" w:cs="Arial"/>
          <w:sz w:val="22"/>
        </w:rPr>
        <w:t xml:space="preserve">La ley orgánica y la ordinaria no se relacionan mediante una superioridad jerárquica universal. Opera el </w:t>
      </w:r>
      <w:r>
        <w:rPr>
          <w:rFonts w:ascii="Arial" w:hAnsi="Arial" w:cs="Arial"/>
          <w:b/>
          <w:sz w:val="22"/>
        </w:rPr>
        <w:t>principio de competencia</w:t>
      </w:r>
      <w:r>
        <w:rPr>
          <w:rFonts w:ascii="Arial" w:hAnsi="Arial" w:cs="Arial"/>
          <w:sz w:val="22"/>
        </w:rPr>
        <w:t>: una materia reservada debe regularse orgánicamente y una ley ordinaria no puede invadirla. Las materias conexas no orgánicas pueden incluirse en una ley orgánica, pero conviene identificarlas como tales para que puedan ser modificadas por ley ordinaria. Una ley orgánica tampoco puede ocupar arbitrariamente ámbitos atribuidos a otro legislador.</w:t>
      </w:r>
    </w:p>
    <w:p>
      <w:pPr>
        <w:jc w:val="both"/>
      </w:pPr>
      <w:r>
        <w:rPr>
          <w:rFonts w:ascii="Arial" w:hAnsi="Arial" w:cs="Arial"/>
          <w:sz w:val="22"/>
        </w:rPr>
        <w:t>No cabe delegación legislativa sobre materias del artículo 81 CE. El decreto-ley posee límites materiales propios y no puede servir para sustituir el procedimiento orgánico cuando la regulación pertenece a su reserva.</w:t>
      </w:r>
    </w:p>
    <w:p>
      <w:pPr>
        <w:pStyle w:val="Heading2"/>
        <w:keepNext/>
      </w:pPr>
      <w:r>
        <w:rPr>
          <w:rFonts w:ascii="Arial" w:hAnsi="Arial" w:cs="Arial"/>
          <w:sz w:val="25"/>
        </w:rPr>
        <w:t>3.2. Ley ordinaria</w:t>
      </w:r>
    </w:p>
    <w:p>
      <w:pPr>
        <w:jc w:val="both"/>
      </w:pPr>
      <w:r>
        <w:rPr>
          <w:rFonts w:ascii="Arial" w:hAnsi="Arial" w:cs="Arial"/>
          <w:sz w:val="22"/>
        </w:rPr>
        <w:t>Es la aprobada por el procedimiento legislativo común y las mayorías ordinarias, salvo previsión especial. Regula las materias no reservadas a ley orgánica y aquellas para las que la Constitución exige sencillamente «ley». Su variedad material es enorme: administrativas, tributarias, civiles, procesales, laborales o presupuestarias.</w:t>
      </w:r>
    </w:p>
    <w:p>
      <w:pPr>
        <w:jc w:val="both"/>
      </w:pPr>
      <w:r>
        <w:rPr>
          <w:rFonts w:ascii="Arial" w:hAnsi="Arial" w:cs="Arial"/>
          <w:sz w:val="22"/>
        </w:rPr>
        <w:t>La etiqueta «ordinaria» no significa secundaria frente a la orgánica. Una ley ordinaria es la fuente competente en su campo. Si una ley orgánica regula una materia ordinaria sin declararla orgánica, esa parte no adquiere una resistencia especial por estar dentro del mismo texto.</w:t>
      </w:r>
    </w:p>
    <w:p>
      <w:pPr>
        <w:pStyle w:val="Heading2"/>
        <w:keepNext/>
      </w:pPr>
      <w:r>
        <w:rPr>
          <w:rFonts w:ascii="Arial" w:hAnsi="Arial" w:cs="Arial"/>
          <w:sz w:val="25"/>
        </w:rPr>
        <w:t>3.3. Leyes estatales y autonómicas</w:t>
      </w:r>
    </w:p>
    <w:p>
      <w:pPr>
        <w:jc w:val="both"/>
      </w:pPr>
      <w:r>
        <w:rPr>
          <w:rFonts w:ascii="Arial" w:hAnsi="Arial" w:cs="Arial"/>
          <w:sz w:val="22"/>
        </w:rPr>
        <w:t>Las comunidades autónomas producen leyes mediante sus asambleas, dentro de competencias asumidas en sus estatutos. Tienen rango legal, se publican en el diario oficial autonómico y también en el BOE conforme al régimen aplicable, y son controladas por el Tribunal Constitucional.</w:t>
      </w:r>
    </w:p>
    <w:p>
      <w:pPr>
        <w:jc w:val="both"/>
      </w:pPr>
      <w:r>
        <w:rPr>
          <w:rFonts w:ascii="Arial" w:hAnsi="Arial" w:cs="Arial"/>
          <w:sz w:val="22"/>
        </w:rPr>
        <w:t>La relación ley estatal–ley autonómica es principalmente competencial. Ninguna es superior en abstracto. En materias compartidas, el Estado puede establecer bases y la comunidad desarrollar; el alcance de unas y otras se determina por Constitución y jurisprudencia constitucional. Los estatutos de autonomía son leyes orgánicas estatales y normas institucionales básicas, subordinadas a la Constitución.</w:t>
      </w:r>
    </w:p>
    <w:p>
      <w:pPr>
        <w:pStyle w:val="Heading2"/>
        <w:keepNext/>
      </w:pPr>
      <w:r>
        <w:rPr>
          <w:rFonts w:ascii="Arial" w:hAnsi="Arial" w:cs="Arial"/>
          <w:sz w:val="25"/>
        </w:rPr>
        <w:t>3.4. Leyes presupuestarias</w:t>
      </w:r>
    </w:p>
    <w:p>
      <w:pPr>
        <w:jc w:val="both"/>
      </w:pPr>
      <w:r>
        <w:rPr>
          <w:rFonts w:ascii="Arial" w:hAnsi="Arial" w:cs="Arial"/>
          <w:sz w:val="22"/>
        </w:rPr>
        <w:t>El artículo 134 CE atribuye al Gobierno la elaboración de los Presupuestos Generales del Estado y a las Cortes su examen, enmienda y aprobación. Tienen carácter anual, incluyen la totalidad de gastos e ingresos del sector público estatal y consignan los beneficios fiscales que afecten a tributos estatales.</w:t>
      </w:r>
    </w:p>
    <w:p>
      <w:pPr>
        <w:jc w:val="both"/>
      </w:pPr>
      <w:r>
        <w:rPr>
          <w:rFonts w:ascii="Arial" w:hAnsi="Arial" w:cs="Arial"/>
          <w:sz w:val="22"/>
        </w:rPr>
        <w:t xml:space="preserve">El proyecto debe presentarse al Congreso al menos </w:t>
      </w:r>
      <w:r>
        <w:rPr>
          <w:rFonts w:ascii="Arial" w:hAnsi="Arial" w:cs="Arial"/>
          <w:b/>
          <w:sz w:val="22"/>
        </w:rPr>
        <w:t>tres meses antes</w:t>
      </w:r>
      <w:r>
        <w:rPr>
          <w:rFonts w:ascii="Arial" w:hAnsi="Arial" w:cs="Arial"/>
          <w:sz w:val="22"/>
        </w:rPr>
        <w:t xml:space="preserve"> de que expiren los anteriores. Si la ley no se aprueba antes del primer día del ejercicio, se consideran automáticamente prorrogados los presupuestos anteriores hasta la aprobación de los nuevos.</w:t>
      </w:r>
    </w:p>
    <w:p>
      <w:pPr>
        <w:jc w:val="both"/>
      </w:pPr>
      <w:r>
        <w:rPr>
          <w:rFonts w:ascii="Arial" w:hAnsi="Arial" w:cs="Arial"/>
          <w:sz w:val="22"/>
        </w:rPr>
        <w:t>La ley presupuestaria no puede crear tributos; puede modificarlos cuando una ley tributaria sustantiva así lo prevea. Aprobados los presupuestos, el Gobierno puede presentar proyectos que impliquen aumento de gasto o disminución de ingresos. Toda proposición o enmienda con esos efectos requiere conformidad del Gobierno para tramitarse.</w:t>
      </w:r>
    </w:p>
    <w:p>
      <w:pPr>
        <w:jc w:val="both"/>
      </w:pPr>
      <w:r>
        <w:rPr>
          <w:rFonts w:ascii="Arial" w:hAnsi="Arial" w:cs="Arial"/>
          <w:sz w:val="22"/>
        </w:rPr>
        <w:t>Es una ley formal, pero con función y contenido constitucionalmente delimitados. No constituye un instrumento libre para introducir cualquier reforma ajena a ingresos y gastos o a la política económica presupuestaria.</w:t>
      </w:r>
    </w:p>
    <w:p>
      <w:pPr>
        <w:pStyle w:val="Heading2"/>
        <w:keepNext/>
      </w:pPr>
      <w:r>
        <w:rPr>
          <w:rFonts w:ascii="Arial" w:hAnsi="Arial" w:cs="Arial"/>
          <w:sz w:val="25"/>
        </w:rPr>
        <w:t>3.5. Leyes del artículo 150 CE</w:t>
      </w:r>
    </w:p>
    <w:p>
      <w:pPr>
        <w:pStyle w:val="ListBullet"/>
      </w:pPr>
      <w:r>
        <w:rPr>
          <w:rFonts w:ascii="Arial" w:hAnsi="Arial" w:cs="Arial"/>
          <w:b/>
          <w:sz w:val="22"/>
        </w:rPr>
        <w:t>Leyes marco (150.1):</w:t>
      </w:r>
      <w:r>
        <w:rPr>
          <w:rFonts w:ascii="Arial" w:hAnsi="Arial" w:cs="Arial"/>
          <w:sz w:val="22"/>
        </w:rPr>
        <w:t xml:space="preserve"> en materias estatales, las Cortes pueden atribuir a todas o alguna comunidad la facultad de dictar normas legislativas dentro de principios, bases y directrices fijados por ley estatal. Se establece modalidad de control parlamentario, sin perjuicio judicial.</w:t>
      </w:r>
    </w:p>
    <w:p>
      <w:pPr>
        <w:pStyle w:val="ListBullet"/>
      </w:pPr>
      <w:r>
        <w:rPr>
          <w:rFonts w:ascii="Arial" w:hAnsi="Arial" w:cs="Arial"/>
          <w:b/>
          <w:sz w:val="22"/>
        </w:rPr>
        <w:t>Leyes orgánicas de transferencia o delegación (150.2):</w:t>
      </w:r>
      <w:r>
        <w:rPr>
          <w:rFonts w:ascii="Arial" w:hAnsi="Arial" w:cs="Arial"/>
          <w:sz w:val="22"/>
        </w:rPr>
        <w:t xml:space="preserve"> el Estado puede transferir o delegar facultades de materia estatal susceptibles por naturaleza, previendo medios financieros y controles.</w:t>
      </w:r>
    </w:p>
    <w:p>
      <w:pPr>
        <w:pStyle w:val="ListBullet"/>
      </w:pPr>
      <w:r>
        <w:rPr>
          <w:rFonts w:ascii="Arial" w:hAnsi="Arial" w:cs="Arial"/>
          <w:b/>
          <w:sz w:val="22"/>
        </w:rPr>
        <w:t>Leyes de armonización (150.3):</w:t>
      </w:r>
      <w:r>
        <w:rPr>
          <w:rFonts w:ascii="Arial" w:hAnsi="Arial" w:cs="Arial"/>
          <w:sz w:val="22"/>
        </w:rPr>
        <w:t xml:space="preserve"> el Estado puede fijar principios necesarios para armonizar disposiciones autonómicas, incluso en materias de competencia autonómica, cuando lo exija el interés general. La necesidad debe apreciarse por mayoría absoluta de cada Cámara.</w:t>
      </w:r>
    </w:p>
    <w:p>
      <w:pPr>
        <w:jc w:val="both"/>
      </w:pPr>
      <w:r>
        <w:rPr>
          <w:rFonts w:ascii="Arial" w:hAnsi="Arial" w:cs="Arial"/>
          <w:sz w:val="22"/>
        </w:rPr>
        <w:t xml:space="preserve">No deben confundirse las leyes marco con las </w:t>
      </w:r>
      <w:r>
        <w:rPr>
          <w:rFonts w:ascii="Arial" w:hAnsi="Arial" w:cs="Arial"/>
          <w:b/>
          <w:sz w:val="22"/>
        </w:rPr>
        <w:t>leyes de bases</w:t>
      </w:r>
      <w:r>
        <w:rPr>
          <w:rFonts w:ascii="Arial" w:hAnsi="Arial" w:cs="Arial"/>
          <w:sz w:val="22"/>
        </w:rPr>
        <w:t xml:space="preserve"> del artículo 82 CE: las primeras articulan competencias Estado–comunidades; las segundas delegan en el Gobierno la elaboración de un texto articulado.</w:t>
      </w:r>
    </w:p>
    <w:p>
      <w:pPr>
        <w:pStyle w:val="Heading2"/>
        <w:keepNext/>
      </w:pPr>
      <w:r>
        <w:rPr>
          <w:rFonts w:ascii="Arial" w:hAnsi="Arial" w:cs="Arial"/>
          <w:sz w:val="25"/>
        </w:rPr>
        <w:t>3.6. Leyes básicas y leyes singulares</w:t>
      </w:r>
    </w:p>
    <w:p>
      <w:pPr>
        <w:jc w:val="both"/>
      </w:pPr>
      <w:r>
        <w:rPr>
          <w:rFonts w:ascii="Arial" w:hAnsi="Arial" w:cs="Arial"/>
          <w:sz w:val="22"/>
        </w:rPr>
        <w:t>Las leyes básicas concretan la competencia estatal para fijar bases en determinadas materias del artículo 149.1 CE. La comunidad desarrolla respetando el núcleo básico. «Básica» describe función competencial, no un rango superior general.</w:t>
      </w:r>
    </w:p>
    <w:p>
      <w:pPr>
        <w:jc w:val="both"/>
      </w:pPr>
      <w:r>
        <w:rPr>
          <w:rFonts w:ascii="Arial" w:hAnsi="Arial" w:cs="Arial"/>
          <w:sz w:val="22"/>
        </w:rPr>
        <w:t>Las leyes singulares se dirigen a un supuesto específico. No están prohibidas, pero su justificación y proporcionalidad se examinan con especial cuidado. No pueden cerrar de forma irrazonable el acceso a tutela judicial ni usar la forma legal para eludir controles que corresponderían a la actuación administrativa.</w:t>
      </w:r>
    </w:p>
    <w:p>
      <w:pPr>
        <w:pStyle w:val="Heading1"/>
        <w:keepNext/>
      </w:pPr>
      <w:r>
        <w:rPr>
          <w:rFonts w:ascii="Arial" w:hAnsi="Arial" w:cs="Arial"/>
          <w:sz w:val="30"/>
        </w:rPr>
        <w:t>4. La reserva de ley</w:t>
      </w:r>
    </w:p>
    <w:p>
      <w:pPr>
        <w:pStyle w:val="Heading2"/>
        <w:keepNext/>
      </w:pPr>
      <w:r>
        <w:rPr>
          <w:rFonts w:ascii="Arial" w:hAnsi="Arial" w:cs="Arial"/>
          <w:sz w:val="25"/>
        </w:rPr>
        <w:t>4.1. Finalidad y clases</w:t>
      </w:r>
    </w:p>
    <w:p>
      <w:pPr>
        <w:jc w:val="both"/>
      </w:pPr>
      <w:r>
        <w:rPr>
          <w:rFonts w:ascii="Arial" w:hAnsi="Arial" w:cs="Arial"/>
          <w:sz w:val="22"/>
        </w:rPr>
        <w:t>La reserva de ley obliga a que una materia sea regulada por una norma con rango legal. Protege democracia, seguridad jurídica y separación de poderes. Puede ser:</w:t>
      </w:r>
    </w:p>
    <w:p>
      <w:pPr>
        <w:pStyle w:val="ListBullet"/>
      </w:pPr>
      <w:r>
        <w:rPr>
          <w:rFonts w:ascii="Arial" w:hAnsi="Arial" w:cs="Arial"/>
          <w:b/>
          <w:sz w:val="22"/>
        </w:rPr>
        <w:t>reserva absoluta</w:t>
      </w:r>
      <w:r>
        <w:rPr>
          <w:rFonts w:ascii="Arial" w:hAnsi="Arial" w:cs="Arial"/>
          <w:sz w:val="22"/>
        </w:rPr>
        <w:t>, cuando la ley debe agotar los elementos fundamentales y queda un margen reglamentario muy reducido;</w:t>
      </w:r>
    </w:p>
    <w:p>
      <w:pPr>
        <w:pStyle w:val="ListBullet"/>
      </w:pPr>
      <w:r>
        <w:rPr>
          <w:rFonts w:ascii="Arial" w:hAnsi="Arial" w:cs="Arial"/>
          <w:b/>
          <w:sz w:val="22"/>
        </w:rPr>
        <w:t>reserva relativa</w:t>
      </w:r>
      <w:r>
        <w:rPr>
          <w:rFonts w:ascii="Arial" w:hAnsi="Arial" w:cs="Arial"/>
          <w:sz w:val="22"/>
        </w:rPr>
        <w:t>, cuando la ley fija elementos esenciales y permite colaboración reglamentaria subordinada;</w:t>
      </w:r>
    </w:p>
    <w:p>
      <w:pPr>
        <w:pStyle w:val="ListBullet"/>
      </w:pPr>
      <w:r>
        <w:rPr>
          <w:rFonts w:ascii="Arial" w:hAnsi="Arial" w:cs="Arial"/>
          <w:b/>
          <w:sz w:val="22"/>
        </w:rPr>
        <w:t>reserva de ley orgánica</w:t>
      </w:r>
      <w:r>
        <w:rPr>
          <w:rFonts w:ascii="Arial" w:hAnsi="Arial" w:cs="Arial"/>
          <w:sz w:val="22"/>
        </w:rPr>
        <w:t>, cuando además se exige la forma y mayoría del artículo 81 CE.</w:t>
      </w:r>
    </w:p>
    <w:p>
      <w:pPr>
        <w:jc w:val="both"/>
      </w:pPr>
      <w:r>
        <w:rPr>
          <w:rFonts w:ascii="Arial" w:hAnsi="Arial" w:cs="Arial"/>
          <w:sz w:val="22"/>
        </w:rPr>
        <w:t>La distinción absoluta/relativa depende del precepto constitucional y de la materia; no se decide solo por la fórmula lingüística.</w:t>
      </w:r>
    </w:p>
    <w:p>
      <w:pPr>
        <w:pStyle w:val="Heading2"/>
        <w:keepNext/>
      </w:pPr>
      <w:r>
        <w:rPr>
          <w:rFonts w:ascii="Arial" w:hAnsi="Arial" w:cs="Arial"/>
          <w:sz w:val="25"/>
        </w:rPr>
        <w:t>4.2. Ejemplos relevantes</w:t>
      </w:r>
    </w:p>
    <w:p>
      <w:pPr>
        <w:pStyle w:val="ListBullet"/>
      </w:pPr>
      <w:r>
        <w:rPr>
          <w:rFonts w:ascii="Arial" w:hAnsi="Arial" w:cs="Arial"/>
          <w:sz w:val="22"/>
        </w:rPr>
        <w:t>Artículo 25.1 CE: legalidad penal y sancionadora.</w:t>
      </w:r>
    </w:p>
    <w:p>
      <w:pPr>
        <w:pStyle w:val="ListBullet"/>
      </w:pPr>
      <w:r>
        <w:rPr>
          <w:rFonts w:ascii="Arial" w:hAnsi="Arial" w:cs="Arial"/>
          <w:sz w:val="22"/>
        </w:rPr>
        <w:t>Artículo 31.3 CE: prestaciones personales o patrimoniales públicas con arreglo a la ley.</w:t>
      </w:r>
    </w:p>
    <w:p>
      <w:pPr>
        <w:pStyle w:val="ListBullet"/>
      </w:pPr>
      <w:r>
        <w:rPr>
          <w:rFonts w:ascii="Arial" w:hAnsi="Arial" w:cs="Arial"/>
          <w:sz w:val="22"/>
        </w:rPr>
        <w:t>Artículo 53.1 CE: solo por ley puede regularse el ejercicio de derechos del capítulo II, respetando contenido esencial.</w:t>
      </w:r>
    </w:p>
    <w:p>
      <w:pPr>
        <w:pStyle w:val="ListBullet"/>
      </w:pPr>
      <w:r>
        <w:rPr>
          <w:rFonts w:ascii="Arial" w:hAnsi="Arial" w:cs="Arial"/>
          <w:sz w:val="22"/>
        </w:rPr>
        <w:t>Artículo 103.2 CE: órganos de la Administración creados, regidos y coordinados de acuerdo con la ley.</w:t>
      </w:r>
    </w:p>
    <w:p>
      <w:pPr>
        <w:pStyle w:val="ListBullet"/>
      </w:pPr>
      <w:r>
        <w:rPr>
          <w:rFonts w:ascii="Arial" w:hAnsi="Arial" w:cs="Arial"/>
          <w:sz w:val="22"/>
        </w:rPr>
        <w:t>Artículo 105 CE: la ley regula audiencia, acceso a archivos y procedimiento.</w:t>
      </w:r>
    </w:p>
    <w:p>
      <w:pPr>
        <w:pStyle w:val="ListBullet"/>
      </w:pPr>
      <w:r>
        <w:rPr>
          <w:rFonts w:ascii="Arial" w:hAnsi="Arial" w:cs="Arial"/>
          <w:sz w:val="22"/>
        </w:rPr>
        <w:t>Artículo 133 CE: potestad originaria tributaria mediante ley y beneficios fiscales conforme a ley.</w:t>
      </w:r>
    </w:p>
    <w:p>
      <w:pPr>
        <w:jc w:val="both"/>
      </w:pPr>
      <w:r>
        <w:rPr>
          <w:rFonts w:ascii="Arial" w:hAnsi="Arial" w:cs="Arial"/>
          <w:sz w:val="22"/>
        </w:rPr>
        <w:t>La ley puede remitir detalles técnicos al reglamento, pero no efectuar una habilitación en blanco que entregue al Ejecutivo los elementos esenciales reservados. La intensidad es particularmente estricta en sanciones y tributos. El reglamento ejecutivo completa; no reemplaza la decisión legislativa.</w:t>
      </w:r>
    </w:p>
    <w:p>
      <w:pPr>
        <w:pStyle w:val="Heading2"/>
        <w:keepNext/>
      </w:pPr>
      <w:r>
        <w:rPr>
          <w:rFonts w:ascii="Arial" w:hAnsi="Arial" w:cs="Arial"/>
          <w:sz w:val="25"/>
        </w:rPr>
        <w:t>4.3. Congelación de rango e inderogabilidad singular</w:t>
      </w:r>
    </w:p>
    <w:p>
      <w:pPr>
        <w:jc w:val="both"/>
      </w:pPr>
      <w:r>
        <w:rPr>
          <w:rFonts w:ascii="Arial" w:hAnsi="Arial" w:cs="Arial"/>
          <w:sz w:val="22"/>
        </w:rPr>
        <w:t>Si una ley regula una materia no reservada, el reglamento posterior no puede modificarla mientras la ley siga vigente: la regulación ha quedado formalmente congelada en rango legal. Solo otra norma con fuerza de ley puede deslegalizar válidamente la materia, dentro de límites constitucionales.</w:t>
      </w:r>
    </w:p>
    <w:p>
      <w:pPr>
        <w:jc w:val="both"/>
      </w:pPr>
      <w:r>
        <w:rPr>
          <w:rFonts w:ascii="Arial" w:hAnsi="Arial" w:cs="Arial"/>
          <w:sz w:val="22"/>
        </w:rPr>
        <w:t>La inderogabilidad singular del reglamento es diferente: una resolución administrativa particular no puede vulnerar una disposición general aunque proceda de órgano igual o superior al que aprobó esta. El órgano puede modificar el reglamento mediante el procedimiento normativo correspondiente, pero no dispensar un caso concreto arbitrariamente.</w:t>
      </w:r>
    </w:p>
    <w:p>
      <w:pPr>
        <w:pStyle w:val="Heading1"/>
        <w:keepNext/>
      </w:pPr>
      <w:r>
        <w:rPr>
          <w:rFonts w:ascii="Arial" w:hAnsi="Arial" w:cs="Arial"/>
          <w:sz w:val="30"/>
        </w:rPr>
        <w:t>5. El real decreto-ley</w:t>
      </w:r>
    </w:p>
    <w:p>
      <w:pPr>
        <w:pStyle w:val="Heading2"/>
        <w:keepNext/>
      </w:pPr>
      <w:r>
        <w:rPr>
          <w:rFonts w:ascii="Arial" w:hAnsi="Arial" w:cs="Arial"/>
          <w:sz w:val="25"/>
        </w:rPr>
        <w:t>5.1. Naturaleza y presupuesto habilitante</w:t>
      </w:r>
    </w:p>
    <w:p>
      <w:pPr>
        <w:jc w:val="both"/>
      </w:pPr>
      <w:r>
        <w:rPr>
          <w:rFonts w:ascii="Arial" w:hAnsi="Arial" w:cs="Arial"/>
          <w:sz w:val="22"/>
        </w:rPr>
        <w:t xml:space="preserve">El artículo 86 CE permite al Gobierno dictar disposiciones legislativas provisionales, bajo forma de </w:t>
      </w:r>
      <w:r>
        <w:rPr>
          <w:rFonts w:ascii="Arial" w:hAnsi="Arial" w:cs="Arial"/>
          <w:b/>
          <w:sz w:val="22"/>
        </w:rPr>
        <w:t>real decreto-ley</w:t>
      </w:r>
      <w:r>
        <w:rPr>
          <w:rFonts w:ascii="Arial" w:hAnsi="Arial" w:cs="Arial"/>
          <w:sz w:val="22"/>
        </w:rPr>
        <w:t xml:space="preserve">, en caso de </w:t>
      </w:r>
      <w:r>
        <w:rPr>
          <w:rFonts w:ascii="Arial" w:hAnsi="Arial" w:cs="Arial"/>
          <w:b/>
          <w:sz w:val="22"/>
        </w:rPr>
        <w:t>extraordinaria y urgente necesidad</w:t>
      </w:r>
      <w:r>
        <w:rPr>
          <w:rFonts w:ascii="Arial" w:hAnsi="Arial" w:cs="Arial"/>
          <w:sz w:val="22"/>
        </w:rPr>
        <w:t>. Es norma con rango y fuerza de ley desde su publicación; no es un reglamento ni una delegación de las Cortes.</w:t>
      </w:r>
    </w:p>
    <w:p>
      <w:pPr>
        <w:jc w:val="both"/>
      </w:pPr>
      <w:r>
        <w:rPr>
          <w:rFonts w:ascii="Arial" w:hAnsi="Arial" w:cs="Arial"/>
          <w:sz w:val="22"/>
        </w:rPr>
        <w:t xml:space="preserve">El presupuesto habilitante es un límite jurídico, aunque su apreciación inicial tenga componente político. El Gobierno debe explicitar razonadamente la situación y la medida debe guardar </w:t>
      </w:r>
      <w:r>
        <w:rPr>
          <w:rFonts w:ascii="Arial" w:hAnsi="Arial" w:cs="Arial"/>
          <w:b/>
          <w:sz w:val="22"/>
        </w:rPr>
        <w:t>conexión de sentido</w:t>
      </w:r>
      <w:r>
        <w:rPr>
          <w:rFonts w:ascii="Arial" w:hAnsi="Arial" w:cs="Arial"/>
          <w:sz w:val="22"/>
        </w:rPr>
        <w:t xml:space="preserve"> con ella. El Tribunal Constitucional realiza un control externo: comprueba que la definición no sea abusiva o arbitraria y que exista adecuación entre necesidad y regulación.</w:t>
      </w:r>
    </w:p>
    <w:p>
      <w:pPr>
        <w:jc w:val="both"/>
      </w:pPr>
      <w:r>
        <w:rPr>
          <w:rFonts w:ascii="Arial" w:hAnsi="Arial" w:cs="Arial"/>
          <w:sz w:val="22"/>
        </w:rPr>
        <w:t>La urgencia no exige imprevisibilidad absoluta. Puede existir ante problemas estructurales o incluso tras inactividad, siempre que se justifique la necesidad de acción normativa más rápida que el procedimiento legislativo ordinario o urgente. Las medidas deben tener eficacia jurídica inmediata, aunque su ejecución material sea compleja o alguna aplicación se difiera razonablemente.</w:t>
      </w:r>
    </w:p>
    <w:p>
      <w:pPr>
        <w:jc w:val="both"/>
      </w:pPr>
      <w:r>
        <w:rPr>
          <w:rFonts w:ascii="Arial" w:hAnsi="Arial" w:cs="Arial"/>
          <w:sz w:val="22"/>
        </w:rPr>
        <w:t>La STC 40/2026 reitera esta doctrina: motivos explícitos y razonados, conexión de sentido y diferencia entre eficacia jurídica inmediata y resultado práctico instantáneo. La mera invocación ritual de urgencia no basta; cada bloque normativo sin relación puede ser enjuiciado separadamente.</w:t>
      </w:r>
    </w:p>
    <w:p>
      <w:pPr>
        <w:pStyle w:val="Heading2"/>
        <w:keepNext/>
      </w:pPr>
      <w:r>
        <w:rPr>
          <w:rFonts w:ascii="Arial" w:hAnsi="Arial" w:cs="Arial"/>
          <w:sz w:val="25"/>
        </w:rPr>
        <w:t>5.2. Límites materiales</w:t>
      </w:r>
    </w:p>
    <w:p>
      <w:pPr>
        <w:jc w:val="both"/>
      </w:pPr>
      <w:r>
        <w:rPr>
          <w:rFonts w:ascii="Arial" w:hAnsi="Arial" w:cs="Arial"/>
          <w:sz w:val="22"/>
        </w:rPr>
        <w:t>El decreto-ley no puede afectar:</w:t>
      </w:r>
    </w:p>
    <w:p>
      <w:pPr>
        <w:spacing w:after="40"/>
        <w:ind w:left="369" w:hanging="227"/>
      </w:pPr>
      <w:r>
        <w:rPr>
          <w:rFonts w:ascii="Arial" w:hAnsi="Arial" w:cs="Arial"/>
          <w:sz w:val="22"/>
        </w:rPr>
        <w:t>1. al ordenamiento de las instituciones básicas del Estado;</w:t>
      </w:r>
    </w:p>
    <w:p>
      <w:pPr>
        <w:spacing w:after="40"/>
        <w:ind w:left="369" w:hanging="227"/>
      </w:pPr>
      <w:r>
        <w:rPr>
          <w:rFonts w:ascii="Arial" w:hAnsi="Arial" w:cs="Arial"/>
          <w:sz w:val="22"/>
        </w:rPr>
        <w:t>2. a los derechos, deberes y libertades de los ciudadanos regulados en el título I;</w:t>
      </w:r>
    </w:p>
    <w:p>
      <w:pPr>
        <w:spacing w:after="40"/>
        <w:ind w:left="369" w:hanging="227"/>
      </w:pPr>
      <w:r>
        <w:rPr>
          <w:rFonts w:ascii="Arial" w:hAnsi="Arial" w:cs="Arial"/>
          <w:sz w:val="22"/>
        </w:rPr>
        <w:t>3. al régimen de las comunidades autónomas;</w:t>
      </w:r>
    </w:p>
    <w:p>
      <w:pPr>
        <w:spacing w:after="40"/>
        <w:ind w:left="369" w:hanging="227"/>
      </w:pPr>
      <w:r>
        <w:rPr>
          <w:rFonts w:ascii="Arial" w:hAnsi="Arial" w:cs="Arial"/>
          <w:sz w:val="22"/>
        </w:rPr>
        <w:t>4. al Derecho electoral general.</w:t>
      </w:r>
    </w:p>
    <w:p>
      <w:pPr>
        <w:jc w:val="both"/>
      </w:pPr>
      <w:r>
        <w:rPr>
          <w:rFonts w:ascii="Arial" w:hAnsi="Arial" w:cs="Arial"/>
          <w:sz w:val="22"/>
        </w:rPr>
        <w:t>«Afectar» no equivale a cualquier incidencia indirecta, pues vaciaría el instrumento, pero prohíbe regular el régimen general o elementos esenciales de esas materias. El análisis atiende a configuración constitucional, intensidad y alcance. Además, el decreto-ley debe respetar materias reservadas a ley orgánica y otros límites constitucionales.</w:t>
      </w:r>
    </w:p>
    <w:p>
      <w:pPr>
        <w:jc w:val="both"/>
      </w:pPr>
      <w:r>
        <w:rPr>
          <w:rFonts w:ascii="Arial" w:hAnsi="Arial" w:cs="Arial"/>
          <w:sz w:val="22"/>
        </w:rPr>
        <w:t>No puede aprobar los Presupuestos Generales del Estado. En materia tributaria, la jurisprudencia examina si altera sensiblemente el deber de contribuir del artículo 31.1 CE, atendiendo a tributo, elemento modificado, alcance y posición en el sistema.</w:t>
      </w:r>
    </w:p>
    <w:p>
      <w:pPr>
        <w:pStyle w:val="Heading2"/>
        <w:keepNext/>
      </w:pPr>
      <w:r>
        <w:rPr>
          <w:rFonts w:ascii="Arial" w:hAnsi="Arial" w:cs="Arial"/>
          <w:sz w:val="25"/>
        </w:rPr>
        <w:t>5.3. Control parlamentario en treinta días</w:t>
      </w:r>
    </w:p>
    <w:p>
      <w:pPr>
        <w:jc w:val="both"/>
      </w:pPr>
      <w:r>
        <w:rPr>
          <w:rFonts w:ascii="Arial" w:hAnsi="Arial" w:cs="Arial"/>
          <w:sz w:val="22"/>
        </w:rPr>
        <w:t xml:space="preserve">El real decreto-ley debe someterse </w:t>
      </w:r>
      <w:r>
        <w:rPr>
          <w:rFonts w:ascii="Arial" w:hAnsi="Arial" w:cs="Arial"/>
          <w:b/>
          <w:sz w:val="22"/>
        </w:rPr>
        <w:t>inmediatamente</w:t>
      </w:r>
      <w:r>
        <w:rPr>
          <w:rFonts w:ascii="Arial" w:hAnsi="Arial" w:cs="Arial"/>
          <w:sz w:val="22"/>
        </w:rPr>
        <w:t xml:space="preserve"> a debate y votación de totalidad del Congreso, convocado al efecto si no estuviera reunido, dentro de los </w:t>
      </w:r>
      <w:r>
        <w:rPr>
          <w:rFonts w:ascii="Arial" w:hAnsi="Arial" w:cs="Arial"/>
          <w:b/>
          <w:sz w:val="22"/>
        </w:rPr>
        <w:t>treinta días siguientes a su promulgación</w:t>
      </w:r>
      <w:r>
        <w:rPr>
          <w:rFonts w:ascii="Arial" w:hAnsi="Arial" w:cs="Arial"/>
          <w:sz w:val="22"/>
        </w:rPr>
        <w:t>. El Congreso decide expresamente su convalidación o derogación por procedimiento especial y sumario.</w:t>
      </w:r>
    </w:p>
    <w:p>
      <w:pPr>
        <w:jc w:val="both"/>
      </w:pPr>
      <w:r>
        <w:rPr>
          <w:rFonts w:ascii="Arial" w:hAnsi="Arial" w:cs="Arial"/>
          <w:sz w:val="22"/>
        </w:rPr>
        <w:t>Durante ese plazo, las Cortes pueden tramitarlo como proyecto de ley por el procedimiento de urgencia. Son decisiones distintas: la convalidación mantiene la norma; la tramitación como proyecto permite enmiendas y origina una ley posterior. Es posible convalidar y acordar simultáneamente esa tramitación.</w:t>
      </w:r>
    </w:p>
    <w:p>
      <w:pPr>
        <w:jc w:val="both"/>
      </w:pPr>
      <w:r>
        <w:rPr>
          <w:rFonts w:ascii="Arial" w:hAnsi="Arial" w:cs="Arial"/>
          <w:sz w:val="22"/>
        </w:rPr>
        <w:t>La convalidación no transforma retroactivamente el decreto-ley en ley parlamentaria ni sana los defectos originarios de extraordinaria necesidad o límites materiales. Si después se sustituye por una ley, el Tribunal Constitucional puede conservar objeto para controlar vicios propios del decreto-ley durante su vigencia.</w:t>
      </w:r>
    </w:p>
    <w:p>
      <w:pPr>
        <w:jc w:val="both"/>
      </w:pPr>
      <w:r>
        <w:rPr>
          <w:rFonts w:ascii="Arial" w:hAnsi="Arial" w:cs="Arial"/>
          <w:sz w:val="22"/>
        </w:rPr>
        <w:t>La «provisionalidad» describe su sujeción al control parlamentario, no una caducidad automática de todas sus reglas: convalidado, puede permanecer vigente mientras no se derogue. Si es derogado por el Congreso, cesa su vigencia conforme al acuerdo, sin confundir derogación parlamentaria con una sentencia de nulidad.</w:t>
      </w:r>
    </w:p>
    <w:p>
      <w:pPr>
        <w:pStyle w:val="Heading2"/>
        <w:keepNext/>
      </w:pPr>
      <w:r>
        <w:rPr>
          <w:rFonts w:ascii="Arial" w:hAnsi="Arial" w:cs="Arial"/>
          <w:sz w:val="25"/>
        </w:rPr>
        <w:t>5.4. Diputación Permanente</w:t>
      </w:r>
    </w:p>
    <w:p>
      <w:pPr>
        <w:jc w:val="both"/>
      </w:pPr>
      <w:r>
        <w:rPr>
          <w:rFonts w:ascii="Arial" w:hAnsi="Arial" w:cs="Arial"/>
          <w:sz w:val="22"/>
        </w:rPr>
        <w:t>Disueltas las Cámaras o expirado su mandato, la Diputación Permanente del Congreso asume las facultades del artículo 86, conforme al artículo 78.2 CE. De este modo se conserva el control parlamentario de la legislación de urgencia.</w:t>
      </w:r>
    </w:p>
    <w:p>
      <w:pPr>
        <w:pStyle w:val="Heading1"/>
        <w:keepNext/>
      </w:pPr>
      <w:r>
        <w:rPr>
          <w:rFonts w:ascii="Arial" w:hAnsi="Arial" w:cs="Arial"/>
          <w:sz w:val="30"/>
        </w:rPr>
        <w:t>6. El decreto legislativo</w:t>
      </w:r>
    </w:p>
    <w:p>
      <w:pPr>
        <w:pStyle w:val="Heading2"/>
        <w:keepNext/>
      </w:pPr>
      <w:r>
        <w:rPr>
          <w:rFonts w:ascii="Arial" w:hAnsi="Arial" w:cs="Arial"/>
          <w:sz w:val="25"/>
        </w:rPr>
        <w:t>6.1. Concepto y modalidades</w:t>
      </w:r>
    </w:p>
    <w:p>
      <w:pPr>
        <w:jc w:val="both"/>
      </w:pPr>
      <w:r>
        <w:rPr>
          <w:rFonts w:ascii="Arial" w:hAnsi="Arial" w:cs="Arial"/>
          <w:sz w:val="22"/>
        </w:rPr>
        <w:t xml:space="preserve">El decreto legislativo es la norma con rango de ley dictada por el Gobierno en virtud de una </w:t>
      </w:r>
      <w:r>
        <w:rPr>
          <w:rFonts w:ascii="Arial" w:hAnsi="Arial" w:cs="Arial"/>
          <w:b/>
          <w:sz w:val="22"/>
        </w:rPr>
        <w:t>delegación legislativa previa</w:t>
      </w:r>
      <w:r>
        <w:rPr>
          <w:rFonts w:ascii="Arial" w:hAnsi="Arial" w:cs="Arial"/>
          <w:sz w:val="22"/>
        </w:rPr>
        <w:t xml:space="preserve"> de las Cortes, regulada en los artículos 82 a 85 CE. Se diferencia del decreto-ley porque no exige urgencia, sino habilitación parlamentaria, y porque su contenido queda delimitado por la ley delegante.</w:t>
      </w:r>
    </w:p>
    <w:p>
      <w:pPr>
        <w:jc w:val="both"/>
      </w:pPr>
      <w:r>
        <w:rPr>
          <w:rFonts w:ascii="Arial" w:hAnsi="Arial" w:cs="Arial"/>
          <w:sz w:val="22"/>
        </w:rPr>
        <w:t>La delegación adopta:</w:t>
      </w:r>
    </w:p>
    <w:p>
      <w:pPr>
        <w:pStyle w:val="ListBullet"/>
      </w:pPr>
      <w:r>
        <w:rPr>
          <w:rFonts w:ascii="Arial" w:hAnsi="Arial" w:cs="Arial"/>
          <w:b/>
          <w:sz w:val="22"/>
        </w:rPr>
        <w:t>ley de bases</w:t>
      </w:r>
      <w:r>
        <w:rPr>
          <w:rFonts w:ascii="Arial" w:hAnsi="Arial" w:cs="Arial"/>
          <w:sz w:val="22"/>
        </w:rPr>
        <w:t xml:space="preserve">, cuando se pretende formar un </w:t>
      </w:r>
      <w:r>
        <w:rPr>
          <w:rFonts w:ascii="Arial" w:hAnsi="Arial" w:cs="Arial"/>
          <w:b/>
          <w:sz w:val="22"/>
        </w:rPr>
        <w:t>texto articulado</w:t>
      </w:r>
      <w:r>
        <w:rPr>
          <w:rFonts w:ascii="Arial" w:hAnsi="Arial" w:cs="Arial"/>
          <w:sz w:val="22"/>
        </w:rPr>
        <w:t>;</w:t>
      </w:r>
    </w:p>
    <w:p>
      <w:pPr>
        <w:pStyle w:val="ListBullet"/>
      </w:pPr>
      <w:r>
        <w:rPr>
          <w:rFonts w:ascii="Arial" w:hAnsi="Arial" w:cs="Arial"/>
          <w:b/>
          <w:sz w:val="22"/>
        </w:rPr>
        <w:t>ley ordinaria</w:t>
      </w:r>
      <w:r>
        <w:rPr>
          <w:rFonts w:ascii="Arial" w:hAnsi="Arial" w:cs="Arial"/>
          <w:sz w:val="22"/>
        </w:rPr>
        <w:t xml:space="preserve">, cuando se trata de </w:t>
      </w:r>
      <w:r>
        <w:rPr>
          <w:rFonts w:ascii="Arial" w:hAnsi="Arial" w:cs="Arial"/>
          <w:b/>
          <w:sz w:val="22"/>
        </w:rPr>
        <w:t>refundir varios textos legales en uno</w:t>
      </w:r>
      <w:r>
        <w:rPr>
          <w:rFonts w:ascii="Arial" w:hAnsi="Arial" w:cs="Arial"/>
          <w:sz w:val="22"/>
        </w:rPr>
        <w:t>.</w:t>
      </w:r>
    </w:p>
    <w:p>
      <w:pPr>
        <w:jc w:val="both"/>
      </w:pPr>
      <w:r>
        <w:rPr>
          <w:rFonts w:ascii="Arial" w:hAnsi="Arial" w:cs="Arial"/>
          <w:sz w:val="22"/>
        </w:rPr>
        <w:t>La ley de bases fija objeto, alcance, principios y criterios. La autorización para refundir debe precisar el ámbito normativo y si se limita a formular un texto único o permite regularizar, aclarar y armonizar los textos.</w:t>
      </w:r>
    </w:p>
    <w:p>
      <w:pPr>
        <w:pStyle w:val="Heading2"/>
        <w:keepNext/>
      </w:pPr>
      <w:r>
        <w:rPr>
          <w:rFonts w:ascii="Arial" w:hAnsi="Arial" w:cs="Arial"/>
          <w:sz w:val="25"/>
        </w:rPr>
        <w:t>6.2. Requisitos de la delegación</w:t>
      </w:r>
    </w:p>
    <w:p>
      <w:pPr>
        <w:jc w:val="both"/>
      </w:pPr>
      <w:r>
        <w:rPr>
          <w:rFonts w:ascii="Arial" w:hAnsi="Arial" w:cs="Arial"/>
          <w:sz w:val="22"/>
        </w:rPr>
        <w:t>La delegación:</w:t>
      </w:r>
    </w:p>
    <w:p>
      <w:pPr>
        <w:spacing w:after="40"/>
        <w:ind w:left="369" w:hanging="227"/>
      </w:pPr>
      <w:r>
        <w:rPr>
          <w:rFonts w:ascii="Arial" w:hAnsi="Arial" w:cs="Arial"/>
          <w:sz w:val="22"/>
        </w:rPr>
        <w:t xml:space="preserve">1. solo puede conferirse al </w:t>
      </w:r>
      <w:r>
        <w:rPr>
          <w:rFonts w:ascii="Arial" w:hAnsi="Arial" w:cs="Arial"/>
          <w:b/>
          <w:sz w:val="22"/>
        </w:rPr>
        <w:t>Gobierno</w:t>
      </w:r>
      <w:r>
        <w:rPr>
          <w:rFonts w:ascii="Arial" w:hAnsi="Arial" w:cs="Arial"/>
          <w:sz w:val="22"/>
        </w:rPr>
        <w:t>;</w:t>
      </w:r>
    </w:p>
    <w:p>
      <w:pPr>
        <w:spacing w:after="40"/>
        <w:ind w:left="369" w:hanging="227"/>
      </w:pPr>
      <w:r>
        <w:rPr>
          <w:rFonts w:ascii="Arial" w:hAnsi="Arial" w:cs="Arial"/>
          <w:sz w:val="22"/>
        </w:rPr>
        <w:t xml:space="preserve">2. debe ser </w:t>
      </w:r>
      <w:r>
        <w:rPr>
          <w:rFonts w:ascii="Arial" w:hAnsi="Arial" w:cs="Arial"/>
          <w:b/>
          <w:sz w:val="22"/>
        </w:rPr>
        <w:t>expresa</w:t>
      </w:r>
      <w:r>
        <w:rPr>
          <w:rFonts w:ascii="Arial" w:hAnsi="Arial" w:cs="Arial"/>
          <w:sz w:val="22"/>
        </w:rPr>
        <w:t>;</w:t>
      </w:r>
    </w:p>
    <w:p>
      <w:pPr>
        <w:spacing w:after="40"/>
        <w:ind w:left="369" w:hanging="227"/>
      </w:pPr>
      <w:r>
        <w:rPr>
          <w:rFonts w:ascii="Arial" w:hAnsi="Arial" w:cs="Arial"/>
          <w:sz w:val="22"/>
        </w:rPr>
        <w:t xml:space="preserve">3. ha de recaer sobre </w:t>
      </w:r>
      <w:r>
        <w:rPr>
          <w:rFonts w:ascii="Arial" w:hAnsi="Arial" w:cs="Arial"/>
          <w:b/>
          <w:sz w:val="22"/>
        </w:rPr>
        <w:t>materia concreta</w:t>
      </w:r>
      <w:r>
        <w:rPr>
          <w:rFonts w:ascii="Arial" w:hAnsi="Arial" w:cs="Arial"/>
          <w:sz w:val="22"/>
        </w:rPr>
        <w:t>;</w:t>
      </w:r>
    </w:p>
    <w:p>
      <w:pPr>
        <w:spacing w:after="40"/>
        <w:ind w:left="369" w:hanging="227"/>
      </w:pPr>
      <w:r>
        <w:rPr>
          <w:rFonts w:ascii="Arial" w:hAnsi="Arial" w:cs="Arial"/>
          <w:sz w:val="22"/>
        </w:rPr>
        <w:t xml:space="preserve">4. debe fijar </w:t>
      </w:r>
      <w:r>
        <w:rPr>
          <w:rFonts w:ascii="Arial" w:hAnsi="Arial" w:cs="Arial"/>
          <w:b/>
          <w:sz w:val="22"/>
        </w:rPr>
        <w:t>plazo</w:t>
      </w:r>
      <w:r>
        <w:rPr>
          <w:rFonts w:ascii="Arial" w:hAnsi="Arial" w:cs="Arial"/>
          <w:sz w:val="22"/>
        </w:rPr>
        <w:t xml:space="preserve"> para su ejercicio;</w:t>
      </w:r>
    </w:p>
    <w:p>
      <w:pPr>
        <w:spacing w:after="40"/>
        <w:ind w:left="369" w:hanging="227"/>
      </w:pPr>
      <w:r>
        <w:rPr>
          <w:rFonts w:ascii="Arial" w:hAnsi="Arial" w:cs="Arial"/>
          <w:sz w:val="22"/>
        </w:rPr>
        <w:t>5. no puede entenderse concedida implícitamente ni por tiempo indeterminado;</w:t>
      </w:r>
    </w:p>
    <w:p>
      <w:pPr>
        <w:spacing w:after="40"/>
        <w:ind w:left="369" w:hanging="227"/>
      </w:pPr>
      <w:r>
        <w:rPr>
          <w:rFonts w:ascii="Arial" w:hAnsi="Arial" w:cs="Arial"/>
          <w:sz w:val="22"/>
        </w:rPr>
        <w:t>6. no permite subdelegación a autoridades distintas del Gobierno;</w:t>
      </w:r>
    </w:p>
    <w:p>
      <w:pPr>
        <w:spacing w:after="40"/>
        <w:ind w:left="369" w:hanging="227"/>
      </w:pPr>
      <w:r>
        <w:rPr>
          <w:rFonts w:ascii="Arial" w:hAnsi="Arial" w:cs="Arial"/>
          <w:sz w:val="22"/>
        </w:rPr>
        <w:t>7. se agota con la publicación de la norma correspondiente.</w:t>
      </w:r>
    </w:p>
    <w:p>
      <w:pPr>
        <w:jc w:val="both"/>
      </w:pPr>
      <w:r>
        <w:rPr>
          <w:rFonts w:ascii="Arial" w:hAnsi="Arial" w:cs="Arial"/>
          <w:sz w:val="22"/>
        </w:rPr>
        <w:t>No puede abarcar materias reservadas a ley orgánica. Las leyes de bases delimitan objeto, alcance y principios; no pueden autorizar la modificación de la propia ley de bases ni facultar para dictar normas retroactivas.</w:t>
      </w:r>
    </w:p>
    <w:p>
      <w:pPr>
        <w:pStyle w:val="Heading2"/>
        <w:keepNext/>
      </w:pPr>
      <w:r>
        <w:rPr>
          <w:rFonts w:ascii="Arial" w:hAnsi="Arial" w:cs="Arial"/>
          <w:sz w:val="25"/>
        </w:rPr>
        <w:t>6.3. Relaciones durante la delegación</w:t>
      </w:r>
    </w:p>
    <w:p>
      <w:pPr>
        <w:jc w:val="both"/>
      </w:pPr>
      <w:r>
        <w:rPr>
          <w:rFonts w:ascii="Arial" w:hAnsi="Arial" w:cs="Arial"/>
          <w:sz w:val="22"/>
        </w:rPr>
        <w:t>Si una proposición de ley o enmienda resulta contraria a una delegación vigente, el Gobierno puede oponerse a su tramitación. Puede presentarse una proposición para derogar total o parcialmente la ley delegante.</w:t>
      </w:r>
    </w:p>
    <w:p>
      <w:pPr>
        <w:jc w:val="both"/>
      </w:pPr>
      <w:r>
        <w:rPr>
          <w:rFonts w:ascii="Arial" w:hAnsi="Arial" w:cs="Arial"/>
          <w:sz w:val="22"/>
        </w:rPr>
        <w:t xml:space="preserve">El Gobierno en funciones tiene suspendidas las delegaciones legislativas durante todo el tiempo que permanezca en funciones </w:t>
      </w:r>
      <w:r>
        <w:rPr>
          <w:rFonts w:ascii="Arial" w:hAnsi="Arial" w:cs="Arial"/>
          <w:b/>
          <w:sz w:val="22"/>
        </w:rPr>
        <w:t>como consecuencia de elecciones generales</w:t>
      </w:r>
      <w:r>
        <w:rPr>
          <w:rFonts w:ascii="Arial" w:hAnsi="Arial" w:cs="Arial"/>
          <w:sz w:val="22"/>
        </w:rPr>
        <w:t>, precisión del artículo 21.6 de la Ley del Gobierno. No debe generalizarse sin leer ese inciso a cualquier forma de cese.</w:t>
      </w:r>
    </w:p>
    <w:p>
      <w:pPr>
        <w:pStyle w:val="Heading2"/>
        <w:keepNext/>
      </w:pPr>
      <w:r>
        <w:rPr>
          <w:rFonts w:ascii="Arial" w:hAnsi="Arial" w:cs="Arial"/>
          <w:sz w:val="25"/>
        </w:rPr>
        <w:t>6.4. Forma y control</w:t>
      </w:r>
    </w:p>
    <w:p>
      <w:pPr>
        <w:jc w:val="both"/>
      </w:pPr>
      <w:r>
        <w:rPr>
          <w:rFonts w:ascii="Arial" w:hAnsi="Arial" w:cs="Arial"/>
          <w:sz w:val="22"/>
        </w:rPr>
        <w:t xml:space="preserve">Las disposiciones del Gobierno que contienen legislación delegada reciben el título de </w:t>
      </w:r>
      <w:r>
        <w:rPr>
          <w:rFonts w:ascii="Arial" w:hAnsi="Arial" w:cs="Arial"/>
          <w:b/>
          <w:sz w:val="22"/>
        </w:rPr>
        <w:t>reales decretos legislativos</w:t>
      </w:r>
      <w:r>
        <w:rPr>
          <w:rFonts w:ascii="Arial" w:hAnsi="Arial" w:cs="Arial"/>
          <w:sz w:val="22"/>
        </w:rPr>
        <w:t>. La ley delegante puede establecer fórmulas adicionales de control, sin perjuicio de tribunales.</w:t>
      </w:r>
    </w:p>
    <w:p>
      <w:pPr>
        <w:jc w:val="both"/>
      </w:pPr>
      <w:r>
        <w:rPr>
          <w:rFonts w:ascii="Arial" w:hAnsi="Arial" w:cs="Arial"/>
          <w:sz w:val="22"/>
        </w:rPr>
        <w:t>El Tribunal Constitucional controla el decreto legislativo como norma con fuerza de ley. Cuando el Gobierno excede los límites de delegación —</w:t>
      </w:r>
      <w:r>
        <w:rPr>
          <w:rFonts w:ascii="Arial" w:hAnsi="Arial" w:cs="Arial"/>
          <w:b/>
          <w:sz w:val="22"/>
        </w:rPr>
        <w:t>ultra vires</w:t>
      </w:r>
      <w:r>
        <w:rPr>
          <w:rFonts w:ascii="Arial" w:hAnsi="Arial" w:cs="Arial"/>
          <w:sz w:val="22"/>
        </w:rPr>
        <w:t>—, el exceso pierde la cobertura legislativa y la jurisdicción contencioso-administrativa puede controlarlo en los términos del artículo 1.1 LJCA. Esta fiscalización adicional no elimina el control constitucional.</w:t>
      </w:r>
    </w:p>
    <w:tbl>
      <w:tblPr>
        <w:tblStyle w:val="TableGrid"/>
        <w:tblW w:type="dxa" w:w="9026"/>
        <w:jc w:val="left"/>
        <w:tblLayout w:type="fixed"/>
        <w:tblLook w:firstColumn="1" w:firstRow="1" w:lastColumn="0" w:lastRow="0" w:noHBand="0" w:noVBand="1" w:val="04A0"/>
        <w:tblInd w:w="120" w:type="dxa"/>
      </w:tblPr>
      <w:tblGrid>
        <w:gridCol w:w="2191"/>
        <w:gridCol w:w="3330"/>
        <w:gridCol w:w="3505"/>
      </w:tblGrid>
      <w:tr>
        <w:trPr>
          <w:tblHeader w:val="true"/>
        </w:trPr>
        <w:tc>
          <w:tcPr>
            <w:tcW w:type="dxa" w:w="219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Elemento</w:t>
            </w:r>
          </w:p>
        </w:tc>
        <w:tc>
          <w:tcPr>
            <w:tcW w:type="dxa" w:w="3330"/>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Decreto-ley</w:t>
            </w:r>
          </w:p>
        </w:tc>
        <w:tc>
          <w:tcPr>
            <w:tcW w:type="dxa" w:w="350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Decreto legislativo</w:t>
            </w:r>
          </w:p>
        </w:tc>
      </w:tr>
      <w:tr>
        <w:tc>
          <w:tcPr>
            <w:tcW w:type="dxa" w:w="2191"/>
            <w:tcMar>
              <w:top w:w="80" w:type="dxa"/>
              <w:start w:w="120" w:type="dxa"/>
              <w:bottom w:w="80" w:type="dxa"/>
              <w:end w:w="120" w:type="dxa"/>
            </w:tcMar>
            <w:vAlign w:val="center"/>
          </w:tcPr>
          <w:p>
            <w:pPr>
              <w:spacing w:before="0" w:after="0" w:line="240" w:lineRule="auto"/>
              <w:jc w:val="left"/>
            </w:pPr>
            <w:r/>
            <w:r>
              <w:rPr>
                <w:rFonts w:ascii="Arial" w:hAnsi="Arial" w:cs="Arial"/>
                <w:sz w:val="18"/>
              </w:rPr>
              <w:t>Fundamento</w:t>
            </w:r>
          </w:p>
        </w:tc>
        <w:tc>
          <w:tcPr>
            <w:tcW w:type="dxa" w:w="3330"/>
            <w:tcMar>
              <w:top w:w="80" w:type="dxa"/>
              <w:start w:w="120" w:type="dxa"/>
              <w:bottom w:w="80" w:type="dxa"/>
              <w:end w:w="120" w:type="dxa"/>
            </w:tcMar>
            <w:vAlign w:val="center"/>
          </w:tcPr>
          <w:p>
            <w:pPr>
              <w:spacing w:before="0" w:after="0" w:line="240" w:lineRule="auto"/>
              <w:jc w:val="left"/>
            </w:pPr>
            <w:r/>
            <w:r>
              <w:rPr>
                <w:rFonts w:ascii="Arial" w:hAnsi="Arial" w:cs="Arial"/>
                <w:sz w:val="18"/>
              </w:rPr>
              <w:t>Extraordinaria y urgente necesidad</w:t>
            </w:r>
          </w:p>
        </w:tc>
        <w:tc>
          <w:tcPr>
            <w:tcW w:type="dxa" w:w="3505"/>
            <w:tcMar>
              <w:top w:w="80" w:type="dxa"/>
              <w:start w:w="120" w:type="dxa"/>
              <w:bottom w:w="80" w:type="dxa"/>
              <w:end w:w="120" w:type="dxa"/>
            </w:tcMar>
            <w:vAlign w:val="center"/>
          </w:tcPr>
          <w:p>
            <w:pPr>
              <w:spacing w:before="0" w:after="0" w:line="240" w:lineRule="auto"/>
              <w:jc w:val="left"/>
            </w:pPr>
            <w:r/>
            <w:r>
              <w:rPr>
                <w:rFonts w:ascii="Arial" w:hAnsi="Arial" w:cs="Arial"/>
                <w:sz w:val="18"/>
              </w:rPr>
              <w:t>Delegación previa de las Cortes</w:t>
            </w:r>
          </w:p>
        </w:tc>
      </w:tr>
      <w:tr>
        <w:tc>
          <w:tcPr>
            <w:tcW w:type="dxa" w:w="2191"/>
            <w:tcMar>
              <w:top w:w="80" w:type="dxa"/>
              <w:start w:w="120" w:type="dxa"/>
              <w:bottom w:w="80" w:type="dxa"/>
              <w:end w:w="120" w:type="dxa"/>
            </w:tcMar>
            <w:vAlign w:val="center"/>
          </w:tcPr>
          <w:p>
            <w:pPr>
              <w:spacing w:before="0" w:after="0" w:line="240" w:lineRule="auto"/>
              <w:jc w:val="left"/>
            </w:pPr>
            <w:r/>
            <w:r>
              <w:rPr>
                <w:rFonts w:ascii="Arial" w:hAnsi="Arial" w:cs="Arial"/>
                <w:sz w:val="18"/>
              </w:rPr>
              <w:t>Artículo CE</w:t>
            </w:r>
          </w:p>
        </w:tc>
        <w:tc>
          <w:tcPr>
            <w:tcW w:type="dxa" w:w="3330"/>
            <w:tcMar>
              <w:top w:w="80" w:type="dxa"/>
              <w:start w:w="120" w:type="dxa"/>
              <w:bottom w:w="80" w:type="dxa"/>
              <w:end w:w="120" w:type="dxa"/>
            </w:tcMar>
            <w:vAlign w:val="center"/>
          </w:tcPr>
          <w:p>
            <w:pPr>
              <w:spacing w:before="0" w:after="0" w:line="240" w:lineRule="auto"/>
              <w:jc w:val="center"/>
            </w:pPr>
            <w:r/>
            <w:r>
              <w:rPr>
                <w:rFonts w:ascii="Arial" w:hAnsi="Arial" w:cs="Arial"/>
                <w:sz w:val="18"/>
              </w:rPr>
              <w:t>86</w:t>
            </w:r>
          </w:p>
        </w:tc>
        <w:tc>
          <w:tcPr>
            <w:tcW w:type="dxa" w:w="3505"/>
            <w:tcMar>
              <w:top w:w="80" w:type="dxa"/>
              <w:start w:w="120" w:type="dxa"/>
              <w:bottom w:w="80" w:type="dxa"/>
              <w:end w:w="120" w:type="dxa"/>
            </w:tcMar>
            <w:vAlign w:val="center"/>
          </w:tcPr>
          <w:p>
            <w:pPr>
              <w:spacing w:before="0" w:after="0" w:line="240" w:lineRule="auto"/>
              <w:jc w:val="center"/>
            </w:pPr>
            <w:r/>
            <w:r>
              <w:rPr>
                <w:rFonts w:ascii="Arial" w:hAnsi="Arial" w:cs="Arial"/>
                <w:sz w:val="18"/>
              </w:rPr>
              <w:t>82 a 85</w:t>
            </w:r>
          </w:p>
        </w:tc>
      </w:tr>
      <w:tr>
        <w:tc>
          <w:tcPr>
            <w:tcW w:type="dxa" w:w="2191"/>
            <w:tcMar>
              <w:top w:w="80" w:type="dxa"/>
              <w:start w:w="120" w:type="dxa"/>
              <w:bottom w:w="80" w:type="dxa"/>
              <w:end w:w="120" w:type="dxa"/>
            </w:tcMar>
            <w:vAlign w:val="center"/>
          </w:tcPr>
          <w:p>
            <w:pPr>
              <w:spacing w:before="0" w:after="0" w:line="240" w:lineRule="auto"/>
              <w:jc w:val="left"/>
            </w:pPr>
            <w:r/>
            <w:r>
              <w:rPr>
                <w:rFonts w:ascii="Arial" w:hAnsi="Arial" w:cs="Arial"/>
                <w:sz w:val="18"/>
              </w:rPr>
              <w:t>Intervención parlamentaria</w:t>
            </w:r>
          </w:p>
        </w:tc>
        <w:tc>
          <w:tcPr>
            <w:tcW w:type="dxa" w:w="3330"/>
            <w:tcMar>
              <w:top w:w="80" w:type="dxa"/>
              <w:start w:w="120" w:type="dxa"/>
              <w:bottom w:w="80" w:type="dxa"/>
              <w:end w:w="120" w:type="dxa"/>
            </w:tcMar>
            <w:vAlign w:val="center"/>
          </w:tcPr>
          <w:p>
            <w:pPr>
              <w:spacing w:before="0" w:after="0" w:line="240" w:lineRule="auto"/>
              <w:jc w:val="left"/>
            </w:pPr>
            <w:r/>
            <w:r>
              <w:rPr>
                <w:rFonts w:ascii="Arial" w:hAnsi="Arial" w:cs="Arial"/>
                <w:sz w:val="18"/>
              </w:rPr>
              <w:t>Convalidación o derogación en 30 días</w:t>
            </w:r>
          </w:p>
        </w:tc>
        <w:tc>
          <w:tcPr>
            <w:tcW w:type="dxa" w:w="3505"/>
            <w:tcMar>
              <w:top w:w="80" w:type="dxa"/>
              <w:start w:w="120" w:type="dxa"/>
              <w:bottom w:w="80" w:type="dxa"/>
              <w:end w:w="120" w:type="dxa"/>
            </w:tcMar>
            <w:vAlign w:val="center"/>
          </w:tcPr>
          <w:p>
            <w:pPr>
              <w:spacing w:before="0" w:after="0" w:line="240" w:lineRule="auto"/>
              <w:jc w:val="left"/>
            </w:pPr>
            <w:r/>
            <w:r>
              <w:rPr>
                <w:rFonts w:ascii="Arial" w:hAnsi="Arial" w:cs="Arial"/>
                <w:sz w:val="18"/>
              </w:rPr>
              <w:t>Ley delegante previa y posibles controles</w:t>
            </w:r>
          </w:p>
        </w:tc>
      </w:tr>
      <w:tr>
        <w:tc>
          <w:tcPr>
            <w:tcW w:type="dxa" w:w="2191"/>
            <w:tcMar>
              <w:top w:w="80" w:type="dxa"/>
              <w:start w:w="120" w:type="dxa"/>
              <w:bottom w:w="80" w:type="dxa"/>
              <w:end w:w="120" w:type="dxa"/>
            </w:tcMar>
            <w:vAlign w:val="center"/>
          </w:tcPr>
          <w:p>
            <w:pPr>
              <w:spacing w:before="0" w:after="0" w:line="240" w:lineRule="auto"/>
              <w:jc w:val="left"/>
            </w:pPr>
            <w:r/>
            <w:r>
              <w:rPr>
                <w:rFonts w:ascii="Arial" w:hAnsi="Arial" w:cs="Arial"/>
                <w:sz w:val="18"/>
              </w:rPr>
              <w:t>Modalidades</w:t>
            </w:r>
          </w:p>
        </w:tc>
        <w:tc>
          <w:tcPr>
            <w:tcW w:type="dxa" w:w="3330"/>
            <w:tcMar>
              <w:top w:w="80" w:type="dxa"/>
              <w:start w:w="120" w:type="dxa"/>
              <w:bottom w:w="80" w:type="dxa"/>
              <w:end w:w="120" w:type="dxa"/>
            </w:tcMar>
            <w:vAlign w:val="center"/>
          </w:tcPr>
          <w:p>
            <w:pPr>
              <w:spacing w:before="0" w:after="0" w:line="240" w:lineRule="auto"/>
              <w:jc w:val="center"/>
            </w:pPr>
            <w:r/>
            <w:r>
              <w:rPr>
                <w:rFonts w:ascii="Arial" w:hAnsi="Arial" w:cs="Arial"/>
                <w:sz w:val="18"/>
              </w:rPr>
              <w:t>Una</w:t>
            </w:r>
          </w:p>
        </w:tc>
        <w:tc>
          <w:tcPr>
            <w:tcW w:type="dxa" w:w="3505"/>
            <w:tcMar>
              <w:top w:w="80" w:type="dxa"/>
              <w:start w:w="120" w:type="dxa"/>
              <w:bottom w:w="80" w:type="dxa"/>
              <w:end w:w="120" w:type="dxa"/>
            </w:tcMar>
            <w:vAlign w:val="center"/>
          </w:tcPr>
          <w:p>
            <w:pPr>
              <w:spacing w:before="0" w:after="0" w:line="240" w:lineRule="auto"/>
              <w:jc w:val="left"/>
            </w:pPr>
            <w:r/>
            <w:r>
              <w:rPr>
                <w:rFonts w:ascii="Arial" w:hAnsi="Arial" w:cs="Arial"/>
                <w:sz w:val="18"/>
              </w:rPr>
              <w:t>Texto articulado o texto refundido</w:t>
            </w:r>
          </w:p>
        </w:tc>
      </w:tr>
      <w:tr>
        <w:tc>
          <w:tcPr>
            <w:tcW w:type="dxa" w:w="2191"/>
            <w:tcMar>
              <w:top w:w="80" w:type="dxa"/>
              <w:start w:w="120" w:type="dxa"/>
              <w:bottom w:w="80" w:type="dxa"/>
              <w:end w:w="120" w:type="dxa"/>
            </w:tcMar>
            <w:vAlign w:val="center"/>
          </w:tcPr>
          <w:p>
            <w:pPr>
              <w:spacing w:before="0" w:after="0" w:line="240" w:lineRule="auto"/>
              <w:jc w:val="left"/>
            </w:pPr>
            <w:r/>
            <w:r>
              <w:rPr>
                <w:rFonts w:ascii="Arial" w:hAnsi="Arial" w:cs="Arial"/>
                <w:sz w:val="18"/>
              </w:rPr>
              <w:t>Materias</w:t>
            </w:r>
          </w:p>
        </w:tc>
        <w:tc>
          <w:tcPr>
            <w:tcW w:type="dxa" w:w="3330"/>
            <w:tcMar>
              <w:top w:w="80" w:type="dxa"/>
              <w:start w:w="120" w:type="dxa"/>
              <w:bottom w:w="80" w:type="dxa"/>
              <w:end w:w="120" w:type="dxa"/>
            </w:tcMar>
            <w:vAlign w:val="center"/>
          </w:tcPr>
          <w:p>
            <w:pPr>
              <w:spacing w:before="0" w:after="0" w:line="240" w:lineRule="auto"/>
              <w:jc w:val="left"/>
            </w:pPr>
            <w:r/>
            <w:r>
              <w:rPr>
                <w:rFonts w:ascii="Arial" w:hAnsi="Arial" w:cs="Arial"/>
                <w:sz w:val="18"/>
              </w:rPr>
              <w:t>Límites expresos del art. 86.1</w:t>
            </w:r>
          </w:p>
        </w:tc>
        <w:tc>
          <w:tcPr>
            <w:tcW w:type="dxa" w:w="3505"/>
            <w:tcMar>
              <w:top w:w="80" w:type="dxa"/>
              <w:start w:w="120" w:type="dxa"/>
              <w:bottom w:w="80" w:type="dxa"/>
              <w:end w:w="120" w:type="dxa"/>
            </w:tcMar>
            <w:vAlign w:val="center"/>
          </w:tcPr>
          <w:p>
            <w:pPr>
              <w:spacing w:before="0" w:after="0" w:line="240" w:lineRule="auto"/>
              <w:jc w:val="left"/>
            </w:pPr>
            <w:r/>
            <w:r>
              <w:rPr>
                <w:rFonts w:ascii="Arial" w:hAnsi="Arial" w:cs="Arial"/>
                <w:sz w:val="18"/>
              </w:rPr>
              <w:t>No materias de ley orgánica; marco de delegación</w:t>
            </w:r>
          </w:p>
        </w:tc>
      </w:tr>
      <w:tr>
        <w:tc>
          <w:tcPr>
            <w:tcW w:type="dxa" w:w="2191"/>
            <w:tcMar>
              <w:top w:w="80" w:type="dxa"/>
              <w:start w:w="120" w:type="dxa"/>
              <w:bottom w:w="80" w:type="dxa"/>
              <w:end w:w="120" w:type="dxa"/>
            </w:tcMar>
            <w:vAlign w:val="center"/>
          </w:tcPr>
          <w:p>
            <w:pPr>
              <w:spacing w:before="0" w:after="0" w:line="240" w:lineRule="auto"/>
              <w:jc w:val="left"/>
            </w:pPr>
            <w:r/>
            <w:r>
              <w:rPr>
                <w:rFonts w:ascii="Arial" w:hAnsi="Arial" w:cs="Arial"/>
                <w:sz w:val="18"/>
              </w:rPr>
              <w:t>Vicio característico</w:t>
            </w:r>
          </w:p>
        </w:tc>
        <w:tc>
          <w:tcPr>
            <w:tcW w:type="dxa" w:w="3330"/>
            <w:tcMar>
              <w:top w:w="80" w:type="dxa"/>
              <w:start w:w="120" w:type="dxa"/>
              <w:bottom w:w="80" w:type="dxa"/>
              <w:end w:w="120" w:type="dxa"/>
            </w:tcMar>
            <w:vAlign w:val="center"/>
          </w:tcPr>
          <w:p>
            <w:pPr>
              <w:spacing w:before="0" w:after="0" w:line="240" w:lineRule="auto"/>
              <w:jc w:val="left"/>
            </w:pPr>
            <w:r/>
            <w:r>
              <w:rPr>
                <w:rFonts w:ascii="Arial" w:hAnsi="Arial" w:cs="Arial"/>
                <w:sz w:val="18"/>
              </w:rPr>
              <w:t>Falta de presupuesto o afectación prohibida</w:t>
            </w:r>
          </w:p>
        </w:tc>
        <w:tc>
          <w:tcPr>
            <w:tcW w:type="dxa" w:w="3505"/>
            <w:tcMar>
              <w:top w:w="80" w:type="dxa"/>
              <w:start w:w="120" w:type="dxa"/>
              <w:bottom w:w="80" w:type="dxa"/>
              <w:end w:w="120" w:type="dxa"/>
            </w:tcMar>
            <w:vAlign w:val="center"/>
          </w:tcPr>
          <w:p>
            <w:pPr>
              <w:spacing w:before="0" w:after="0" w:line="240" w:lineRule="auto"/>
              <w:jc w:val="left"/>
            </w:pPr>
            <w:r/>
            <w:r>
              <w:rPr>
                <w:rFonts w:ascii="Arial" w:hAnsi="Arial" w:cs="Arial"/>
                <w:sz w:val="18"/>
              </w:rPr>
              <w:t>Exceso de delegación</w:t>
            </w:r>
          </w:p>
        </w:tc>
      </w:tr>
    </w:tbl>
    <w:p>
      <w:pPr>
        <w:spacing w:after="40"/>
      </w:pPr>
    </w:p>
    <w:p>
      <w:pPr>
        <w:pStyle w:val="Heading1"/>
        <w:keepNext/>
      </w:pPr>
      <w:r>
        <w:rPr>
          <w:rFonts w:ascii="Arial" w:hAnsi="Arial" w:cs="Arial"/>
          <w:sz w:val="30"/>
        </w:rPr>
        <w:t>7. El reglamento: concepto y fundamento</w:t>
      </w:r>
    </w:p>
    <w:p>
      <w:pPr>
        <w:pStyle w:val="Heading2"/>
        <w:keepNext/>
      </w:pPr>
      <w:r>
        <w:rPr>
          <w:rFonts w:ascii="Arial" w:hAnsi="Arial" w:cs="Arial"/>
          <w:sz w:val="25"/>
        </w:rPr>
        <w:t>7.1. Concepto</w:t>
      </w:r>
    </w:p>
    <w:p>
      <w:pPr>
        <w:jc w:val="both"/>
      </w:pPr>
      <w:r>
        <w:rPr>
          <w:rFonts w:ascii="Arial" w:hAnsi="Arial" w:cs="Arial"/>
          <w:sz w:val="22"/>
        </w:rPr>
        <w:t>El reglamento es una norma escrita, general y subordinada a la ley, dictada por una Administración u órgano con potestad reglamentaria. Innova el ordenamiento y tiene vocación de permanencia. Se diferencia:</w:t>
      </w:r>
    </w:p>
    <w:p>
      <w:pPr>
        <w:pStyle w:val="ListBullet"/>
      </w:pPr>
      <w:r>
        <w:rPr>
          <w:rFonts w:ascii="Arial" w:hAnsi="Arial" w:cs="Arial"/>
          <w:sz w:val="22"/>
        </w:rPr>
        <w:t>de la ley, por órgano, rango, procedimiento y control;</w:t>
      </w:r>
    </w:p>
    <w:p>
      <w:pPr>
        <w:pStyle w:val="ListBullet"/>
      </w:pPr>
      <w:r>
        <w:rPr>
          <w:rFonts w:ascii="Arial" w:hAnsi="Arial" w:cs="Arial"/>
          <w:sz w:val="22"/>
        </w:rPr>
        <w:t>del acto administrativo, que aplica el ordenamiento a uno o varios supuestos y se agota con su cumplimiento;</w:t>
      </w:r>
    </w:p>
    <w:p>
      <w:pPr>
        <w:pStyle w:val="ListBullet"/>
      </w:pPr>
      <w:r>
        <w:rPr>
          <w:rFonts w:ascii="Arial" w:hAnsi="Arial" w:cs="Arial"/>
          <w:sz w:val="22"/>
        </w:rPr>
        <w:t>de la instrucción, que normalmente dirige órganos dependientes sin crear reglas externas.</w:t>
      </w:r>
    </w:p>
    <w:p>
      <w:pPr>
        <w:jc w:val="both"/>
      </w:pPr>
      <w:r>
        <w:rPr>
          <w:rFonts w:ascii="Arial" w:hAnsi="Arial" w:cs="Arial"/>
          <w:sz w:val="22"/>
        </w:rPr>
        <w:t xml:space="preserve">El contenido prevalece sobre el nombre. Un «real decreto» ordinario puede aprobar un reglamento o contener un acto; un </w:t>
      </w:r>
      <w:r>
        <w:rPr>
          <w:rFonts w:ascii="Arial" w:hAnsi="Arial" w:cs="Arial"/>
          <w:b/>
          <w:sz w:val="22"/>
        </w:rPr>
        <w:t>real decreto legislativo</w:t>
      </w:r>
      <w:r>
        <w:rPr>
          <w:rFonts w:ascii="Arial" w:hAnsi="Arial" w:cs="Arial"/>
          <w:sz w:val="22"/>
        </w:rPr>
        <w:t xml:space="preserve"> y un </w:t>
      </w:r>
      <w:r>
        <w:rPr>
          <w:rFonts w:ascii="Arial" w:hAnsi="Arial" w:cs="Arial"/>
          <w:b/>
          <w:sz w:val="22"/>
        </w:rPr>
        <w:t>real decreto-ley</w:t>
      </w:r>
      <w:r>
        <w:rPr>
          <w:rFonts w:ascii="Arial" w:hAnsi="Arial" w:cs="Arial"/>
          <w:sz w:val="22"/>
        </w:rPr>
        <w:t xml:space="preserve"> tienen fuerza de ley. Una circular materialmente normativa puede ser reglamento aunque su rótulo pretenda lo contrario.</w:t>
      </w:r>
    </w:p>
    <w:p>
      <w:pPr>
        <w:pStyle w:val="Heading2"/>
        <w:keepNext/>
      </w:pPr>
      <w:r>
        <w:rPr>
          <w:rFonts w:ascii="Arial" w:hAnsi="Arial" w:cs="Arial"/>
          <w:sz w:val="25"/>
        </w:rPr>
        <w:t>7.2. Fundamento constitucional y titulares</w:t>
      </w:r>
    </w:p>
    <w:p>
      <w:pPr>
        <w:jc w:val="both"/>
      </w:pPr>
      <w:r>
        <w:rPr>
          <w:rFonts w:ascii="Arial" w:hAnsi="Arial" w:cs="Arial"/>
          <w:sz w:val="22"/>
        </w:rPr>
        <w:t>El artículo 97 CE atribuye al Gobierno la potestad reglamentaria de acuerdo con Constitución y leyes. El artículo 128 LPAC la reconoce, dentro de Constitución, estatutos y leyes, al Gobierno de la Nación, órganos de gobierno autonómicos y órganos de gobierno locales. Los ministros ejercen potestad reglamentaria en materias propias de su departamento; otros órganos requieren habilitación legal específica.</w:t>
      </w:r>
    </w:p>
    <w:p>
      <w:pPr>
        <w:jc w:val="both"/>
      </w:pPr>
      <w:r>
        <w:rPr>
          <w:rFonts w:ascii="Arial" w:hAnsi="Arial" w:cs="Arial"/>
          <w:sz w:val="22"/>
        </w:rPr>
        <w:t>La potestad es propia del órgano al que el ordenamiento la atribuye y no se presume por la sola jerarquía administrativa. La competencia para ejecutar una materia tampoco implica automáticamente capacidad para dictar cualquier reglamento.</w:t>
      </w:r>
    </w:p>
    <w:p>
      <w:pPr>
        <w:jc w:val="both"/>
      </w:pPr>
      <w:r>
        <w:rPr>
          <w:rFonts w:ascii="Arial" w:hAnsi="Arial" w:cs="Arial"/>
          <w:sz w:val="22"/>
        </w:rPr>
        <w:t>En el Estado, el artículo 24 de la Ley del Gobierno distingue:</w:t>
      </w:r>
    </w:p>
    <w:p>
      <w:pPr>
        <w:spacing w:after="40"/>
        <w:ind w:left="369" w:hanging="227"/>
      </w:pPr>
      <w:r>
        <w:rPr>
          <w:rFonts w:ascii="Arial" w:hAnsi="Arial" w:cs="Arial"/>
          <w:sz w:val="22"/>
        </w:rPr>
        <w:t>1. disposiciones aprobadas por real decreto del Presidente o acordado en Consejo de Ministros;</w:t>
      </w:r>
    </w:p>
    <w:p>
      <w:pPr>
        <w:spacing w:after="40"/>
        <w:ind w:left="369" w:hanging="227"/>
      </w:pPr>
      <w:r>
        <w:rPr>
          <w:rFonts w:ascii="Arial" w:hAnsi="Arial" w:cs="Arial"/>
          <w:sz w:val="22"/>
        </w:rPr>
        <w:t>2. disposiciones aprobadas por orden ministerial.</w:t>
      </w:r>
    </w:p>
    <w:p>
      <w:pPr>
        <w:jc w:val="both"/>
      </w:pPr>
      <w:r>
        <w:rPr>
          <w:rFonts w:ascii="Arial" w:hAnsi="Arial" w:cs="Arial"/>
          <w:sz w:val="22"/>
        </w:rPr>
        <w:t>Entre reales decretos del Presidente y del Consejo domina su respectiva competencia. Las órdenes ministeriales ocupan el nivel reglamentario inferior. Comunidades y entidades locales tienen sus propios sistemas dentro de estatutos y legislación.</w:t>
      </w:r>
    </w:p>
    <w:p>
      <w:pPr>
        <w:pStyle w:val="Heading2"/>
        <w:keepNext/>
      </w:pPr>
      <w:r>
        <w:rPr>
          <w:rFonts w:ascii="Arial" w:hAnsi="Arial" w:cs="Arial"/>
          <w:sz w:val="25"/>
        </w:rPr>
        <w:t>7.3. Justificación funcional</w:t>
      </w:r>
    </w:p>
    <w:p>
      <w:pPr>
        <w:jc w:val="both"/>
      </w:pPr>
      <w:r>
        <w:rPr>
          <w:rFonts w:ascii="Arial" w:hAnsi="Arial" w:cs="Arial"/>
          <w:sz w:val="22"/>
        </w:rPr>
        <w:t>La ley no puede prever cada detalle técnico, organizativo o cambiante. El reglamento permite desarrollo especializado, ejecución uniforme y adaptación. Esta utilidad nunca invierte la relación: su legitimidad deriva de Constitución y ley y queda sometido a control judicial.</w:t>
      </w:r>
    </w:p>
    <w:p>
      <w:pPr>
        <w:pStyle w:val="Heading1"/>
        <w:keepNext/>
      </w:pPr>
      <w:r>
        <w:rPr>
          <w:rFonts w:ascii="Arial" w:hAnsi="Arial" w:cs="Arial"/>
          <w:sz w:val="30"/>
        </w:rPr>
        <w:t>8. Clases de reglamentos</w:t>
      </w:r>
    </w:p>
    <w:p>
      <w:pPr>
        <w:pStyle w:val="Heading2"/>
        <w:keepNext/>
      </w:pPr>
      <w:r>
        <w:rPr>
          <w:rFonts w:ascii="Arial" w:hAnsi="Arial" w:cs="Arial"/>
          <w:sz w:val="25"/>
        </w:rPr>
        <w:t>8.1. Por su relación con la ley</w:t>
      </w:r>
    </w:p>
    <w:p>
      <w:pPr>
        <w:pStyle w:val="ListBullet"/>
      </w:pPr>
      <w:r>
        <w:rPr>
          <w:rFonts w:ascii="Arial" w:hAnsi="Arial" w:cs="Arial"/>
          <w:b/>
          <w:sz w:val="22"/>
        </w:rPr>
        <w:t>Ejecutivos:</w:t>
      </w:r>
      <w:r>
        <w:rPr>
          <w:rFonts w:ascii="Arial" w:hAnsi="Arial" w:cs="Arial"/>
          <w:sz w:val="22"/>
        </w:rPr>
        <w:t xml:space="preserve"> desarrollan o completan una ley. Suelen requerir dictamen del Consejo de Estado u órgano equivalente cuando la legislación consultiva lo establece. Deben mantenerse dentro de la habilitación y no sustituir los elementos esenciales.</w:t>
      </w:r>
    </w:p>
    <w:p>
      <w:pPr>
        <w:pStyle w:val="ListBullet"/>
      </w:pPr>
      <w:r>
        <w:rPr>
          <w:rFonts w:ascii="Arial" w:hAnsi="Arial" w:cs="Arial"/>
          <w:b/>
          <w:sz w:val="22"/>
        </w:rPr>
        <w:t>Independientes:</w:t>
      </w:r>
      <w:r>
        <w:rPr>
          <w:rFonts w:ascii="Arial" w:hAnsi="Arial" w:cs="Arial"/>
          <w:sz w:val="22"/>
        </w:rPr>
        <w:t xml:space="preserve"> regulan materias organizativas o internas no reservadas y dentro de potestad propia. En ámbitos externos que afectan derechos, la reserva y la vinculación positiva reducen mucho su espacio.</w:t>
      </w:r>
    </w:p>
    <w:p>
      <w:pPr>
        <w:pStyle w:val="ListBullet"/>
      </w:pPr>
      <w:r>
        <w:rPr>
          <w:rFonts w:ascii="Arial" w:hAnsi="Arial" w:cs="Arial"/>
          <w:b/>
          <w:sz w:val="22"/>
        </w:rPr>
        <w:t>De necesidad:</w:t>
      </w:r>
      <w:r>
        <w:rPr>
          <w:rFonts w:ascii="Arial" w:hAnsi="Arial" w:cs="Arial"/>
          <w:sz w:val="22"/>
        </w:rPr>
        <w:t xml:space="preserve"> responden a emergencias mediante habilitaciones extraordinarias —por ejemplo, bandos o medidas excepcionales previstos legalmente—. Son temporales, proporcionados y controlables; la necesidad no crea una potestad ilimitada.</w:t>
      </w:r>
    </w:p>
    <w:p>
      <w:pPr>
        <w:jc w:val="both"/>
      </w:pPr>
      <w:r>
        <w:rPr>
          <w:rFonts w:ascii="Arial" w:hAnsi="Arial" w:cs="Arial"/>
          <w:sz w:val="22"/>
        </w:rPr>
        <w:t>Un reglamento puede ejecutar una ley aunque esta no ordene literalmente cada detalle, si existe potestad y el desarrollo es necesario y compatible. Pero una remisión genérica no autoriza a invadir una reserva constitucional.</w:t>
      </w:r>
    </w:p>
    <w:p>
      <w:pPr>
        <w:pStyle w:val="Heading2"/>
        <w:keepNext/>
      </w:pPr>
      <w:r>
        <w:rPr>
          <w:rFonts w:ascii="Arial" w:hAnsi="Arial" w:cs="Arial"/>
          <w:sz w:val="25"/>
        </w:rPr>
        <w:t>8.2. Por contenido y destinatarios</w:t>
      </w:r>
    </w:p>
    <w:p>
      <w:pPr>
        <w:pStyle w:val="ListBullet"/>
      </w:pPr>
      <w:r>
        <w:rPr>
          <w:rFonts w:ascii="Arial" w:hAnsi="Arial" w:cs="Arial"/>
          <w:b/>
          <w:sz w:val="22"/>
        </w:rPr>
        <w:t>Organizativos:</w:t>
      </w:r>
      <w:r>
        <w:rPr>
          <w:rFonts w:ascii="Arial" w:hAnsi="Arial" w:cs="Arial"/>
          <w:sz w:val="22"/>
        </w:rPr>
        <w:t xml:space="preserve"> estructuras, órganos y funcionamiento interno.</w:t>
      </w:r>
    </w:p>
    <w:p>
      <w:pPr>
        <w:pStyle w:val="ListBullet"/>
      </w:pPr>
      <w:r>
        <w:rPr>
          <w:rFonts w:ascii="Arial" w:hAnsi="Arial" w:cs="Arial"/>
          <w:b/>
          <w:sz w:val="22"/>
        </w:rPr>
        <w:t>Jurídicos o normativos externos:</w:t>
      </w:r>
      <w:r>
        <w:rPr>
          <w:rFonts w:ascii="Arial" w:hAnsi="Arial" w:cs="Arial"/>
          <w:sz w:val="22"/>
        </w:rPr>
        <w:t xml:space="preserve"> inciden en derechos, deberes o relaciones con terceros.</w:t>
      </w:r>
    </w:p>
    <w:p>
      <w:pPr>
        <w:pStyle w:val="ListBullet"/>
      </w:pPr>
      <w:r>
        <w:rPr>
          <w:rFonts w:ascii="Arial" w:hAnsi="Arial" w:cs="Arial"/>
          <w:b/>
          <w:sz w:val="22"/>
        </w:rPr>
        <w:t>Generales y sectoriales:</w:t>
      </w:r>
      <w:r>
        <w:rPr>
          <w:rFonts w:ascii="Arial" w:hAnsi="Arial" w:cs="Arial"/>
          <w:sz w:val="22"/>
        </w:rPr>
        <w:t xml:space="preserve"> según su campo material.</w:t>
      </w:r>
    </w:p>
    <w:p>
      <w:pPr>
        <w:jc w:val="both"/>
      </w:pPr>
      <w:r>
        <w:rPr>
          <w:rFonts w:ascii="Arial" w:hAnsi="Arial" w:cs="Arial"/>
          <w:sz w:val="22"/>
        </w:rPr>
        <w:t>La distinción organizativo/jurídico importa para intensidad de reserva, participación y control, pero no inmuniza a los organizativos: también respetan competencia, procedimiento, presupuesto y normas superiores.</w:t>
      </w:r>
    </w:p>
    <w:p>
      <w:pPr>
        <w:pStyle w:val="Heading2"/>
        <w:keepNext/>
      </w:pPr>
      <w:r>
        <w:rPr>
          <w:rFonts w:ascii="Arial" w:hAnsi="Arial" w:cs="Arial"/>
          <w:sz w:val="25"/>
        </w:rPr>
        <w:t>8.3. Por procedencia territorial</w:t>
      </w:r>
    </w:p>
    <w:p>
      <w:pPr>
        <w:jc w:val="both"/>
      </w:pPr>
      <w:r>
        <w:rPr>
          <w:rFonts w:ascii="Arial" w:hAnsi="Arial" w:cs="Arial"/>
          <w:sz w:val="22"/>
        </w:rPr>
        <w:t>Hay reglamentos estatales, autonómicos y locales. Cada sistema posee jerarquía propia. Entre reglamentos estatales y autonómicos no existe una subordinación territorial automática; se examina competencia. Las ordenanzas locales son reglamentos y actúan dentro de autonomía local y habilitación legal.</w:t>
      </w:r>
    </w:p>
    <w:p>
      <w:pPr>
        <w:pStyle w:val="Heading1"/>
        <w:keepNext/>
      </w:pPr>
      <w:r>
        <w:rPr>
          <w:rFonts w:ascii="Arial" w:hAnsi="Arial" w:cs="Arial"/>
          <w:sz w:val="30"/>
        </w:rPr>
        <w:t>9. Límites de la potestad reglamentaria</w:t>
      </w:r>
    </w:p>
    <w:p>
      <w:pPr>
        <w:pStyle w:val="Heading2"/>
        <w:keepNext/>
      </w:pPr>
      <w:r>
        <w:rPr>
          <w:rFonts w:ascii="Arial" w:hAnsi="Arial" w:cs="Arial"/>
          <w:sz w:val="25"/>
        </w:rPr>
        <w:t>9.1. Límites formales</w:t>
      </w:r>
    </w:p>
    <w:p>
      <w:pPr>
        <w:spacing w:after="40"/>
        <w:ind w:left="369" w:hanging="227"/>
      </w:pPr>
      <w:r>
        <w:rPr>
          <w:rFonts w:ascii="Arial" w:hAnsi="Arial" w:cs="Arial"/>
          <w:sz w:val="22"/>
        </w:rPr>
        <w:t xml:space="preserve">1. </w:t>
      </w:r>
      <w:r>
        <w:rPr>
          <w:rFonts w:ascii="Arial" w:hAnsi="Arial" w:cs="Arial"/>
          <w:b/>
          <w:sz w:val="22"/>
        </w:rPr>
        <w:t>Competencia:</w:t>
      </w:r>
      <w:r>
        <w:rPr>
          <w:rFonts w:ascii="Arial" w:hAnsi="Arial" w:cs="Arial"/>
          <w:sz w:val="22"/>
        </w:rPr>
        <w:t xml:space="preserve"> debe dictar la disposición el órgano habilitado, sin subdelegación implícita.</w:t>
      </w:r>
    </w:p>
    <w:p>
      <w:pPr>
        <w:spacing w:after="40"/>
        <w:ind w:left="369" w:hanging="227"/>
      </w:pPr>
      <w:r>
        <w:rPr>
          <w:rFonts w:ascii="Arial" w:hAnsi="Arial" w:cs="Arial"/>
          <w:sz w:val="22"/>
        </w:rPr>
        <w:t xml:space="preserve">2. </w:t>
      </w:r>
      <w:r>
        <w:rPr>
          <w:rFonts w:ascii="Arial" w:hAnsi="Arial" w:cs="Arial"/>
          <w:b/>
          <w:sz w:val="22"/>
        </w:rPr>
        <w:t>Procedimiento:</w:t>
      </w:r>
      <w:r>
        <w:rPr>
          <w:rFonts w:ascii="Arial" w:hAnsi="Arial" w:cs="Arial"/>
          <w:sz w:val="22"/>
        </w:rPr>
        <w:t xml:space="preserve"> planificación, estudios, memoria, informes, consulta o audiencia cuando procedan y aprobación conforme a la norma reguladora.</w:t>
      </w:r>
    </w:p>
    <w:p>
      <w:pPr>
        <w:spacing w:after="40"/>
        <w:ind w:left="369" w:hanging="227"/>
      </w:pPr>
      <w:r>
        <w:rPr>
          <w:rFonts w:ascii="Arial" w:hAnsi="Arial" w:cs="Arial"/>
          <w:sz w:val="22"/>
        </w:rPr>
        <w:t xml:space="preserve">3. </w:t>
      </w:r>
      <w:r>
        <w:rPr>
          <w:rFonts w:ascii="Arial" w:hAnsi="Arial" w:cs="Arial"/>
          <w:b/>
          <w:sz w:val="22"/>
        </w:rPr>
        <w:t>Forma:</w:t>
      </w:r>
      <w:r>
        <w:rPr>
          <w:rFonts w:ascii="Arial" w:hAnsi="Arial" w:cs="Arial"/>
          <w:sz w:val="22"/>
        </w:rPr>
        <w:t xml:space="preserve"> real decreto, orden, decreto autonómico u ordenanza según titular y ordenamiento.</w:t>
      </w:r>
    </w:p>
    <w:p>
      <w:pPr>
        <w:spacing w:after="40"/>
        <w:ind w:left="369" w:hanging="227"/>
      </w:pPr>
      <w:r>
        <w:rPr>
          <w:rFonts w:ascii="Arial" w:hAnsi="Arial" w:cs="Arial"/>
          <w:sz w:val="22"/>
        </w:rPr>
        <w:t xml:space="preserve">4. </w:t>
      </w:r>
      <w:r>
        <w:rPr>
          <w:rFonts w:ascii="Arial" w:hAnsi="Arial" w:cs="Arial"/>
          <w:b/>
          <w:sz w:val="22"/>
        </w:rPr>
        <w:t>Publicación:</w:t>
      </w:r>
      <w:r>
        <w:rPr>
          <w:rFonts w:ascii="Arial" w:hAnsi="Arial" w:cs="Arial"/>
          <w:sz w:val="22"/>
        </w:rPr>
        <w:t xml:space="preserve"> la disposición debe publicarse íntegramente en el diario oficial para entrar en vigor.</w:t>
      </w:r>
    </w:p>
    <w:p>
      <w:pPr>
        <w:jc w:val="both"/>
      </w:pPr>
      <w:r>
        <w:rPr>
          <w:rFonts w:ascii="Arial" w:hAnsi="Arial" w:cs="Arial"/>
          <w:sz w:val="22"/>
        </w:rPr>
        <w:t>La falta de competencia o la omisión de trámites esenciales puede determinar nulidad. No toda irregularidad procedimental se valora de manera idéntica: debe atenderse al carácter del trámite, finalidad, ámbito territorial y jurisprudencia.</w:t>
      </w:r>
    </w:p>
    <w:p>
      <w:pPr>
        <w:pStyle w:val="Heading2"/>
        <w:keepNext/>
      </w:pPr>
      <w:r>
        <w:rPr>
          <w:rFonts w:ascii="Arial" w:hAnsi="Arial" w:cs="Arial"/>
          <w:sz w:val="25"/>
        </w:rPr>
        <w:t>9.2. Límites materiales</w:t>
      </w:r>
    </w:p>
    <w:p>
      <w:pPr>
        <w:jc w:val="both"/>
      </w:pPr>
      <w:r>
        <w:rPr>
          <w:rFonts w:ascii="Arial" w:hAnsi="Arial" w:cs="Arial"/>
          <w:sz w:val="22"/>
        </w:rPr>
        <w:t>El artículo 128 LPAC condensa los principales:</w:t>
      </w:r>
    </w:p>
    <w:p>
      <w:pPr>
        <w:pStyle w:val="ListBullet"/>
      </w:pPr>
      <w:r>
        <w:rPr>
          <w:rFonts w:ascii="Arial" w:hAnsi="Arial" w:cs="Arial"/>
          <w:sz w:val="22"/>
        </w:rPr>
        <w:t>respeto a Constitución y leyes;</w:t>
      </w:r>
    </w:p>
    <w:p>
      <w:pPr>
        <w:pStyle w:val="ListBullet"/>
      </w:pPr>
      <w:r>
        <w:rPr>
          <w:rFonts w:ascii="Arial" w:hAnsi="Arial" w:cs="Arial"/>
          <w:sz w:val="22"/>
        </w:rPr>
        <w:t>prohibición de regular materias atribuidas constitucional o estatutariamente al legislador;</w:t>
      </w:r>
    </w:p>
    <w:p>
      <w:pPr>
        <w:pStyle w:val="ListBullet"/>
      </w:pPr>
      <w:r>
        <w:rPr>
          <w:rFonts w:ascii="Arial" w:hAnsi="Arial" w:cs="Arial"/>
          <w:sz w:val="22"/>
        </w:rPr>
        <w:t>respeto a jerarquía de las disposiciones;</w:t>
      </w:r>
    </w:p>
    <w:p>
      <w:pPr>
        <w:pStyle w:val="ListBullet"/>
      </w:pPr>
      <w:r>
        <w:rPr>
          <w:rFonts w:ascii="Arial" w:hAnsi="Arial" w:cs="Arial"/>
          <w:sz w:val="22"/>
        </w:rPr>
        <w:t>imposibilidad, sin perjuicio de su función de desarrollo o colaboración, de tipificar delitos, faltas o infracciones administrativas, establecer penas o sanciones, tributos, exacciones parafiscales u otras cargas o prestaciones personales o patrimoniales públicas.</w:t>
      </w:r>
    </w:p>
    <w:p>
      <w:pPr>
        <w:jc w:val="both"/>
      </w:pPr>
      <w:r>
        <w:rPr>
          <w:rFonts w:ascii="Arial" w:hAnsi="Arial" w:cs="Arial"/>
          <w:sz w:val="22"/>
        </w:rPr>
        <w:t>Debe añadirse la distribución territorial de competencias, la reserva de ley, los principios generales, los fines de la potestad y el Derecho de la Unión. Un reglamento técnicamente correcto es inválido si persigue una finalidad distinta de la habilitante o impone una restricción desproporcionada.</w:t>
      </w:r>
    </w:p>
    <w:p>
      <w:pPr>
        <w:pStyle w:val="Heading2"/>
        <w:keepNext/>
      </w:pPr>
      <w:r>
        <w:rPr>
          <w:rFonts w:ascii="Arial" w:hAnsi="Arial" w:cs="Arial"/>
          <w:sz w:val="25"/>
        </w:rPr>
        <w:t>9.3. Jerarquía y reserva</w:t>
      </w:r>
    </w:p>
    <w:p>
      <w:pPr>
        <w:jc w:val="both"/>
      </w:pPr>
      <w:r>
        <w:rPr>
          <w:rFonts w:ascii="Arial" w:hAnsi="Arial" w:cs="Arial"/>
          <w:sz w:val="22"/>
        </w:rPr>
        <w:t>Ningún reglamento puede contradecir una ley ni otro reglamento superior. Una orden ministerial no modifica un real decreto. La norma especial o posterior solo desplaza otra cuando ambas tienen rango compatible y el órgano posee competencia.</w:t>
      </w:r>
    </w:p>
    <w:p>
      <w:pPr>
        <w:jc w:val="both"/>
      </w:pPr>
      <w:r>
        <w:rPr>
          <w:rFonts w:ascii="Arial" w:hAnsi="Arial" w:cs="Arial"/>
          <w:sz w:val="22"/>
        </w:rPr>
        <w:t>La colaboración reglamentaria es admisible si la ley fija los elementos esenciales. En potestad sancionadora, la ley debe identificar suficientemente conductas y sanciones; el reglamento puede introducir especificaciones o graduaciones sin constituir nuevas infracciones ni alterar naturaleza o límites. En tributos, la ley establece los elementos esenciales con el grado exigible, aunque permita concreciones técnicas.</w:t>
      </w:r>
    </w:p>
    <w:p>
      <w:pPr>
        <w:pStyle w:val="Heading2"/>
        <w:keepNext/>
      </w:pPr>
      <w:r>
        <w:rPr>
          <w:rFonts w:ascii="Arial" w:hAnsi="Arial" w:cs="Arial"/>
          <w:sz w:val="25"/>
        </w:rPr>
        <w:t>9.4. Irretroactividad y seguridad</w:t>
      </w:r>
    </w:p>
    <w:p>
      <w:pPr>
        <w:jc w:val="both"/>
      </w:pPr>
      <w:r>
        <w:rPr>
          <w:rFonts w:ascii="Arial" w:hAnsi="Arial" w:cs="Arial"/>
          <w:sz w:val="22"/>
        </w:rPr>
        <w:t>El artículo 9.3 CE prohíbe retroactividad de disposiciones sancionadoras no favorables o restrictivas de derechos individuales. El artículo 47.2 LPAC incluye esa retroactividad entre las causas de nulidad de disposiciones administrativas. Las normas sancionadoras favorables se aplican retroactivamente en los términos de la legislación sancionadora.</w:t>
      </w:r>
    </w:p>
    <w:p>
      <w:pPr>
        <w:jc w:val="both"/>
      </w:pPr>
      <w:r>
        <w:rPr>
          <w:rFonts w:ascii="Arial" w:hAnsi="Arial" w:cs="Arial"/>
          <w:sz w:val="22"/>
        </w:rPr>
        <w:t>Fuera de la prohibición expresa, toda retroactividad reglamentaria necesita cobertura y debe respetar seguridad jurídica y confianza legítima. Un reglamento de ejecución no puede atribuirse retroactividad que la ley no permite.</w:t>
      </w:r>
    </w:p>
    <w:p>
      <w:pPr>
        <w:pStyle w:val="Heading2"/>
        <w:keepNext/>
      </w:pPr>
      <w:r>
        <w:rPr>
          <w:rFonts w:ascii="Arial" w:hAnsi="Arial" w:cs="Arial"/>
          <w:sz w:val="25"/>
        </w:rPr>
        <w:t>9.5. Inderogabilidad singular</w:t>
      </w:r>
    </w:p>
    <w:p>
      <w:pPr>
        <w:jc w:val="both"/>
      </w:pPr>
      <w:r>
        <w:rPr>
          <w:rFonts w:ascii="Arial" w:hAnsi="Arial" w:cs="Arial"/>
          <w:sz w:val="22"/>
        </w:rPr>
        <w:t>El artículo 37 LPAC impide que una resolución administrativa particular vulnere una disposición general, incluso si aquella procede de órgano de igual o superior jerarquía. Son nulas las resoluciones que infringen reglamentos y las que establecen excepciones singulares no autorizadas.</w:t>
      </w:r>
    </w:p>
    <w:p>
      <w:pPr>
        <w:jc w:val="both"/>
      </w:pPr>
      <w:r>
        <w:rPr>
          <w:rFonts w:ascii="Arial" w:hAnsi="Arial" w:cs="Arial"/>
          <w:sz w:val="22"/>
        </w:rPr>
        <w:t>El órgano superior puede promover modificación o derogación general siguiendo procedimiento; no puede dispensar a un destinatario concreto al margen de la norma. La regla protege igualdad, generalidad y seguridad.</w:t>
      </w:r>
    </w:p>
    <w:p>
      <w:pPr>
        <w:pStyle w:val="Heading1"/>
        <w:keepNext/>
      </w:pPr>
      <w:r>
        <w:rPr>
          <w:rFonts w:ascii="Arial" w:hAnsi="Arial" w:cs="Arial"/>
          <w:sz w:val="30"/>
        </w:rPr>
        <w:t>10. Elaboración de normas estatales</w:t>
      </w:r>
    </w:p>
    <w:p>
      <w:pPr>
        <w:pStyle w:val="Heading2"/>
        <w:keepNext/>
      </w:pPr>
      <w:r>
        <w:rPr>
          <w:rFonts w:ascii="Arial" w:hAnsi="Arial" w:cs="Arial"/>
          <w:sz w:val="25"/>
        </w:rPr>
        <w:t>10.1. Planificación y entrada en vigor</w:t>
      </w:r>
    </w:p>
    <w:p>
      <w:pPr>
        <w:jc w:val="both"/>
      </w:pPr>
      <w:r>
        <w:rPr>
          <w:rFonts w:ascii="Arial" w:hAnsi="Arial" w:cs="Arial"/>
          <w:sz w:val="22"/>
        </w:rPr>
        <w:t xml:space="preserve">La Ley 50/1997 ordena que el Gobierno apruebe anualmente un </w:t>
      </w:r>
      <w:r>
        <w:rPr>
          <w:rFonts w:ascii="Arial" w:hAnsi="Arial" w:cs="Arial"/>
          <w:b/>
          <w:sz w:val="22"/>
        </w:rPr>
        <w:t>Plan Anual Normativo</w:t>
      </w:r>
      <w:r>
        <w:rPr>
          <w:rFonts w:ascii="Arial" w:hAnsi="Arial" w:cs="Arial"/>
          <w:sz w:val="22"/>
        </w:rPr>
        <w:t xml:space="preserve"> con iniciativas legislativas y reglamentarias que se elevarán el año siguiente. El ministro competente en Presidencia lo somete al Consejo de Ministros antes del </w:t>
      </w:r>
      <w:r>
        <w:rPr>
          <w:rFonts w:ascii="Arial" w:hAnsi="Arial" w:cs="Arial"/>
          <w:b/>
          <w:sz w:val="22"/>
        </w:rPr>
        <w:t>30 de abril</w:t>
      </w:r>
      <w:r>
        <w:rPr>
          <w:rFonts w:ascii="Arial" w:hAnsi="Arial" w:cs="Arial"/>
          <w:sz w:val="22"/>
        </w:rPr>
        <w:t>. Si una propuesta no figuraba, debe justificarse en la Memoria del Análisis de Impacto Normativo.</w:t>
      </w:r>
    </w:p>
    <w:p>
      <w:pPr>
        <w:jc w:val="both"/>
      </w:pPr>
      <w:r>
        <w:rPr>
          <w:rFonts w:ascii="Arial" w:hAnsi="Arial" w:cs="Arial"/>
          <w:sz w:val="22"/>
        </w:rPr>
        <w:t xml:space="preserve">Para leyes o reglamentos propuestos por Gobierno o sus miembros que impongan nuevas obligaciones a quienes desarrollan actividad económica o profesional, la entrada en vigor se prevé, en principio, el </w:t>
      </w:r>
      <w:r>
        <w:rPr>
          <w:rFonts w:ascii="Arial" w:hAnsi="Arial" w:cs="Arial"/>
          <w:b/>
          <w:sz w:val="22"/>
        </w:rPr>
        <w:t>2 de enero o 1 de julio</w:t>
      </w:r>
      <w:r>
        <w:rPr>
          <w:rFonts w:ascii="Arial" w:hAnsi="Arial" w:cs="Arial"/>
          <w:sz w:val="22"/>
        </w:rPr>
        <w:t xml:space="preserve"> siguientes. Se exceptúan reales decretos-leyes, plazos de transposición y otras razones justificadas acreditadas en la Memoria.</w:t>
      </w:r>
    </w:p>
    <w:p>
      <w:pPr>
        <w:pStyle w:val="Heading2"/>
        <w:keepNext/>
      </w:pPr>
      <w:r>
        <w:rPr>
          <w:rFonts w:ascii="Arial" w:hAnsi="Arial" w:cs="Arial"/>
          <w:sz w:val="25"/>
        </w:rPr>
        <w:t>10.2. Estudios y consulta pública previa</w:t>
      </w:r>
    </w:p>
    <w:p>
      <w:pPr>
        <w:jc w:val="both"/>
      </w:pPr>
      <w:r>
        <w:rPr>
          <w:rFonts w:ascii="Arial" w:hAnsi="Arial" w:cs="Arial"/>
          <w:sz w:val="22"/>
        </w:rPr>
        <w:t>La redacción va precedida de estudios y consultas convenientes. Antes de elaborar el texto se realiza consulta en el portal del departamento sobre:</w:t>
      </w:r>
    </w:p>
    <w:p>
      <w:pPr>
        <w:pStyle w:val="ListBullet"/>
      </w:pPr>
      <w:r>
        <w:rPr>
          <w:rFonts w:ascii="Arial" w:hAnsi="Arial" w:cs="Arial"/>
          <w:sz w:val="22"/>
        </w:rPr>
        <w:t>problemas que se pretenden solucionar;</w:t>
      </w:r>
    </w:p>
    <w:p>
      <w:pPr>
        <w:pStyle w:val="ListBullet"/>
      </w:pPr>
      <w:r>
        <w:rPr>
          <w:rFonts w:ascii="Arial" w:hAnsi="Arial" w:cs="Arial"/>
          <w:sz w:val="22"/>
        </w:rPr>
        <w:t>necesidad y oportunidad;</w:t>
      </w:r>
    </w:p>
    <w:p>
      <w:pPr>
        <w:pStyle w:val="ListBullet"/>
      </w:pPr>
      <w:r>
        <w:rPr>
          <w:rFonts w:ascii="Arial" w:hAnsi="Arial" w:cs="Arial"/>
          <w:sz w:val="22"/>
        </w:rPr>
        <w:t>objetivos;</w:t>
      </w:r>
    </w:p>
    <w:p>
      <w:pPr>
        <w:pStyle w:val="ListBullet"/>
      </w:pPr>
      <w:r>
        <w:rPr>
          <w:rFonts w:ascii="Arial" w:hAnsi="Arial" w:cs="Arial"/>
          <w:sz w:val="22"/>
        </w:rPr>
        <w:t>alternativas regulatorias y no regulatorias.</w:t>
      </w:r>
    </w:p>
    <w:p>
      <w:pPr>
        <w:jc w:val="both"/>
      </w:pPr>
      <w:r>
        <w:rPr>
          <w:rFonts w:ascii="Arial" w:hAnsi="Arial" w:cs="Arial"/>
          <w:sz w:val="22"/>
        </w:rPr>
        <w:t xml:space="preserve">Desde el </w:t>
      </w:r>
      <w:r>
        <w:rPr>
          <w:rFonts w:ascii="Arial" w:hAnsi="Arial" w:cs="Arial"/>
          <w:b/>
          <w:sz w:val="22"/>
        </w:rPr>
        <w:t>3 de abril de 2025</w:t>
      </w:r>
      <w:r>
        <w:rPr>
          <w:rFonts w:ascii="Arial" w:hAnsi="Arial" w:cs="Arial"/>
          <w:sz w:val="22"/>
        </w:rPr>
        <w:t>, el artículo 26.2 de la Ley del Gobierno permite prescindir de la consulta previa si concurre alguna de estas seis causas:</w:t>
      </w:r>
    </w:p>
    <w:p>
      <w:pPr>
        <w:spacing w:after="40"/>
        <w:ind w:left="369" w:hanging="227"/>
      </w:pPr>
      <w:r>
        <w:rPr>
          <w:rFonts w:ascii="Arial" w:hAnsi="Arial" w:cs="Arial"/>
          <w:sz w:val="22"/>
        </w:rPr>
        <w:t>1. normas presupuestarias u organizativas de la AGE o sus entidades;</w:t>
      </w:r>
    </w:p>
    <w:p>
      <w:pPr>
        <w:spacing w:after="40"/>
        <w:ind w:left="369" w:hanging="227"/>
      </w:pPr>
      <w:r>
        <w:rPr>
          <w:rFonts w:ascii="Arial" w:hAnsi="Arial" w:cs="Arial"/>
          <w:sz w:val="22"/>
        </w:rPr>
        <w:t>2. razones graves de interés público;</w:t>
      </w:r>
    </w:p>
    <w:p>
      <w:pPr>
        <w:spacing w:after="40"/>
        <w:ind w:left="369" w:hanging="227"/>
      </w:pPr>
      <w:r>
        <w:rPr>
          <w:rFonts w:ascii="Arial" w:hAnsi="Arial" w:cs="Arial"/>
          <w:sz w:val="22"/>
        </w:rPr>
        <w:t>3. falta de impacto económico significativo;</w:t>
      </w:r>
    </w:p>
    <w:p>
      <w:pPr>
        <w:spacing w:after="40"/>
        <w:ind w:left="369" w:hanging="227"/>
      </w:pPr>
      <w:r>
        <w:rPr>
          <w:rFonts w:ascii="Arial" w:hAnsi="Arial" w:cs="Arial"/>
          <w:sz w:val="22"/>
        </w:rPr>
        <w:t>4. ausencia de obligaciones relevantes para destinatarios;</w:t>
      </w:r>
    </w:p>
    <w:p>
      <w:pPr>
        <w:spacing w:after="40"/>
        <w:ind w:left="369" w:hanging="227"/>
      </w:pPr>
      <w:r>
        <w:rPr>
          <w:rFonts w:ascii="Arial" w:hAnsi="Arial" w:cs="Arial"/>
          <w:sz w:val="22"/>
        </w:rPr>
        <w:t>5. regulación de aspectos parciales de una materia;</w:t>
      </w:r>
    </w:p>
    <w:p>
      <w:pPr>
        <w:spacing w:after="40"/>
        <w:ind w:left="369" w:hanging="227"/>
      </w:pPr>
      <w:r>
        <w:rPr>
          <w:rFonts w:ascii="Arial" w:hAnsi="Arial" w:cs="Arial"/>
          <w:sz w:val="22"/>
        </w:rPr>
        <w:t>6. tramitación urgente del artículo 27.2.</w:t>
      </w:r>
    </w:p>
    <w:p>
      <w:pPr>
        <w:jc w:val="both"/>
      </w:pPr>
      <w:r>
        <w:rPr>
          <w:rFonts w:ascii="Arial" w:hAnsi="Arial" w:cs="Arial"/>
          <w:sz w:val="22"/>
        </w:rPr>
        <w:t xml:space="preserve">La causa debe motivarse en la Memoria. Cuando se celebra, la consulta dura como mínimo </w:t>
      </w:r>
      <w:r>
        <w:rPr>
          <w:rFonts w:ascii="Arial" w:hAnsi="Arial" w:cs="Arial"/>
          <w:b/>
          <w:sz w:val="22"/>
        </w:rPr>
        <w:t>quince días naturales</w:t>
      </w:r>
      <w:r>
        <w:rPr>
          <w:rFonts w:ascii="Arial" w:hAnsi="Arial" w:cs="Arial"/>
          <w:sz w:val="22"/>
        </w:rPr>
        <w:t>. Esta cifra no debe confundirse con la audiencia sobre un texto ya redactado.</w:t>
      </w:r>
    </w:p>
    <w:p>
      <w:pPr>
        <w:pStyle w:val="Heading2"/>
        <w:keepNext/>
      </w:pPr>
      <w:r>
        <w:rPr>
          <w:rFonts w:ascii="Arial" w:hAnsi="Arial" w:cs="Arial"/>
          <w:sz w:val="25"/>
        </w:rPr>
        <w:t>10.3. Memoria del Análisis de Impacto Normativo</w:t>
      </w:r>
    </w:p>
    <w:p>
      <w:pPr>
        <w:jc w:val="both"/>
      </w:pPr>
      <w:r>
        <w:rPr>
          <w:rFonts w:ascii="Arial" w:hAnsi="Arial" w:cs="Arial"/>
          <w:sz w:val="22"/>
        </w:rPr>
        <w:t>La MAIN es preceptiva e incluye, entre otros extremos:</w:t>
      </w:r>
    </w:p>
    <w:p>
      <w:pPr>
        <w:pStyle w:val="ListBullet"/>
      </w:pPr>
      <w:r>
        <w:rPr>
          <w:rFonts w:ascii="Arial" w:hAnsi="Arial" w:cs="Arial"/>
          <w:sz w:val="22"/>
        </w:rPr>
        <w:t>oportunidad, alternativas y opción de no regular;</w:t>
      </w:r>
    </w:p>
    <w:p>
      <w:pPr>
        <w:pStyle w:val="ListBullet"/>
      </w:pPr>
      <w:r>
        <w:rPr>
          <w:rFonts w:ascii="Arial" w:hAnsi="Arial" w:cs="Arial"/>
          <w:sz w:val="22"/>
        </w:rPr>
        <w:t>contenido y análisis jurídico nacional y europeo, con lista de derogaciones;</w:t>
      </w:r>
    </w:p>
    <w:p>
      <w:pPr>
        <w:pStyle w:val="ListBullet"/>
      </w:pPr>
      <w:r>
        <w:rPr>
          <w:rFonts w:ascii="Arial" w:hAnsi="Arial" w:cs="Arial"/>
          <w:sz w:val="22"/>
        </w:rPr>
        <w:t>adecuación al reparto competencial;</w:t>
      </w:r>
    </w:p>
    <w:p>
      <w:pPr>
        <w:pStyle w:val="ListBullet"/>
      </w:pPr>
      <w:r>
        <w:rPr>
          <w:rFonts w:ascii="Arial" w:hAnsi="Arial" w:cs="Arial"/>
          <w:sz w:val="22"/>
        </w:rPr>
        <w:t>impacto económico y presupuestario, competencia, unidad de mercado, competitividad y test pyme;</w:t>
      </w:r>
    </w:p>
    <w:p>
      <w:pPr>
        <w:pStyle w:val="ListBullet"/>
      </w:pPr>
      <w:r>
        <w:rPr>
          <w:rFonts w:ascii="Arial" w:hAnsi="Arial" w:cs="Arial"/>
          <w:sz w:val="22"/>
        </w:rPr>
        <w:t>cargas administrativas y costes;</w:t>
      </w:r>
    </w:p>
    <w:p>
      <w:pPr>
        <w:pStyle w:val="ListBullet"/>
      </w:pPr>
      <w:r>
        <w:rPr>
          <w:rFonts w:ascii="Arial" w:hAnsi="Arial" w:cs="Arial"/>
          <w:sz w:val="22"/>
        </w:rPr>
        <w:t>impacto por razón de género;</w:t>
      </w:r>
    </w:p>
    <w:p>
      <w:pPr>
        <w:pStyle w:val="ListBullet"/>
      </w:pPr>
      <w:r>
        <w:rPr>
          <w:rFonts w:ascii="Arial" w:hAnsi="Arial" w:cs="Arial"/>
          <w:sz w:val="22"/>
        </w:rPr>
        <w:t>resumen de aportaciones de consulta;</w:t>
      </w:r>
    </w:p>
    <w:p>
      <w:pPr>
        <w:pStyle w:val="ListBullet"/>
      </w:pPr>
      <w:r>
        <w:rPr>
          <w:rFonts w:ascii="Arial" w:hAnsi="Arial" w:cs="Arial"/>
          <w:sz w:val="22"/>
        </w:rPr>
        <w:t>impacto en mitigación y adaptación al cambio climático.</w:t>
      </w:r>
    </w:p>
    <w:p>
      <w:pPr>
        <w:jc w:val="both"/>
      </w:pPr>
      <w:r>
        <w:rPr>
          <w:rFonts w:ascii="Arial" w:hAnsi="Arial" w:cs="Arial"/>
          <w:sz w:val="22"/>
        </w:rPr>
        <w:t>La Memoria no es adorno justificativo: documenta necesidad, proporcionalidad y efectos. En decretos-leyes se elabora abreviada; el artículo 26.11 concreta qué apartados del procedimiento les son aplicables.</w:t>
      </w:r>
    </w:p>
    <w:p>
      <w:pPr>
        <w:pStyle w:val="Heading2"/>
        <w:keepNext/>
      </w:pPr>
      <w:r>
        <w:rPr>
          <w:rFonts w:ascii="Arial" w:hAnsi="Arial" w:cs="Arial"/>
          <w:sz w:val="25"/>
        </w:rPr>
        <w:t>10.4. Informes, audiencia y aprobación</w:t>
      </w:r>
    </w:p>
    <w:p>
      <w:pPr>
        <w:jc w:val="both"/>
      </w:pPr>
      <w:r>
        <w:rPr>
          <w:rFonts w:ascii="Arial" w:hAnsi="Arial" w:cs="Arial"/>
          <w:sz w:val="22"/>
        </w:rPr>
        <w:t>Se recaban informes preceptivos y convenientes. Todos los anteproyectos, proyectos de real decreto legislativo y disposiciones reglamentarias reciben informe de la Secretaría General Técnica del ministerio proponente. Se solicita aprobación o informe específico cuando la norma afecta organización, personal, procedimientos o reparto competencial en los términos legales. El Consejo de Estado dictamina cuando es preceptivo o conveniente.</w:t>
      </w:r>
    </w:p>
    <w:p>
      <w:pPr>
        <w:jc w:val="both"/>
      </w:pPr>
      <w:r>
        <w:rPr>
          <w:rFonts w:ascii="Arial" w:hAnsi="Arial" w:cs="Arial"/>
          <w:sz w:val="22"/>
        </w:rPr>
        <w:t xml:space="preserve">Si la norma afecta derechos o intereses legítimos, se publica el </w:t>
      </w:r>
      <w:r>
        <w:rPr>
          <w:rFonts w:ascii="Arial" w:hAnsi="Arial" w:cs="Arial"/>
          <w:b/>
          <w:sz w:val="22"/>
        </w:rPr>
        <w:t>texto</w:t>
      </w:r>
      <w:r>
        <w:rPr>
          <w:rFonts w:ascii="Arial" w:hAnsi="Arial" w:cs="Arial"/>
          <w:sz w:val="22"/>
        </w:rPr>
        <w:t xml:space="preserve"> para audiencia e información pública. El mínimo es </w:t>
      </w:r>
      <w:r>
        <w:rPr>
          <w:rFonts w:ascii="Arial" w:hAnsi="Arial" w:cs="Arial"/>
          <w:b/>
          <w:sz w:val="22"/>
        </w:rPr>
        <w:t>quince días hábiles</w:t>
      </w:r>
      <w:r>
        <w:rPr>
          <w:rFonts w:ascii="Arial" w:hAnsi="Arial" w:cs="Arial"/>
          <w:sz w:val="22"/>
        </w:rPr>
        <w:t xml:space="preserve">, reducible motivadamente a </w:t>
      </w:r>
      <w:r>
        <w:rPr>
          <w:rFonts w:ascii="Arial" w:hAnsi="Arial" w:cs="Arial"/>
          <w:b/>
          <w:sz w:val="22"/>
        </w:rPr>
        <w:t>siete días hábiles</w:t>
      </w:r>
      <w:r>
        <w:rPr>
          <w:rFonts w:ascii="Arial" w:hAnsi="Arial" w:cs="Arial"/>
          <w:sz w:val="22"/>
        </w:rPr>
        <w:t xml:space="preserve"> o en tramitación urgente. Solo puede omitirse por graves razones de interés público justificadas; tampoco se aplica a disposiciones presupuestarias ni a las que regulan órganos, cargos y autoridades del Gobierno o entidades dependientes.</w:t>
      </w:r>
    </w:p>
    <w:tbl>
      <w:tblPr>
        <w:tblStyle w:val="TableGrid"/>
        <w:tblW w:type="dxa" w:w="9026"/>
        <w:jc w:val="left"/>
        <w:tblLayout w:type="fixed"/>
        <w:tblLook w:firstColumn="1" w:firstRow="1" w:lastColumn="0" w:lastRow="0" w:noHBand="0" w:noVBand="1" w:val="04A0"/>
        <w:tblInd w:w="120" w:type="dxa"/>
      </w:tblPr>
      <w:tblGrid>
        <w:gridCol w:w="2407"/>
        <w:gridCol w:w="5115"/>
        <w:gridCol w:w="1504"/>
      </w:tblGrid>
      <w:tr>
        <w:trPr>
          <w:tblHeader w:val="true"/>
        </w:trPr>
        <w:tc>
          <w:tcPr>
            <w:tcW w:type="dxa" w:w="240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Trámite</w:t>
            </w:r>
          </w:p>
        </w:tc>
        <w:tc>
          <w:tcPr>
            <w:tcW w:type="dxa" w:w="511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Momento/objeto</w:t>
            </w:r>
          </w:p>
        </w:tc>
        <w:tc>
          <w:tcPr>
            <w:tcW w:type="dxa" w:w="1504"/>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 estatal</w:t>
            </w:r>
          </w:p>
        </w:tc>
      </w:tr>
      <w:tr>
        <w:tc>
          <w:tcPr>
            <w:tcW w:type="dxa" w:w="2407"/>
            <w:tcMar>
              <w:top w:w="80" w:type="dxa"/>
              <w:start w:w="120" w:type="dxa"/>
              <w:bottom w:w="80" w:type="dxa"/>
              <w:end w:w="120" w:type="dxa"/>
            </w:tcMar>
            <w:vAlign w:val="center"/>
          </w:tcPr>
          <w:p>
            <w:pPr>
              <w:spacing w:before="0" w:after="0" w:line="240" w:lineRule="auto"/>
              <w:jc w:val="left"/>
            </w:pPr>
            <w:r/>
            <w:r>
              <w:rPr>
                <w:rFonts w:ascii="Arial" w:hAnsi="Arial" w:cs="Arial"/>
                <w:sz w:val="18"/>
              </w:rPr>
              <w:t>Consulta pública previa</w:t>
            </w:r>
          </w:p>
        </w:tc>
        <w:tc>
          <w:tcPr>
            <w:tcW w:type="dxa" w:w="5115"/>
            <w:tcMar>
              <w:top w:w="80" w:type="dxa"/>
              <w:start w:w="120" w:type="dxa"/>
              <w:bottom w:w="80" w:type="dxa"/>
              <w:end w:w="120" w:type="dxa"/>
            </w:tcMar>
            <w:vAlign w:val="center"/>
          </w:tcPr>
          <w:p>
            <w:pPr>
              <w:spacing w:before="0" w:after="0" w:line="240" w:lineRule="auto"/>
              <w:jc w:val="left"/>
            </w:pPr>
            <w:r/>
            <w:r>
              <w:rPr>
                <w:rFonts w:ascii="Arial" w:hAnsi="Arial" w:cs="Arial"/>
                <w:sz w:val="18"/>
              </w:rPr>
              <w:t>Antes del texto; problema, necesidad, objetivos, alternativas</w:t>
            </w:r>
          </w:p>
        </w:tc>
        <w:tc>
          <w:tcPr>
            <w:tcW w:type="dxa" w:w="1504"/>
            <w:tcMar>
              <w:top w:w="80" w:type="dxa"/>
              <w:start w:w="120" w:type="dxa"/>
              <w:bottom w:w="80" w:type="dxa"/>
              <w:end w:w="120" w:type="dxa"/>
            </w:tcMar>
            <w:vAlign w:val="center"/>
          </w:tcPr>
          <w:p>
            <w:pPr>
              <w:spacing w:before="0" w:after="0" w:line="240" w:lineRule="auto"/>
              <w:jc w:val="left"/>
            </w:pPr>
            <w:r/>
            <w:r>
              <w:rPr>
                <w:rFonts w:ascii="Arial" w:hAnsi="Arial" w:cs="Arial"/>
                <w:sz w:val="18"/>
              </w:rPr>
              <w:t>≥ 15 días naturales</w:t>
            </w:r>
          </w:p>
        </w:tc>
      </w:tr>
      <w:tr>
        <w:tc>
          <w:tcPr>
            <w:tcW w:type="dxa" w:w="2407"/>
            <w:tcMar>
              <w:top w:w="80" w:type="dxa"/>
              <w:start w:w="120" w:type="dxa"/>
              <w:bottom w:w="80" w:type="dxa"/>
              <w:end w:w="120" w:type="dxa"/>
            </w:tcMar>
            <w:vAlign w:val="center"/>
          </w:tcPr>
          <w:p>
            <w:pPr>
              <w:spacing w:before="0" w:after="0" w:line="240" w:lineRule="auto"/>
              <w:jc w:val="left"/>
            </w:pPr>
            <w:r/>
            <w:r>
              <w:rPr>
                <w:rFonts w:ascii="Arial" w:hAnsi="Arial" w:cs="Arial"/>
                <w:sz w:val="18"/>
              </w:rPr>
              <w:t>Audiencia e información</w:t>
            </w:r>
          </w:p>
        </w:tc>
        <w:tc>
          <w:tcPr>
            <w:tcW w:type="dxa" w:w="5115"/>
            <w:tcMar>
              <w:top w:w="80" w:type="dxa"/>
              <w:start w:w="120" w:type="dxa"/>
              <w:bottom w:w="80" w:type="dxa"/>
              <w:end w:w="120" w:type="dxa"/>
            </w:tcMar>
            <w:vAlign w:val="center"/>
          </w:tcPr>
          <w:p>
            <w:pPr>
              <w:spacing w:before="0" w:after="0" w:line="240" w:lineRule="auto"/>
              <w:jc w:val="left"/>
            </w:pPr>
            <w:r/>
            <w:r>
              <w:rPr>
                <w:rFonts w:ascii="Arial" w:hAnsi="Arial" w:cs="Arial"/>
                <w:sz w:val="18"/>
              </w:rPr>
              <w:t>Sobre el texto; afectados y aportaciones</w:t>
            </w:r>
          </w:p>
        </w:tc>
        <w:tc>
          <w:tcPr>
            <w:tcW w:type="dxa" w:w="1504"/>
            <w:tcMar>
              <w:top w:w="80" w:type="dxa"/>
              <w:start w:w="120" w:type="dxa"/>
              <w:bottom w:w="80" w:type="dxa"/>
              <w:end w:w="120" w:type="dxa"/>
            </w:tcMar>
            <w:vAlign w:val="center"/>
          </w:tcPr>
          <w:p>
            <w:pPr>
              <w:spacing w:before="0" w:after="0" w:line="240" w:lineRule="auto"/>
              <w:jc w:val="left"/>
            </w:pPr>
            <w:r/>
            <w:r>
              <w:rPr>
                <w:rFonts w:ascii="Arial" w:hAnsi="Arial" w:cs="Arial"/>
                <w:sz w:val="18"/>
              </w:rPr>
              <w:t>≥ 15 días hábiles</w:t>
            </w:r>
          </w:p>
        </w:tc>
      </w:tr>
      <w:tr>
        <w:tc>
          <w:tcPr>
            <w:tcW w:type="dxa" w:w="2407"/>
            <w:tcMar>
              <w:top w:w="80" w:type="dxa"/>
              <w:start w:w="120" w:type="dxa"/>
              <w:bottom w:w="80" w:type="dxa"/>
              <w:end w:w="120" w:type="dxa"/>
            </w:tcMar>
            <w:vAlign w:val="center"/>
          </w:tcPr>
          <w:p>
            <w:pPr>
              <w:spacing w:before="0" w:after="0" w:line="240" w:lineRule="auto"/>
              <w:jc w:val="left"/>
            </w:pPr>
            <w:r/>
            <w:r>
              <w:rPr>
                <w:rFonts w:ascii="Arial" w:hAnsi="Arial" w:cs="Arial"/>
                <w:sz w:val="18"/>
              </w:rPr>
              <w:t>Audiencia reducida/urgente</w:t>
            </w:r>
          </w:p>
        </w:tc>
        <w:tc>
          <w:tcPr>
            <w:tcW w:type="dxa" w:w="5115"/>
            <w:tcMar>
              <w:top w:w="80" w:type="dxa"/>
              <w:start w:w="120" w:type="dxa"/>
              <w:bottom w:w="80" w:type="dxa"/>
              <w:end w:w="120" w:type="dxa"/>
            </w:tcMar>
            <w:vAlign w:val="center"/>
          </w:tcPr>
          <w:p>
            <w:pPr>
              <w:spacing w:before="0" w:after="0" w:line="240" w:lineRule="auto"/>
              <w:jc w:val="left"/>
            </w:pPr>
            <w:r/>
            <w:r>
              <w:rPr>
                <w:rFonts w:ascii="Arial" w:hAnsi="Arial" w:cs="Arial"/>
                <w:sz w:val="18"/>
              </w:rPr>
              <w:t>Sobre el texto, con motivación</w:t>
            </w:r>
          </w:p>
        </w:tc>
        <w:tc>
          <w:tcPr>
            <w:tcW w:type="dxa" w:w="1504"/>
            <w:tcMar>
              <w:top w:w="80" w:type="dxa"/>
              <w:start w:w="120" w:type="dxa"/>
              <w:bottom w:w="80" w:type="dxa"/>
              <w:end w:w="120" w:type="dxa"/>
            </w:tcMar>
            <w:vAlign w:val="center"/>
          </w:tcPr>
          <w:p>
            <w:pPr>
              <w:spacing w:before="0" w:after="0" w:line="240" w:lineRule="auto"/>
              <w:jc w:val="left"/>
            </w:pPr>
            <w:r/>
            <w:r>
              <w:rPr>
                <w:rFonts w:ascii="Arial" w:hAnsi="Arial" w:cs="Arial"/>
                <w:sz w:val="18"/>
              </w:rPr>
              <w:t>≥ 7 días hábiles</w:t>
            </w:r>
          </w:p>
        </w:tc>
      </w:tr>
    </w:tbl>
    <w:p>
      <w:pPr>
        <w:spacing w:after="40"/>
      </w:pPr>
    </w:p>
    <w:p>
      <w:pPr>
        <w:jc w:val="both"/>
      </w:pPr>
      <w:r>
        <w:rPr>
          <w:rFonts w:ascii="Arial" w:hAnsi="Arial" w:cs="Arial"/>
          <w:sz w:val="22"/>
        </w:rPr>
        <w:t>La propuesta pasa por la Comisión General de Secretarios de Estado y Subsecretarios y se eleva al Consejo de Ministros cuando corresponda. El expediente electrónico conserva MAIN, informes, dictámenes, estudios y consultas.</w:t>
      </w:r>
    </w:p>
    <w:p>
      <w:pPr>
        <w:pStyle w:val="Heading2"/>
        <w:keepNext/>
      </w:pPr>
      <w:r>
        <w:rPr>
          <w:rFonts w:ascii="Arial" w:hAnsi="Arial" w:cs="Arial"/>
          <w:sz w:val="25"/>
        </w:rPr>
        <w:t>10.5. Tramitación urgente</w:t>
      </w:r>
    </w:p>
    <w:p>
      <w:pPr>
        <w:jc w:val="both"/>
      </w:pPr>
      <w:r>
        <w:rPr>
          <w:rFonts w:ascii="Arial" w:hAnsi="Arial" w:cs="Arial"/>
          <w:sz w:val="22"/>
        </w:rPr>
        <w:t>El Consejo de Ministros puede acordarla, a propuesta departamental, cuando sea necesaria para cumplir plazo de transposición u otra norma europea, o concurran circunstancias extraordinarias imprevisibles que exijan aprobación urgente. La MAIN identifica acuerdo y fundamento.</w:t>
      </w:r>
    </w:p>
    <w:p>
      <w:pPr>
        <w:jc w:val="both"/>
      </w:pPr>
      <w:r>
        <w:rPr>
          <w:rFonts w:ascii="Arial" w:hAnsi="Arial" w:cs="Arial"/>
          <w:sz w:val="22"/>
        </w:rPr>
        <w:t>Sus efectos principales son:</w:t>
      </w:r>
    </w:p>
    <w:p>
      <w:pPr>
        <w:pStyle w:val="ListBullet"/>
      </w:pPr>
      <w:r>
        <w:rPr>
          <w:rFonts w:ascii="Arial" w:hAnsi="Arial" w:cs="Arial"/>
          <w:sz w:val="22"/>
        </w:rPr>
        <w:t>plazos del procedimiento reducidos a la mitad;</w:t>
      </w:r>
    </w:p>
    <w:p>
      <w:pPr>
        <w:pStyle w:val="ListBullet"/>
      </w:pPr>
      <w:r>
        <w:rPr>
          <w:rFonts w:ascii="Arial" w:hAnsi="Arial" w:cs="Arial"/>
          <w:sz w:val="22"/>
        </w:rPr>
        <w:t>omisión de consulta pública previa;</w:t>
      </w:r>
    </w:p>
    <w:p>
      <w:pPr>
        <w:pStyle w:val="ListBullet"/>
      </w:pPr>
      <w:r>
        <w:rPr>
          <w:rFonts w:ascii="Arial" w:hAnsi="Arial" w:cs="Arial"/>
          <w:sz w:val="22"/>
        </w:rPr>
        <w:t>audiencia o información pública de siete días;</w:t>
      </w:r>
    </w:p>
    <w:p>
      <w:pPr>
        <w:pStyle w:val="ListBullet"/>
      </w:pPr>
      <w:r>
        <w:rPr>
          <w:rFonts w:ascii="Arial" w:hAnsi="Arial" w:cs="Arial"/>
          <w:sz w:val="22"/>
        </w:rPr>
        <w:t>falta de informe preceptivo en plazo no impide continuar, sin perjuicio de incorporarlo y considerarlo si llega.</w:t>
      </w:r>
    </w:p>
    <w:p>
      <w:pPr>
        <w:jc w:val="both"/>
      </w:pPr>
      <w:r>
        <w:rPr>
          <w:rFonts w:ascii="Arial" w:hAnsi="Arial" w:cs="Arial"/>
          <w:sz w:val="22"/>
        </w:rPr>
        <w:t>Urgencia del procedimiento reglamentario y extraordinaria y urgente necesidad del decreto-ley son instituciones diferentes.</w:t>
      </w:r>
    </w:p>
    <w:p>
      <w:pPr>
        <w:pStyle w:val="Heading2"/>
        <w:keepNext/>
      </w:pPr>
      <w:r>
        <w:rPr>
          <w:rFonts w:ascii="Arial" w:hAnsi="Arial" w:cs="Arial"/>
          <w:sz w:val="25"/>
        </w:rPr>
        <w:t>10.6. Evaluación posterior y alcance territorial</w:t>
      </w:r>
    </w:p>
    <w:p>
      <w:pPr>
        <w:jc w:val="both"/>
      </w:pPr>
      <w:r>
        <w:rPr>
          <w:rFonts w:ascii="Arial" w:hAnsi="Arial" w:cs="Arial"/>
          <w:sz w:val="22"/>
        </w:rPr>
        <w:t>Antes del 30 de abril, el Consejo de Ministros aprueba informe anual sobre cumplimiento del plan anterior y evaluación de normas seleccionadas. Se examinan eficacia, eficiencia y sostenibilidad, pudiendo recomendar modificación o derogación.</w:t>
      </w:r>
    </w:p>
    <w:p>
      <w:pPr>
        <w:jc w:val="both"/>
      </w:pPr>
      <w:r>
        <w:rPr>
          <w:rFonts w:ascii="Arial" w:hAnsi="Arial" w:cs="Arial"/>
          <w:sz w:val="22"/>
        </w:rPr>
        <w:t>La STC 55/2018 delimitó la aplicabilidad de varias reglas del título VI LPAC a iniciativas autonómicas. No debe trasladarse mecánicamente cada detalle estatal a comunidades. Para AGE rigen específicamente los artículos 22 a 28 de la Ley del Gobierno; cada comunidad y entidad local se sujeta además a su régimen.</w:t>
      </w:r>
    </w:p>
    <w:p>
      <w:pPr>
        <w:pStyle w:val="Heading1"/>
        <w:keepNext/>
      </w:pPr>
      <w:r>
        <w:rPr>
          <w:rFonts w:ascii="Arial" w:hAnsi="Arial" w:cs="Arial"/>
          <w:sz w:val="30"/>
        </w:rPr>
        <w:t>11. Principios de buena regulación</w:t>
      </w:r>
    </w:p>
    <w:p>
      <w:pPr>
        <w:jc w:val="both"/>
      </w:pPr>
      <w:r>
        <w:rPr>
          <w:rFonts w:ascii="Arial" w:hAnsi="Arial" w:cs="Arial"/>
          <w:sz w:val="22"/>
        </w:rPr>
        <w:t xml:space="preserve">El artículo 129 LPAC exige actuar conforme a </w:t>
      </w:r>
      <w:r>
        <w:rPr>
          <w:rFonts w:ascii="Arial" w:hAnsi="Arial" w:cs="Arial"/>
          <w:b/>
          <w:sz w:val="22"/>
        </w:rPr>
        <w:t>necesidad, eficacia, proporcionalidad, seguridad jurídica, transparencia y eficiencia</w:t>
      </w:r>
      <w:r>
        <w:rPr>
          <w:rFonts w:ascii="Arial" w:hAnsi="Arial" w:cs="Arial"/>
          <w:sz w:val="22"/>
        </w:rPr>
        <w:t>, justificándolos en preámbulo o exposición.</w:t>
      </w:r>
    </w:p>
    <w:p>
      <w:pPr>
        <w:pStyle w:val="ListBullet"/>
      </w:pPr>
      <w:r>
        <w:rPr>
          <w:rFonts w:ascii="Arial" w:hAnsi="Arial" w:cs="Arial"/>
          <w:b/>
          <w:sz w:val="22"/>
        </w:rPr>
        <w:t>Necesidad y eficacia:</w:t>
      </w:r>
      <w:r>
        <w:rPr>
          <w:rFonts w:ascii="Arial" w:hAnsi="Arial" w:cs="Arial"/>
          <w:sz w:val="22"/>
        </w:rPr>
        <w:t xml:space="preserve"> la iniciativa se funda en interés general, identifica fines y es el instrumento adecuado.</w:t>
      </w:r>
    </w:p>
    <w:p>
      <w:pPr>
        <w:pStyle w:val="ListBullet"/>
      </w:pPr>
      <w:r>
        <w:rPr>
          <w:rFonts w:ascii="Arial" w:hAnsi="Arial" w:cs="Arial"/>
          <w:b/>
          <w:sz w:val="22"/>
        </w:rPr>
        <w:t>Proporcionalidad:</w:t>
      </w:r>
      <w:r>
        <w:rPr>
          <w:rFonts w:ascii="Arial" w:hAnsi="Arial" w:cs="Arial"/>
          <w:sz w:val="22"/>
        </w:rPr>
        <w:t xml:space="preserve"> contiene regulación imprescindible, sin alternativas menos restrictivas o gravosas.</w:t>
      </w:r>
    </w:p>
    <w:p>
      <w:pPr>
        <w:pStyle w:val="ListBullet"/>
      </w:pPr>
      <w:r>
        <w:rPr>
          <w:rFonts w:ascii="Arial" w:hAnsi="Arial" w:cs="Arial"/>
          <w:b/>
          <w:sz w:val="22"/>
        </w:rPr>
        <w:t>Seguridad jurídica:</w:t>
      </w:r>
      <w:r>
        <w:rPr>
          <w:rFonts w:ascii="Arial" w:hAnsi="Arial" w:cs="Arial"/>
          <w:sz w:val="22"/>
        </w:rPr>
        <w:t xml:space="preserve"> coherencia con ordenamiento nacional y europeo, marco estable, predecible, integrado y claro. Los trámites adicionales o distintos para procedimientos administrativos requieren ley.</w:t>
      </w:r>
    </w:p>
    <w:p>
      <w:pPr>
        <w:pStyle w:val="ListBullet"/>
      </w:pPr>
      <w:r>
        <w:rPr>
          <w:rFonts w:ascii="Arial" w:hAnsi="Arial" w:cs="Arial"/>
          <w:b/>
          <w:sz w:val="22"/>
        </w:rPr>
        <w:t>Transparencia:</w:t>
      </w:r>
      <w:r>
        <w:rPr>
          <w:rFonts w:ascii="Arial" w:hAnsi="Arial" w:cs="Arial"/>
          <w:sz w:val="22"/>
        </w:rPr>
        <w:t xml:space="preserve"> acceso sencillo a normativa y documentos, definición clara de objetivos y participación.</w:t>
      </w:r>
    </w:p>
    <w:p>
      <w:pPr>
        <w:pStyle w:val="ListBullet"/>
      </w:pPr>
      <w:r>
        <w:rPr>
          <w:rFonts w:ascii="Arial" w:hAnsi="Arial" w:cs="Arial"/>
          <w:b/>
          <w:sz w:val="22"/>
        </w:rPr>
        <w:t>Eficiencia:</w:t>
      </w:r>
      <w:r>
        <w:rPr>
          <w:rFonts w:ascii="Arial" w:hAnsi="Arial" w:cs="Arial"/>
          <w:sz w:val="22"/>
        </w:rPr>
        <w:t xml:space="preserve"> evita cargas innecesarias y racionaliza recursos.</w:t>
      </w:r>
    </w:p>
    <w:p>
      <w:pPr>
        <w:jc w:val="both"/>
      </w:pPr>
      <w:r>
        <w:rPr>
          <w:rFonts w:ascii="Arial" w:hAnsi="Arial" w:cs="Arial"/>
          <w:sz w:val="22"/>
        </w:rPr>
        <w:t>Si la iniciativa afecta gastos o ingresos presentes o futuros, deben cuantificarse y valorarse sus repercusiones, subordinándose a estabilidad y sostenibilidad financiera.</w:t>
      </w:r>
    </w:p>
    <w:p>
      <w:pPr>
        <w:jc w:val="both"/>
      </w:pPr>
      <w:r>
        <w:rPr>
          <w:rFonts w:ascii="Arial" w:hAnsi="Arial" w:cs="Arial"/>
          <w:sz w:val="22"/>
        </w:rPr>
        <w:t>Los artículos 130 a 133 LPAC regulan evaluación, publicidad, planificación y participación. La STC 55/2018 obliga a atender a su encaje competencial; sus principios sustantivos enlazan con el artículo 9.3 CE y vinculan la calidad normativa.</w:t>
      </w:r>
    </w:p>
    <w:p>
      <w:pPr>
        <w:pStyle w:val="Heading1"/>
        <w:keepNext/>
      </w:pPr>
      <w:r>
        <w:rPr>
          <w:rFonts w:ascii="Arial" w:hAnsi="Arial" w:cs="Arial"/>
          <w:sz w:val="30"/>
        </w:rPr>
        <w:t>12. Control e invalidez del reglamento</w:t>
      </w:r>
    </w:p>
    <w:p>
      <w:pPr>
        <w:pStyle w:val="Heading2"/>
        <w:keepNext/>
      </w:pPr>
      <w:r>
        <w:rPr>
          <w:rFonts w:ascii="Arial" w:hAnsi="Arial" w:cs="Arial"/>
          <w:sz w:val="25"/>
        </w:rPr>
        <w:t>12.1. Nulidad de pleno derecho</w:t>
      </w:r>
    </w:p>
    <w:p>
      <w:pPr>
        <w:jc w:val="both"/>
      </w:pPr>
      <w:r>
        <w:rPr>
          <w:rFonts w:ascii="Arial" w:hAnsi="Arial" w:cs="Arial"/>
          <w:sz w:val="22"/>
        </w:rPr>
        <w:t>El artículo 47.2 LPAC declara nulas las disposiciones administrativas que:</w:t>
      </w:r>
    </w:p>
    <w:p>
      <w:pPr>
        <w:spacing w:after="40"/>
        <w:ind w:left="369" w:hanging="227"/>
      </w:pPr>
      <w:r>
        <w:rPr>
          <w:rFonts w:ascii="Arial" w:hAnsi="Arial" w:cs="Arial"/>
          <w:sz w:val="22"/>
        </w:rPr>
        <w:t>1. vulneren Constitución, leyes u otras disposiciones superiores;</w:t>
      </w:r>
    </w:p>
    <w:p>
      <w:pPr>
        <w:spacing w:after="40"/>
        <w:ind w:left="369" w:hanging="227"/>
      </w:pPr>
      <w:r>
        <w:rPr>
          <w:rFonts w:ascii="Arial" w:hAnsi="Arial" w:cs="Arial"/>
          <w:sz w:val="22"/>
        </w:rPr>
        <w:t>2. regulen materias reservadas a ley;</w:t>
      </w:r>
    </w:p>
    <w:p>
      <w:pPr>
        <w:spacing w:after="40"/>
        <w:ind w:left="369" w:hanging="227"/>
      </w:pPr>
      <w:r>
        <w:rPr>
          <w:rFonts w:ascii="Arial" w:hAnsi="Arial" w:cs="Arial"/>
          <w:sz w:val="22"/>
        </w:rPr>
        <w:t>3. establezcan retroactividad sancionadora no favorable o restrictiva de derechos individuales.</w:t>
      </w:r>
    </w:p>
    <w:p>
      <w:pPr>
        <w:jc w:val="both"/>
      </w:pPr>
      <w:r>
        <w:rPr>
          <w:rFonts w:ascii="Arial" w:hAnsi="Arial" w:cs="Arial"/>
          <w:sz w:val="22"/>
        </w:rPr>
        <w:t>A diferencia del acto, para el que existen nulidad y anulabilidad, la disposición ilegal queda sometida al régimen de nulidad. No cabe convalidar el reglamento nulo como se convalida cierto acto anulable; debe dictarse una norma válida siguiendo procedimiento.</w:t>
      </w:r>
    </w:p>
    <w:p>
      <w:pPr>
        <w:pStyle w:val="Heading2"/>
        <w:keepNext/>
      </w:pPr>
      <w:r>
        <w:rPr>
          <w:rFonts w:ascii="Arial" w:hAnsi="Arial" w:cs="Arial"/>
          <w:sz w:val="25"/>
        </w:rPr>
        <w:t>12.2. Revisión administrativa</w:t>
      </w:r>
    </w:p>
    <w:p>
      <w:pPr>
        <w:jc w:val="both"/>
      </w:pPr>
      <w:r>
        <w:rPr>
          <w:rFonts w:ascii="Arial" w:hAnsi="Arial" w:cs="Arial"/>
          <w:sz w:val="22"/>
        </w:rPr>
        <w:t>El artículo 106.2 LPAC permite a la Administración declarar de oficio la nulidad de sus disposiciones, en cualquier momento, previo dictamen favorable del Consejo de Estado u órgano consultivo autonómico equivalente. La revisión es una garantía, no una potestad para eludir el control judicial.</w:t>
      </w:r>
    </w:p>
    <w:p>
      <w:pPr>
        <w:jc w:val="both"/>
      </w:pPr>
      <w:r>
        <w:rPr>
          <w:rFonts w:ascii="Arial" w:hAnsi="Arial" w:cs="Arial"/>
          <w:sz w:val="22"/>
        </w:rPr>
        <w:t>No cabe recurso administrativo contra disposiciones generales. Los recursos contra un acto fundados únicamente en la nulidad de una disposición pueden interponerse directamente ante el órgano que dictó esta, según el régimen especial del artículo 112.3 LPAC.</w:t>
      </w:r>
    </w:p>
    <w:p>
      <w:pPr>
        <w:pStyle w:val="Heading2"/>
        <w:keepNext/>
      </w:pPr>
      <w:r>
        <w:rPr>
          <w:rFonts w:ascii="Arial" w:hAnsi="Arial" w:cs="Arial"/>
          <w:sz w:val="25"/>
        </w:rPr>
        <w:t>12.3. Control judicial</w:t>
      </w:r>
    </w:p>
    <w:p>
      <w:pPr>
        <w:jc w:val="both"/>
      </w:pPr>
      <w:r>
        <w:rPr>
          <w:rFonts w:ascii="Arial" w:hAnsi="Arial" w:cs="Arial"/>
          <w:sz w:val="22"/>
        </w:rPr>
        <w:t>El artículo 106.1 CE atribuye a los tribunales el control de la potestad reglamentaria, legalidad y sometimiento a fines. El artículo 6 LOPJ ordena no aplicar reglamentos contrarios a Constitución, ley o jerarquía.</w:t>
      </w:r>
    </w:p>
    <w:p>
      <w:pPr>
        <w:jc w:val="both"/>
      </w:pPr>
      <w:r>
        <w:rPr>
          <w:rFonts w:ascii="Arial" w:hAnsi="Arial" w:cs="Arial"/>
          <w:sz w:val="22"/>
        </w:rPr>
        <w:t>La LJCA articula:</w:t>
      </w:r>
    </w:p>
    <w:p>
      <w:pPr>
        <w:pStyle w:val="ListBullet"/>
      </w:pPr>
      <w:r>
        <w:rPr>
          <w:rFonts w:ascii="Arial" w:hAnsi="Arial" w:cs="Arial"/>
          <w:sz w:val="22"/>
        </w:rPr>
        <w:t>recurso directo contra la disposición;</w:t>
      </w:r>
    </w:p>
    <w:p>
      <w:pPr>
        <w:pStyle w:val="ListBullet"/>
      </w:pPr>
      <w:r>
        <w:rPr>
          <w:rFonts w:ascii="Arial" w:hAnsi="Arial" w:cs="Arial"/>
          <w:sz w:val="22"/>
        </w:rPr>
        <w:t>recurso indirecto contra un acto de aplicación alegando ilegalidad del reglamento;</w:t>
      </w:r>
    </w:p>
    <w:p>
      <w:pPr>
        <w:pStyle w:val="ListBullet"/>
      </w:pPr>
      <w:r>
        <w:rPr>
          <w:rFonts w:ascii="Arial" w:hAnsi="Arial" w:cs="Arial"/>
          <w:sz w:val="22"/>
        </w:rPr>
        <w:t>cuestión de ilegalidad si el órgano que estima definitivamente el indirecto no es competente para anular la norma;</w:t>
      </w:r>
    </w:p>
    <w:p>
      <w:pPr>
        <w:pStyle w:val="ListBullet"/>
      </w:pPr>
      <w:r>
        <w:rPr>
          <w:rFonts w:ascii="Arial" w:hAnsi="Arial" w:cs="Arial"/>
          <w:sz w:val="22"/>
        </w:rPr>
        <w:t>anulación directa por el Tribunal Supremo cuando conoce del recurso en cualquier grado.</w:t>
      </w:r>
    </w:p>
    <w:p>
      <w:pPr>
        <w:jc w:val="both"/>
      </w:pPr>
      <w:r>
        <w:rPr>
          <w:rFonts w:ascii="Arial" w:hAnsi="Arial" w:cs="Arial"/>
          <w:sz w:val="22"/>
        </w:rPr>
        <w:t>No impugnar directamente el reglamento o perder ese recurso no impide necesariamente combatir actos de aplicación por ilegalidad. La sentencia firme que anula una disposición produce efectos generales desde la publicación de su fallo y respeta, como regla, actos firmes anteriores, con la excepción legal de sanciones aún no ejecutadas completamente cuando la anulación suponga exclusión o reducción.</w:t>
      </w:r>
    </w:p>
    <w:p>
      <w:pPr>
        <w:pStyle w:val="Heading2"/>
        <w:keepNext/>
      </w:pPr>
      <w:r>
        <w:rPr>
          <w:rFonts w:ascii="Arial" w:hAnsi="Arial" w:cs="Arial"/>
          <w:sz w:val="25"/>
        </w:rPr>
        <w:t>12.4. Controles de las normas con fuerza de ley</w:t>
      </w:r>
    </w:p>
    <w:p>
      <w:pPr>
        <w:jc w:val="both"/>
      </w:pPr>
      <w:r>
        <w:rPr>
          <w:rFonts w:ascii="Arial" w:hAnsi="Arial" w:cs="Arial"/>
          <w:sz w:val="22"/>
        </w:rPr>
        <w:t>Decretos-leyes y decretos legislativos se controlan ante el Tribunal Constitucional. En el decreto-ley se examinan presupuesto habilitante, conexión, límites materiales y demás Constitución. En el decreto legislativo se examina delegación y constitucionalidad; el exceso de delegación admite además fiscalización contencioso-administrativa.</w:t>
      </w:r>
    </w:p>
    <w:p>
      <w:pPr>
        <w:jc w:val="both"/>
      </w:pPr>
      <w:r>
        <w:rPr>
          <w:rFonts w:ascii="Arial" w:hAnsi="Arial" w:cs="Arial"/>
          <w:sz w:val="22"/>
        </w:rPr>
        <w:t>El control político del decreto-ley corresponde al Congreso mediante convalidación o derogación. La consulta al Consejo de Estado, la MAIN, los informes técnicos y el control parlamentario son controles preventivos o políticos; no sustituyen al jurisdiccional.</w:t>
      </w:r>
    </w:p>
    <w:p>
      <w:pPr>
        <w:pStyle w:val="Heading1"/>
        <w:keepNext/>
      </w:pPr>
      <w:r>
        <w:rPr>
          <w:rFonts w:ascii="Arial" w:hAnsi="Arial" w:cs="Arial"/>
          <w:sz w:val="30"/>
        </w:rPr>
        <w:t>13. Los principios generales del Derecho</w:t>
      </w:r>
    </w:p>
    <w:p>
      <w:pPr>
        <w:pStyle w:val="Heading2"/>
        <w:keepNext/>
      </w:pPr>
      <w:r>
        <w:rPr>
          <w:rFonts w:ascii="Arial" w:hAnsi="Arial" w:cs="Arial"/>
          <w:sz w:val="25"/>
        </w:rPr>
        <w:t>13.1. Naturaleza y funciones</w:t>
      </w:r>
    </w:p>
    <w:p>
      <w:pPr>
        <w:jc w:val="both"/>
      </w:pPr>
      <w:r>
        <w:rPr>
          <w:rFonts w:ascii="Arial" w:hAnsi="Arial" w:cs="Arial"/>
          <w:sz w:val="22"/>
        </w:rPr>
        <w:t>El artículo 1.4 CC establece que los principios generales se aplican en defecto de ley o costumbre, sin perjuicio de su carácter informador. Son fuente subsidiaria, criterio interpretativo y parámetro de legalidad. Muchos están positivizados en Constitución y leyes, pero no pierden función estructural.</w:t>
      </w:r>
    </w:p>
    <w:p>
      <w:pPr>
        <w:jc w:val="both"/>
      </w:pPr>
      <w:r>
        <w:rPr>
          <w:rFonts w:ascii="Arial" w:hAnsi="Arial" w:cs="Arial"/>
          <w:sz w:val="22"/>
        </w:rPr>
        <w:t>Frente al reglamento actúan como límite directo. Frente a la ley orientan interpretación conforme y control constitucional cuando se expresan en principios constitucionales. No permiten a Administración o juez ignorar una regla legal inequívoca por mera preferencia valorativa.</w:t>
      </w:r>
    </w:p>
    <w:p>
      <w:pPr>
        <w:pStyle w:val="Heading2"/>
        <w:keepNext/>
      </w:pPr>
      <w:r>
        <w:rPr>
          <w:rFonts w:ascii="Arial" w:hAnsi="Arial" w:cs="Arial"/>
          <w:sz w:val="25"/>
        </w:rPr>
        <w:t>13.2. Principios principales</w:t>
      </w:r>
    </w:p>
    <w:p>
      <w:pPr>
        <w:jc w:val="both"/>
      </w:pPr>
      <w:r>
        <w:rPr>
          <w:rFonts w:ascii="Arial" w:hAnsi="Arial" w:cs="Arial"/>
          <w:b/>
          <w:sz w:val="22"/>
        </w:rPr>
        <w:t>Legalidad y juridicidad.</w:t>
      </w:r>
      <w:r>
        <w:rPr>
          <w:rFonts w:ascii="Arial" w:hAnsi="Arial" w:cs="Arial"/>
          <w:sz w:val="22"/>
        </w:rPr>
        <w:t xml:space="preserve"> El poder público actúa dentro de competencia y fines, sometido a ley y Derecho. La Administración no posee autonomía de voluntad equivalente a un particular.</w:t>
      </w:r>
    </w:p>
    <w:p>
      <w:pPr>
        <w:jc w:val="both"/>
      </w:pPr>
      <w:r>
        <w:rPr>
          <w:rFonts w:ascii="Arial" w:hAnsi="Arial" w:cs="Arial"/>
          <w:b/>
          <w:sz w:val="22"/>
        </w:rPr>
        <w:t>Jerarquía normativa.</w:t>
      </w:r>
      <w:r>
        <w:rPr>
          <w:rFonts w:ascii="Arial" w:hAnsi="Arial" w:cs="Arial"/>
          <w:sz w:val="22"/>
        </w:rPr>
        <w:t xml:space="preserve"> Garantiza coherencia vertical y prohíbe a la norma inferior contradecir la superior.</w:t>
      </w:r>
    </w:p>
    <w:p>
      <w:pPr>
        <w:jc w:val="both"/>
      </w:pPr>
      <w:r>
        <w:rPr>
          <w:rFonts w:ascii="Arial" w:hAnsi="Arial" w:cs="Arial"/>
          <w:b/>
          <w:sz w:val="22"/>
        </w:rPr>
        <w:t>Seguridad jurídica.</w:t>
      </w:r>
      <w:r>
        <w:rPr>
          <w:rFonts w:ascii="Arial" w:hAnsi="Arial" w:cs="Arial"/>
          <w:sz w:val="22"/>
        </w:rPr>
        <w:t xml:space="preserve"> Exige normas cognoscibles, claras y razonablemente previsibles. Se conecta con publicidad, irretroactividad y estabilidad, sin impedir reformas.</w:t>
      </w:r>
    </w:p>
    <w:p>
      <w:pPr>
        <w:jc w:val="both"/>
      </w:pPr>
      <w:r>
        <w:rPr>
          <w:rFonts w:ascii="Arial" w:hAnsi="Arial" w:cs="Arial"/>
          <w:b/>
          <w:sz w:val="22"/>
        </w:rPr>
        <w:t>Igualdad.</w:t>
      </w:r>
      <w:r>
        <w:rPr>
          <w:rFonts w:ascii="Arial" w:hAnsi="Arial" w:cs="Arial"/>
          <w:sz w:val="22"/>
        </w:rPr>
        <w:t xml:space="preserve"> Prohíbe diferencias carentes de justificación objetiva y razonable. También fundamenta la inderogabilidad singular.</w:t>
      </w:r>
    </w:p>
    <w:p>
      <w:pPr>
        <w:jc w:val="both"/>
      </w:pPr>
      <w:r>
        <w:rPr>
          <w:rFonts w:ascii="Arial" w:hAnsi="Arial" w:cs="Arial"/>
          <w:b/>
          <w:sz w:val="22"/>
        </w:rPr>
        <w:t>Interdicción de arbitrariedad.</w:t>
      </w:r>
      <w:r>
        <w:rPr>
          <w:rFonts w:ascii="Arial" w:hAnsi="Arial" w:cs="Arial"/>
          <w:sz w:val="22"/>
        </w:rPr>
        <w:t xml:space="preserve"> El artículo 9.3 CE impide decisiones sin fundamento objetivo. La discrecionalidad permite elegir entre alternativas legítimas; la arbitrariedad está prohibida.</w:t>
      </w:r>
    </w:p>
    <w:p>
      <w:pPr>
        <w:jc w:val="both"/>
      </w:pPr>
      <w:r>
        <w:rPr>
          <w:rFonts w:ascii="Arial" w:hAnsi="Arial" w:cs="Arial"/>
          <w:b/>
          <w:sz w:val="22"/>
        </w:rPr>
        <w:t>Proporcionalidad.</w:t>
      </w:r>
      <w:r>
        <w:rPr>
          <w:rFonts w:ascii="Arial" w:hAnsi="Arial" w:cs="Arial"/>
          <w:sz w:val="22"/>
        </w:rPr>
        <w:t xml:space="preserve"> Exige idoneidad, necesidad y ponderación. Una restricción válida persigue fin legítimo, no tiene alternativa menos lesiva igualmente eficaz y mantiene equilibrio entre beneficio y sacrificio.</w:t>
      </w:r>
    </w:p>
    <w:p>
      <w:pPr>
        <w:jc w:val="both"/>
      </w:pPr>
      <w:r>
        <w:rPr>
          <w:rFonts w:ascii="Arial" w:hAnsi="Arial" w:cs="Arial"/>
          <w:b/>
          <w:sz w:val="22"/>
        </w:rPr>
        <w:t>Buena fe y confianza legítima.</w:t>
      </w:r>
      <w:r>
        <w:rPr>
          <w:rFonts w:ascii="Arial" w:hAnsi="Arial" w:cs="Arial"/>
          <w:sz w:val="22"/>
        </w:rPr>
        <w:t xml:space="preserve"> Protegen expectativas razonables generadas por conductas públicas concluyentes. No convierten una ilegalidad en derecho ni congelan la norma; influyen en transición, motivación y proporcionalidad.</w:t>
      </w:r>
    </w:p>
    <w:p>
      <w:pPr>
        <w:jc w:val="both"/>
      </w:pPr>
      <w:r>
        <w:rPr>
          <w:rFonts w:ascii="Arial" w:hAnsi="Arial" w:cs="Arial"/>
          <w:b/>
          <w:sz w:val="22"/>
        </w:rPr>
        <w:t>Responsabilidad.</w:t>
      </w:r>
      <w:r>
        <w:rPr>
          <w:rFonts w:ascii="Arial" w:hAnsi="Arial" w:cs="Arial"/>
          <w:sz w:val="22"/>
        </w:rPr>
        <w:t xml:space="preserve"> Los poderes responden en los términos constitucionales y legales; complementa legalidad y evita que el daño antijurídico quede sin consecuencia.</w:t>
      </w:r>
    </w:p>
    <w:p>
      <w:pPr>
        <w:jc w:val="both"/>
      </w:pPr>
      <w:r>
        <w:rPr>
          <w:rFonts w:ascii="Arial" w:hAnsi="Arial" w:cs="Arial"/>
          <w:b/>
          <w:sz w:val="22"/>
        </w:rPr>
        <w:t>Eficacia y servicio al interés general.</w:t>
      </w:r>
      <w:r>
        <w:rPr>
          <w:rFonts w:ascii="Arial" w:hAnsi="Arial" w:cs="Arial"/>
          <w:sz w:val="22"/>
        </w:rPr>
        <w:t xml:space="preserve"> Orientan diseño y actuación administrativa, pero no permiten omitir garantías.</w:t>
      </w:r>
    </w:p>
    <w:p>
      <w:pPr>
        <w:jc w:val="both"/>
      </w:pPr>
      <w:r>
        <w:rPr>
          <w:rFonts w:ascii="Arial" w:hAnsi="Arial" w:cs="Arial"/>
          <w:b/>
          <w:sz w:val="22"/>
        </w:rPr>
        <w:t>Audiencia y defensa.</w:t>
      </w:r>
      <w:r>
        <w:rPr>
          <w:rFonts w:ascii="Arial" w:hAnsi="Arial" w:cs="Arial"/>
          <w:sz w:val="22"/>
        </w:rPr>
        <w:t xml:space="preserve"> Exigen posibilidad real de alegar cuando una decisión afecta derechos o intereses, con intensidad según procedimiento.</w:t>
      </w:r>
    </w:p>
    <w:p>
      <w:pPr>
        <w:pStyle w:val="Heading2"/>
        <w:keepNext/>
      </w:pPr>
      <w:r>
        <w:rPr>
          <w:rFonts w:ascii="Arial" w:hAnsi="Arial" w:cs="Arial"/>
          <w:sz w:val="25"/>
        </w:rPr>
        <w:t>13.3. Control de discrecionalidad</w:t>
      </w:r>
    </w:p>
    <w:p>
      <w:pPr>
        <w:jc w:val="both"/>
      </w:pPr>
      <w:r>
        <w:rPr>
          <w:rFonts w:ascii="Arial" w:hAnsi="Arial" w:cs="Arial"/>
          <w:sz w:val="22"/>
        </w:rPr>
        <w:t>Los principios son esenciales para controlar potestades discrecionales. El juez no sustituye una opción administrativa válida por la que considere mejor, pero controla competencia, hechos determinantes, procedimiento, fin, motivación, igualdad y proporcionalidad. La desviación de poder aparece cuando se usa una potestad para fines distintos de los fijados.</w:t>
      </w:r>
    </w:p>
    <w:p>
      <w:pPr>
        <w:jc w:val="both"/>
      </w:pPr>
      <w:r>
        <w:rPr>
          <w:rFonts w:ascii="Arial" w:hAnsi="Arial" w:cs="Arial"/>
          <w:sz w:val="22"/>
        </w:rPr>
        <w:t>La buena administración reúne exigencias de imparcialidad, diligencia, plazo razonable, motivación y trato objetivo. En Derecho de la Unión, el artículo 41 de la Carta la reconoce en su ámbito; en el orden interno sus componentes se extraen de Constitución, leyes y jurisprudencia.</w:t>
      </w:r>
    </w:p>
    <w:p>
      <w:pPr>
        <w:pStyle w:val="Heading1"/>
        <w:keepNext/>
      </w:pPr>
      <w:r>
        <w:rPr>
          <w:rFonts w:ascii="Arial" w:hAnsi="Arial" w:cs="Arial"/>
          <w:sz w:val="30"/>
        </w:rPr>
        <w:t>14. Tabla final de distinciones</w:t>
      </w:r>
    </w:p>
    <w:tbl>
      <w:tblPr>
        <w:tblStyle w:val="TableGrid"/>
        <w:tblW w:type="dxa" w:w="9026"/>
        <w:jc w:val="left"/>
        <w:tblLayout w:type="fixed"/>
        <w:tblLook w:firstColumn="1" w:firstRow="1" w:lastColumn="0" w:lastRow="0" w:noHBand="0" w:noVBand="1" w:val="04A0"/>
        <w:tblInd w:w="120" w:type="dxa"/>
      </w:tblPr>
      <w:tblGrid>
        <w:gridCol w:w="1485"/>
        <w:gridCol w:w="1960"/>
        <w:gridCol w:w="2553"/>
        <w:gridCol w:w="1069"/>
        <w:gridCol w:w="1959"/>
      </w:tblGrid>
      <w:tr>
        <w:trPr>
          <w:tblHeader w:val="true"/>
        </w:trPr>
        <w:tc>
          <w:tcPr>
            <w:tcW w:type="dxa" w:w="148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196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Quién la aprueba</w:t>
            </w:r>
          </w:p>
        </w:tc>
        <w:tc>
          <w:tcPr>
            <w:tcW w:type="dxa" w:w="2553"/>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Presupuesto</w:t>
            </w:r>
          </w:p>
        </w:tc>
        <w:tc>
          <w:tcPr>
            <w:tcW w:type="dxa" w:w="106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Rango</w:t>
            </w:r>
          </w:p>
        </w:tc>
        <w:tc>
          <w:tcPr>
            <w:tcW w:type="dxa" w:w="1959"/>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Control central</w:t>
            </w:r>
          </w:p>
        </w:tc>
      </w:tr>
      <w:tr>
        <w:tc>
          <w:tcPr>
            <w:tcW w:type="dxa" w:w="1485"/>
            <w:tcMar>
              <w:top w:w="80" w:type="dxa"/>
              <w:start w:w="120" w:type="dxa"/>
              <w:bottom w:w="80" w:type="dxa"/>
              <w:end w:w="120" w:type="dxa"/>
            </w:tcMar>
            <w:vAlign w:val="center"/>
          </w:tcPr>
          <w:p>
            <w:pPr>
              <w:spacing w:before="0" w:after="0" w:line="240" w:lineRule="auto"/>
              <w:jc w:val="left"/>
            </w:pPr>
            <w:r/>
            <w:r>
              <w:rPr>
                <w:rFonts w:ascii="Arial" w:hAnsi="Arial" w:cs="Arial"/>
                <w:sz w:val="18"/>
              </w:rPr>
              <w:t>Ley orgánica</w:t>
            </w:r>
          </w:p>
        </w:tc>
        <w:tc>
          <w:tcPr>
            <w:tcW w:type="dxa" w:w="1960"/>
            <w:tcMar>
              <w:top w:w="80" w:type="dxa"/>
              <w:start w:w="120" w:type="dxa"/>
              <w:bottom w:w="80" w:type="dxa"/>
              <w:end w:w="120" w:type="dxa"/>
            </w:tcMar>
            <w:vAlign w:val="center"/>
          </w:tcPr>
          <w:p>
            <w:pPr>
              <w:spacing w:before="0" w:after="0" w:line="240" w:lineRule="auto"/>
              <w:jc w:val="center"/>
            </w:pPr>
            <w:r/>
            <w:r>
              <w:rPr>
                <w:rFonts w:ascii="Arial" w:hAnsi="Arial" w:cs="Arial"/>
                <w:sz w:val="18"/>
              </w:rPr>
              <w:t>Cortes</w:t>
            </w:r>
          </w:p>
        </w:tc>
        <w:tc>
          <w:tcPr>
            <w:tcW w:type="dxa" w:w="2553"/>
            <w:tcMar>
              <w:top w:w="80" w:type="dxa"/>
              <w:start w:w="120" w:type="dxa"/>
              <w:bottom w:w="80" w:type="dxa"/>
              <w:end w:w="120" w:type="dxa"/>
            </w:tcMar>
            <w:vAlign w:val="center"/>
          </w:tcPr>
          <w:p>
            <w:pPr>
              <w:spacing w:before="0" w:after="0" w:line="240" w:lineRule="auto"/>
              <w:jc w:val="left"/>
            </w:pPr>
            <w:r/>
            <w:r>
              <w:rPr>
                <w:rFonts w:ascii="Arial" w:hAnsi="Arial" w:cs="Arial"/>
                <w:sz w:val="18"/>
              </w:rPr>
              <w:t>Materia art. 81; mayoría absoluta final del Congreso</w:t>
            </w:r>
          </w:p>
        </w:tc>
        <w:tc>
          <w:tcPr>
            <w:tcW w:type="dxa" w:w="1069"/>
            <w:tcMar>
              <w:top w:w="80" w:type="dxa"/>
              <w:start w:w="120" w:type="dxa"/>
              <w:bottom w:w="80" w:type="dxa"/>
              <w:end w:w="120" w:type="dxa"/>
            </w:tcMar>
            <w:vAlign w:val="center"/>
          </w:tcPr>
          <w:p>
            <w:pPr>
              <w:spacing w:before="0" w:after="0" w:line="240" w:lineRule="auto"/>
              <w:jc w:val="center"/>
            </w:pPr>
            <w:r/>
            <w:r>
              <w:rPr>
                <w:rFonts w:ascii="Arial" w:hAnsi="Arial" w:cs="Arial"/>
                <w:sz w:val="18"/>
              </w:rPr>
              <w:t>Ley</w:t>
            </w:r>
          </w:p>
        </w:tc>
        <w:tc>
          <w:tcPr>
            <w:tcW w:type="dxa" w:w="1959"/>
            <w:tcMar>
              <w:top w:w="80" w:type="dxa"/>
              <w:start w:w="120" w:type="dxa"/>
              <w:bottom w:w="80" w:type="dxa"/>
              <w:end w:w="120" w:type="dxa"/>
            </w:tcMar>
            <w:vAlign w:val="center"/>
          </w:tcPr>
          <w:p>
            <w:pPr>
              <w:spacing w:before="0" w:after="0" w:line="240" w:lineRule="auto"/>
              <w:jc w:val="left"/>
            </w:pPr>
            <w:r/>
            <w:r>
              <w:rPr>
                <w:rFonts w:ascii="Arial" w:hAnsi="Arial" w:cs="Arial"/>
                <w:sz w:val="18"/>
              </w:rPr>
              <w:t>Tribunal Constitucional</w:t>
            </w:r>
          </w:p>
        </w:tc>
      </w:tr>
      <w:tr>
        <w:tc>
          <w:tcPr>
            <w:tcW w:type="dxa" w:w="1485"/>
            <w:tcMar>
              <w:top w:w="80" w:type="dxa"/>
              <w:start w:w="120" w:type="dxa"/>
              <w:bottom w:w="80" w:type="dxa"/>
              <w:end w:w="120" w:type="dxa"/>
            </w:tcMar>
            <w:vAlign w:val="center"/>
          </w:tcPr>
          <w:p>
            <w:pPr>
              <w:spacing w:before="0" w:after="0" w:line="240" w:lineRule="auto"/>
              <w:jc w:val="left"/>
            </w:pPr>
            <w:r/>
            <w:r>
              <w:rPr>
                <w:rFonts w:ascii="Arial" w:hAnsi="Arial" w:cs="Arial"/>
                <w:sz w:val="18"/>
              </w:rPr>
              <w:t>Ley ordinaria</w:t>
            </w:r>
          </w:p>
        </w:tc>
        <w:tc>
          <w:tcPr>
            <w:tcW w:type="dxa" w:w="1960"/>
            <w:tcMar>
              <w:top w:w="80" w:type="dxa"/>
              <w:start w:w="120" w:type="dxa"/>
              <w:bottom w:w="80" w:type="dxa"/>
              <w:end w:w="120" w:type="dxa"/>
            </w:tcMar>
            <w:vAlign w:val="center"/>
          </w:tcPr>
          <w:p>
            <w:pPr>
              <w:spacing w:before="0" w:after="0" w:line="240" w:lineRule="auto"/>
              <w:jc w:val="center"/>
            </w:pPr>
            <w:r/>
            <w:r>
              <w:rPr>
                <w:rFonts w:ascii="Arial" w:hAnsi="Arial" w:cs="Arial"/>
                <w:sz w:val="18"/>
              </w:rPr>
              <w:t>Cortes</w:t>
            </w:r>
          </w:p>
        </w:tc>
        <w:tc>
          <w:tcPr>
            <w:tcW w:type="dxa" w:w="2553"/>
            <w:tcMar>
              <w:top w:w="80" w:type="dxa"/>
              <w:start w:w="120" w:type="dxa"/>
              <w:bottom w:w="80" w:type="dxa"/>
              <w:end w:w="120" w:type="dxa"/>
            </w:tcMar>
            <w:vAlign w:val="center"/>
          </w:tcPr>
          <w:p>
            <w:pPr>
              <w:spacing w:before="0" w:after="0" w:line="240" w:lineRule="auto"/>
              <w:jc w:val="left"/>
            </w:pPr>
            <w:r/>
            <w:r>
              <w:rPr>
                <w:rFonts w:ascii="Arial" w:hAnsi="Arial" w:cs="Arial"/>
                <w:sz w:val="18"/>
              </w:rPr>
              <w:t>Procedimiento legislativo</w:t>
            </w:r>
          </w:p>
        </w:tc>
        <w:tc>
          <w:tcPr>
            <w:tcW w:type="dxa" w:w="1069"/>
            <w:tcMar>
              <w:top w:w="80" w:type="dxa"/>
              <w:start w:w="120" w:type="dxa"/>
              <w:bottom w:w="80" w:type="dxa"/>
              <w:end w:w="120" w:type="dxa"/>
            </w:tcMar>
            <w:vAlign w:val="center"/>
          </w:tcPr>
          <w:p>
            <w:pPr>
              <w:spacing w:before="0" w:after="0" w:line="240" w:lineRule="auto"/>
              <w:jc w:val="center"/>
            </w:pPr>
            <w:r/>
            <w:r>
              <w:rPr>
                <w:rFonts w:ascii="Arial" w:hAnsi="Arial" w:cs="Arial"/>
                <w:sz w:val="18"/>
              </w:rPr>
              <w:t>Ley</w:t>
            </w:r>
          </w:p>
        </w:tc>
        <w:tc>
          <w:tcPr>
            <w:tcW w:type="dxa" w:w="1959"/>
            <w:tcMar>
              <w:top w:w="80" w:type="dxa"/>
              <w:start w:w="120" w:type="dxa"/>
              <w:bottom w:w="80" w:type="dxa"/>
              <w:end w:w="120" w:type="dxa"/>
            </w:tcMar>
            <w:vAlign w:val="center"/>
          </w:tcPr>
          <w:p>
            <w:pPr>
              <w:spacing w:before="0" w:after="0" w:line="240" w:lineRule="auto"/>
              <w:jc w:val="left"/>
            </w:pPr>
            <w:r/>
            <w:r>
              <w:rPr>
                <w:rFonts w:ascii="Arial" w:hAnsi="Arial" w:cs="Arial"/>
                <w:sz w:val="18"/>
              </w:rPr>
              <w:t>Tribunal Constitucional</w:t>
            </w:r>
          </w:p>
        </w:tc>
      </w:tr>
      <w:tr>
        <w:tc>
          <w:tcPr>
            <w:tcW w:type="dxa" w:w="1485"/>
            <w:tcMar>
              <w:top w:w="80" w:type="dxa"/>
              <w:start w:w="120" w:type="dxa"/>
              <w:bottom w:w="80" w:type="dxa"/>
              <w:end w:w="120" w:type="dxa"/>
            </w:tcMar>
            <w:vAlign w:val="center"/>
          </w:tcPr>
          <w:p>
            <w:pPr>
              <w:spacing w:before="0" w:after="0" w:line="240" w:lineRule="auto"/>
              <w:jc w:val="left"/>
            </w:pPr>
            <w:r/>
            <w:r>
              <w:rPr>
                <w:rFonts w:ascii="Arial" w:hAnsi="Arial" w:cs="Arial"/>
                <w:sz w:val="18"/>
              </w:rPr>
              <w:t>Ley autonómica</w:t>
            </w:r>
          </w:p>
        </w:tc>
        <w:tc>
          <w:tcPr>
            <w:tcW w:type="dxa" w:w="1960"/>
            <w:tcMar>
              <w:top w:w="80" w:type="dxa"/>
              <w:start w:w="120" w:type="dxa"/>
              <w:bottom w:w="80" w:type="dxa"/>
              <w:end w:w="120" w:type="dxa"/>
            </w:tcMar>
            <w:vAlign w:val="center"/>
          </w:tcPr>
          <w:p>
            <w:pPr>
              <w:spacing w:before="0" w:after="0" w:line="240" w:lineRule="auto"/>
              <w:jc w:val="left"/>
            </w:pPr>
            <w:r/>
            <w:r>
              <w:rPr>
                <w:rFonts w:ascii="Arial" w:hAnsi="Arial" w:cs="Arial"/>
                <w:sz w:val="18"/>
              </w:rPr>
              <w:t>Asamblea autonómica</w:t>
            </w:r>
          </w:p>
        </w:tc>
        <w:tc>
          <w:tcPr>
            <w:tcW w:type="dxa" w:w="2553"/>
            <w:tcMar>
              <w:top w:w="80" w:type="dxa"/>
              <w:start w:w="120" w:type="dxa"/>
              <w:bottom w:w="80" w:type="dxa"/>
              <w:end w:w="120" w:type="dxa"/>
            </w:tcMar>
            <w:vAlign w:val="center"/>
          </w:tcPr>
          <w:p>
            <w:pPr>
              <w:spacing w:before="0" w:after="0" w:line="240" w:lineRule="auto"/>
              <w:jc w:val="left"/>
            </w:pPr>
            <w:r/>
            <w:r>
              <w:rPr>
                <w:rFonts w:ascii="Arial" w:hAnsi="Arial" w:cs="Arial"/>
                <w:sz w:val="18"/>
              </w:rPr>
              <w:t>Competencia estatutaria</w:t>
            </w:r>
          </w:p>
        </w:tc>
        <w:tc>
          <w:tcPr>
            <w:tcW w:type="dxa" w:w="1069"/>
            <w:tcMar>
              <w:top w:w="80" w:type="dxa"/>
              <w:start w:w="120" w:type="dxa"/>
              <w:bottom w:w="80" w:type="dxa"/>
              <w:end w:w="120" w:type="dxa"/>
            </w:tcMar>
            <w:vAlign w:val="center"/>
          </w:tcPr>
          <w:p>
            <w:pPr>
              <w:spacing w:before="0" w:after="0" w:line="240" w:lineRule="auto"/>
              <w:jc w:val="center"/>
            </w:pPr>
            <w:r/>
            <w:r>
              <w:rPr>
                <w:rFonts w:ascii="Arial" w:hAnsi="Arial" w:cs="Arial"/>
                <w:sz w:val="18"/>
              </w:rPr>
              <w:t>Ley</w:t>
            </w:r>
          </w:p>
        </w:tc>
        <w:tc>
          <w:tcPr>
            <w:tcW w:type="dxa" w:w="1959"/>
            <w:tcMar>
              <w:top w:w="80" w:type="dxa"/>
              <w:start w:w="120" w:type="dxa"/>
              <w:bottom w:w="80" w:type="dxa"/>
              <w:end w:w="120" w:type="dxa"/>
            </w:tcMar>
            <w:vAlign w:val="center"/>
          </w:tcPr>
          <w:p>
            <w:pPr>
              <w:spacing w:before="0" w:after="0" w:line="240" w:lineRule="auto"/>
              <w:jc w:val="left"/>
            </w:pPr>
            <w:r/>
            <w:r>
              <w:rPr>
                <w:rFonts w:ascii="Arial" w:hAnsi="Arial" w:cs="Arial"/>
                <w:sz w:val="18"/>
              </w:rPr>
              <w:t>Tribunal Constitucional</w:t>
            </w:r>
          </w:p>
        </w:tc>
      </w:tr>
      <w:tr>
        <w:tc>
          <w:tcPr>
            <w:tcW w:type="dxa" w:w="148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decreto-ley</w:t>
            </w:r>
          </w:p>
        </w:tc>
        <w:tc>
          <w:tcPr>
            <w:tcW w:type="dxa" w:w="1960"/>
            <w:tcMar>
              <w:top w:w="80" w:type="dxa"/>
              <w:start w:w="120" w:type="dxa"/>
              <w:bottom w:w="80" w:type="dxa"/>
              <w:end w:w="120" w:type="dxa"/>
            </w:tcMar>
            <w:vAlign w:val="center"/>
          </w:tcPr>
          <w:p>
            <w:pPr>
              <w:spacing w:before="0" w:after="0" w:line="240" w:lineRule="auto"/>
              <w:jc w:val="center"/>
            </w:pPr>
            <w:r/>
            <w:r>
              <w:rPr>
                <w:rFonts w:ascii="Arial" w:hAnsi="Arial" w:cs="Arial"/>
                <w:sz w:val="18"/>
              </w:rPr>
              <w:t>Gobierno</w:t>
            </w:r>
          </w:p>
        </w:tc>
        <w:tc>
          <w:tcPr>
            <w:tcW w:type="dxa" w:w="2553"/>
            <w:tcMar>
              <w:top w:w="80" w:type="dxa"/>
              <w:start w:w="120" w:type="dxa"/>
              <w:bottom w:w="80" w:type="dxa"/>
              <w:end w:w="120" w:type="dxa"/>
            </w:tcMar>
            <w:vAlign w:val="center"/>
          </w:tcPr>
          <w:p>
            <w:pPr>
              <w:spacing w:before="0" w:after="0" w:line="240" w:lineRule="auto"/>
              <w:jc w:val="left"/>
            </w:pPr>
            <w:r/>
            <w:r>
              <w:rPr>
                <w:rFonts w:ascii="Arial" w:hAnsi="Arial" w:cs="Arial"/>
                <w:sz w:val="18"/>
              </w:rPr>
              <w:t>Extraordinaria y urgente necesidad</w:t>
            </w:r>
          </w:p>
        </w:tc>
        <w:tc>
          <w:tcPr>
            <w:tcW w:type="dxa" w:w="1069"/>
            <w:tcMar>
              <w:top w:w="80" w:type="dxa"/>
              <w:start w:w="120" w:type="dxa"/>
              <w:bottom w:w="80" w:type="dxa"/>
              <w:end w:w="120" w:type="dxa"/>
            </w:tcMar>
            <w:vAlign w:val="center"/>
          </w:tcPr>
          <w:p>
            <w:pPr>
              <w:spacing w:before="0" w:after="0" w:line="240" w:lineRule="auto"/>
              <w:jc w:val="center"/>
            </w:pPr>
            <w:r/>
            <w:r>
              <w:rPr>
                <w:rFonts w:ascii="Arial" w:hAnsi="Arial" w:cs="Arial"/>
                <w:sz w:val="18"/>
              </w:rPr>
              <w:t>Ley</w:t>
            </w:r>
          </w:p>
        </w:tc>
        <w:tc>
          <w:tcPr>
            <w:tcW w:type="dxa" w:w="1959"/>
            <w:tcMar>
              <w:top w:w="80" w:type="dxa"/>
              <w:start w:w="120" w:type="dxa"/>
              <w:bottom w:w="80" w:type="dxa"/>
              <w:end w:w="120" w:type="dxa"/>
            </w:tcMar>
            <w:vAlign w:val="center"/>
          </w:tcPr>
          <w:p>
            <w:pPr>
              <w:spacing w:before="0" w:after="0" w:line="240" w:lineRule="auto"/>
              <w:jc w:val="left"/>
            </w:pPr>
            <w:r/>
            <w:r>
              <w:rPr>
                <w:rFonts w:ascii="Arial" w:hAnsi="Arial" w:cs="Arial"/>
                <w:sz w:val="18"/>
              </w:rPr>
              <w:t>Congreso en 30 días + TC</w:t>
            </w:r>
          </w:p>
        </w:tc>
      </w:tr>
      <w:tr>
        <w:tc>
          <w:tcPr>
            <w:tcW w:type="dxa" w:w="148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legislativo</w:t>
            </w:r>
          </w:p>
        </w:tc>
        <w:tc>
          <w:tcPr>
            <w:tcW w:type="dxa" w:w="1960"/>
            <w:tcMar>
              <w:top w:w="80" w:type="dxa"/>
              <w:start w:w="120" w:type="dxa"/>
              <w:bottom w:w="80" w:type="dxa"/>
              <w:end w:w="120" w:type="dxa"/>
            </w:tcMar>
            <w:vAlign w:val="center"/>
          </w:tcPr>
          <w:p>
            <w:pPr>
              <w:spacing w:before="0" w:after="0" w:line="240" w:lineRule="auto"/>
              <w:jc w:val="center"/>
            </w:pPr>
            <w:r/>
            <w:r>
              <w:rPr>
                <w:rFonts w:ascii="Arial" w:hAnsi="Arial" w:cs="Arial"/>
                <w:sz w:val="18"/>
              </w:rPr>
              <w:t>Gobierno</w:t>
            </w:r>
          </w:p>
        </w:tc>
        <w:tc>
          <w:tcPr>
            <w:tcW w:type="dxa" w:w="2553"/>
            <w:tcMar>
              <w:top w:w="80" w:type="dxa"/>
              <w:start w:w="120" w:type="dxa"/>
              <w:bottom w:w="80" w:type="dxa"/>
              <w:end w:w="120" w:type="dxa"/>
            </w:tcMar>
            <w:vAlign w:val="center"/>
          </w:tcPr>
          <w:p>
            <w:pPr>
              <w:spacing w:before="0" w:after="0" w:line="240" w:lineRule="auto"/>
              <w:jc w:val="left"/>
            </w:pPr>
            <w:r/>
            <w:r>
              <w:rPr>
                <w:rFonts w:ascii="Arial" w:hAnsi="Arial" w:cs="Arial"/>
                <w:sz w:val="18"/>
              </w:rPr>
              <w:t>Delegación expresa y concreta</w:t>
            </w:r>
          </w:p>
        </w:tc>
        <w:tc>
          <w:tcPr>
            <w:tcW w:type="dxa" w:w="1069"/>
            <w:tcMar>
              <w:top w:w="80" w:type="dxa"/>
              <w:start w:w="120" w:type="dxa"/>
              <w:bottom w:w="80" w:type="dxa"/>
              <w:end w:w="120" w:type="dxa"/>
            </w:tcMar>
            <w:vAlign w:val="center"/>
          </w:tcPr>
          <w:p>
            <w:pPr>
              <w:spacing w:before="0" w:after="0" w:line="240" w:lineRule="auto"/>
              <w:jc w:val="center"/>
            </w:pPr>
            <w:r/>
            <w:r>
              <w:rPr>
                <w:rFonts w:ascii="Arial" w:hAnsi="Arial" w:cs="Arial"/>
                <w:sz w:val="18"/>
              </w:rPr>
              <w:t>Ley</w:t>
            </w:r>
          </w:p>
        </w:tc>
        <w:tc>
          <w:tcPr>
            <w:tcW w:type="dxa" w:w="1959"/>
            <w:tcMar>
              <w:top w:w="80" w:type="dxa"/>
              <w:start w:w="120" w:type="dxa"/>
              <w:bottom w:w="80" w:type="dxa"/>
              <w:end w:w="120" w:type="dxa"/>
            </w:tcMar>
            <w:vAlign w:val="center"/>
          </w:tcPr>
          <w:p>
            <w:pPr>
              <w:spacing w:before="0" w:after="0" w:line="240" w:lineRule="auto"/>
              <w:jc w:val="left"/>
            </w:pPr>
            <w:r/>
            <w:r>
              <w:rPr>
                <w:rFonts w:ascii="Arial" w:hAnsi="Arial" w:cs="Arial"/>
                <w:sz w:val="18"/>
              </w:rPr>
              <w:t>TC + exceso ante jurisdicción ordinaria</w:t>
            </w:r>
          </w:p>
        </w:tc>
      </w:tr>
      <w:tr>
        <w:tc>
          <w:tcPr>
            <w:tcW w:type="dxa" w:w="1485"/>
            <w:tcMar>
              <w:top w:w="80" w:type="dxa"/>
              <w:start w:w="120" w:type="dxa"/>
              <w:bottom w:w="80" w:type="dxa"/>
              <w:end w:w="120" w:type="dxa"/>
            </w:tcMar>
            <w:vAlign w:val="center"/>
          </w:tcPr>
          <w:p>
            <w:pPr>
              <w:spacing w:before="0" w:after="0" w:line="240" w:lineRule="auto"/>
              <w:jc w:val="left"/>
            </w:pPr>
            <w:r/>
            <w:r>
              <w:rPr>
                <w:rFonts w:ascii="Arial" w:hAnsi="Arial" w:cs="Arial"/>
                <w:sz w:val="18"/>
              </w:rPr>
              <w:t>Real decreto reglamentario</w:t>
            </w:r>
          </w:p>
        </w:tc>
        <w:tc>
          <w:tcPr>
            <w:tcW w:type="dxa" w:w="1960"/>
            <w:tcMar>
              <w:top w:w="80" w:type="dxa"/>
              <w:start w:w="120" w:type="dxa"/>
              <w:bottom w:w="80" w:type="dxa"/>
              <w:end w:w="120" w:type="dxa"/>
            </w:tcMar>
            <w:vAlign w:val="center"/>
          </w:tcPr>
          <w:p>
            <w:pPr>
              <w:spacing w:before="0" w:after="0" w:line="240" w:lineRule="auto"/>
              <w:jc w:val="left"/>
            </w:pPr>
            <w:r/>
            <w:r>
              <w:rPr>
                <w:rFonts w:ascii="Arial" w:hAnsi="Arial" w:cs="Arial"/>
                <w:sz w:val="18"/>
              </w:rPr>
              <w:t>Presidente/Consejo según competencia</w:t>
            </w:r>
          </w:p>
        </w:tc>
        <w:tc>
          <w:tcPr>
            <w:tcW w:type="dxa" w:w="2553"/>
            <w:tcMar>
              <w:top w:w="80" w:type="dxa"/>
              <w:start w:w="120" w:type="dxa"/>
              <w:bottom w:w="80" w:type="dxa"/>
              <w:end w:w="120" w:type="dxa"/>
            </w:tcMar>
            <w:vAlign w:val="center"/>
          </w:tcPr>
          <w:p>
            <w:pPr>
              <w:spacing w:before="0" w:after="0" w:line="240" w:lineRule="auto"/>
              <w:jc w:val="left"/>
            </w:pPr>
            <w:r/>
            <w:r>
              <w:rPr>
                <w:rFonts w:ascii="Arial" w:hAnsi="Arial" w:cs="Arial"/>
                <w:sz w:val="18"/>
              </w:rPr>
              <w:t>Potestad reglamentaria</w:t>
            </w:r>
          </w:p>
        </w:tc>
        <w:tc>
          <w:tcPr>
            <w:tcW w:type="dxa" w:w="1069"/>
            <w:tcMar>
              <w:top w:w="80" w:type="dxa"/>
              <w:start w:w="120" w:type="dxa"/>
              <w:bottom w:w="80" w:type="dxa"/>
              <w:end w:w="120" w:type="dxa"/>
            </w:tcMar>
            <w:vAlign w:val="center"/>
          </w:tcPr>
          <w:p>
            <w:pPr>
              <w:spacing w:before="0" w:after="0" w:line="240" w:lineRule="auto"/>
              <w:jc w:val="center"/>
            </w:pPr>
            <w:r/>
            <w:r>
              <w:rPr>
                <w:rFonts w:ascii="Arial" w:hAnsi="Arial" w:cs="Arial"/>
                <w:sz w:val="18"/>
              </w:rPr>
              <w:t>Reglamento</w:t>
            </w:r>
          </w:p>
        </w:tc>
        <w:tc>
          <w:tcPr>
            <w:tcW w:type="dxa" w:w="1959"/>
            <w:tcMar>
              <w:top w:w="80" w:type="dxa"/>
              <w:start w:w="120" w:type="dxa"/>
              <w:bottom w:w="80" w:type="dxa"/>
              <w:end w:w="120" w:type="dxa"/>
            </w:tcMar>
            <w:vAlign w:val="center"/>
          </w:tcPr>
          <w:p>
            <w:pPr>
              <w:spacing w:before="0" w:after="0" w:line="240" w:lineRule="auto"/>
              <w:jc w:val="left"/>
            </w:pPr>
            <w:r/>
            <w:r>
              <w:rPr>
                <w:rFonts w:ascii="Arial" w:hAnsi="Arial" w:cs="Arial"/>
                <w:sz w:val="18"/>
              </w:rPr>
              <w:t>Jurisdicción contenciosa</w:t>
            </w:r>
          </w:p>
        </w:tc>
      </w:tr>
      <w:tr>
        <w:tc>
          <w:tcPr>
            <w:tcW w:type="dxa" w:w="1485"/>
            <w:tcMar>
              <w:top w:w="80" w:type="dxa"/>
              <w:start w:w="120" w:type="dxa"/>
              <w:bottom w:w="80" w:type="dxa"/>
              <w:end w:w="120" w:type="dxa"/>
            </w:tcMar>
            <w:vAlign w:val="center"/>
          </w:tcPr>
          <w:p>
            <w:pPr>
              <w:spacing w:before="0" w:after="0" w:line="240" w:lineRule="auto"/>
              <w:jc w:val="left"/>
            </w:pPr>
            <w:r/>
            <w:r>
              <w:rPr>
                <w:rFonts w:ascii="Arial" w:hAnsi="Arial" w:cs="Arial"/>
                <w:sz w:val="18"/>
              </w:rPr>
              <w:t>Orden ministerial normativa</w:t>
            </w:r>
          </w:p>
        </w:tc>
        <w:tc>
          <w:tcPr>
            <w:tcW w:type="dxa" w:w="1960"/>
            <w:tcMar>
              <w:top w:w="80" w:type="dxa"/>
              <w:start w:w="120" w:type="dxa"/>
              <w:bottom w:w="80" w:type="dxa"/>
              <w:end w:w="120" w:type="dxa"/>
            </w:tcMar>
            <w:vAlign w:val="center"/>
          </w:tcPr>
          <w:p>
            <w:pPr>
              <w:spacing w:before="0" w:after="0" w:line="240" w:lineRule="auto"/>
              <w:jc w:val="left"/>
            </w:pPr>
            <w:r/>
            <w:r>
              <w:rPr>
                <w:rFonts w:ascii="Arial" w:hAnsi="Arial" w:cs="Arial"/>
                <w:sz w:val="18"/>
              </w:rPr>
              <w:t>Ministro competente</w:t>
            </w:r>
          </w:p>
        </w:tc>
        <w:tc>
          <w:tcPr>
            <w:tcW w:type="dxa" w:w="2553"/>
            <w:tcMar>
              <w:top w:w="80" w:type="dxa"/>
              <w:start w:w="120" w:type="dxa"/>
              <w:bottom w:w="80" w:type="dxa"/>
              <w:end w:w="120" w:type="dxa"/>
            </w:tcMar>
            <w:vAlign w:val="center"/>
          </w:tcPr>
          <w:p>
            <w:pPr>
              <w:spacing w:before="0" w:after="0" w:line="240" w:lineRule="auto"/>
              <w:jc w:val="left"/>
            </w:pPr>
            <w:r/>
            <w:r>
              <w:rPr>
                <w:rFonts w:ascii="Arial" w:hAnsi="Arial" w:cs="Arial"/>
                <w:sz w:val="18"/>
              </w:rPr>
              <w:t>Materia departamental/habilitación</w:t>
            </w:r>
          </w:p>
        </w:tc>
        <w:tc>
          <w:tcPr>
            <w:tcW w:type="dxa" w:w="1069"/>
            <w:tcMar>
              <w:top w:w="80" w:type="dxa"/>
              <w:start w:w="120" w:type="dxa"/>
              <w:bottom w:w="80" w:type="dxa"/>
              <w:end w:w="120" w:type="dxa"/>
            </w:tcMar>
            <w:vAlign w:val="center"/>
          </w:tcPr>
          <w:p>
            <w:pPr>
              <w:spacing w:before="0" w:after="0" w:line="240" w:lineRule="auto"/>
              <w:jc w:val="left"/>
            </w:pPr>
            <w:r/>
            <w:r>
              <w:rPr>
                <w:rFonts w:ascii="Arial" w:hAnsi="Arial" w:cs="Arial"/>
                <w:sz w:val="18"/>
              </w:rPr>
              <w:t>Reglamento inferior</w:t>
            </w:r>
          </w:p>
        </w:tc>
        <w:tc>
          <w:tcPr>
            <w:tcW w:type="dxa" w:w="1959"/>
            <w:tcMar>
              <w:top w:w="80" w:type="dxa"/>
              <w:start w:w="120" w:type="dxa"/>
              <w:bottom w:w="80" w:type="dxa"/>
              <w:end w:w="120" w:type="dxa"/>
            </w:tcMar>
            <w:vAlign w:val="center"/>
          </w:tcPr>
          <w:p>
            <w:pPr>
              <w:spacing w:before="0" w:after="0" w:line="240" w:lineRule="auto"/>
              <w:jc w:val="left"/>
            </w:pPr>
            <w:r/>
            <w:r>
              <w:rPr>
                <w:rFonts w:ascii="Arial" w:hAnsi="Arial" w:cs="Arial"/>
                <w:sz w:val="18"/>
              </w:rPr>
              <w:t>Jurisdicción contenciosa</w:t>
            </w:r>
          </w:p>
        </w:tc>
      </w:tr>
    </w:tbl>
    <w:p>
      <w:pPr>
        <w:spacing w:after="40"/>
      </w:pPr>
    </w:p>
    <w:p>
      <w:pPr>
        <w:pStyle w:val="Heading1"/>
        <w:keepNext/>
      </w:pPr>
      <w:r>
        <w:rPr>
          <w:rFonts w:ascii="Arial" w:hAnsi="Arial" w:cs="Arial"/>
          <w:sz w:val="30"/>
        </w:rPr>
        <w:t>15. Trampas y errores frecuentes</w:t>
      </w:r>
    </w:p>
    <w:tbl>
      <w:tblPr>
        <w:tblStyle w:val="TableGrid"/>
        <w:tblW w:type="dxa" w:w="9026"/>
        <w:jc w:val="left"/>
        <w:tblLayout w:type="fixed"/>
        <w:tblLook w:firstColumn="1" w:firstRow="1" w:lastColumn="0" w:lastRow="0" w:noHBand="0" w:noVBand="1" w:val="04A0"/>
        <w:tblInd w:w="120" w:type="dxa"/>
      </w:tblPr>
      <w:tblGrid>
        <w:gridCol w:w="4275"/>
        <w:gridCol w:w="4751"/>
      </w:tblGrid>
      <w:tr>
        <w:trPr>
          <w:tblHeader w:val="true"/>
        </w:trPr>
        <w:tc>
          <w:tcPr>
            <w:tcW w:type="dxa" w:w="427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Afirmación errónea</w:t>
            </w:r>
          </w:p>
        </w:tc>
        <w:tc>
          <w:tcPr>
            <w:tcW w:type="dxa" w:w="475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Regla correcta</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«La ley orgánica es siempre superior»</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Su relación con la ordinaria es de reserva/competencia, no superioridad universal.</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«Toda incidencia en un derecho exige ley orgánica»</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Se reserva su desarrollo directo en el sentido constitucional.</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«El Senado puede vetar por mayoría simple»</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El veto exige mayoría absoluta.</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«El Rey dispone de veto legislativo»</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Sanciona en 15 días; es un acto debido.</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«Ley básica significa rango superior»</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Describe una función competencial.</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«El decreto-ley es un reglamento urgente»</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Tiene rango de ley y presupuesto del artículo 86 CE.</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«La convalidación cura cualquier inconstitucionalidad»</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No sana el defecto originario del presupuesto o límite material.</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«Lo provisional caduca tras 30 días aunque se convalide»</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Convalidado, puede seguir vigente.</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«Decreto legislativo y ley de delegación son lo mismo»</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El primero es la norma gubernamental; la segunda habilita y limita.</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«Una ley de bases autoriza un texto refundido»</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Bases → articulado; ley ordinaria → refundido.</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«La delegación puede ser implícita»</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Ha de ser expresa, concreta y temporal.</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«Toda norma aprobada por real decreto es reglamento»</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RDL y RDLeg tienen fuerza de ley.</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«El reglamento puede crear infracciones si es conveniente»</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Solo especifica dentro de cobertura legal; no crea nuevas.</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«Consulta previa y audiencia son el mismo trámite»</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La primera precede al texto; la segunda se realiza sobre él.</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«Ambas consultas duran 15 días hábiles»</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Previa: naturales; audiencia: hábiles.</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«La urgencia elimina audiencia»</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Fija siete días; omite consulta previa.</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«Un acto singular de órgano superior puede dispensar reglamento»</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Rige inderogabilidad singular.</w:t>
            </w:r>
          </w:p>
        </w:tc>
      </w:tr>
      <w:tr>
        <w:tc>
          <w:tcPr>
            <w:tcW w:type="dxa" w:w="4275"/>
            <w:tcMar>
              <w:top w:w="80" w:type="dxa"/>
              <w:start w:w="120" w:type="dxa"/>
              <w:bottom w:w="80" w:type="dxa"/>
              <w:end w:w="120" w:type="dxa"/>
            </w:tcMar>
            <w:vAlign w:val="center"/>
          </w:tcPr>
          <w:p>
            <w:pPr>
              <w:spacing w:before="0" w:after="0" w:line="240" w:lineRule="auto"/>
              <w:jc w:val="left"/>
            </w:pPr>
            <w:r/>
            <w:r>
              <w:rPr>
                <w:rFonts w:ascii="Arial" w:hAnsi="Arial" w:cs="Arial"/>
                <w:sz w:val="18"/>
              </w:rPr>
              <w:t>«Contra un reglamento cabe alzada»</w:t>
            </w:r>
          </w:p>
        </w:tc>
        <w:tc>
          <w:tcPr>
            <w:tcW w:type="dxa" w:w="4751"/>
            <w:tcMar>
              <w:top w:w="80" w:type="dxa"/>
              <w:start w:w="120" w:type="dxa"/>
              <w:bottom w:w="80" w:type="dxa"/>
              <w:end w:w="120" w:type="dxa"/>
            </w:tcMar>
            <w:vAlign w:val="center"/>
          </w:tcPr>
          <w:p>
            <w:pPr>
              <w:spacing w:before="0" w:after="0" w:line="240" w:lineRule="auto"/>
              <w:jc w:val="left"/>
            </w:pPr>
            <w:r/>
            <w:r>
              <w:rPr>
                <w:rFonts w:ascii="Arial" w:hAnsi="Arial" w:cs="Arial"/>
                <w:sz w:val="18"/>
              </w:rPr>
              <w:t>No cabe recurso administrativo contra disposición general.</w:t>
            </w:r>
          </w:p>
        </w:tc>
      </w:tr>
    </w:tbl>
    <w:p>
      <w:pPr>
        <w:spacing w:after="40"/>
      </w:pPr>
    </w:p>
    <w:p>
      <w:pPr>
        <w:pStyle w:val="Heading1"/>
        <w:keepNext/>
      </w:pPr>
      <w:r>
        <w:rPr>
          <w:rFonts w:ascii="Arial" w:hAnsi="Arial" w:cs="Arial"/>
          <w:sz w:val="30"/>
        </w:rPr>
        <w:t>16. Resumen de memoria</w:t>
      </w:r>
    </w:p>
    <w:p>
      <w:pPr>
        <w:pStyle w:val="Heading2"/>
        <w:keepNext/>
      </w:pPr>
      <w:r>
        <w:rPr>
          <w:rFonts w:ascii="Arial" w:hAnsi="Arial" w:cs="Arial"/>
          <w:sz w:val="25"/>
        </w:rPr>
        <w:t>16.1. Ley</w:t>
      </w:r>
    </w:p>
    <w:p>
      <w:pPr>
        <w:jc w:val="both"/>
      </w:pPr>
      <w:r>
        <w:rPr>
          <w:rFonts w:ascii="Arial" w:hAnsi="Arial" w:cs="Arial"/>
          <w:b/>
          <w:sz w:val="22"/>
        </w:rPr>
        <w:t>Orgánica = materias tasadas + mayoría absoluta del Congreso + votación final de conjunto.</w:t>
      </w:r>
    </w:p>
    <w:p>
      <w:pPr>
        <w:jc w:val="both"/>
      </w:pPr>
      <w:r>
        <w:rPr>
          <w:rFonts w:ascii="Arial" w:hAnsi="Arial" w:cs="Arial"/>
          <w:b/>
          <w:sz w:val="22"/>
        </w:rPr>
        <w:t>Ordinaria = resto de materias legales.</w:t>
      </w:r>
    </w:p>
    <w:p>
      <w:pPr>
        <w:jc w:val="both"/>
      </w:pPr>
      <w:r>
        <w:rPr>
          <w:rFonts w:ascii="Arial" w:hAnsi="Arial" w:cs="Arial"/>
          <w:b/>
          <w:sz w:val="22"/>
        </w:rPr>
        <w:t>Estado/autonomía = competencia, no superioridad general.</w:t>
      </w:r>
    </w:p>
    <w:p>
      <w:pPr>
        <w:pStyle w:val="Heading2"/>
        <w:keepNext/>
      </w:pPr>
      <w:r>
        <w:rPr>
          <w:rFonts w:ascii="Arial" w:hAnsi="Arial" w:cs="Arial"/>
          <w:sz w:val="25"/>
        </w:rPr>
        <w:t>16.2. Normas gubernamentales con fuerza de ley</w:t>
      </w:r>
    </w:p>
    <w:p>
      <w:pPr>
        <w:jc w:val="both"/>
      </w:pPr>
      <w:r>
        <w:rPr>
          <w:rFonts w:ascii="Arial" w:hAnsi="Arial" w:cs="Arial"/>
          <w:b/>
          <w:sz w:val="22"/>
        </w:rPr>
        <w:t>Decreto-ley = necesidad extraordinaria y urgente + límites materiales + Congreso en 30 días.</w:t>
      </w:r>
    </w:p>
    <w:p>
      <w:pPr>
        <w:jc w:val="both"/>
      </w:pPr>
      <w:r>
        <w:rPr>
          <w:rFonts w:ascii="Arial" w:hAnsi="Arial" w:cs="Arial"/>
          <w:b/>
          <w:sz w:val="22"/>
        </w:rPr>
        <w:t>Decreto legislativo = delegación expresa, concreta y temporal + bases/articulado o ley ordinaria/refundido.</w:t>
      </w:r>
    </w:p>
    <w:p>
      <w:pPr>
        <w:pStyle w:val="Heading2"/>
        <w:keepNext/>
      </w:pPr>
      <w:r>
        <w:rPr>
          <w:rFonts w:ascii="Arial" w:hAnsi="Arial" w:cs="Arial"/>
          <w:sz w:val="25"/>
        </w:rPr>
        <w:t>16.3. Reglamento</w:t>
      </w:r>
    </w:p>
    <w:p>
      <w:pPr>
        <w:jc w:val="both"/>
      </w:pPr>
      <w:r>
        <w:rPr>
          <w:rFonts w:ascii="Arial" w:hAnsi="Arial" w:cs="Arial"/>
          <w:b/>
          <w:sz w:val="22"/>
        </w:rPr>
        <w:t>Potestad + competencia + procedimiento + publicación + jerarquía + reserva + principios.</w:t>
      </w:r>
    </w:p>
    <w:p>
      <w:pPr>
        <w:jc w:val="both"/>
      </w:pPr>
      <w:r>
        <w:rPr>
          <w:rFonts w:ascii="Arial" w:hAnsi="Arial" w:cs="Arial"/>
          <w:sz w:val="22"/>
        </w:rPr>
        <w:t xml:space="preserve">Si falla norma superior, reserva o retroactividad prohibida: </w:t>
      </w:r>
      <w:r>
        <w:rPr>
          <w:rFonts w:ascii="Arial" w:hAnsi="Arial" w:cs="Arial"/>
          <w:b/>
          <w:sz w:val="22"/>
        </w:rPr>
        <w:t>nulidad del artículo 47.2 LPAC</w:t>
      </w:r>
      <w:r>
        <w:rPr>
          <w:rFonts w:ascii="Arial" w:hAnsi="Arial" w:cs="Arial"/>
          <w:sz w:val="22"/>
        </w:rPr>
        <w:t>.</w:t>
      </w:r>
    </w:p>
    <w:p>
      <w:pPr>
        <w:pStyle w:val="Heading2"/>
        <w:keepNext/>
      </w:pPr>
      <w:r>
        <w:rPr>
          <w:rFonts w:ascii="Arial" w:hAnsi="Arial" w:cs="Arial"/>
          <w:sz w:val="25"/>
        </w:rPr>
        <w:t>16.4. Plazos que preguntan</w:t>
      </w:r>
    </w:p>
    <w:p>
      <w:pPr>
        <w:pStyle w:val="ListBullet"/>
      </w:pPr>
      <w:r>
        <w:rPr>
          <w:rFonts w:ascii="Arial" w:hAnsi="Arial" w:cs="Arial"/>
          <w:sz w:val="22"/>
        </w:rPr>
        <w:t xml:space="preserve">Rey sanciona: </w:t>
      </w:r>
      <w:r>
        <w:rPr>
          <w:rFonts w:ascii="Arial" w:hAnsi="Arial" w:cs="Arial"/>
          <w:b/>
          <w:sz w:val="22"/>
        </w:rPr>
        <w:t>15 días</w:t>
      </w:r>
      <w:r>
        <w:rPr>
          <w:rFonts w:ascii="Arial" w:hAnsi="Arial" w:cs="Arial"/>
          <w:sz w:val="22"/>
        </w:rPr>
        <w:t>.</w:t>
      </w:r>
    </w:p>
    <w:p>
      <w:pPr>
        <w:pStyle w:val="ListBullet"/>
      </w:pPr>
      <w:r>
        <w:rPr>
          <w:rFonts w:ascii="Arial" w:hAnsi="Arial" w:cs="Arial"/>
          <w:sz w:val="22"/>
        </w:rPr>
        <w:t xml:space="preserve">Senado ordinario: </w:t>
      </w:r>
      <w:r>
        <w:rPr>
          <w:rFonts w:ascii="Arial" w:hAnsi="Arial" w:cs="Arial"/>
          <w:b/>
          <w:sz w:val="22"/>
        </w:rPr>
        <w:t>2 meses</w:t>
      </w:r>
      <w:r>
        <w:rPr>
          <w:rFonts w:ascii="Arial" w:hAnsi="Arial" w:cs="Arial"/>
          <w:sz w:val="22"/>
        </w:rPr>
        <w:t xml:space="preserve">; urgente: </w:t>
      </w:r>
      <w:r>
        <w:rPr>
          <w:rFonts w:ascii="Arial" w:hAnsi="Arial" w:cs="Arial"/>
          <w:b/>
          <w:sz w:val="22"/>
        </w:rPr>
        <w:t>20 días naturales</w:t>
      </w:r>
      <w:r>
        <w:rPr>
          <w:rFonts w:ascii="Arial" w:hAnsi="Arial" w:cs="Arial"/>
          <w:sz w:val="22"/>
        </w:rPr>
        <w:t>.</w:t>
      </w:r>
    </w:p>
    <w:p>
      <w:pPr>
        <w:pStyle w:val="ListBullet"/>
      </w:pPr>
      <w:r>
        <w:rPr>
          <w:rFonts w:ascii="Arial" w:hAnsi="Arial" w:cs="Arial"/>
          <w:sz w:val="22"/>
        </w:rPr>
        <w:t xml:space="preserve">Convalidación del decreto-ley: </w:t>
      </w:r>
      <w:r>
        <w:rPr>
          <w:rFonts w:ascii="Arial" w:hAnsi="Arial" w:cs="Arial"/>
          <w:b/>
          <w:sz w:val="22"/>
        </w:rPr>
        <w:t>30 días</w:t>
      </w:r>
      <w:r>
        <w:rPr>
          <w:rFonts w:ascii="Arial" w:hAnsi="Arial" w:cs="Arial"/>
          <w:sz w:val="22"/>
        </w:rPr>
        <w:t>.</w:t>
      </w:r>
    </w:p>
    <w:p>
      <w:pPr>
        <w:pStyle w:val="ListBullet"/>
      </w:pPr>
      <w:r>
        <w:rPr>
          <w:rFonts w:ascii="Arial" w:hAnsi="Arial" w:cs="Arial"/>
          <w:sz w:val="22"/>
        </w:rPr>
        <w:t xml:space="preserve">Consulta previa estatal: </w:t>
      </w:r>
      <w:r>
        <w:rPr>
          <w:rFonts w:ascii="Arial" w:hAnsi="Arial" w:cs="Arial"/>
          <w:b/>
          <w:sz w:val="22"/>
        </w:rPr>
        <w:t>15 días naturales</w:t>
      </w:r>
      <w:r>
        <w:rPr>
          <w:rFonts w:ascii="Arial" w:hAnsi="Arial" w:cs="Arial"/>
          <w:sz w:val="22"/>
        </w:rPr>
        <w:t>.</w:t>
      </w:r>
    </w:p>
    <w:p>
      <w:pPr>
        <w:pStyle w:val="ListBullet"/>
      </w:pPr>
      <w:r>
        <w:rPr>
          <w:rFonts w:ascii="Arial" w:hAnsi="Arial" w:cs="Arial"/>
          <w:sz w:val="22"/>
        </w:rPr>
        <w:t xml:space="preserve">Audiencia estatal: </w:t>
      </w:r>
      <w:r>
        <w:rPr>
          <w:rFonts w:ascii="Arial" w:hAnsi="Arial" w:cs="Arial"/>
          <w:b/>
          <w:sz w:val="22"/>
        </w:rPr>
        <w:t>15 días hábiles</w:t>
      </w:r>
      <w:r>
        <w:rPr>
          <w:rFonts w:ascii="Arial" w:hAnsi="Arial" w:cs="Arial"/>
          <w:sz w:val="22"/>
        </w:rPr>
        <w:t xml:space="preserve">, reducibles a </w:t>
      </w:r>
      <w:r>
        <w:rPr>
          <w:rFonts w:ascii="Arial" w:hAnsi="Arial" w:cs="Arial"/>
          <w:b/>
          <w:sz w:val="22"/>
        </w:rPr>
        <w:t>7</w:t>
      </w:r>
      <w:r>
        <w:rPr>
          <w:rFonts w:ascii="Arial" w:hAnsi="Arial" w:cs="Arial"/>
          <w:sz w:val="22"/>
        </w:rPr>
        <w:t>.</w:t>
      </w:r>
    </w:p>
    <w:p>
      <w:pPr>
        <w:pStyle w:val="ListBullet"/>
      </w:pPr>
      <w:r>
        <w:rPr>
          <w:rFonts w:ascii="Arial" w:hAnsi="Arial" w:cs="Arial"/>
          <w:sz w:val="22"/>
        </w:rPr>
        <w:t xml:space="preserve">Plan Anual Normativo e informe de evaluación: antes del </w:t>
      </w:r>
      <w:r>
        <w:rPr>
          <w:rFonts w:ascii="Arial" w:hAnsi="Arial" w:cs="Arial"/>
          <w:b/>
          <w:sz w:val="22"/>
        </w:rPr>
        <w:t>30 de abril</w:t>
      </w:r>
      <w:r>
        <w:rPr>
          <w:rFonts w:ascii="Arial" w:hAnsi="Arial" w:cs="Arial"/>
          <w:sz w:val="22"/>
        </w:rPr>
        <w:t>.</w:t>
      </w:r>
    </w:p>
    <w:p>
      <w:pPr>
        <w:pStyle w:val="Heading1"/>
        <w:keepNext/>
      </w:pPr>
      <w:r>
        <w:rPr>
          <w:rFonts w:ascii="Arial" w:hAnsi="Arial" w:cs="Arial"/>
          <w:sz w:val="30"/>
        </w:rPr>
        <w:t>17. Datos especialmente preguntables</w:t>
      </w:r>
    </w:p>
    <w:p>
      <w:pPr>
        <w:spacing w:after="40"/>
        <w:ind w:left="369" w:hanging="227"/>
      </w:pPr>
      <w:r>
        <w:rPr>
          <w:rFonts w:ascii="Arial" w:hAnsi="Arial" w:cs="Arial"/>
          <w:sz w:val="22"/>
        </w:rPr>
        <w:t>1. Artículo 81 CE: cuatro bloques reservados a ley orgánica y mayoría absoluta final.</w:t>
      </w:r>
    </w:p>
    <w:p>
      <w:pPr>
        <w:spacing w:after="40"/>
        <w:ind w:left="369" w:hanging="227"/>
      </w:pPr>
      <w:r>
        <w:rPr>
          <w:rFonts w:ascii="Arial" w:hAnsi="Arial" w:cs="Arial"/>
          <w:sz w:val="22"/>
        </w:rPr>
        <w:t>2. Artículo 87.3 CE: iniciativa popular con 500.000 firmas y cuatro exclusiones.</w:t>
      </w:r>
    </w:p>
    <w:p>
      <w:pPr>
        <w:spacing w:after="40"/>
        <w:ind w:left="369" w:hanging="227"/>
      </w:pPr>
      <w:r>
        <w:rPr>
          <w:rFonts w:ascii="Arial" w:hAnsi="Arial" w:cs="Arial"/>
          <w:sz w:val="22"/>
        </w:rPr>
        <w:t>3. Artículo 88 CE: Consejo de Ministros aprueba proyectos y los remite con antecedentes.</w:t>
      </w:r>
    </w:p>
    <w:p>
      <w:pPr>
        <w:spacing w:after="40"/>
        <w:ind w:left="369" w:hanging="227"/>
      </w:pPr>
      <w:r>
        <w:rPr>
          <w:rFonts w:ascii="Arial" w:hAnsi="Arial" w:cs="Arial"/>
          <w:sz w:val="22"/>
        </w:rPr>
        <w:t>4. Artículo 90 CE: veto absoluto del Senado; dos meses o veinte días si urgente.</w:t>
      </w:r>
    </w:p>
    <w:p>
      <w:pPr>
        <w:spacing w:after="40"/>
        <w:ind w:left="369" w:hanging="227"/>
      </w:pPr>
      <w:r>
        <w:rPr>
          <w:rFonts w:ascii="Arial" w:hAnsi="Arial" w:cs="Arial"/>
          <w:sz w:val="22"/>
        </w:rPr>
        <w:t>5. Artículo 91 CE: sanción real en quince días.</w:t>
      </w:r>
    </w:p>
    <w:p>
      <w:pPr>
        <w:spacing w:after="40"/>
        <w:ind w:left="369" w:hanging="227"/>
      </w:pPr>
      <w:r>
        <w:rPr>
          <w:rFonts w:ascii="Arial" w:hAnsi="Arial" w:cs="Arial"/>
          <w:sz w:val="22"/>
        </w:rPr>
        <w:t>6. Artículo 134 CE: anualidad, prórroga y prohibición de crear tributos por presupuesto.</w:t>
      </w:r>
    </w:p>
    <w:p>
      <w:pPr>
        <w:spacing w:after="40"/>
        <w:ind w:left="369" w:hanging="227"/>
      </w:pPr>
      <w:r>
        <w:rPr>
          <w:rFonts w:ascii="Arial" w:hAnsi="Arial" w:cs="Arial"/>
          <w:sz w:val="22"/>
        </w:rPr>
        <w:t>7. Artículo 150 CE: leyes marco, transferencia/delegación y armonización.</w:t>
      </w:r>
    </w:p>
    <w:p>
      <w:pPr>
        <w:spacing w:after="40"/>
        <w:ind w:left="369" w:hanging="227"/>
      </w:pPr>
      <w:r>
        <w:rPr>
          <w:rFonts w:ascii="Arial" w:hAnsi="Arial" w:cs="Arial"/>
          <w:sz w:val="22"/>
        </w:rPr>
        <w:t>8. Artículo 82 CE: dos modalidades de delegación y requisitos.</w:t>
      </w:r>
    </w:p>
    <w:p>
      <w:pPr>
        <w:spacing w:after="40"/>
        <w:ind w:left="369" w:hanging="227"/>
      </w:pPr>
      <w:r>
        <w:rPr>
          <w:rFonts w:ascii="Arial" w:hAnsi="Arial" w:cs="Arial"/>
          <w:sz w:val="22"/>
        </w:rPr>
        <w:t>9. Artículo 83 CE: ley de bases no puede modificarse a sí misma ni autorizar retroactividad.</w:t>
      </w:r>
    </w:p>
    <w:p>
      <w:pPr>
        <w:spacing w:after="40"/>
        <w:ind w:left="369" w:hanging="227"/>
      </w:pPr>
      <w:r>
        <w:rPr>
          <w:rFonts w:ascii="Arial" w:hAnsi="Arial" w:cs="Arial"/>
          <w:sz w:val="22"/>
        </w:rPr>
        <w:t>10. Artículo 85 CE: denominación «decretos legislativos».</w:t>
      </w:r>
    </w:p>
    <w:p>
      <w:pPr>
        <w:spacing w:after="40"/>
        <w:ind w:left="369" w:hanging="227"/>
      </w:pPr>
      <w:r>
        <w:rPr>
          <w:rFonts w:ascii="Arial" w:hAnsi="Arial" w:cs="Arial"/>
          <w:sz w:val="22"/>
        </w:rPr>
        <w:t>11. Artículo 86 CE: presupuesto, cuatro límites materiales y treinta días.</w:t>
      </w:r>
    </w:p>
    <w:p>
      <w:pPr>
        <w:spacing w:after="40"/>
        <w:ind w:left="369" w:hanging="227"/>
      </w:pPr>
      <w:r>
        <w:rPr>
          <w:rFonts w:ascii="Arial" w:hAnsi="Arial" w:cs="Arial"/>
          <w:sz w:val="22"/>
        </w:rPr>
        <w:t>12. Artículo 97 CE: potestad reglamentaria del Gobierno.</w:t>
      </w:r>
    </w:p>
    <w:p>
      <w:pPr>
        <w:spacing w:after="40"/>
        <w:ind w:left="369" w:hanging="227"/>
      </w:pPr>
      <w:r>
        <w:rPr>
          <w:rFonts w:ascii="Arial" w:hAnsi="Arial" w:cs="Arial"/>
          <w:sz w:val="22"/>
        </w:rPr>
        <w:t>13. Artículo 128 LPAC: titulares y límites materiales.</w:t>
      </w:r>
    </w:p>
    <w:p>
      <w:pPr>
        <w:spacing w:after="40"/>
        <w:ind w:left="369" w:hanging="227"/>
      </w:pPr>
      <w:r>
        <w:rPr>
          <w:rFonts w:ascii="Arial" w:hAnsi="Arial" w:cs="Arial"/>
          <w:sz w:val="22"/>
        </w:rPr>
        <w:t>14. Artículo 129 LPAC: seis principios de buena regulación.</w:t>
      </w:r>
    </w:p>
    <w:p>
      <w:pPr>
        <w:spacing w:after="40"/>
        <w:ind w:left="369" w:hanging="227"/>
      </w:pPr>
      <w:r>
        <w:rPr>
          <w:rFonts w:ascii="Arial" w:hAnsi="Arial" w:cs="Arial"/>
          <w:sz w:val="22"/>
        </w:rPr>
        <w:t>15. Artículo 37 LPAC: inderogabilidad singular.</w:t>
      </w:r>
    </w:p>
    <w:p>
      <w:pPr>
        <w:spacing w:after="40"/>
        <w:ind w:left="369" w:hanging="227"/>
      </w:pPr>
      <w:r>
        <w:rPr>
          <w:rFonts w:ascii="Arial" w:hAnsi="Arial" w:cs="Arial"/>
          <w:sz w:val="22"/>
        </w:rPr>
        <w:t>16. Artículo 47.2 LPAC: nulidad de disposiciones.</w:t>
      </w:r>
    </w:p>
    <w:p>
      <w:pPr>
        <w:spacing w:after="40"/>
        <w:ind w:left="369" w:hanging="227"/>
      </w:pPr>
      <w:r>
        <w:rPr>
          <w:rFonts w:ascii="Arial" w:hAnsi="Arial" w:cs="Arial"/>
          <w:sz w:val="22"/>
        </w:rPr>
        <w:t>17. Artículo 106.2 LPAC: revisión de oficio con dictamen favorable.</w:t>
      </w:r>
    </w:p>
    <w:p>
      <w:pPr>
        <w:spacing w:after="40"/>
        <w:ind w:left="369" w:hanging="227"/>
      </w:pPr>
      <w:r>
        <w:rPr>
          <w:rFonts w:ascii="Arial" w:hAnsi="Arial" w:cs="Arial"/>
          <w:sz w:val="22"/>
        </w:rPr>
        <w:t>18. Artículo 24 de la Ley del Gobierno: formas y jerarquía.</w:t>
      </w:r>
    </w:p>
    <w:p>
      <w:pPr>
        <w:spacing w:after="40"/>
        <w:ind w:left="369" w:hanging="227"/>
      </w:pPr>
      <w:r>
        <w:rPr>
          <w:rFonts w:ascii="Arial" w:hAnsi="Arial" w:cs="Arial"/>
          <w:sz w:val="22"/>
        </w:rPr>
        <w:t>19. Artículo 26.2 de la Ley del Gobierno, vigente desde abril de 2025: seis causas de omisión de consulta.</w:t>
      </w:r>
    </w:p>
    <w:p>
      <w:pPr>
        <w:spacing w:after="40"/>
        <w:ind w:left="369" w:hanging="227"/>
      </w:pPr>
      <w:r>
        <w:rPr>
          <w:rFonts w:ascii="Arial" w:hAnsi="Arial" w:cs="Arial"/>
          <w:sz w:val="22"/>
        </w:rPr>
        <w:t>20. Artículo 27 de la Ley del Gobierno: efectos de tramitación urgente.</w:t>
      </w:r>
    </w:p>
    <w:p>
      <w:pPr>
        <w:pStyle w:val="Heading1"/>
        <w:keepNext/>
      </w:pPr>
      <w:r>
        <w:rPr>
          <w:rFonts w:ascii="Arial" w:hAnsi="Arial" w:cs="Arial"/>
          <w:sz w:val="30"/>
        </w:rPr>
        <w:t>18. Fuentes oficiales</w:t>
      </w:r>
    </w:p>
    <w:p>
      <w:pPr>
        <w:pStyle w:val="ListBullet"/>
      </w:pPr>
      <w:r>
        <w:rPr>
          <w:rFonts w:ascii="Arial" w:hAnsi="Arial" w:cs="Arial"/>
          <w:sz w:val="22"/>
        </w:rPr>
        <w:t>Constitución Española, texto consolidado (https://www.boe.es/buscar/act.php?id=BOE-A-1978-31229).</w:t>
      </w:r>
    </w:p>
    <w:p>
      <w:pPr>
        <w:pStyle w:val="ListBullet"/>
      </w:pPr>
      <w:r>
        <w:rPr>
          <w:rFonts w:ascii="Arial" w:hAnsi="Arial" w:cs="Arial"/>
          <w:sz w:val="22"/>
        </w:rPr>
        <w:t>Código Civil (https://www.boe.es/buscar/act.php?id=BOE-A-1889-4763).</w:t>
      </w:r>
    </w:p>
    <w:p>
      <w:pPr>
        <w:pStyle w:val="ListBullet"/>
      </w:pPr>
      <w:r>
        <w:rPr>
          <w:rFonts w:ascii="Arial" w:hAnsi="Arial" w:cs="Arial"/>
          <w:sz w:val="22"/>
        </w:rPr>
        <w:t>Ley 50/1997, del Gobierno, texto consolidado (https://www.boe.es/buscar/act.php?id=BOE-A-1997-25336).</w:t>
      </w:r>
    </w:p>
    <w:p>
      <w:pPr>
        <w:pStyle w:val="ListBullet"/>
      </w:pPr>
      <w:r>
        <w:rPr>
          <w:rFonts w:ascii="Arial" w:hAnsi="Arial" w:cs="Arial"/>
          <w:sz w:val="22"/>
        </w:rPr>
        <w:t>Ley 39/2015, del Procedimiento Administrativo Común (https://www.boe.es/buscar/act.php?id=BOE-A-2015-10565).</w:t>
      </w:r>
    </w:p>
    <w:p>
      <w:pPr>
        <w:pStyle w:val="ListBullet"/>
      </w:pPr>
      <w:r>
        <w:rPr>
          <w:rFonts w:ascii="Arial" w:hAnsi="Arial" w:cs="Arial"/>
          <w:sz w:val="22"/>
        </w:rPr>
        <w:t>Ley 40/2015, de Régimen Jurídico del Sector Público (https://www.boe.es/buscar/act.php?id=BOE-A-2015-10566).</w:t>
      </w:r>
    </w:p>
    <w:p>
      <w:pPr>
        <w:pStyle w:val="ListBullet"/>
      </w:pPr>
      <w:r>
        <w:rPr>
          <w:rFonts w:ascii="Arial" w:hAnsi="Arial" w:cs="Arial"/>
          <w:sz w:val="22"/>
        </w:rPr>
        <w:t>Ley 29/1998, reguladora de la Jurisdicción Contencioso-administrativa (https://www.boe.es/buscar/act.php?id=BOE-A-1998-16718).</w:t>
      </w:r>
    </w:p>
    <w:p>
      <w:pPr>
        <w:pStyle w:val="ListBullet"/>
      </w:pPr>
      <w:r>
        <w:rPr>
          <w:rFonts w:ascii="Arial" w:hAnsi="Arial" w:cs="Arial"/>
          <w:sz w:val="22"/>
        </w:rPr>
        <w:t>Ley Orgánica 2/1979, del Tribunal Constitucional (https://www.boe.es/buscar/act.php?id=BOE-A-1979-23709).</w:t>
      </w:r>
    </w:p>
    <w:p>
      <w:pPr>
        <w:pStyle w:val="ListBullet"/>
      </w:pPr>
      <w:r>
        <w:rPr>
          <w:rFonts w:ascii="Arial" w:hAnsi="Arial" w:cs="Arial"/>
          <w:sz w:val="22"/>
        </w:rPr>
        <w:t>STC 55/2018, principios y procedimiento normativo (https://hj.tribunalconstitucional.es/es/Resolucion/Show/25660).</w:t>
      </w:r>
    </w:p>
    <w:p>
      <w:pPr>
        <w:pStyle w:val="ListBullet"/>
      </w:pPr>
      <w:r>
        <w:rPr>
          <w:rFonts w:ascii="Arial" w:hAnsi="Arial" w:cs="Arial"/>
          <w:sz w:val="22"/>
        </w:rPr>
        <w:t>STC 40/2026, presupuesto y límites del decreto-ley (https://hj.tribunalconstitucional.es/HJ/es/Resolucion/Show/32093).</w:t>
      </w:r>
    </w:p>
    <w:p>
      <w:pPr>
        <w:spacing w:after="100"/>
        <w:ind w:left="340" w:right="227"/>
        <w:shd w:fill="EAF2F8"/>
      </w:pPr>
      <w:r>
        <w:rPr>
          <w:rFonts w:ascii="Arial" w:hAnsi="Arial" w:cs="Arial"/>
          <w:b/>
          <w:sz w:val="20"/>
        </w:rPr>
        <w:t>Actualización:</w:t>
      </w:r>
      <w:r>
        <w:rPr>
          <w:rFonts w:ascii="Arial" w:hAnsi="Arial" w:cs="Arial"/>
          <w:sz w:val="20"/>
        </w:rPr>
        <w:t xml:space="preserve"> normativa y doctrina comprobadas en fuentes oficiales a 30 de julio de 2026.</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G14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5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bl>
    <w:p>
      <w:pPr>
        <w:spacing w:after="40"/>
      </w:pPr>
    </w:p>
    <w:p>
      <w:pPr>
        <w:jc w:val="both"/>
      </w:pPr>
      <w:r>
        <w:rPr>
          <w:rFonts w:ascii="Arial" w:hAnsi="Arial" w:cs="Arial"/>
          <w:b/>
          <w:sz w:val="22"/>
        </w:rPr>
        <w:t>Normas que más aparecen:</w:t>
      </w:r>
      <w:r>
        <w:rPr>
          <w:rFonts w:ascii="Arial" w:hAnsi="Arial" w:cs="Arial"/>
          <w:sz w:val="22"/>
        </w:rPr>
        <w:t xml:space="preserve"> Constitución Española (2); Ley 50/1997 (2); Ley 39/2015 (1).</w:t>
      </w:r>
    </w:p>
    <w:p>
      <w:pPr>
        <w:jc w:val="both"/>
      </w:pPr>
      <w:r>
        <w:rPr>
          <w:rFonts w:ascii="Arial" w:hAnsi="Arial" w:cs="Arial"/>
          <w:b/>
          <w:sz w:val="22"/>
        </w:rPr>
        <w:t>Artículos o preceptos más repetidos:</w:t>
      </w:r>
      <w:r>
        <w:rPr>
          <w:rFonts w:ascii="Arial" w:hAnsi="Arial" w:cs="Arial"/>
          <w:sz w:val="22"/>
        </w:rPr>
        <w:t xml:space="preserve"> 82 (1); 24.1 (1); 128 (1); 24 (1).</w:t>
      </w:r>
    </w:p>
    <w:p>
      <w:pPr>
        <w:jc w:val="both"/>
      </w:pPr>
      <w:r>
        <w:rPr>
          <w:rFonts w:ascii="Arial" w:hAnsi="Arial" w:cs="Arial"/>
          <w:b/>
          <w:sz w:val="22"/>
        </w:rPr>
        <w:t>Formas de pregunta predominantes:</w:t>
      </w:r>
      <w:r>
        <w:rPr>
          <w:rFonts w:ascii="Arial" w:hAnsi="Arial" w:cs="Arial"/>
          <w:sz w:val="22"/>
        </w:rPr>
        <w:t xml:space="preserve"> Artículos literales (4); Procedimientos (1).</w:t>
      </w:r>
    </w:p>
    <w:p>
      <w:pPr>
        <w:pStyle w:val="Heading2"/>
        <w:keepNext/>
      </w:pPr>
      <w:r>
        <w:rPr>
          <w:rFonts w:ascii="Arial" w:hAnsi="Arial" w:cs="Arial"/>
          <w:sz w:val="25"/>
        </w:rPr>
        <w:t>Patrones observados</w:t>
      </w:r>
    </w:p>
    <w:p>
      <w:pPr>
        <w:pStyle w:val="ListBullet"/>
      </w:pPr>
      <w:r>
        <w:rPr>
          <w:rFonts w:ascii="Arial" w:hAnsi="Arial" w:cs="Arial"/>
          <w:b/>
          <w:sz w:val="22"/>
        </w:rPr>
        <w:t>2024, teoría 14:</w:t>
      </w:r>
      <w:r>
        <w:rPr>
          <w:rFonts w:ascii="Arial" w:hAnsi="Arial" w:cs="Arial"/>
          <w:sz w:val="22"/>
        </w:rPr>
        <w:t xml:space="preserve"> De acuerdo con 10 regulado en eI artículo 82 de la Constitución Española:</w:t>
      </w:r>
    </w:p>
    <w:p>
      <w:pPr>
        <w:pStyle w:val="ListBullet"/>
      </w:pPr>
      <w:r>
        <w:rPr>
          <w:rFonts w:ascii="Arial" w:hAnsi="Arial" w:cs="Arial"/>
          <w:b/>
          <w:sz w:val="22"/>
        </w:rPr>
        <w:t>2025, teoría 13:</w:t>
      </w:r>
      <w:r>
        <w:rPr>
          <w:rFonts w:ascii="Arial" w:hAnsi="Arial" w:cs="Arial"/>
          <w:sz w:val="22"/>
        </w:rPr>
        <w:t xml:space="preserve"> ¿Cuál de las siguientes materias se regula mediante Ley Orgánica según la Constitución Española? Señale la respuesta INCORRECTA:</w:t>
      </w:r>
    </w:p>
    <w:p>
      <w:pPr>
        <w:pStyle w:val="ListBullet"/>
      </w:pPr>
      <w:r>
        <w:rPr>
          <w:rFonts w:ascii="Arial" w:hAnsi="Arial" w:cs="Arial"/>
          <w:b/>
          <w:sz w:val="22"/>
        </w:rPr>
        <w:t>2025, teoría 14:</w:t>
      </w:r>
      <w:r>
        <w:rPr>
          <w:rFonts w:ascii="Arial" w:hAnsi="Arial" w:cs="Arial"/>
          <w:sz w:val="22"/>
        </w:rPr>
        <w:t xml:space="preserve"> De conformidad con el artículo 24.1 de la Ley 50/1997, de 27 de noviembre, del Gobierno, señale la respuesta INCORRECTA:</w:t>
      </w:r>
    </w:p>
    <w:p>
      <w:pPr>
        <w:pStyle w:val="ListBullet"/>
      </w:pPr>
      <w:r>
        <w:rPr>
          <w:rFonts w:ascii="Arial" w:hAnsi="Arial" w:cs="Arial"/>
          <w:b/>
          <w:sz w:val="22"/>
        </w:rPr>
        <w:t>2025, teoría 14:</w:t>
      </w:r>
      <w:r>
        <w:rPr>
          <w:rFonts w:ascii="Arial" w:hAnsi="Arial" w:cs="Arial"/>
          <w:sz w:val="22"/>
        </w:rPr>
        <w:t xml:space="preserve"> Según establece el artículo 128 de la Ley 39/2015, de 1 de octubre, del Procedimiento Administrativo Común de las Administraciones Públicas, ¿a quién corresponde el ejercicio de la potestad reglamentaria?</w:t>
      </w:r>
    </w:p>
    <w:p>
      <w:pPr>
        <w:pStyle w:val="ListBullet"/>
      </w:pPr>
      <w:r>
        <w:rPr>
          <w:rFonts w:ascii="Arial" w:hAnsi="Arial" w:cs="Arial"/>
          <w:b/>
          <w:sz w:val="22"/>
        </w:rPr>
        <w:t>2026, teoría 18:</w:t>
      </w:r>
      <w:r>
        <w:rPr>
          <w:rFonts w:ascii="Arial" w:hAnsi="Arial" w:cs="Arial"/>
          <w:sz w:val="22"/>
        </w:rPr>
        <w:t xml:space="preserve"> De acuerdo con eI artículo 24 de la Ley 50/1997, de 27 de noviembre, del Gobierno, ¿qué rango ocupan las órdenes Ministeriales respecto de las disposiciones aprobadas por Real Decreto del Presidente del…</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2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G14 · Tema 14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14. La Ley. Tipos de leyes. Disposiciones del Gobierno con fuerza de ley - decreto-ley y decreto legislativo. El Reglamento - concepto, clases y…</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