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15</w:t>
      </w:r>
    </w:p>
    <w:p>
      <w:pPr>
        <w:keepNext/>
        <w:spacing w:before="0" w:after="280"/>
        <w:pBdr>
          <w:bottom w:val="single" w:sz="12" w:space="1" w:color="2F75B5"/>
        </w:pBdr>
      </w:pPr>
      <w:r>
        <w:rPr>
          <w:rFonts w:ascii="Arial" w:hAnsi="Arial" w:cs="Arial"/>
          <w:b/>
          <w:color w:val="17365D"/>
          <w:sz w:val="40"/>
        </w:rPr>
        <w:t>Los actos administrativos. Concepto y clases. Motivación, forma y eficacia de los actos administrativos. Notificación y publicación. Nulidad y anulabilidad. La revisión de oficio.</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El acto administrativo es el instrumento ordinario mediante el cual una Administración aplica el ordenamiento a un caso concreto. Una concesión, una sanción, el reconocimiento de una prestación, una liquidación o la resolución de un recurso producen efectos jurídicos individualizados y, por ello, exigen competencia, procedimiento, contenido lícito y respeto a las garantías de las personas interesadas.</w:t>
      </w:r>
    </w:p>
    <w:p>
      <w:pPr>
        <w:jc w:val="both"/>
      </w:pPr>
      <w:r>
        <w:rPr>
          <w:rFonts w:ascii="Arial" w:hAnsi="Arial" w:cs="Arial"/>
          <w:sz w:val="22"/>
        </w:rPr>
        <w:t xml:space="preserve">El régimen general se encuentra en la </w:t>
      </w:r>
      <w:r>
        <w:rPr>
          <w:rFonts w:ascii="Arial" w:hAnsi="Arial" w:cs="Arial"/>
          <w:b/>
          <w:sz w:val="22"/>
        </w:rPr>
        <w:t>Ley 39/2015, de 1 de octubre, del Procedimiento Administrativo Común de las Administraciones Públicas</w:t>
      </w:r>
      <w:r>
        <w:rPr>
          <w:rFonts w:ascii="Arial" w:hAnsi="Arial" w:cs="Arial"/>
          <w:sz w:val="22"/>
        </w:rPr>
        <w:t xml:space="preserve"> —LPAC—. Este tema está actualizado a </w:t>
      </w:r>
      <w:r>
        <w:rPr>
          <w:rFonts w:ascii="Arial" w:hAnsi="Arial" w:cs="Arial"/>
          <w:b/>
          <w:sz w:val="22"/>
        </w:rPr>
        <w:t>30 de julio de 2026</w:t>
      </w:r>
      <w:r>
        <w:rPr>
          <w:rFonts w:ascii="Arial" w:hAnsi="Arial" w:cs="Arial"/>
          <w:sz w:val="22"/>
        </w:rPr>
        <w:t xml:space="preserve"> sobre el texto consolidado del BOE, cuya última modificación publicada es de 6 de noviembre de 2024. Los artículos centrales son el 34 al 52, sobre actos e invalidez, y el 106 al 111, sobre revisión de oficio.</w:t>
      </w:r>
    </w:p>
    <w:p>
      <w:pPr>
        <w:pStyle w:val="Heading1"/>
        <w:keepNext/>
      </w:pPr>
      <w:r>
        <w:rPr>
          <w:rFonts w:ascii="Arial" w:hAnsi="Arial" w:cs="Arial"/>
          <w:sz w:val="30"/>
        </w:rPr>
        <w:t>1. Concepto y delimitación</w:t>
      </w:r>
    </w:p>
    <w:p>
      <w:pPr>
        <w:pStyle w:val="Heading2"/>
        <w:keepNext/>
      </w:pPr>
      <w:r>
        <w:rPr>
          <w:rFonts w:ascii="Arial" w:hAnsi="Arial" w:cs="Arial"/>
          <w:sz w:val="25"/>
        </w:rPr>
        <w:t>1.1. Concepto doctrinal</w:t>
      </w:r>
    </w:p>
    <w:p>
      <w:pPr>
        <w:jc w:val="both"/>
      </w:pPr>
      <w:r>
        <w:rPr>
          <w:rFonts w:ascii="Arial" w:hAnsi="Arial" w:cs="Arial"/>
          <w:sz w:val="22"/>
        </w:rPr>
        <w:t xml:space="preserve">La LPAC no ofrece una definición cerrada. En sentido técnico, puede entenderse por acto administrativo la </w:t>
      </w:r>
      <w:r>
        <w:rPr>
          <w:rFonts w:ascii="Arial" w:hAnsi="Arial" w:cs="Arial"/>
          <w:b/>
          <w:sz w:val="22"/>
        </w:rPr>
        <w:t>declaración unilateral de voluntad, juicio, conocimiento o deseo realizada por una Administración pública en ejercicio de una potestad administrativa y destinada a producir efectos jurídicos concretos</w:t>
      </w:r>
      <w:r>
        <w:rPr>
          <w:rFonts w:ascii="Arial" w:hAnsi="Arial" w:cs="Arial"/>
          <w:sz w:val="22"/>
        </w:rPr>
        <w:t>.</w:t>
      </w:r>
    </w:p>
    <w:p>
      <w:pPr>
        <w:jc w:val="both"/>
      </w:pPr>
      <w:r>
        <w:rPr>
          <w:rFonts w:ascii="Arial" w:hAnsi="Arial" w:cs="Arial"/>
          <w:sz w:val="22"/>
        </w:rPr>
        <w:t>La definición contiene varias ideas:</w:t>
      </w:r>
    </w:p>
    <w:p>
      <w:pPr>
        <w:pStyle w:val="ListBullet"/>
      </w:pPr>
      <w:r>
        <w:rPr>
          <w:rFonts w:ascii="Arial" w:hAnsi="Arial" w:cs="Arial"/>
          <w:sz w:val="22"/>
        </w:rPr>
        <w:t>Es una declaración intelectual, no una mera actuación física.</w:t>
      </w:r>
    </w:p>
    <w:p>
      <w:pPr>
        <w:pStyle w:val="ListBullet"/>
      </w:pPr>
      <w:r>
        <w:rPr>
          <w:rFonts w:ascii="Arial" w:hAnsi="Arial" w:cs="Arial"/>
          <w:sz w:val="22"/>
        </w:rPr>
        <w:t>Procede de una Administración u otro sujeto cuando ejerce potestades administrativas.</w:t>
      </w:r>
    </w:p>
    <w:p>
      <w:pPr>
        <w:pStyle w:val="ListBullet"/>
      </w:pPr>
      <w:r>
        <w:rPr>
          <w:rFonts w:ascii="Arial" w:hAnsi="Arial" w:cs="Arial"/>
          <w:sz w:val="22"/>
        </w:rPr>
        <w:t>Se dicta bajo Derecho administrativo.</w:t>
      </w:r>
    </w:p>
    <w:p>
      <w:pPr>
        <w:pStyle w:val="ListBullet"/>
      </w:pPr>
      <w:r>
        <w:rPr>
          <w:rFonts w:ascii="Arial" w:hAnsi="Arial" w:cs="Arial"/>
          <w:sz w:val="22"/>
        </w:rPr>
        <w:t>Produce efectos jurídicos externos o relevantes para una relación administrativa.</w:t>
      </w:r>
    </w:p>
    <w:p>
      <w:pPr>
        <w:pStyle w:val="ListBullet"/>
      </w:pPr>
      <w:r>
        <w:rPr>
          <w:rFonts w:ascii="Arial" w:hAnsi="Arial" w:cs="Arial"/>
          <w:sz w:val="22"/>
        </w:rPr>
        <w:t>Se refiere normalmente a un supuesto singular, aunque pueda tener una pluralidad de destinatarios.</w:t>
      </w:r>
    </w:p>
    <w:p>
      <w:pPr>
        <w:jc w:val="both"/>
      </w:pPr>
      <w:r>
        <w:rPr>
          <w:rFonts w:ascii="Arial" w:hAnsi="Arial" w:cs="Arial"/>
          <w:sz w:val="22"/>
        </w:rPr>
        <w:t>La declaración puede ser de voluntad —concesión o sanción—, juicio —valoración—, conocimiento —certificación— o deseo —propuesta—. Los actos de trámite también son administrativos cuando poseen efectos jurídicos dentro del procedimiento.</w:t>
      </w:r>
    </w:p>
    <w:p>
      <w:pPr>
        <w:pStyle w:val="Heading2"/>
        <w:keepNext/>
      </w:pPr>
      <w:r>
        <w:rPr>
          <w:rFonts w:ascii="Arial" w:hAnsi="Arial" w:cs="Arial"/>
          <w:sz w:val="25"/>
        </w:rPr>
        <w:t>1.2. Figuras que deben distinguirse</w:t>
      </w:r>
    </w:p>
    <w:p>
      <w:pPr>
        <w:jc w:val="both"/>
      </w:pPr>
      <w:r>
        <w:rPr>
          <w:rFonts w:ascii="Arial" w:hAnsi="Arial" w:cs="Arial"/>
          <w:sz w:val="22"/>
        </w:rPr>
        <w:t>El acto administrativo no se confunde con:</w:t>
      </w:r>
    </w:p>
    <w:p>
      <w:pPr>
        <w:spacing w:after="40"/>
        <w:ind w:left="369" w:hanging="227"/>
      </w:pPr>
      <w:r>
        <w:rPr>
          <w:rFonts w:ascii="Arial" w:hAnsi="Arial" w:cs="Arial"/>
          <w:sz w:val="22"/>
        </w:rPr>
        <w:t xml:space="preserve">1. </w:t>
      </w:r>
      <w:r>
        <w:rPr>
          <w:rFonts w:ascii="Arial" w:hAnsi="Arial" w:cs="Arial"/>
          <w:b/>
          <w:sz w:val="22"/>
        </w:rPr>
        <w:t>Reglamento.</w:t>
      </w:r>
      <w:r>
        <w:rPr>
          <w:rFonts w:ascii="Arial" w:hAnsi="Arial" w:cs="Arial"/>
          <w:sz w:val="22"/>
        </w:rPr>
        <w:t xml:space="preserve"> El reglamento innova el ordenamiento con vocación general y permanencia; el acto aplica el ordenamiento a una situación concreta. Una convocatoria puede contener bases de naturaleza general, mientras que la lista de admitidos o el nombramiento son actos.</w:t>
      </w:r>
    </w:p>
    <w:p>
      <w:pPr>
        <w:spacing w:after="40"/>
        <w:ind w:left="369" w:hanging="227"/>
      </w:pPr>
      <w:r>
        <w:rPr>
          <w:rFonts w:ascii="Arial" w:hAnsi="Arial" w:cs="Arial"/>
          <w:sz w:val="22"/>
        </w:rPr>
        <w:t xml:space="preserve">2. </w:t>
      </w:r>
      <w:r>
        <w:rPr>
          <w:rFonts w:ascii="Arial" w:hAnsi="Arial" w:cs="Arial"/>
          <w:b/>
          <w:sz w:val="22"/>
        </w:rPr>
        <w:t>Contrato del sector público.</w:t>
      </w:r>
      <w:r>
        <w:rPr>
          <w:rFonts w:ascii="Arial" w:hAnsi="Arial" w:cs="Arial"/>
          <w:sz w:val="22"/>
        </w:rPr>
        <w:t xml:space="preserve"> El contrato nace de un acuerdo de voluntades y se rige por su legislación especial, aunque su preparación y adjudicación incluyan actos administrativos separables.</w:t>
      </w:r>
    </w:p>
    <w:p>
      <w:pPr>
        <w:spacing w:after="40"/>
        <w:ind w:left="369" w:hanging="227"/>
      </w:pPr>
      <w:r>
        <w:rPr>
          <w:rFonts w:ascii="Arial" w:hAnsi="Arial" w:cs="Arial"/>
          <w:sz w:val="22"/>
        </w:rPr>
        <w:t xml:space="preserve">3. </w:t>
      </w:r>
      <w:r>
        <w:rPr>
          <w:rFonts w:ascii="Arial" w:hAnsi="Arial" w:cs="Arial"/>
          <w:b/>
          <w:sz w:val="22"/>
        </w:rPr>
        <w:t>Actuación material.</w:t>
      </w:r>
      <w:r>
        <w:rPr>
          <w:rFonts w:ascii="Arial" w:hAnsi="Arial" w:cs="Arial"/>
          <w:sz w:val="22"/>
        </w:rPr>
        <w:t xml:space="preserve"> Demoler, inspeccionar o pagar son operaciones físicas. Deben estar amparadas por un título jurídico; una actuación material sin acto o fuera de sus límites puede constituir vía de hecho.</w:t>
      </w:r>
    </w:p>
    <w:p>
      <w:pPr>
        <w:spacing w:after="40"/>
        <w:ind w:left="369" w:hanging="227"/>
      </w:pPr>
      <w:r>
        <w:rPr>
          <w:rFonts w:ascii="Arial" w:hAnsi="Arial" w:cs="Arial"/>
          <w:sz w:val="22"/>
        </w:rPr>
        <w:t xml:space="preserve">4. </w:t>
      </w:r>
      <w:r>
        <w:rPr>
          <w:rFonts w:ascii="Arial" w:hAnsi="Arial" w:cs="Arial"/>
          <w:b/>
          <w:sz w:val="22"/>
        </w:rPr>
        <w:t>Acto político o de gobierno.</w:t>
      </w:r>
      <w:r>
        <w:rPr>
          <w:rFonts w:ascii="Arial" w:hAnsi="Arial" w:cs="Arial"/>
          <w:sz w:val="22"/>
        </w:rPr>
        <w:t xml:space="preserve"> Conserva control judicial en sus elementos reglados, derechos fundamentales e indemnizaciones, pero responde a una función constitucional distinta.</w:t>
      </w:r>
    </w:p>
    <w:p>
      <w:pPr>
        <w:spacing w:after="40"/>
        <w:ind w:left="369" w:hanging="227"/>
      </w:pPr>
      <w:r>
        <w:rPr>
          <w:rFonts w:ascii="Arial" w:hAnsi="Arial" w:cs="Arial"/>
          <w:sz w:val="22"/>
        </w:rPr>
        <w:t xml:space="preserve">5. </w:t>
      </w:r>
      <w:r>
        <w:rPr>
          <w:rFonts w:ascii="Arial" w:hAnsi="Arial" w:cs="Arial"/>
          <w:b/>
          <w:sz w:val="22"/>
        </w:rPr>
        <w:t>Acto privado de la Administración.</w:t>
      </w:r>
      <w:r>
        <w:rPr>
          <w:rFonts w:ascii="Arial" w:hAnsi="Arial" w:cs="Arial"/>
          <w:sz w:val="22"/>
        </w:rPr>
        <w:t xml:space="preserve"> Cuando la Administración actúa sometida al Derecho privado, no todo negocio o declaración recibe el régimen general del acto administrativo.</w:t>
      </w:r>
    </w:p>
    <w:p>
      <w:pPr>
        <w:spacing w:after="40"/>
        <w:ind w:left="369" w:hanging="227"/>
      </w:pPr>
      <w:r>
        <w:rPr>
          <w:rFonts w:ascii="Arial" w:hAnsi="Arial" w:cs="Arial"/>
          <w:sz w:val="22"/>
        </w:rPr>
        <w:t xml:space="preserve">6. </w:t>
      </w:r>
      <w:r>
        <w:rPr>
          <w:rFonts w:ascii="Arial" w:hAnsi="Arial" w:cs="Arial"/>
          <w:b/>
          <w:sz w:val="22"/>
        </w:rPr>
        <w:t>Silencio administrativo.</w:t>
      </w:r>
      <w:r>
        <w:rPr>
          <w:rFonts w:ascii="Arial" w:hAnsi="Arial" w:cs="Arial"/>
          <w:sz w:val="22"/>
        </w:rPr>
        <w:t xml:space="preserve"> No es una declaración real de voluntad. Es una ficción legal que atribuye consecuencias a la falta de resolución en plazo.</w:t>
      </w:r>
    </w:p>
    <w:p>
      <w:pPr>
        <w:spacing w:after="100"/>
        <w:ind w:left="340" w:right="227"/>
        <w:shd w:fill="EAF2F8"/>
      </w:pPr>
      <w:r>
        <w:rPr>
          <w:rFonts w:ascii="Arial" w:hAnsi="Arial" w:cs="Arial"/>
          <w:b/>
          <w:sz w:val="20"/>
        </w:rPr>
        <w:t>Clave de examen:</w:t>
      </w:r>
      <w:r>
        <w:rPr>
          <w:rFonts w:ascii="Arial" w:hAnsi="Arial" w:cs="Arial"/>
          <w:sz w:val="20"/>
        </w:rPr>
        <w:t xml:space="preserve"> pluralidad de destinatarios no convierte automáticamente un acto en reglamento. Lo decisivo es si innova el ordenamiento con vocación general o aplica una regulación a un supuesto, aunque este afecte a muchas personas.</w:t>
      </w:r>
    </w:p>
    <w:p>
      <w:pPr>
        <w:pStyle w:val="Heading2"/>
        <w:keepNext/>
      </w:pPr>
      <w:r>
        <w:rPr>
          <w:rFonts w:ascii="Arial" w:hAnsi="Arial" w:cs="Arial"/>
          <w:sz w:val="25"/>
        </w:rPr>
        <w:t>1.3. Elementos del acto</w:t>
      </w:r>
    </w:p>
    <w:p>
      <w:pPr>
        <w:jc w:val="both"/>
      </w:pPr>
      <w:r>
        <w:rPr>
          <w:rFonts w:ascii="Arial" w:hAnsi="Arial" w:cs="Arial"/>
          <w:sz w:val="22"/>
        </w:rPr>
        <w:t>La teoría general distingue elementos subjetivo —órgano competente y voluntad correctamente formada—, objetivo —contenido posible, lícito y determinado—, causal o finalista —presupuesto de hecho y fin público— y formal —procedimiento, motivación y exteriorización—. También cuentan tiempo y territorio.</w:t>
      </w:r>
    </w:p>
    <w:p>
      <w:pPr>
        <w:jc w:val="both"/>
      </w:pPr>
      <w:r>
        <w:rPr>
          <w:rFonts w:ascii="Arial" w:hAnsi="Arial" w:cs="Arial"/>
          <w:sz w:val="22"/>
        </w:rPr>
        <w:t>El artículo 34 LPAC sintetiza varias exigencias. Los actos se producirán por el órgano competente, de oficio o a instancia de la persona interesada, ajustándose a los requisitos y al procedimiento establecidos. Su contenido se ajustará al ordenamiento y será determinado y adecuado a sus fines.</w:t>
      </w:r>
    </w:p>
    <w:p>
      <w:pPr>
        <w:pStyle w:val="Heading1"/>
        <w:keepNext/>
      </w:pPr>
      <w:r>
        <w:rPr>
          <w:rFonts w:ascii="Arial" w:hAnsi="Arial" w:cs="Arial"/>
          <w:sz w:val="30"/>
        </w:rPr>
        <w:t>2. Clases de actos administrativos</w:t>
      </w:r>
    </w:p>
    <w:p>
      <w:pPr>
        <w:jc w:val="both"/>
      </w:pPr>
      <w:r>
        <w:rPr>
          <w:rFonts w:ascii="Arial" w:hAnsi="Arial" w:cs="Arial"/>
          <w:sz w:val="22"/>
        </w:rPr>
        <w:t>Las clasificaciones se superponen: un mismo acto puede ser expreso, favorable, reglado, definitivo y todavía no firme.</w:t>
      </w:r>
    </w:p>
    <w:p>
      <w:pPr>
        <w:pStyle w:val="Heading2"/>
        <w:keepNext/>
      </w:pPr>
      <w:r>
        <w:rPr>
          <w:rFonts w:ascii="Arial" w:hAnsi="Arial" w:cs="Arial"/>
          <w:sz w:val="25"/>
        </w:rPr>
        <w:t>2.1. Favorables y de gravamen</w:t>
      </w:r>
    </w:p>
    <w:p>
      <w:pPr>
        <w:pStyle w:val="ListBullet"/>
      </w:pPr>
      <w:r>
        <w:rPr>
          <w:rFonts w:ascii="Arial" w:hAnsi="Arial" w:cs="Arial"/>
          <w:b/>
          <w:sz w:val="22"/>
        </w:rPr>
        <w:t>Favorables o declarativos de derechos:</w:t>
      </w:r>
      <w:r>
        <w:rPr>
          <w:rFonts w:ascii="Arial" w:hAnsi="Arial" w:cs="Arial"/>
          <w:sz w:val="22"/>
        </w:rPr>
        <w:t xml:space="preserve"> amplían la esfera jurídica, reconocen una ventaja o eliminan una carga. Ejemplos: autorización, subvención o reconocimiento de una prestación.</w:t>
      </w:r>
    </w:p>
    <w:p>
      <w:pPr>
        <w:pStyle w:val="ListBullet"/>
      </w:pPr>
      <w:r>
        <w:rPr>
          <w:rFonts w:ascii="Arial" w:hAnsi="Arial" w:cs="Arial"/>
          <w:b/>
          <w:sz w:val="22"/>
        </w:rPr>
        <w:t>Desfavorables o de gravamen:</w:t>
      </w:r>
      <w:r>
        <w:rPr>
          <w:rFonts w:ascii="Arial" w:hAnsi="Arial" w:cs="Arial"/>
          <w:sz w:val="22"/>
        </w:rPr>
        <w:t xml:space="preserve"> restringen derechos, imponen obligaciones o deniegan una pretensión. Ejemplos: sanción, reintegro o denegación.</w:t>
      </w:r>
    </w:p>
    <w:p>
      <w:pPr>
        <w:jc w:val="both"/>
      </w:pPr>
      <w:r>
        <w:rPr>
          <w:rFonts w:ascii="Arial" w:hAnsi="Arial" w:cs="Arial"/>
          <w:sz w:val="22"/>
        </w:rPr>
        <w:t>La diferencia importa en la retroactividad, la revocación y la revisión. La Administración puede revocar sus actos desfavorables dentro de los límites del artículo 109.1; no puede retirar libremente un acto favorable anulable, sino que debe declararlo lesivo y acudir a la jurisdicción contencioso-administrativa.</w:t>
      </w:r>
    </w:p>
    <w:p>
      <w:pPr>
        <w:pStyle w:val="Heading2"/>
        <w:keepNext/>
      </w:pPr>
      <w:r>
        <w:rPr>
          <w:rFonts w:ascii="Arial" w:hAnsi="Arial" w:cs="Arial"/>
          <w:sz w:val="25"/>
        </w:rPr>
        <w:t>2.2. Resolutorios y de trámite</w:t>
      </w:r>
    </w:p>
    <w:p>
      <w:pPr>
        <w:jc w:val="both"/>
      </w:pPr>
      <w:r>
        <w:rPr>
          <w:rFonts w:ascii="Arial" w:hAnsi="Arial" w:cs="Arial"/>
          <w:sz w:val="22"/>
        </w:rPr>
        <w:t xml:space="preserve">El </w:t>
      </w:r>
      <w:r>
        <w:rPr>
          <w:rFonts w:ascii="Arial" w:hAnsi="Arial" w:cs="Arial"/>
          <w:b/>
          <w:sz w:val="22"/>
        </w:rPr>
        <w:t>acto definitivo o resolutorio</w:t>
      </w:r>
      <w:r>
        <w:rPr>
          <w:rFonts w:ascii="Arial" w:hAnsi="Arial" w:cs="Arial"/>
          <w:sz w:val="22"/>
        </w:rPr>
        <w:t xml:space="preserve"> decide el fondo y pone fin al procedimiento. El </w:t>
      </w:r>
      <w:r>
        <w:rPr>
          <w:rFonts w:ascii="Arial" w:hAnsi="Arial" w:cs="Arial"/>
          <w:b/>
          <w:sz w:val="22"/>
        </w:rPr>
        <w:t>acto de trámite</w:t>
      </w:r>
      <w:r>
        <w:rPr>
          <w:rFonts w:ascii="Arial" w:hAnsi="Arial" w:cs="Arial"/>
          <w:sz w:val="22"/>
        </w:rPr>
        <w:t xml:space="preserve"> prepara la decisión: requerimiento de subsanación, admisión de prueba, informe o propuesta.</w:t>
      </w:r>
    </w:p>
    <w:p>
      <w:pPr>
        <w:jc w:val="both"/>
      </w:pPr>
      <w:r>
        <w:rPr>
          <w:rFonts w:ascii="Arial" w:hAnsi="Arial" w:cs="Arial"/>
          <w:sz w:val="22"/>
        </w:rPr>
        <w:t xml:space="preserve">Como regla, los actos de trámite no se recurren separadamente y sus defectos se alegan al impugnar la resolución. Sí son impugnables los llamados </w:t>
      </w:r>
      <w:r>
        <w:rPr>
          <w:rFonts w:ascii="Arial" w:hAnsi="Arial" w:cs="Arial"/>
          <w:b/>
          <w:sz w:val="22"/>
        </w:rPr>
        <w:t>actos de trámite cualificados</w:t>
      </w:r>
      <w:r>
        <w:rPr>
          <w:rFonts w:ascii="Arial" w:hAnsi="Arial" w:cs="Arial"/>
          <w:sz w:val="22"/>
        </w:rPr>
        <w:t xml:space="preserve"> cuando:</w:t>
      </w:r>
    </w:p>
    <w:p>
      <w:pPr>
        <w:pStyle w:val="ListBullet"/>
      </w:pPr>
      <w:r>
        <w:rPr>
          <w:rFonts w:ascii="Arial" w:hAnsi="Arial" w:cs="Arial"/>
          <w:sz w:val="22"/>
        </w:rPr>
        <w:t>Deciden directa o indirectamente el fondo.</w:t>
      </w:r>
    </w:p>
    <w:p>
      <w:pPr>
        <w:pStyle w:val="ListBullet"/>
      </w:pPr>
      <w:r>
        <w:rPr>
          <w:rFonts w:ascii="Arial" w:hAnsi="Arial" w:cs="Arial"/>
          <w:sz w:val="22"/>
        </w:rPr>
        <w:t>Determinan la imposibilidad de continuar.</w:t>
      </w:r>
    </w:p>
    <w:p>
      <w:pPr>
        <w:pStyle w:val="ListBullet"/>
      </w:pPr>
      <w:r>
        <w:rPr>
          <w:rFonts w:ascii="Arial" w:hAnsi="Arial" w:cs="Arial"/>
          <w:sz w:val="22"/>
        </w:rPr>
        <w:t>Producen indefensión.</w:t>
      </w:r>
    </w:p>
    <w:p>
      <w:pPr>
        <w:pStyle w:val="ListBullet"/>
      </w:pPr>
      <w:r>
        <w:rPr>
          <w:rFonts w:ascii="Arial" w:hAnsi="Arial" w:cs="Arial"/>
          <w:sz w:val="22"/>
        </w:rPr>
        <w:t>Causan perjuicio irreparable a derechos o intereses legítimos.</w:t>
      </w:r>
    </w:p>
    <w:p>
      <w:pPr>
        <w:jc w:val="both"/>
      </w:pPr>
      <w:r>
        <w:rPr>
          <w:rFonts w:ascii="Arial" w:hAnsi="Arial" w:cs="Arial"/>
          <w:sz w:val="22"/>
        </w:rPr>
        <w:t xml:space="preserve">No debe confundirse </w:t>
      </w:r>
      <w:r>
        <w:rPr>
          <w:rFonts w:ascii="Arial" w:hAnsi="Arial" w:cs="Arial"/>
          <w:b/>
          <w:sz w:val="22"/>
        </w:rPr>
        <w:t>acto definitivo</w:t>
      </w:r>
      <w:r>
        <w:rPr>
          <w:rFonts w:ascii="Arial" w:hAnsi="Arial" w:cs="Arial"/>
          <w:sz w:val="22"/>
        </w:rPr>
        <w:t xml:space="preserve"> con </w:t>
      </w:r>
      <w:r>
        <w:rPr>
          <w:rFonts w:ascii="Arial" w:hAnsi="Arial" w:cs="Arial"/>
          <w:b/>
          <w:sz w:val="22"/>
        </w:rPr>
        <w:t>acto firme</w:t>
      </w:r>
      <w:r>
        <w:rPr>
          <w:rFonts w:ascii="Arial" w:hAnsi="Arial" w:cs="Arial"/>
          <w:sz w:val="22"/>
        </w:rPr>
        <w:t xml:space="preserve">. El primero termina un procedimiento; el firme ya no puede ser combatido mediante recursos ordinarios por haber transcurrido los plazos o haberse agotado las vías disponibles. Tampoco equivale necesariamente a acto que </w:t>
      </w:r>
      <w:r>
        <w:rPr>
          <w:rFonts w:ascii="Arial" w:hAnsi="Arial" w:cs="Arial"/>
          <w:b/>
          <w:sz w:val="22"/>
        </w:rPr>
        <w:t>pone fin a la vía administrativa</w:t>
      </w:r>
      <w:r>
        <w:rPr>
          <w:rFonts w:ascii="Arial" w:hAnsi="Arial" w:cs="Arial"/>
          <w:sz w:val="22"/>
        </w:rPr>
        <w:t>: esta expresión determina si procede recurso de alzada o, en su caso, reposición y recurso contencioso.</w:t>
      </w:r>
    </w:p>
    <w:p>
      <w:pPr>
        <w:pStyle w:val="Heading2"/>
        <w:keepNext/>
      </w:pPr>
      <w:r>
        <w:rPr>
          <w:rFonts w:ascii="Arial" w:hAnsi="Arial" w:cs="Arial"/>
          <w:sz w:val="25"/>
        </w:rPr>
        <w:t>2.3. Expresos y presuntos</w:t>
      </w:r>
    </w:p>
    <w:p>
      <w:pPr>
        <w:pStyle w:val="ListBullet"/>
      </w:pPr>
      <w:r>
        <w:rPr>
          <w:rFonts w:ascii="Arial" w:hAnsi="Arial" w:cs="Arial"/>
          <w:b/>
          <w:sz w:val="22"/>
        </w:rPr>
        <w:t>Expreso:</w:t>
      </w:r>
      <w:r>
        <w:rPr>
          <w:rFonts w:ascii="Arial" w:hAnsi="Arial" w:cs="Arial"/>
          <w:sz w:val="22"/>
        </w:rPr>
        <w:t xml:space="preserve"> existe una declaración formal y exteriorizada.</w:t>
      </w:r>
    </w:p>
    <w:p>
      <w:pPr>
        <w:pStyle w:val="ListBullet"/>
      </w:pPr>
      <w:r>
        <w:rPr>
          <w:rFonts w:ascii="Arial" w:hAnsi="Arial" w:cs="Arial"/>
          <w:b/>
          <w:sz w:val="22"/>
        </w:rPr>
        <w:t>Presunto:</w:t>
      </w:r>
      <w:r>
        <w:rPr>
          <w:rFonts w:ascii="Arial" w:hAnsi="Arial" w:cs="Arial"/>
          <w:sz w:val="22"/>
        </w:rPr>
        <w:t xml:space="preserve"> la ley atribuye un efecto estimatorio o desestimatorio al vencimiento del plazo sin notificación de resolución.</w:t>
      </w:r>
    </w:p>
    <w:p>
      <w:pPr>
        <w:jc w:val="both"/>
      </w:pPr>
      <w:r>
        <w:rPr>
          <w:rFonts w:ascii="Arial" w:hAnsi="Arial" w:cs="Arial"/>
          <w:sz w:val="22"/>
        </w:rPr>
        <w:t>El deber de resolver subsiste aunque se haya producido silencio. En el silencio positivo, la estimación tiene consideración de acto finalizador; en el negativo, la ficción permite recurrir, pero no libera a la Administración de dictar resolución.</w:t>
      </w:r>
    </w:p>
    <w:p>
      <w:pPr>
        <w:pStyle w:val="Heading2"/>
        <w:keepNext/>
      </w:pPr>
      <w:r>
        <w:rPr>
          <w:rFonts w:ascii="Arial" w:hAnsi="Arial" w:cs="Arial"/>
          <w:sz w:val="25"/>
        </w:rPr>
        <w:t>2.4. Reglados y discrecionales</w:t>
      </w:r>
    </w:p>
    <w:p>
      <w:pPr>
        <w:jc w:val="both"/>
      </w:pPr>
      <w:r>
        <w:rPr>
          <w:rFonts w:ascii="Arial" w:hAnsi="Arial" w:cs="Arial"/>
          <w:sz w:val="22"/>
        </w:rPr>
        <w:t xml:space="preserve">En los </w:t>
      </w:r>
      <w:r>
        <w:rPr>
          <w:rFonts w:ascii="Arial" w:hAnsi="Arial" w:cs="Arial"/>
          <w:b/>
          <w:sz w:val="22"/>
        </w:rPr>
        <w:t>actos reglados</w:t>
      </w:r>
      <w:r>
        <w:rPr>
          <w:rFonts w:ascii="Arial" w:hAnsi="Arial" w:cs="Arial"/>
          <w:sz w:val="22"/>
        </w:rPr>
        <w:t xml:space="preserve">, la norma predetermina los elementos de la decisión, de modo que, acreditado el supuesto, existe una consecuencia jurídica. En los </w:t>
      </w:r>
      <w:r>
        <w:rPr>
          <w:rFonts w:ascii="Arial" w:hAnsi="Arial" w:cs="Arial"/>
          <w:b/>
          <w:sz w:val="22"/>
        </w:rPr>
        <w:t>discrecionales</w:t>
      </w:r>
      <w:r>
        <w:rPr>
          <w:rFonts w:ascii="Arial" w:hAnsi="Arial" w:cs="Arial"/>
          <w:sz w:val="22"/>
        </w:rPr>
        <w:t>, el ordenamiento deja un margen de elección legítima entre alternativas conformes a Derecho.</w:t>
      </w:r>
    </w:p>
    <w:p>
      <w:pPr>
        <w:jc w:val="both"/>
      </w:pPr>
      <w:r>
        <w:rPr>
          <w:rFonts w:ascii="Arial" w:hAnsi="Arial" w:cs="Arial"/>
          <w:sz w:val="22"/>
        </w:rPr>
        <w:t>Discrecionalidad no significa arbitrariedad. Son controlables la competencia, el procedimiento, los hechos determinantes, el fin, los principios generales y la motivación. La desviación de poder —usar la potestad para un fin distinto— es causa de anulabilidad. Además, los actos dictados en ejercicio de potestades discrecionales deben motivarse.</w:t>
      </w:r>
    </w:p>
    <w:p>
      <w:pPr>
        <w:pStyle w:val="Heading2"/>
        <w:keepNext/>
      </w:pPr>
      <w:r>
        <w:rPr>
          <w:rFonts w:ascii="Arial" w:hAnsi="Arial" w:cs="Arial"/>
          <w:sz w:val="25"/>
        </w:rPr>
        <w:t>2.5. Otras clasificaciones útiles</w:t>
      </w:r>
    </w:p>
    <w:tbl>
      <w:tblPr>
        <w:tblStyle w:val="TableGrid"/>
        <w:tblW w:type="dxa" w:w="9026"/>
        <w:jc w:val="left"/>
        <w:tblLayout w:type="fixed"/>
        <w:tblLook w:firstColumn="1" w:firstRow="1" w:lastColumn="0" w:lastRow="0" w:noHBand="0" w:noVBand="1" w:val="04A0"/>
        <w:tblInd w:w="120" w:type="dxa"/>
      </w:tblPr>
      <w:tblGrid>
        <w:gridCol w:w="1671"/>
        <w:gridCol w:w="2340"/>
        <w:gridCol w:w="5015"/>
      </w:tblGrid>
      <w:tr>
        <w:trPr>
          <w:tblHeader w:val="true"/>
        </w:trPr>
        <w:tc>
          <w:tcPr>
            <w:tcW w:type="dxa" w:w="167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Criterio</w:t>
            </w:r>
          </w:p>
        </w:tc>
        <w:tc>
          <w:tcPr>
            <w:tcW w:type="dxa" w:w="234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Tipos</w:t>
            </w:r>
          </w:p>
        </w:tc>
        <w:tc>
          <w:tcPr>
            <w:tcW w:type="dxa" w:w="501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Idea esencial</w:t>
            </w:r>
          </w:p>
        </w:tc>
      </w:tr>
      <w:tr>
        <w:tc>
          <w:tcPr>
            <w:tcW w:type="dxa" w:w="1671"/>
            <w:tcMar>
              <w:top w:w="80" w:type="dxa"/>
              <w:start w:w="120" w:type="dxa"/>
              <w:bottom w:w="80" w:type="dxa"/>
              <w:end w:w="120" w:type="dxa"/>
            </w:tcMar>
            <w:vAlign w:val="center"/>
          </w:tcPr>
          <w:p>
            <w:pPr>
              <w:spacing w:before="0" w:after="0" w:line="240" w:lineRule="auto"/>
              <w:jc w:val="left"/>
            </w:pPr>
            <w:r/>
            <w:r>
              <w:rPr>
                <w:rFonts w:ascii="Arial" w:hAnsi="Arial" w:cs="Arial"/>
                <w:sz w:val="18"/>
              </w:rPr>
              <w:t>Destinatarios</w:t>
            </w:r>
          </w:p>
        </w:tc>
        <w:tc>
          <w:tcPr>
            <w:tcW w:type="dxa" w:w="2340"/>
            <w:tcMar>
              <w:top w:w="80" w:type="dxa"/>
              <w:start w:w="120" w:type="dxa"/>
              <w:bottom w:w="80" w:type="dxa"/>
              <w:end w:w="120" w:type="dxa"/>
            </w:tcMar>
            <w:vAlign w:val="center"/>
          </w:tcPr>
          <w:p>
            <w:pPr>
              <w:spacing w:before="0" w:after="0" w:line="240" w:lineRule="auto"/>
              <w:jc w:val="left"/>
            </w:pPr>
            <w:r/>
            <w:r>
              <w:rPr>
                <w:rFonts w:ascii="Arial" w:hAnsi="Arial" w:cs="Arial"/>
                <w:sz w:val="18"/>
              </w:rPr>
              <w:t>Singulares o generales/plúrimos</w:t>
            </w:r>
          </w:p>
        </w:tc>
        <w:tc>
          <w:tcPr>
            <w:tcW w:type="dxa" w:w="5015"/>
            <w:tcMar>
              <w:top w:w="80" w:type="dxa"/>
              <w:start w:w="120" w:type="dxa"/>
              <w:bottom w:w="80" w:type="dxa"/>
              <w:end w:w="120" w:type="dxa"/>
            </w:tcMar>
            <w:vAlign w:val="center"/>
          </w:tcPr>
          <w:p>
            <w:pPr>
              <w:spacing w:before="0" w:after="0" w:line="240" w:lineRule="auto"/>
              <w:jc w:val="left"/>
            </w:pPr>
            <w:r/>
            <w:r>
              <w:rPr>
                <w:rFonts w:ascii="Arial" w:hAnsi="Arial" w:cs="Arial"/>
                <w:sz w:val="18"/>
              </w:rPr>
              <w:t>Uno o varios destinatarios; el acto plúrimo sigue sin ser necesariamente reglamento</w:t>
            </w:r>
          </w:p>
        </w:tc>
      </w:tr>
      <w:tr>
        <w:tc>
          <w:tcPr>
            <w:tcW w:type="dxa" w:w="1671"/>
            <w:tcMar>
              <w:top w:w="80" w:type="dxa"/>
              <w:start w:w="120" w:type="dxa"/>
              <w:bottom w:w="80" w:type="dxa"/>
              <w:end w:w="120" w:type="dxa"/>
            </w:tcMar>
            <w:vAlign w:val="center"/>
          </w:tcPr>
          <w:p>
            <w:pPr>
              <w:spacing w:before="0" w:after="0" w:line="240" w:lineRule="auto"/>
              <w:jc w:val="left"/>
            </w:pPr>
            <w:r/>
            <w:r>
              <w:rPr>
                <w:rFonts w:ascii="Arial" w:hAnsi="Arial" w:cs="Arial"/>
                <w:sz w:val="18"/>
              </w:rPr>
              <w:t>Efecto</w:t>
            </w:r>
          </w:p>
        </w:tc>
        <w:tc>
          <w:tcPr>
            <w:tcW w:type="dxa" w:w="2340"/>
            <w:tcMar>
              <w:top w:w="80" w:type="dxa"/>
              <w:start w:w="120" w:type="dxa"/>
              <w:bottom w:w="80" w:type="dxa"/>
              <w:end w:w="120" w:type="dxa"/>
            </w:tcMar>
            <w:vAlign w:val="center"/>
          </w:tcPr>
          <w:p>
            <w:pPr>
              <w:spacing w:before="0" w:after="0" w:line="240" w:lineRule="auto"/>
              <w:jc w:val="left"/>
            </w:pPr>
            <w:r/>
            <w:r>
              <w:rPr>
                <w:rFonts w:ascii="Arial" w:hAnsi="Arial" w:cs="Arial"/>
                <w:sz w:val="18"/>
              </w:rPr>
              <w:t>Constitutivos o declarativos</w:t>
            </w:r>
          </w:p>
        </w:tc>
        <w:tc>
          <w:tcPr>
            <w:tcW w:type="dxa" w:w="5015"/>
            <w:tcMar>
              <w:top w:w="80" w:type="dxa"/>
              <w:start w:w="120" w:type="dxa"/>
              <w:bottom w:w="80" w:type="dxa"/>
              <w:end w:w="120" w:type="dxa"/>
            </w:tcMar>
            <w:vAlign w:val="center"/>
          </w:tcPr>
          <w:p>
            <w:pPr>
              <w:spacing w:before="0" w:after="0" w:line="240" w:lineRule="auto"/>
              <w:jc w:val="left"/>
            </w:pPr>
            <w:r/>
            <w:r>
              <w:rPr>
                <w:rFonts w:ascii="Arial" w:hAnsi="Arial" w:cs="Arial"/>
                <w:sz w:val="18"/>
              </w:rPr>
              <w:t>Crean/modifican una situación o reconocen/acreditan una preexistente</w:t>
            </w:r>
          </w:p>
        </w:tc>
      </w:tr>
      <w:tr>
        <w:tc>
          <w:tcPr>
            <w:tcW w:type="dxa" w:w="1671"/>
            <w:tcMar>
              <w:top w:w="80" w:type="dxa"/>
              <w:start w:w="120" w:type="dxa"/>
              <w:bottom w:w="80" w:type="dxa"/>
              <w:end w:w="120" w:type="dxa"/>
            </w:tcMar>
            <w:vAlign w:val="center"/>
          </w:tcPr>
          <w:p>
            <w:pPr>
              <w:spacing w:before="0" w:after="0" w:line="240" w:lineRule="auto"/>
              <w:jc w:val="left"/>
            </w:pPr>
            <w:r/>
            <w:r>
              <w:rPr>
                <w:rFonts w:ascii="Arial" w:hAnsi="Arial" w:cs="Arial"/>
                <w:sz w:val="18"/>
              </w:rPr>
              <w:t>Contenido</w:t>
            </w:r>
          </w:p>
        </w:tc>
        <w:tc>
          <w:tcPr>
            <w:tcW w:type="dxa" w:w="2340"/>
            <w:tcMar>
              <w:top w:w="80" w:type="dxa"/>
              <w:start w:w="120" w:type="dxa"/>
              <w:bottom w:w="80" w:type="dxa"/>
              <w:end w:w="120" w:type="dxa"/>
            </w:tcMar>
            <w:vAlign w:val="center"/>
          </w:tcPr>
          <w:p>
            <w:pPr>
              <w:spacing w:before="0" w:after="0" w:line="240" w:lineRule="auto"/>
              <w:jc w:val="left"/>
            </w:pPr>
            <w:r/>
            <w:r>
              <w:rPr>
                <w:rFonts w:ascii="Arial" w:hAnsi="Arial" w:cs="Arial"/>
                <w:sz w:val="18"/>
              </w:rPr>
              <w:t>Personales o reales</w:t>
            </w:r>
          </w:p>
        </w:tc>
        <w:tc>
          <w:tcPr>
            <w:tcW w:type="dxa" w:w="5015"/>
            <w:tcMar>
              <w:top w:w="80" w:type="dxa"/>
              <w:start w:w="120" w:type="dxa"/>
              <w:bottom w:w="80" w:type="dxa"/>
              <w:end w:w="120" w:type="dxa"/>
            </w:tcMar>
            <w:vAlign w:val="center"/>
          </w:tcPr>
          <w:p>
            <w:pPr>
              <w:spacing w:before="0" w:after="0" w:line="240" w:lineRule="auto"/>
              <w:jc w:val="left"/>
            </w:pPr>
            <w:r/>
            <w:r>
              <w:rPr>
                <w:rFonts w:ascii="Arial" w:hAnsi="Arial" w:cs="Arial"/>
                <w:sz w:val="18"/>
              </w:rPr>
              <w:t>Inciden principalmente sobre una persona o sobre una cosa/situación patrimonial</w:t>
            </w:r>
          </w:p>
        </w:tc>
      </w:tr>
      <w:tr>
        <w:tc>
          <w:tcPr>
            <w:tcW w:type="dxa" w:w="1671"/>
            <w:tcMar>
              <w:top w:w="80" w:type="dxa"/>
              <w:start w:w="120" w:type="dxa"/>
              <w:bottom w:w="80" w:type="dxa"/>
              <w:end w:w="120" w:type="dxa"/>
            </w:tcMar>
            <w:vAlign w:val="center"/>
          </w:tcPr>
          <w:p>
            <w:pPr>
              <w:spacing w:before="0" w:after="0" w:line="240" w:lineRule="auto"/>
              <w:jc w:val="left"/>
            </w:pPr>
            <w:r/>
            <w:r>
              <w:rPr>
                <w:rFonts w:ascii="Arial" w:hAnsi="Arial" w:cs="Arial"/>
                <w:sz w:val="18"/>
              </w:rPr>
              <w:t>Intervención orgánica</w:t>
            </w:r>
          </w:p>
        </w:tc>
        <w:tc>
          <w:tcPr>
            <w:tcW w:type="dxa" w:w="2340"/>
            <w:tcMar>
              <w:top w:w="80" w:type="dxa"/>
              <w:start w:w="120" w:type="dxa"/>
              <w:bottom w:w="80" w:type="dxa"/>
              <w:end w:w="120" w:type="dxa"/>
            </w:tcMar>
            <w:vAlign w:val="center"/>
          </w:tcPr>
          <w:p>
            <w:pPr>
              <w:spacing w:before="0" w:after="0" w:line="240" w:lineRule="auto"/>
              <w:jc w:val="left"/>
            </w:pPr>
            <w:r/>
            <w:r>
              <w:rPr>
                <w:rFonts w:ascii="Arial" w:hAnsi="Arial" w:cs="Arial"/>
                <w:sz w:val="18"/>
              </w:rPr>
              <w:t>Simples o complejos</w:t>
            </w:r>
          </w:p>
        </w:tc>
        <w:tc>
          <w:tcPr>
            <w:tcW w:type="dxa" w:w="5015"/>
            <w:tcMar>
              <w:top w:w="80" w:type="dxa"/>
              <w:start w:w="120" w:type="dxa"/>
              <w:bottom w:w="80" w:type="dxa"/>
              <w:end w:w="120" w:type="dxa"/>
            </w:tcMar>
            <w:vAlign w:val="center"/>
          </w:tcPr>
          <w:p>
            <w:pPr>
              <w:spacing w:before="0" w:after="0" w:line="240" w:lineRule="auto"/>
              <w:jc w:val="left"/>
            </w:pPr>
            <w:r/>
            <w:r>
              <w:rPr>
                <w:rFonts w:ascii="Arial" w:hAnsi="Arial" w:cs="Arial"/>
                <w:sz w:val="18"/>
              </w:rPr>
              <w:t>Proceden de un órgano o exigen formación conjunta de varias voluntades</w:t>
            </w:r>
          </w:p>
        </w:tc>
      </w:tr>
      <w:tr>
        <w:tc>
          <w:tcPr>
            <w:tcW w:type="dxa" w:w="1671"/>
            <w:tcMar>
              <w:top w:w="80" w:type="dxa"/>
              <w:start w:w="120" w:type="dxa"/>
              <w:bottom w:w="80" w:type="dxa"/>
              <w:end w:w="120" w:type="dxa"/>
            </w:tcMar>
            <w:vAlign w:val="center"/>
          </w:tcPr>
          <w:p>
            <w:pPr>
              <w:spacing w:before="0" w:after="0" w:line="240" w:lineRule="auto"/>
              <w:jc w:val="left"/>
            </w:pPr>
            <w:r/>
            <w:r>
              <w:rPr>
                <w:rFonts w:ascii="Arial" w:hAnsi="Arial" w:cs="Arial"/>
                <w:sz w:val="18"/>
              </w:rPr>
              <w:t>Agotamiento de vía</w:t>
            </w:r>
          </w:p>
        </w:tc>
        <w:tc>
          <w:tcPr>
            <w:tcW w:type="dxa" w:w="2340"/>
            <w:tcMar>
              <w:top w:w="80" w:type="dxa"/>
              <w:start w:w="120" w:type="dxa"/>
              <w:bottom w:w="80" w:type="dxa"/>
              <w:end w:w="120" w:type="dxa"/>
            </w:tcMar>
            <w:vAlign w:val="center"/>
          </w:tcPr>
          <w:p>
            <w:pPr>
              <w:spacing w:before="0" w:after="0" w:line="240" w:lineRule="auto"/>
              <w:jc w:val="left"/>
            </w:pPr>
            <w:r/>
            <w:r>
              <w:rPr>
                <w:rFonts w:ascii="Arial" w:hAnsi="Arial" w:cs="Arial"/>
                <w:sz w:val="18"/>
              </w:rPr>
              <w:t>Causan o no estado</w:t>
            </w:r>
          </w:p>
        </w:tc>
        <w:tc>
          <w:tcPr>
            <w:tcW w:type="dxa" w:w="5015"/>
            <w:tcMar>
              <w:top w:w="80" w:type="dxa"/>
              <w:start w:w="120" w:type="dxa"/>
              <w:bottom w:w="80" w:type="dxa"/>
              <w:end w:w="120" w:type="dxa"/>
            </w:tcMar>
            <w:vAlign w:val="center"/>
          </w:tcPr>
          <w:p>
            <w:pPr>
              <w:spacing w:before="0" w:after="0" w:line="240" w:lineRule="auto"/>
              <w:jc w:val="left"/>
            </w:pPr>
            <w:r/>
            <w:r>
              <w:rPr>
                <w:rFonts w:ascii="Arial" w:hAnsi="Arial" w:cs="Arial"/>
                <w:sz w:val="18"/>
              </w:rPr>
              <w:t>Determinan el recurso administrativo procedente</w:t>
            </w:r>
          </w:p>
        </w:tc>
      </w:tr>
      <w:tr>
        <w:tc>
          <w:tcPr>
            <w:tcW w:type="dxa" w:w="1671"/>
            <w:tcMar>
              <w:top w:w="80" w:type="dxa"/>
              <w:start w:w="120" w:type="dxa"/>
              <w:bottom w:w="80" w:type="dxa"/>
              <w:end w:w="120" w:type="dxa"/>
            </w:tcMar>
            <w:vAlign w:val="center"/>
          </w:tcPr>
          <w:p>
            <w:pPr>
              <w:spacing w:before="0" w:after="0" w:line="240" w:lineRule="auto"/>
              <w:jc w:val="left"/>
            </w:pPr>
            <w:r/>
            <w:r>
              <w:rPr>
                <w:rFonts w:ascii="Arial" w:hAnsi="Arial" w:cs="Arial"/>
                <w:sz w:val="18"/>
              </w:rPr>
              <w:t>Impugnabilidad</w:t>
            </w:r>
          </w:p>
        </w:tc>
        <w:tc>
          <w:tcPr>
            <w:tcW w:type="dxa" w:w="2340"/>
            <w:tcMar>
              <w:top w:w="80" w:type="dxa"/>
              <w:start w:w="120" w:type="dxa"/>
              <w:bottom w:w="80" w:type="dxa"/>
              <w:end w:w="120" w:type="dxa"/>
            </w:tcMar>
            <w:vAlign w:val="center"/>
          </w:tcPr>
          <w:p>
            <w:pPr>
              <w:spacing w:before="0" w:after="0" w:line="240" w:lineRule="auto"/>
              <w:jc w:val="left"/>
            </w:pPr>
            <w:r/>
            <w:r>
              <w:rPr>
                <w:rFonts w:ascii="Arial" w:hAnsi="Arial" w:cs="Arial"/>
                <w:sz w:val="18"/>
              </w:rPr>
              <w:t>Firmes o no firmes</w:t>
            </w:r>
          </w:p>
        </w:tc>
        <w:tc>
          <w:tcPr>
            <w:tcW w:type="dxa" w:w="5015"/>
            <w:tcMar>
              <w:top w:w="80" w:type="dxa"/>
              <w:start w:w="120" w:type="dxa"/>
              <w:bottom w:w="80" w:type="dxa"/>
              <w:end w:w="120" w:type="dxa"/>
            </w:tcMar>
            <w:vAlign w:val="center"/>
          </w:tcPr>
          <w:p>
            <w:pPr>
              <w:spacing w:before="0" w:after="0" w:line="240" w:lineRule="auto"/>
              <w:jc w:val="left"/>
            </w:pPr>
            <w:r/>
            <w:r>
              <w:rPr>
                <w:rFonts w:ascii="Arial" w:hAnsi="Arial" w:cs="Arial"/>
                <w:sz w:val="18"/>
              </w:rPr>
              <w:t>Han quedado o no fuera de los recursos ordinarios</w:t>
            </w:r>
          </w:p>
        </w:tc>
      </w:tr>
    </w:tbl>
    <w:p>
      <w:pPr>
        <w:spacing w:after="40"/>
      </w:pPr>
    </w:p>
    <w:p>
      <w:pPr>
        <w:jc w:val="both"/>
      </w:pPr>
      <w:r>
        <w:rPr>
          <w:rFonts w:ascii="Arial" w:hAnsi="Arial" w:cs="Arial"/>
          <w:sz w:val="22"/>
        </w:rPr>
        <w:t>Una resolución puede ser definitiva pero no firme durante el plazo de recurso; puede ser firme en vía administrativa y, sin embargo, todavía recurrible judicialmente si no ha vencido el plazo contencioso.</w:t>
      </w:r>
    </w:p>
    <w:p>
      <w:pPr>
        <w:pStyle w:val="Heading1"/>
        <w:keepNext/>
      </w:pPr>
      <w:r>
        <w:rPr>
          <w:rFonts w:ascii="Arial" w:hAnsi="Arial" w:cs="Arial"/>
          <w:sz w:val="30"/>
        </w:rPr>
        <w:t>3. Producción y contenido</w:t>
      </w:r>
    </w:p>
    <w:p>
      <w:pPr>
        <w:pStyle w:val="Heading2"/>
        <w:keepNext/>
      </w:pPr>
      <w:r>
        <w:rPr>
          <w:rFonts w:ascii="Arial" w:hAnsi="Arial" w:cs="Arial"/>
          <w:sz w:val="25"/>
        </w:rPr>
        <w:t>3.1. Competencia y procedimiento</w:t>
      </w:r>
    </w:p>
    <w:p>
      <w:pPr>
        <w:jc w:val="both"/>
      </w:pPr>
      <w:r>
        <w:rPr>
          <w:rFonts w:ascii="Arial" w:hAnsi="Arial" w:cs="Arial"/>
          <w:sz w:val="22"/>
        </w:rPr>
        <w:t>El acto debe proceder del órgano al que el ordenamiento atribuye la potestad. La incompetencia puede tener consecuencias distintas:</w:t>
      </w:r>
    </w:p>
    <w:p>
      <w:pPr>
        <w:pStyle w:val="ListBullet"/>
      </w:pPr>
      <w:r>
        <w:rPr>
          <w:rFonts w:ascii="Arial" w:hAnsi="Arial" w:cs="Arial"/>
          <w:sz w:val="22"/>
        </w:rPr>
        <w:t>Si es manifiesta por razón de materia o territorio, determina nulidad de pleno derecho.</w:t>
      </w:r>
    </w:p>
    <w:p>
      <w:pPr>
        <w:pStyle w:val="ListBullet"/>
      </w:pPr>
      <w:r>
        <w:rPr>
          <w:rFonts w:ascii="Arial" w:hAnsi="Arial" w:cs="Arial"/>
          <w:sz w:val="22"/>
        </w:rPr>
        <w:t>Si no alcanza esa gravedad —por ejemplo, ciertos defectos jerárquicos— produce anulabilidad y puede permitir convalidación por el órgano superior competente.</w:t>
      </w:r>
    </w:p>
    <w:p>
      <w:pPr>
        <w:jc w:val="both"/>
      </w:pPr>
      <w:r>
        <w:rPr>
          <w:rFonts w:ascii="Arial" w:hAnsi="Arial" w:cs="Arial"/>
          <w:sz w:val="22"/>
        </w:rPr>
        <w:t>La decisión ha de seguir el procedimiento aplicable. La omisión total y absoluta del procedimiento legalmente establecido es causa de nulidad; una infracción procedimental ordinaria produce anulabilidad si es relevante, y el defecto formal solo invalida cuando impide alcanzar el fin del acto o causa indefensión.</w:t>
      </w:r>
    </w:p>
    <w:p>
      <w:pPr>
        <w:pStyle w:val="Heading2"/>
        <w:keepNext/>
      </w:pPr>
      <w:r>
        <w:rPr>
          <w:rFonts w:ascii="Arial" w:hAnsi="Arial" w:cs="Arial"/>
          <w:sz w:val="25"/>
        </w:rPr>
        <w:t>3.2. Contenido lícito y adecuado</w:t>
      </w:r>
    </w:p>
    <w:p>
      <w:pPr>
        <w:jc w:val="both"/>
      </w:pPr>
      <w:r>
        <w:rPr>
          <w:rFonts w:ascii="Arial" w:hAnsi="Arial" w:cs="Arial"/>
          <w:sz w:val="22"/>
        </w:rPr>
        <w:t>El contenido ha de ser conforme al ordenamiento, posible, determinado o determinable, congruente con el objeto y adecuado al fin público. El contenido imposible es nulo, pero la mera dificultad de ejecución no basta: la imposibilidad debe ser real y afectar a lo decidido.</w:t>
      </w:r>
    </w:p>
    <w:p>
      <w:pPr>
        <w:pStyle w:val="Heading2"/>
        <w:keepNext/>
      </w:pPr>
      <w:r>
        <w:rPr>
          <w:rFonts w:ascii="Arial" w:hAnsi="Arial" w:cs="Arial"/>
          <w:sz w:val="25"/>
        </w:rPr>
        <w:t>3.3. Inderogabilidad singular</w:t>
      </w:r>
    </w:p>
    <w:p>
      <w:pPr>
        <w:jc w:val="both"/>
      </w:pPr>
      <w:r>
        <w:rPr>
          <w:rFonts w:ascii="Arial" w:hAnsi="Arial" w:cs="Arial"/>
          <w:sz w:val="22"/>
        </w:rPr>
        <w:t>El artículo 37 establece que las resoluciones administrativas de carácter particular no pueden vulnerar una disposición de carácter general, aunque procedan de un órgano de igual o superior jerarquía que el que aprobó el reglamento.</w:t>
      </w:r>
    </w:p>
    <w:p>
      <w:pPr>
        <w:jc w:val="both"/>
      </w:pPr>
      <w:r>
        <w:rPr>
          <w:rFonts w:ascii="Arial" w:hAnsi="Arial" w:cs="Arial"/>
          <w:sz w:val="22"/>
        </w:rPr>
        <w:t>La Administración no puede dispensar para un caso concreto la regla general que ella misma ha dictado. Si considera que el reglamento es inadecuado, debe modificarlo o derogarlo por el cauce correspondiente. Son nulas las resoluciones que vulneren una disposición reglamentaria, además de las incursas en las causas del artículo 47.</w:t>
      </w:r>
    </w:p>
    <w:p>
      <w:pPr>
        <w:pStyle w:val="Heading1"/>
        <w:keepNext/>
      </w:pPr>
      <w:r>
        <w:rPr>
          <w:rFonts w:ascii="Arial" w:hAnsi="Arial" w:cs="Arial"/>
          <w:sz w:val="30"/>
        </w:rPr>
        <w:t>4. Motivación</w:t>
      </w:r>
    </w:p>
    <w:p>
      <w:pPr>
        <w:pStyle w:val="Heading2"/>
        <w:keepNext/>
      </w:pPr>
      <w:r>
        <w:rPr>
          <w:rFonts w:ascii="Arial" w:hAnsi="Arial" w:cs="Arial"/>
          <w:sz w:val="25"/>
        </w:rPr>
        <w:t>4.1. Función y contenido</w:t>
      </w:r>
    </w:p>
    <w:p>
      <w:pPr>
        <w:jc w:val="both"/>
      </w:pPr>
      <w:r>
        <w:rPr>
          <w:rFonts w:ascii="Arial" w:hAnsi="Arial" w:cs="Arial"/>
          <w:sz w:val="22"/>
        </w:rPr>
        <w:t>Motivar significa expresar las razones de hecho y de Derecho que justifican la decisión. No equivale a reproducir fórmulas genéricas ni a acumular citas: debe revelar el itinerario lógico, permitir la defensa y facilitar el control.</w:t>
      </w:r>
    </w:p>
    <w:p>
      <w:pPr>
        <w:jc w:val="both"/>
      </w:pPr>
      <w:r>
        <w:rPr>
          <w:rFonts w:ascii="Arial" w:hAnsi="Arial" w:cs="Arial"/>
          <w:sz w:val="22"/>
        </w:rPr>
        <w:t>La motivación será sucinta, pero suficiente. Puede apoyarse en informes o propuestas incorporados al expediente si la resolución los acepta de forma reconocible y la persona interesada puede conocerlos. La extensión exigible depende de la complejidad, del margen discrecional y de la intensidad con que se afecten derechos.</w:t>
      </w:r>
    </w:p>
    <w:p>
      <w:pPr>
        <w:pStyle w:val="Heading2"/>
        <w:keepNext/>
      </w:pPr>
      <w:r>
        <w:rPr>
          <w:rFonts w:ascii="Arial" w:hAnsi="Arial" w:cs="Arial"/>
          <w:sz w:val="25"/>
        </w:rPr>
        <w:t>4.2. Supuestos obligatorios del artículo 35</w:t>
      </w:r>
    </w:p>
    <w:p>
      <w:pPr>
        <w:jc w:val="both"/>
      </w:pPr>
      <w:r>
        <w:rPr>
          <w:rFonts w:ascii="Arial" w:hAnsi="Arial" w:cs="Arial"/>
          <w:sz w:val="22"/>
        </w:rPr>
        <w:t>Deben motivarse, con sucinta referencia de hechos y fundamentos jurídicos:</w:t>
      </w:r>
    </w:p>
    <w:p>
      <w:pPr>
        <w:spacing w:after="40"/>
        <w:ind w:left="369" w:hanging="227"/>
      </w:pPr>
      <w:r>
        <w:rPr>
          <w:rFonts w:ascii="Arial" w:hAnsi="Arial" w:cs="Arial"/>
          <w:sz w:val="22"/>
        </w:rPr>
        <w:t>1. Los actos que limiten derechos subjetivos o intereses legítimos.</w:t>
      </w:r>
    </w:p>
    <w:p>
      <w:pPr>
        <w:spacing w:after="40"/>
        <w:ind w:left="369" w:hanging="227"/>
      </w:pPr>
      <w:r>
        <w:rPr>
          <w:rFonts w:ascii="Arial" w:hAnsi="Arial" w:cs="Arial"/>
          <w:sz w:val="22"/>
        </w:rPr>
        <w:t>2. Los que resuelvan procedimientos de revisión de oficio de disposiciones o actos, recursos administrativos y procedimientos de arbitraje, y los que declaren su inadmisión.</w:t>
      </w:r>
    </w:p>
    <w:p>
      <w:pPr>
        <w:spacing w:after="40"/>
        <w:ind w:left="369" w:hanging="227"/>
      </w:pPr>
      <w:r>
        <w:rPr>
          <w:rFonts w:ascii="Arial" w:hAnsi="Arial" w:cs="Arial"/>
          <w:sz w:val="22"/>
        </w:rPr>
        <w:t>3. Los que se separen del criterio seguido en actuaciones precedentes o del dictamen de órganos consultivos.</w:t>
      </w:r>
    </w:p>
    <w:p>
      <w:pPr>
        <w:spacing w:after="40"/>
        <w:ind w:left="369" w:hanging="227"/>
      </w:pPr>
      <w:r>
        <w:rPr>
          <w:rFonts w:ascii="Arial" w:hAnsi="Arial" w:cs="Arial"/>
          <w:sz w:val="22"/>
        </w:rPr>
        <w:t>4. Los acuerdos de suspensión de actos, cualquiera que sea su motivo, y la adopción de medidas provisionales.</w:t>
      </w:r>
    </w:p>
    <w:p>
      <w:pPr>
        <w:spacing w:after="40"/>
        <w:ind w:left="369" w:hanging="227"/>
      </w:pPr>
      <w:r>
        <w:rPr>
          <w:rFonts w:ascii="Arial" w:hAnsi="Arial" w:cs="Arial"/>
          <w:sz w:val="22"/>
        </w:rPr>
        <w:t>5. Los acuerdos de tramitación de urgencia, ampliación de plazos y realización de actuaciones complementarias.</w:t>
      </w:r>
    </w:p>
    <w:p>
      <w:pPr>
        <w:spacing w:after="40"/>
        <w:ind w:left="369" w:hanging="227"/>
      </w:pPr>
      <w:r>
        <w:rPr>
          <w:rFonts w:ascii="Arial" w:hAnsi="Arial" w:cs="Arial"/>
          <w:sz w:val="22"/>
        </w:rPr>
        <w:t>6. Los actos que rechacen pruebas propuestas por las personas interesadas.</w:t>
      </w:r>
    </w:p>
    <w:p>
      <w:pPr>
        <w:spacing w:after="40"/>
        <w:ind w:left="369" w:hanging="227"/>
      </w:pPr>
      <w:r>
        <w:rPr>
          <w:rFonts w:ascii="Arial" w:hAnsi="Arial" w:cs="Arial"/>
          <w:sz w:val="22"/>
        </w:rPr>
        <w:t>7. Los que acuerden la terminación por imposibilidad material de continuar por causas sobrevenidas, así como los que acuerden el desistimiento de la Administración en procedimientos iniciados de oficio.</w:t>
      </w:r>
    </w:p>
    <w:p>
      <w:pPr>
        <w:spacing w:after="40"/>
        <w:ind w:left="369" w:hanging="227"/>
      </w:pPr>
      <w:r>
        <w:rPr>
          <w:rFonts w:ascii="Arial" w:hAnsi="Arial" w:cs="Arial"/>
          <w:sz w:val="22"/>
        </w:rPr>
        <w:t>8. Las propuestas de resolución en procedimientos sancionadores y los actos que resuelvan procedimientos sancionadores o de responsabilidad patrimonial.</w:t>
      </w:r>
    </w:p>
    <w:p>
      <w:pPr>
        <w:spacing w:after="40"/>
        <w:ind w:left="369" w:hanging="227"/>
      </w:pPr>
      <w:r>
        <w:rPr>
          <w:rFonts w:ascii="Arial" w:hAnsi="Arial" w:cs="Arial"/>
          <w:sz w:val="22"/>
        </w:rPr>
        <w:t>9. Los actos dictados en ejercicio de potestades discrecionales y los que deban motivarse por disposición legal o reglamentaria expresa.</w:t>
      </w:r>
    </w:p>
    <w:p>
      <w:pPr>
        <w:jc w:val="both"/>
      </w:pPr>
      <w:r>
        <w:rPr>
          <w:rFonts w:ascii="Arial" w:hAnsi="Arial" w:cs="Arial"/>
          <w:sz w:val="22"/>
        </w:rPr>
        <w:t>En procedimientos selectivos y de concurrencia competitiva, la motivación se realizará de acuerdo con las normas de la convocatoria. Deben quedar acreditados en el procedimiento los fundamentos de la resolución: una puntuación puede ser motivación suficiente solo si responde a criterios previos, comprensibles y verificables.</w:t>
      </w:r>
    </w:p>
    <w:p>
      <w:pPr>
        <w:spacing w:after="100"/>
        <w:ind w:left="340" w:right="227"/>
        <w:shd w:fill="EAF2F8"/>
      </w:pPr>
      <w:r>
        <w:rPr>
          <w:rFonts w:ascii="Arial" w:hAnsi="Arial" w:cs="Arial"/>
          <w:b/>
          <w:sz w:val="20"/>
        </w:rPr>
        <w:t>Trampa frecuente:</w:t>
      </w:r>
      <w:r>
        <w:rPr>
          <w:rFonts w:ascii="Arial" w:hAnsi="Arial" w:cs="Arial"/>
          <w:sz w:val="20"/>
        </w:rPr>
        <w:t xml:space="preserve"> la LPAC no exige motivación expresa de absolutamente todos los actos, pero sí de los incluidos en el artículo 35. La falta de motivación no convierte por regla general el acto en nulo de pleno derecho; normalmente lleva a anulabilidad si impide su finalidad garantista o causa indefensión.</w:t>
      </w:r>
    </w:p>
    <w:p>
      <w:pPr>
        <w:pStyle w:val="Heading2"/>
        <w:keepNext/>
      </w:pPr>
      <w:r>
        <w:rPr>
          <w:rFonts w:ascii="Arial" w:hAnsi="Arial" w:cs="Arial"/>
          <w:sz w:val="25"/>
        </w:rPr>
        <w:t>4.3. Motivación, congruencia y discrecionalidad</w:t>
      </w:r>
    </w:p>
    <w:p>
      <w:pPr>
        <w:jc w:val="both"/>
      </w:pPr>
      <w:r>
        <w:rPr>
          <w:rFonts w:ascii="Arial" w:hAnsi="Arial" w:cs="Arial"/>
          <w:sz w:val="22"/>
        </w:rPr>
        <w:t>La resolución debe decidir las cuestiones planteadas y derivadas. Si incorpora una conexa no alegada, antes permitirá alegaciones. En potestades discrecionales debe explicar por qué la alternativa elegida sirve al interés público y respeta igualdad, proporcionalidad e interdicción de arbitrariedad.</w:t>
      </w:r>
    </w:p>
    <w:p>
      <w:pPr>
        <w:pStyle w:val="Heading1"/>
        <w:keepNext/>
      </w:pPr>
      <w:r>
        <w:rPr>
          <w:rFonts w:ascii="Arial" w:hAnsi="Arial" w:cs="Arial"/>
          <w:sz w:val="30"/>
        </w:rPr>
        <w:t>5. Forma</w:t>
      </w:r>
    </w:p>
    <w:p>
      <w:pPr>
        <w:pStyle w:val="Heading2"/>
        <w:keepNext/>
      </w:pPr>
      <w:r>
        <w:rPr>
          <w:rFonts w:ascii="Arial" w:hAnsi="Arial" w:cs="Arial"/>
          <w:sz w:val="25"/>
        </w:rPr>
        <w:t>5.1. Regla: forma escrita por medios electrónicos</w:t>
      </w:r>
    </w:p>
    <w:p>
      <w:pPr>
        <w:jc w:val="both"/>
      </w:pPr>
      <w:r>
        <w:rPr>
          <w:rFonts w:ascii="Arial" w:hAnsi="Arial" w:cs="Arial"/>
          <w:sz w:val="22"/>
        </w:rPr>
        <w:t xml:space="preserve">Conforme al artículo 36.1, los actos se producirán </w:t>
      </w:r>
      <w:r>
        <w:rPr>
          <w:rFonts w:ascii="Arial" w:hAnsi="Arial" w:cs="Arial"/>
          <w:b/>
          <w:sz w:val="22"/>
        </w:rPr>
        <w:t>por escrito a través de medios electrónicos</w:t>
      </w:r>
      <w:r>
        <w:rPr>
          <w:rFonts w:ascii="Arial" w:hAnsi="Arial" w:cs="Arial"/>
          <w:sz w:val="22"/>
        </w:rPr>
        <w:t>, salvo que su naturaleza exija otra forma más adecuada de expresión y constancia. La forma electrónica no rebaja garantías: deben identificarse órgano, titular, fecha, contenido e integridad del documento y cumplirse los requisitos de firma aplicables.</w:t>
      </w:r>
    </w:p>
    <w:p>
      <w:pPr>
        <w:jc w:val="both"/>
      </w:pPr>
      <w:r>
        <w:rPr>
          <w:rFonts w:ascii="Arial" w:hAnsi="Arial" w:cs="Arial"/>
          <w:sz w:val="22"/>
        </w:rPr>
        <w:t>Forma y motivación son conceptos distintos. La forma responde a cómo se exterioriza el acto; la motivación, a por qué se adopta. Un acto escrito puede carecer de motivación y uno verbal puede estar jurídicamente motivado, aunque sea necesario dejar constancia.</w:t>
      </w:r>
    </w:p>
    <w:p>
      <w:pPr>
        <w:pStyle w:val="Heading2"/>
        <w:keepNext/>
      </w:pPr>
      <w:r>
        <w:rPr>
          <w:rFonts w:ascii="Arial" w:hAnsi="Arial" w:cs="Arial"/>
          <w:sz w:val="25"/>
        </w:rPr>
        <w:t>5.2. Actos verbales</w:t>
      </w:r>
    </w:p>
    <w:p>
      <w:pPr>
        <w:jc w:val="both"/>
      </w:pPr>
      <w:r>
        <w:rPr>
          <w:rFonts w:ascii="Arial" w:hAnsi="Arial" w:cs="Arial"/>
          <w:sz w:val="22"/>
        </w:rPr>
        <w:t>Cuando el órgano ejerza su competencia verbalmente y sea necesaria constancia escrita, la efectuará y firmará el titular del órgano inferior o el funcionario que reciba oralmente la orden, expresando en la comunicación la autoridad de la que procede.</w:t>
      </w:r>
    </w:p>
    <w:p>
      <w:pPr>
        <w:jc w:val="both"/>
      </w:pPr>
      <w:r>
        <w:rPr>
          <w:rFonts w:ascii="Arial" w:hAnsi="Arial" w:cs="Arial"/>
          <w:sz w:val="22"/>
        </w:rPr>
        <w:t>Si se trata de resoluciones, el titular de la competencia debe autorizar una relación de las dictadas verbalmente, con expresión de su contenido. La regla evita que una orden oral quede sin trazabilidad, pero no convierte a quien la transcribe en autor del acto.</w:t>
      </w:r>
    </w:p>
    <w:p>
      <w:pPr>
        <w:pStyle w:val="Heading2"/>
        <w:keepNext/>
      </w:pPr>
      <w:r>
        <w:rPr>
          <w:rFonts w:ascii="Arial" w:hAnsi="Arial" w:cs="Arial"/>
          <w:sz w:val="25"/>
        </w:rPr>
        <w:t>5.3. Serie de actos</w:t>
      </w:r>
    </w:p>
    <w:p>
      <w:pPr>
        <w:jc w:val="both"/>
      </w:pPr>
      <w:r>
        <w:rPr>
          <w:rFonts w:ascii="Arial" w:hAnsi="Arial" w:cs="Arial"/>
          <w:sz w:val="22"/>
        </w:rPr>
        <w:t>Cuando deban dictarse muchos actos de la misma naturaleza —nombramientos, concesiones o licencias— pueden refundirse en un único acto acordado por el órgano competente. Este debe especificar las personas u otras circunstancias que individualicen los efectos para cada destinatario.</w:t>
      </w:r>
    </w:p>
    <w:p>
      <w:pPr>
        <w:pStyle w:val="Heading1"/>
        <w:keepNext/>
      </w:pPr>
      <w:r>
        <w:rPr>
          <w:rFonts w:ascii="Arial" w:hAnsi="Arial" w:cs="Arial"/>
          <w:sz w:val="30"/>
        </w:rPr>
        <w:t>6. Validez, ejecutividad y eficacia</w:t>
      </w:r>
    </w:p>
    <w:p>
      <w:pPr>
        <w:pStyle w:val="Heading2"/>
        <w:keepNext/>
      </w:pPr>
      <w:r>
        <w:rPr>
          <w:rFonts w:ascii="Arial" w:hAnsi="Arial" w:cs="Arial"/>
          <w:sz w:val="25"/>
        </w:rPr>
        <w:t>6.1. Presunción de validez</w:t>
      </w:r>
    </w:p>
    <w:p>
      <w:pPr>
        <w:jc w:val="both"/>
      </w:pPr>
      <w:r>
        <w:rPr>
          <w:rFonts w:ascii="Arial" w:hAnsi="Arial" w:cs="Arial"/>
          <w:sz w:val="22"/>
        </w:rPr>
        <w:t xml:space="preserve">Los actos sujetos al Derecho administrativo se </w:t>
      </w:r>
      <w:r>
        <w:rPr>
          <w:rFonts w:ascii="Arial" w:hAnsi="Arial" w:cs="Arial"/>
          <w:b/>
          <w:sz w:val="22"/>
        </w:rPr>
        <w:t>presumen válidos</w:t>
      </w:r>
      <w:r>
        <w:rPr>
          <w:rFonts w:ascii="Arial" w:hAnsi="Arial" w:cs="Arial"/>
          <w:sz w:val="22"/>
        </w:rPr>
        <w:t xml:space="preserve">. La presunción es </w:t>
      </w:r>
      <w:r>
        <w:rPr>
          <w:rFonts w:ascii="Arial" w:hAnsi="Arial" w:cs="Arial"/>
          <w:i/>
          <w:sz w:val="22"/>
        </w:rPr>
        <w:t>iuris tantum</w:t>
      </w:r>
      <w:r>
        <w:rPr>
          <w:rFonts w:ascii="Arial" w:hAnsi="Arial" w:cs="Arial"/>
          <w:sz w:val="22"/>
        </w:rPr>
        <w:t>: desplaza a quien impugna la carga de alegar y acreditar el vicio, pero puede ser destruida por los cauces de revisión o recurso.</w:t>
      </w:r>
    </w:p>
    <w:p>
      <w:pPr>
        <w:jc w:val="both"/>
      </w:pPr>
      <w:r>
        <w:rPr>
          <w:rFonts w:ascii="Arial" w:hAnsi="Arial" w:cs="Arial"/>
          <w:sz w:val="22"/>
        </w:rPr>
        <w:t>Validez y eficacia no son sinónimos:</w:t>
      </w:r>
    </w:p>
    <w:p>
      <w:pPr>
        <w:pStyle w:val="ListBullet"/>
      </w:pPr>
      <w:r>
        <w:rPr>
          <w:rFonts w:ascii="Arial" w:hAnsi="Arial" w:cs="Arial"/>
          <w:b/>
          <w:sz w:val="22"/>
        </w:rPr>
        <w:t>Validez</w:t>
      </w:r>
      <w:r>
        <w:rPr>
          <w:rFonts w:ascii="Arial" w:hAnsi="Arial" w:cs="Arial"/>
          <w:sz w:val="22"/>
        </w:rPr>
        <w:t xml:space="preserve"> es conformidad del acto con el ordenamiento.</w:t>
      </w:r>
    </w:p>
    <w:p>
      <w:pPr>
        <w:pStyle w:val="ListBullet"/>
      </w:pPr>
      <w:r>
        <w:rPr>
          <w:rFonts w:ascii="Arial" w:hAnsi="Arial" w:cs="Arial"/>
          <w:b/>
          <w:sz w:val="22"/>
        </w:rPr>
        <w:t>Eficacia</w:t>
      </w:r>
      <w:r>
        <w:rPr>
          <w:rFonts w:ascii="Arial" w:hAnsi="Arial" w:cs="Arial"/>
          <w:sz w:val="22"/>
        </w:rPr>
        <w:t xml:space="preserve"> es aptitud para producir sus efectos.</w:t>
      </w:r>
    </w:p>
    <w:p>
      <w:pPr>
        <w:pStyle w:val="ListBullet"/>
      </w:pPr>
      <w:r>
        <w:rPr>
          <w:rFonts w:ascii="Arial" w:hAnsi="Arial" w:cs="Arial"/>
          <w:b/>
          <w:sz w:val="22"/>
        </w:rPr>
        <w:t>Ejecutividad</w:t>
      </w:r>
      <w:r>
        <w:rPr>
          <w:rFonts w:ascii="Arial" w:hAnsi="Arial" w:cs="Arial"/>
          <w:sz w:val="22"/>
        </w:rPr>
        <w:t xml:space="preserve"> significa que el acto obliga y puede ser llevado a cumplimiento sin una declaración judicial previa.</w:t>
      </w:r>
    </w:p>
    <w:p>
      <w:pPr>
        <w:pStyle w:val="ListBullet"/>
      </w:pPr>
      <w:r>
        <w:rPr>
          <w:rFonts w:ascii="Arial" w:hAnsi="Arial" w:cs="Arial"/>
          <w:b/>
          <w:sz w:val="22"/>
        </w:rPr>
        <w:t>Ejecución forzosa</w:t>
      </w:r>
      <w:r>
        <w:rPr>
          <w:rFonts w:ascii="Arial" w:hAnsi="Arial" w:cs="Arial"/>
          <w:sz w:val="22"/>
        </w:rPr>
        <w:t xml:space="preserve"> es la actividad material coactiva utilizada, cuando procede, ante incumplimiento.</w:t>
      </w:r>
    </w:p>
    <w:p>
      <w:pPr>
        <w:jc w:val="both"/>
      </w:pPr>
      <w:r>
        <w:rPr>
          <w:rFonts w:ascii="Arial" w:hAnsi="Arial" w:cs="Arial"/>
          <w:sz w:val="22"/>
        </w:rPr>
        <w:t>Un acto válido puede no ser todavía eficaz porque falta notificación o aprobación. Un acto inválido puede desplegar provisionalmente efectos mientras no sea anulado, debido a la presunción de validez.</w:t>
      </w:r>
    </w:p>
    <w:p>
      <w:pPr>
        <w:pStyle w:val="Heading2"/>
        <w:keepNext/>
      </w:pPr>
      <w:r>
        <w:rPr>
          <w:rFonts w:ascii="Arial" w:hAnsi="Arial" w:cs="Arial"/>
          <w:sz w:val="25"/>
        </w:rPr>
        <w:t>6.2. Momento de producción de efectos</w:t>
      </w:r>
    </w:p>
    <w:p>
      <w:pPr>
        <w:jc w:val="both"/>
      </w:pPr>
      <w:r>
        <w:rPr>
          <w:rFonts w:ascii="Arial" w:hAnsi="Arial" w:cs="Arial"/>
          <w:sz w:val="22"/>
        </w:rPr>
        <w:t>La regla del artículo 39 es que los actos producen efectos desde la fecha en que se dicten. La eficacia queda demorada cuando:</w:t>
      </w:r>
    </w:p>
    <w:p>
      <w:pPr>
        <w:pStyle w:val="ListBullet"/>
      </w:pPr>
      <w:r>
        <w:rPr>
          <w:rFonts w:ascii="Arial" w:hAnsi="Arial" w:cs="Arial"/>
          <w:sz w:val="22"/>
        </w:rPr>
        <w:t>Lo exige el contenido del acto.</w:t>
      </w:r>
    </w:p>
    <w:p>
      <w:pPr>
        <w:pStyle w:val="ListBullet"/>
      </w:pPr>
      <w:r>
        <w:rPr>
          <w:rFonts w:ascii="Arial" w:hAnsi="Arial" w:cs="Arial"/>
          <w:sz w:val="22"/>
        </w:rPr>
        <w:t>Está supeditada a notificación.</w:t>
      </w:r>
    </w:p>
    <w:p>
      <w:pPr>
        <w:pStyle w:val="ListBullet"/>
      </w:pPr>
      <w:r>
        <w:rPr>
          <w:rFonts w:ascii="Arial" w:hAnsi="Arial" w:cs="Arial"/>
          <w:sz w:val="22"/>
        </w:rPr>
        <w:t>Requiere publicación.</w:t>
      </w:r>
    </w:p>
    <w:p>
      <w:pPr>
        <w:pStyle w:val="ListBullet"/>
      </w:pPr>
      <w:r>
        <w:rPr>
          <w:rFonts w:ascii="Arial" w:hAnsi="Arial" w:cs="Arial"/>
          <w:sz w:val="22"/>
        </w:rPr>
        <w:t>Precisa aprobación superior.</w:t>
      </w:r>
    </w:p>
    <w:p>
      <w:pPr>
        <w:jc w:val="both"/>
      </w:pPr>
      <w:r>
        <w:rPr>
          <w:rFonts w:ascii="Arial" w:hAnsi="Arial" w:cs="Arial"/>
          <w:sz w:val="22"/>
        </w:rPr>
        <w:t>Para el destinatario de una resolución individual, la notificación suele ser condición de eficacia. La fecha del acto y la fecha desde la que comienza el plazo de recurso pueden, por ello, no coincidir.</w:t>
      </w:r>
    </w:p>
    <w:p>
      <w:pPr>
        <w:pStyle w:val="Heading2"/>
        <w:keepNext/>
      </w:pPr>
      <w:r>
        <w:rPr>
          <w:rFonts w:ascii="Arial" w:hAnsi="Arial" w:cs="Arial"/>
          <w:sz w:val="25"/>
        </w:rPr>
        <w:t>6.3. Retroactividad excepcional</w:t>
      </w:r>
    </w:p>
    <w:p>
      <w:pPr>
        <w:jc w:val="both"/>
      </w:pPr>
      <w:r>
        <w:rPr>
          <w:rFonts w:ascii="Arial" w:hAnsi="Arial" w:cs="Arial"/>
          <w:sz w:val="22"/>
        </w:rPr>
        <w:t>Puede otorgarse eficacia retroactiva:</w:t>
      </w:r>
    </w:p>
    <w:p>
      <w:pPr>
        <w:spacing w:after="40"/>
        <w:ind w:left="369" w:hanging="227"/>
      </w:pPr>
      <w:r>
        <w:rPr>
          <w:rFonts w:ascii="Arial" w:hAnsi="Arial" w:cs="Arial"/>
          <w:sz w:val="22"/>
        </w:rPr>
        <w:t>1. Cuando el acto se dicta en sustitución de otro anulado.</w:t>
      </w:r>
    </w:p>
    <w:p>
      <w:pPr>
        <w:spacing w:after="40"/>
        <w:ind w:left="369" w:hanging="227"/>
      </w:pPr>
      <w:r>
        <w:rPr>
          <w:rFonts w:ascii="Arial" w:hAnsi="Arial" w:cs="Arial"/>
          <w:sz w:val="22"/>
        </w:rPr>
        <w:t>2. Cuando produce efectos favorables, siempre que los supuestos de hecho necesarios existieran ya en la fecha a la que se retrotraiga y no se lesionen derechos o intereses legítimos de otras personas.</w:t>
      </w:r>
    </w:p>
    <w:p>
      <w:pPr>
        <w:jc w:val="both"/>
      </w:pPr>
      <w:r>
        <w:rPr>
          <w:rFonts w:ascii="Arial" w:hAnsi="Arial" w:cs="Arial"/>
          <w:sz w:val="22"/>
        </w:rPr>
        <w:t>La retroactividad no es la regla y no sirve para sanar indiscriminadamente defectos. En actos favorables exige cumulativamente realidad previa del presupuesto y ausencia de perjuicio a terceros.</w:t>
      </w:r>
    </w:p>
    <w:p>
      <w:pPr>
        <w:pStyle w:val="Heading2"/>
        <w:keepNext/>
      </w:pPr>
      <w:r>
        <w:rPr>
          <w:rFonts w:ascii="Arial" w:hAnsi="Arial" w:cs="Arial"/>
          <w:sz w:val="25"/>
        </w:rPr>
        <w:t>6.4. Ejecutividad y suspensión</w:t>
      </w:r>
    </w:p>
    <w:p>
      <w:pPr>
        <w:jc w:val="both"/>
      </w:pPr>
      <w:r>
        <w:rPr>
          <w:rFonts w:ascii="Arial" w:hAnsi="Arial" w:cs="Arial"/>
          <w:sz w:val="22"/>
        </w:rPr>
        <w:t>El artículo 38 declara ejecutivos los actos sujetos al Derecho administrativo. El artículo 98 concreta su inmediata ejecutividad, salvo, entre otros supuestos, que:</w:t>
      </w:r>
    </w:p>
    <w:p>
      <w:pPr>
        <w:pStyle w:val="ListBullet"/>
      </w:pPr>
      <w:r>
        <w:rPr>
          <w:rFonts w:ascii="Arial" w:hAnsi="Arial" w:cs="Arial"/>
          <w:sz w:val="22"/>
        </w:rPr>
        <w:t>Se suspenda su ejecución.</w:t>
      </w:r>
    </w:p>
    <w:p>
      <w:pPr>
        <w:pStyle w:val="ListBullet"/>
      </w:pPr>
      <w:r>
        <w:rPr>
          <w:rFonts w:ascii="Arial" w:hAnsi="Arial" w:cs="Arial"/>
          <w:sz w:val="22"/>
        </w:rPr>
        <w:t>Sea una resolución sancionadora contra la que quepa algún recurso administrativo, incluido el potestativo de reposición.</w:t>
      </w:r>
    </w:p>
    <w:p>
      <w:pPr>
        <w:pStyle w:val="ListBullet"/>
      </w:pPr>
      <w:r>
        <w:rPr>
          <w:rFonts w:ascii="Arial" w:hAnsi="Arial" w:cs="Arial"/>
          <w:sz w:val="22"/>
        </w:rPr>
        <w:t>Una disposición establezca lo contrario.</w:t>
      </w:r>
    </w:p>
    <w:p>
      <w:pPr>
        <w:pStyle w:val="ListBullet"/>
      </w:pPr>
      <w:r>
        <w:rPr>
          <w:rFonts w:ascii="Arial" w:hAnsi="Arial" w:cs="Arial"/>
          <w:sz w:val="22"/>
        </w:rPr>
        <w:t>Se necesite aprobación o autorización superior.</w:t>
      </w:r>
    </w:p>
    <w:p>
      <w:pPr>
        <w:jc w:val="both"/>
      </w:pPr>
      <w:r>
        <w:rPr>
          <w:rFonts w:ascii="Arial" w:hAnsi="Arial" w:cs="Arial"/>
          <w:sz w:val="22"/>
        </w:rPr>
        <w:t>Interponer un recurso no suspende automáticamente la ejecución, salvo previsión o acuerdo de suspensión. Esta precisión evita confundir impugnabilidad con falta de eficacia.</w:t>
      </w:r>
    </w:p>
    <w:p>
      <w:pPr>
        <w:pStyle w:val="Heading1"/>
        <w:keepNext/>
      </w:pPr>
      <w:r>
        <w:rPr>
          <w:rFonts w:ascii="Arial" w:hAnsi="Arial" w:cs="Arial"/>
          <w:sz w:val="30"/>
        </w:rPr>
        <w:t>7. Notificación</w:t>
      </w:r>
    </w:p>
    <w:p>
      <w:pPr>
        <w:pStyle w:val="Heading2"/>
        <w:keepNext/>
      </w:pPr>
      <w:r>
        <w:rPr>
          <w:rFonts w:ascii="Arial" w:hAnsi="Arial" w:cs="Arial"/>
          <w:sz w:val="25"/>
        </w:rPr>
        <w:t>7.1. Sujetos, plazo y contenido</w:t>
      </w:r>
    </w:p>
    <w:p>
      <w:pPr>
        <w:jc w:val="both"/>
      </w:pPr>
      <w:r>
        <w:rPr>
          <w:rFonts w:ascii="Arial" w:hAnsi="Arial" w:cs="Arial"/>
          <w:sz w:val="22"/>
        </w:rPr>
        <w:t xml:space="preserve">El órgano que dicte resoluciones y actos administrativos los notificará a quienes vean afectados sus derechos e intereses. La notificación deberá cursarse dentro de los </w:t>
      </w:r>
      <w:r>
        <w:rPr>
          <w:rFonts w:ascii="Arial" w:hAnsi="Arial" w:cs="Arial"/>
          <w:b/>
          <w:sz w:val="22"/>
        </w:rPr>
        <w:t>diez días</w:t>
      </w:r>
      <w:r>
        <w:rPr>
          <w:rFonts w:ascii="Arial" w:hAnsi="Arial" w:cs="Arial"/>
          <w:sz w:val="22"/>
        </w:rPr>
        <w:t xml:space="preserve"> siguientes a la fecha en que el acto haya sido dictado.</w:t>
      </w:r>
    </w:p>
    <w:p>
      <w:pPr>
        <w:jc w:val="both"/>
      </w:pPr>
      <w:r>
        <w:rPr>
          <w:rFonts w:ascii="Arial" w:hAnsi="Arial" w:cs="Arial"/>
          <w:sz w:val="22"/>
        </w:rPr>
        <w:t>Debe contener:</w:t>
      </w:r>
    </w:p>
    <w:p>
      <w:pPr>
        <w:pStyle w:val="ListBullet"/>
      </w:pPr>
      <w:r>
        <w:rPr>
          <w:rFonts w:ascii="Arial" w:hAnsi="Arial" w:cs="Arial"/>
          <w:sz w:val="22"/>
        </w:rPr>
        <w:t>Texto íntegro de la resolución.</w:t>
      </w:r>
    </w:p>
    <w:p>
      <w:pPr>
        <w:pStyle w:val="ListBullet"/>
      </w:pPr>
      <w:r>
        <w:rPr>
          <w:rFonts w:ascii="Arial" w:hAnsi="Arial" w:cs="Arial"/>
          <w:sz w:val="22"/>
        </w:rPr>
        <w:t>Indicación de si pone o no fin a la vía administrativa.</w:t>
      </w:r>
    </w:p>
    <w:p>
      <w:pPr>
        <w:pStyle w:val="ListBullet"/>
      </w:pPr>
      <w:r>
        <w:rPr>
          <w:rFonts w:ascii="Arial" w:hAnsi="Arial" w:cs="Arial"/>
          <w:sz w:val="22"/>
        </w:rPr>
        <w:t>Recursos administrativos y judiciales procedentes, sin perjuicio de que pueda ejercitarse cualquier otro.</w:t>
      </w:r>
    </w:p>
    <w:p>
      <w:pPr>
        <w:pStyle w:val="ListBullet"/>
      </w:pPr>
      <w:r>
        <w:rPr>
          <w:rFonts w:ascii="Arial" w:hAnsi="Arial" w:cs="Arial"/>
          <w:sz w:val="22"/>
        </w:rPr>
        <w:t>Órgano ante el que deben presentarse.</w:t>
      </w:r>
    </w:p>
    <w:p>
      <w:pPr>
        <w:pStyle w:val="ListBullet"/>
      </w:pPr>
      <w:r>
        <w:rPr>
          <w:rFonts w:ascii="Arial" w:hAnsi="Arial" w:cs="Arial"/>
          <w:sz w:val="22"/>
        </w:rPr>
        <w:t>Plazo para interponerlos.</w:t>
      </w:r>
    </w:p>
    <w:p>
      <w:pPr>
        <w:jc w:val="both"/>
      </w:pPr>
      <w:r>
        <w:rPr>
          <w:rFonts w:ascii="Arial" w:hAnsi="Arial" w:cs="Arial"/>
          <w:sz w:val="22"/>
        </w:rPr>
        <w:t>El plazo de diez días es un plazo para cursar la notificación. Su incumplimiento no anula por sí solo el acto ni convierte automáticamente en estimada una solicitud; habrá que valorar las consecuencias del retraso y el plazo máximo del procedimiento.</w:t>
      </w:r>
    </w:p>
    <w:p>
      <w:pPr>
        <w:pStyle w:val="Heading2"/>
        <w:keepNext/>
      </w:pPr>
      <w:r>
        <w:rPr>
          <w:rFonts w:ascii="Arial" w:hAnsi="Arial" w:cs="Arial"/>
          <w:sz w:val="25"/>
        </w:rPr>
        <w:t>7.2. Notificación defectuosa</w:t>
      </w:r>
    </w:p>
    <w:p>
      <w:pPr>
        <w:jc w:val="both"/>
      </w:pPr>
      <w:r>
        <w:rPr>
          <w:rFonts w:ascii="Arial" w:hAnsi="Arial" w:cs="Arial"/>
          <w:sz w:val="22"/>
        </w:rPr>
        <w:t>Si contiene el texto íntegro pero omite algún otro requisito, surtirá efecto desde la fecha en que la persona interesada realice actuaciones que supongan conocimiento del contenido y alcance de la resolución o interponga cualquier recurso procedente.</w:t>
      </w:r>
    </w:p>
    <w:p>
      <w:pPr>
        <w:jc w:val="both"/>
      </w:pPr>
      <w:r>
        <w:rPr>
          <w:rFonts w:ascii="Arial" w:hAnsi="Arial" w:cs="Arial"/>
          <w:sz w:val="22"/>
        </w:rPr>
        <w:t>Para entender cumplida la obligación de notificar dentro del plazo máximo del procedimiento basta con una notificación que contenga, al menos, el texto íntegro y un intento de notificación debidamente acreditado. Esta regla de cumplimiento temporal no debe confundirse con la eficacia frente al destinatario ni con el inicio del plazo de recurso.</w:t>
      </w:r>
    </w:p>
    <w:p>
      <w:pPr>
        <w:spacing w:after="100"/>
        <w:ind w:left="340" w:right="227"/>
        <w:shd w:fill="EAF2F8"/>
      </w:pPr>
      <w:r>
        <w:rPr>
          <w:rFonts w:ascii="Arial" w:hAnsi="Arial" w:cs="Arial"/>
          <w:b/>
          <w:sz w:val="20"/>
        </w:rPr>
        <w:t>Distinción decisiva:</w:t>
      </w:r>
      <w:r>
        <w:rPr>
          <w:rFonts w:ascii="Arial" w:hAnsi="Arial" w:cs="Arial"/>
          <w:sz w:val="20"/>
        </w:rPr>
        <w:t xml:space="preserve"> una cosa es que la Administración haya cumplido el plazo máximo para resolver y notificar; otra, que la notificación sea plenamente eficaz para iniciar el plazo de impugnación.</w:t>
      </w:r>
    </w:p>
    <w:p>
      <w:pPr>
        <w:pStyle w:val="Heading2"/>
        <w:keepNext/>
      </w:pPr>
      <w:r>
        <w:rPr>
          <w:rFonts w:ascii="Arial" w:hAnsi="Arial" w:cs="Arial"/>
          <w:sz w:val="25"/>
        </w:rPr>
        <w:t>7.3. Condiciones generales de práctica</w:t>
      </w:r>
    </w:p>
    <w:p>
      <w:pPr>
        <w:jc w:val="both"/>
      </w:pPr>
      <w:r>
        <w:rPr>
          <w:rFonts w:ascii="Arial" w:hAnsi="Arial" w:cs="Arial"/>
          <w:sz w:val="22"/>
        </w:rPr>
        <w:t>Las notificaciones se practicarán preferentemente por medios electrónicos y obligatoriamente así cuando la persona interesada esté obligada a relacionarse electrónicamente. Quien no esté obligado puede elegir en cualquier momento comunicarse electrónicamente o dejar de hacerlo, por los modelos y cauces establecidos.</w:t>
      </w:r>
    </w:p>
    <w:p>
      <w:pPr>
        <w:jc w:val="both"/>
      </w:pPr>
      <w:r>
        <w:rPr>
          <w:rFonts w:ascii="Arial" w:hAnsi="Arial" w:cs="Arial"/>
          <w:sz w:val="22"/>
        </w:rPr>
        <w:t>Con independencia del medio, son válidas si permiten dejar constancia de:</w:t>
      </w:r>
    </w:p>
    <w:p>
      <w:pPr>
        <w:pStyle w:val="ListBullet"/>
      </w:pPr>
      <w:r>
        <w:rPr>
          <w:rFonts w:ascii="Arial" w:hAnsi="Arial" w:cs="Arial"/>
          <w:sz w:val="22"/>
        </w:rPr>
        <w:t>Envío o puesta a disposición.</w:t>
      </w:r>
    </w:p>
    <w:p>
      <w:pPr>
        <w:pStyle w:val="ListBullet"/>
      </w:pPr>
      <w:r>
        <w:rPr>
          <w:rFonts w:ascii="Arial" w:hAnsi="Arial" w:cs="Arial"/>
          <w:sz w:val="22"/>
        </w:rPr>
        <w:t>Recepción o acceso.</w:t>
      </w:r>
    </w:p>
    <w:p>
      <w:pPr>
        <w:pStyle w:val="ListBullet"/>
      </w:pPr>
      <w:r>
        <w:rPr>
          <w:rFonts w:ascii="Arial" w:hAnsi="Arial" w:cs="Arial"/>
          <w:sz w:val="22"/>
        </w:rPr>
        <w:t>Fechas y horas.</w:t>
      </w:r>
    </w:p>
    <w:p>
      <w:pPr>
        <w:pStyle w:val="ListBullet"/>
      </w:pPr>
      <w:r>
        <w:rPr>
          <w:rFonts w:ascii="Arial" w:hAnsi="Arial" w:cs="Arial"/>
          <w:sz w:val="22"/>
        </w:rPr>
        <w:t>Contenido íntegro.</w:t>
      </w:r>
    </w:p>
    <w:p>
      <w:pPr>
        <w:pStyle w:val="ListBullet"/>
      </w:pPr>
      <w:r>
        <w:rPr>
          <w:rFonts w:ascii="Arial" w:hAnsi="Arial" w:cs="Arial"/>
          <w:sz w:val="22"/>
        </w:rPr>
        <w:t>Identidad fidedigna de remitente y destinatario.</w:t>
      </w:r>
    </w:p>
    <w:p>
      <w:pPr>
        <w:jc w:val="both"/>
      </w:pPr>
      <w:r>
        <w:rPr>
          <w:rFonts w:ascii="Arial" w:hAnsi="Arial" w:cs="Arial"/>
          <w:sz w:val="22"/>
        </w:rPr>
        <w:t>La acreditación se incorpora al expediente.</w:t>
      </w:r>
    </w:p>
    <w:p>
      <w:pPr>
        <w:jc w:val="both"/>
      </w:pPr>
      <w:r>
        <w:rPr>
          <w:rFonts w:ascii="Arial" w:hAnsi="Arial" w:cs="Arial"/>
          <w:sz w:val="22"/>
        </w:rPr>
        <w:t>No se efectuarán por medios electrónicos las notificaciones:</w:t>
      </w:r>
    </w:p>
    <w:p>
      <w:pPr>
        <w:pStyle w:val="ListBullet"/>
      </w:pPr>
      <w:r>
        <w:rPr>
          <w:rFonts w:ascii="Arial" w:hAnsi="Arial" w:cs="Arial"/>
          <w:sz w:val="22"/>
        </w:rPr>
        <w:t>En las que el acto se acompañe de elementos que no puedan convertirse a formato electrónico.</w:t>
      </w:r>
    </w:p>
    <w:p>
      <w:pPr>
        <w:pStyle w:val="ListBullet"/>
      </w:pPr>
      <w:r>
        <w:rPr>
          <w:rFonts w:ascii="Arial" w:hAnsi="Arial" w:cs="Arial"/>
          <w:sz w:val="22"/>
        </w:rPr>
        <w:t>En las que contengan medios de pago a favor de la persona obligada, como cheques.</w:t>
      </w:r>
    </w:p>
    <w:p>
      <w:pPr>
        <w:pStyle w:val="Heading2"/>
        <w:keepNext/>
      </w:pPr>
      <w:r>
        <w:rPr>
          <w:rFonts w:ascii="Arial" w:hAnsi="Arial" w:cs="Arial"/>
          <w:sz w:val="25"/>
        </w:rPr>
        <w:t>7.4. Dirección, avisos y rechazo</w:t>
      </w:r>
    </w:p>
    <w:p>
      <w:pPr>
        <w:jc w:val="both"/>
      </w:pPr>
      <w:r>
        <w:rPr>
          <w:rFonts w:ascii="Arial" w:hAnsi="Arial" w:cs="Arial"/>
          <w:sz w:val="22"/>
        </w:rPr>
        <w:t>En procedimientos iniciados a solicitud, se practica por el medio señalado, salvo obligación electrónica, y será electrónica si existe esa obligación. Si no puede practicarse por el medio elegido, podrá hacerse en cualquier lugar adecuado y por cualquier medio que deje la constancia exigida.</w:t>
      </w:r>
    </w:p>
    <w:p>
      <w:pPr>
        <w:jc w:val="both"/>
      </w:pPr>
      <w:r>
        <w:rPr>
          <w:rFonts w:ascii="Arial" w:hAnsi="Arial" w:cs="Arial"/>
          <w:sz w:val="22"/>
        </w:rPr>
        <w:t xml:space="preserve">La persona interesada puede identificar un dispositivo electrónico o correo electrónico para recibir </w:t>
      </w:r>
      <w:r>
        <w:rPr>
          <w:rFonts w:ascii="Arial" w:hAnsi="Arial" w:cs="Arial"/>
          <w:b/>
          <w:sz w:val="22"/>
        </w:rPr>
        <w:t>avisos</w:t>
      </w:r>
      <w:r>
        <w:rPr>
          <w:rFonts w:ascii="Arial" w:hAnsi="Arial" w:cs="Arial"/>
          <w:sz w:val="22"/>
        </w:rPr>
        <w:t xml:space="preserve">. El aviso informa de que existe una notificación en sede o dirección electrónica habilitada, pero </w:t>
      </w:r>
      <w:r>
        <w:rPr>
          <w:rFonts w:ascii="Arial" w:hAnsi="Arial" w:cs="Arial"/>
          <w:b/>
          <w:sz w:val="22"/>
        </w:rPr>
        <w:t>no es la notificación</w:t>
      </w:r>
      <w:r>
        <w:rPr>
          <w:rFonts w:ascii="Arial" w:hAnsi="Arial" w:cs="Arial"/>
          <w:sz w:val="22"/>
        </w:rPr>
        <w:t>. La falta de aviso no impide que la notificación sea válida.</w:t>
      </w:r>
    </w:p>
    <w:p>
      <w:pPr>
        <w:jc w:val="both"/>
      </w:pPr>
      <w:r>
        <w:rPr>
          <w:rFonts w:ascii="Arial" w:hAnsi="Arial" w:cs="Arial"/>
          <w:sz w:val="22"/>
        </w:rPr>
        <w:t>Si se rechaza una notificación, se hará constar en el expediente, se especificarán circunstancias e intento y se tendrá por efectuado el trámite, continuando el procedimiento. Si se utilizan varios cauces, se toma como fecha de notificación la que se haya producido en primer lugar.</w:t>
      </w:r>
    </w:p>
    <w:p>
      <w:pPr>
        <w:pStyle w:val="Heading2"/>
        <w:keepNext/>
      </w:pPr>
      <w:r>
        <w:rPr>
          <w:rFonts w:ascii="Arial" w:hAnsi="Arial" w:cs="Arial"/>
          <w:sz w:val="25"/>
        </w:rPr>
        <w:t>7.5. Notificación en papel</w:t>
      </w:r>
    </w:p>
    <w:p>
      <w:pPr>
        <w:jc w:val="both"/>
      </w:pPr>
      <w:r>
        <w:rPr>
          <w:rFonts w:ascii="Arial" w:hAnsi="Arial" w:cs="Arial"/>
          <w:sz w:val="22"/>
        </w:rPr>
        <w:t>Toda notificación practicada en papel debe quedar también a disposición de la persona interesada en la sede electrónica de la Administración u organismo para que pueda acceder voluntariamente a su contenido.</w:t>
      </w:r>
    </w:p>
    <w:p>
      <w:pPr>
        <w:jc w:val="both"/>
      </w:pPr>
      <w:r>
        <w:rPr>
          <w:rFonts w:ascii="Arial" w:hAnsi="Arial" w:cs="Arial"/>
          <w:sz w:val="22"/>
        </w:rPr>
        <w:t xml:space="preserve">Si se practica en el domicilio y no se encuentra el destinatario, puede hacerse cargo cualquier persona </w:t>
      </w:r>
      <w:r>
        <w:rPr>
          <w:rFonts w:ascii="Arial" w:hAnsi="Arial" w:cs="Arial"/>
          <w:b/>
          <w:sz w:val="22"/>
        </w:rPr>
        <w:t>mayor de catorce años</w:t>
      </w:r>
      <w:r>
        <w:rPr>
          <w:rFonts w:ascii="Arial" w:hAnsi="Arial" w:cs="Arial"/>
          <w:sz w:val="22"/>
        </w:rPr>
        <w:t xml:space="preserve"> que se encuentre allí y haga constar su identidad.</w:t>
      </w:r>
    </w:p>
    <w:p>
      <w:pPr>
        <w:jc w:val="both"/>
      </w:pPr>
      <w:r>
        <w:rPr>
          <w:rFonts w:ascii="Arial" w:hAnsi="Arial" w:cs="Arial"/>
          <w:sz w:val="22"/>
        </w:rPr>
        <w:t>Si nadie se hace cargo:</w:t>
      </w:r>
    </w:p>
    <w:p>
      <w:pPr>
        <w:spacing w:after="40"/>
        <w:ind w:left="369" w:hanging="227"/>
      </w:pPr>
      <w:r>
        <w:rPr>
          <w:rFonts w:ascii="Arial" w:hAnsi="Arial" w:cs="Arial"/>
          <w:sz w:val="22"/>
        </w:rPr>
        <w:t>1. Se registra el intento con día y hora.</w:t>
      </w:r>
    </w:p>
    <w:p>
      <w:pPr>
        <w:spacing w:after="40"/>
        <w:ind w:left="369" w:hanging="227"/>
      </w:pPr>
      <w:r>
        <w:rPr>
          <w:rFonts w:ascii="Arial" w:hAnsi="Arial" w:cs="Arial"/>
          <w:sz w:val="22"/>
        </w:rPr>
        <w:t xml:space="preserve">2. Se repite una sola vez, en hora distinta, dentro de los </w:t>
      </w:r>
      <w:r>
        <w:rPr>
          <w:rFonts w:ascii="Arial" w:hAnsi="Arial" w:cs="Arial"/>
          <w:b/>
          <w:sz w:val="22"/>
        </w:rPr>
        <w:t>tres días siguientes</w:t>
      </w:r>
      <w:r>
        <w:rPr>
          <w:rFonts w:ascii="Arial" w:hAnsi="Arial" w:cs="Arial"/>
          <w:sz w:val="22"/>
        </w:rPr>
        <w:t>.</w:t>
      </w:r>
    </w:p>
    <w:p>
      <w:pPr>
        <w:spacing w:after="40"/>
        <w:ind w:left="369" w:hanging="227"/>
      </w:pPr>
      <w:r>
        <w:rPr>
          <w:rFonts w:ascii="Arial" w:hAnsi="Arial" w:cs="Arial"/>
          <w:sz w:val="22"/>
        </w:rPr>
        <w:t>3. Si el primer intento fue antes de las 15:00, el segundo será después de las 15:00, y viceversa.</w:t>
      </w:r>
    </w:p>
    <w:p>
      <w:pPr>
        <w:spacing w:after="40"/>
        <w:ind w:left="369" w:hanging="227"/>
      </w:pPr>
      <w:r>
        <w:rPr>
          <w:rFonts w:ascii="Arial" w:hAnsi="Arial" w:cs="Arial"/>
          <w:sz w:val="22"/>
        </w:rPr>
        <w:t xml:space="preserve">4. Debe dejarse siempre una diferencia mínima de </w:t>
      </w:r>
      <w:r>
        <w:rPr>
          <w:rFonts w:ascii="Arial" w:hAnsi="Arial" w:cs="Arial"/>
          <w:b/>
          <w:sz w:val="22"/>
        </w:rPr>
        <w:t>tres horas</w:t>
      </w:r>
      <w:r>
        <w:rPr>
          <w:rFonts w:ascii="Arial" w:hAnsi="Arial" w:cs="Arial"/>
          <w:sz w:val="22"/>
        </w:rPr>
        <w:t xml:space="preserve"> entre ambos intentos.</w:t>
      </w:r>
    </w:p>
    <w:p>
      <w:pPr>
        <w:jc w:val="both"/>
      </w:pPr>
      <w:r>
        <w:rPr>
          <w:rFonts w:ascii="Arial" w:hAnsi="Arial" w:cs="Arial"/>
          <w:sz w:val="22"/>
        </w:rPr>
        <w:t>Si el segundo intento también resulta infructuoso, se acude al régimen de notificación por anuncio del artículo 44.</w:t>
      </w:r>
    </w:p>
    <w:p>
      <w:pPr>
        <w:jc w:val="both"/>
      </w:pPr>
      <w:r>
        <w:rPr>
          <w:rFonts w:ascii="Arial" w:hAnsi="Arial" w:cs="Arial"/>
          <w:sz w:val="22"/>
        </w:rPr>
        <w:t>El acceso voluntario en sede al contenido de una notificación en papel puede producir plenos efectos desde ese acceso. Cuando existan varios medios, vuelve a regir la fecha de la primera notificación correctamente practicada.</w:t>
      </w:r>
    </w:p>
    <w:p>
      <w:pPr>
        <w:pStyle w:val="Heading2"/>
        <w:keepNext/>
      </w:pPr>
      <w:r>
        <w:rPr>
          <w:rFonts w:ascii="Arial" w:hAnsi="Arial" w:cs="Arial"/>
          <w:sz w:val="25"/>
        </w:rPr>
        <w:t>7.6. Notificación electrónica</w:t>
      </w:r>
    </w:p>
    <w:p>
      <w:pPr>
        <w:jc w:val="both"/>
      </w:pPr>
      <w:r>
        <w:rPr>
          <w:rFonts w:ascii="Arial" w:hAnsi="Arial" w:cs="Arial"/>
          <w:sz w:val="22"/>
        </w:rPr>
        <w:t>Se practica mediante comparecencia en la sede electrónica, a través de la Dirección Electrónica Habilitada única —DEHú— o mediante ambos sistemas, según disponga cada Administración. Comparecer electrónicamente significa acceder, debidamente identificado, al contenido.</w:t>
      </w:r>
    </w:p>
    <w:p>
      <w:pPr>
        <w:jc w:val="both"/>
      </w:pPr>
      <w:r>
        <w:rPr>
          <w:rFonts w:ascii="Arial" w:hAnsi="Arial" w:cs="Arial"/>
          <w:sz w:val="22"/>
        </w:rPr>
        <w:t xml:space="preserve">La notificación se entiende practicada en el momento de acceso. Si es obligatoria o fue expresamente elegida y transcurren </w:t>
      </w:r>
      <w:r>
        <w:rPr>
          <w:rFonts w:ascii="Arial" w:hAnsi="Arial" w:cs="Arial"/>
          <w:b/>
          <w:sz w:val="22"/>
        </w:rPr>
        <w:t>diez días naturales</w:t>
      </w:r>
      <w:r>
        <w:rPr>
          <w:rFonts w:ascii="Arial" w:hAnsi="Arial" w:cs="Arial"/>
          <w:sz w:val="22"/>
        </w:rPr>
        <w:t xml:space="preserve"> desde su puesta a disposición sin acceder, se entiende rechazada, salvo imposibilidad técnica o material de acceso.</w:t>
      </w:r>
    </w:p>
    <w:p>
      <w:pPr>
        <w:jc w:val="both"/>
      </w:pPr>
      <w:r>
        <w:rPr>
          <w:rFonts w:ascii="Arial" w:hAnsi="Arial" w:cs="Arial"/>
          <w:sz w:val="22"/>
        </w:rPr>
        <w:t>La obligación de notificar electrónicamente dentro del plazo se entiende cumplida con la puesta a disposición en sede o DEHú. La persona interesada puede acceder desde el Punto de Acceso General electrónico, que funciona como portal de entrada.</w:t>
      </w:r>
    </w:p>
    <w:p>
      <w:pPr>
        <w:spacing w:after="100"/>
        <w:ind w:left="340" w:right="227"/>
        <w:shd w:fill="EAF2F8"/>
      </w:pPr>
      <w:r>
        <w:rPr>
          <w:rFonts w:ascii="Arial" w:hAnsi="Arial" w:cs="Arial"/>
          <w:b/>
          <w:sz w:val="20"/>
        </w:rPr>
        <w:t>Trampa de cifra:</w:t>
      </w:r>
      <w:r>
        <w:rPr>
          <w:rFonts w:ascii="Arial" w:hAnsi="Arial" w:cs="Arial"/>
          <w:sz w:val="20"/>
        </w:rPr>
        <w:t xml:space="preserve"> los diez días de la notificación electrónica son </w:t>
      </w:r>
      <w:r>
        <w:rPr>
          <w:rFonts w:ascii="Arial" w:hAnsi="Arial" w:cs="Arial"/>
          <w:b/>
          <w:sz w:val="20"/>
        </w:rPr>
        <w:t>naturales</w:t>
      </w:r>
      <w:r>
        <w:rPr>
          <w:rFonts w:ascii="Arial" w:hAnsi="Arial" w:cs="Arial"/>
          <w:sz w:val="20"/>
        </w:rPr>
        <w:t>; los diez días para subsanar la acreditación de la representación se computan conforme a las reglas generales y, por tanto, son hábiles si la norma no dice otra cosa.</w:t>
      </w:r>
    </w:p>
    <w:p>
      <w:pPr>
        <w:pStyle w:val="Heading2"/>
        <w:keepNext/>
      </w:pPr>
      <w:r>
        <w:rPr>
          <w:rFonts w:ascii="Arial" w:hAnsi="Arial" w:cs="Arial"/>
          <w:sz w:val="25"/>
        </w:rPr>
        <w:t>7.7. Notificación infructuosa</w:t>
      </w:r>
    </w:p>
    <w:p>
      <w:pPr>
        <w:jc w:val="both"/>
      </w:pPr>
      <w:r>
        <w:rPr>
          <w:rFonts w:ascii="Arial" w:hAnsi="Arial" w:cs="Arial"/>
          <w:sz w:val="22"/>
        </w:rPr>
        <w:t xml:space="preserve">Cuando las personas interesadas sean desconocidas, se ignore el lugar de notificación o, intentada, no haya podido practicarse, la notificación se hará por </w:t>
      </w:r>
      <w:r>
        <w:rPr>
          <w:rFonts w:ascii="Arial" w:hAnsi="Arial" w:cs="Arial"/>
          <w:b/>
          <w:sz w:val="22"/>
        </w:rPr>
        <w:t>anuncio publicado en el Boletín Oficial del Estado</w:t>
      </w:r>
      <w:r>
        <w:rPr>
          <w:rFonts w:ascii="Arial" w:hAnsi="Arial" w:cs="Arial"/>
          <w:sz w:val="22"/>
        </w:rPr>
        <w:t>.</w:t>
      </w:r>
    </w:p>
    <w:p>
      <w:pPr>
        <w:jc w:val="both"/>
      </w:pPr>
      <w:r>
        <w:rPr>
          <w:rFonts w:ascii="Arial" w:hAnsi="Arial" w:cs="Arial"/>
          <w:sz w:val="22"/>
        </w:rPr>
        <w:t>La Administración puede publicar antes un anuncio en el boletín autonómico o provincial, en el tablón de edictos municipal del último domicilio o en el consulado o sección consular correspondiente. Son medios facultativos y complementarios: no sustituyen el anuncio obligatorio en el BOE.</w:t>
      </w:r>
    </w:p>
    <w:p>
      <w:pPr>
        <w:pStyle w:val="Heading1"/>
        <w:keepNext/>
      </w:pPr>
      <w:r>
        <w:rPr>
          <w:rFonts w:ascii="Arial" w:hAnsi="Arial" w:cs="Arial"/>
          <w:sz w:val="30"/>
        </w:rPr>
        <w:t>8. Publicación</w:t>
      </w:r>
    </w:p>
    <w:p>
      <w:pPr>
        <w:pStyle w:val="Heading2"/>
        <w:keepNext/>
      </w:pPr>
      <w:r>
        <w:rPr>
          <w:rFonts w:ascii="Arial" w:hAnsi="Arial" w:cs="Arial"/>
          <w:sz w:val="25"/>
        </w:rPr>
        <w:t>8.1. Cuándo procede</w:t>
      </w:r>
    </w:p>
    <w:p>
      <w:pPr>
        <w:jc w:val="both"/>
      </w:pPr>
      <w:r>
        <w:rPr>
          <w:rFonts w:ascii="Arial" w:hAnsi="Arial" w:cs="Arial"/>
          <w:sz w:val="22"/>
        </w:rPr>
        <w:t>Los actos se publicarán cuando lo establezcan las normas reguladoras del procedimiento o lo aconsejen razones de interés público apreciadas por el órgano competente.</w:t>
      </w:r>
    </w:p>
    <w:p>
      <w:pPr>
        <w:jc w:val="both"/>
      </w:pPr>
      <w:r>
        <w:rPr>
          <w:rFonts w:ascii="Arial" w:hAnsi="Arial" w:cs="Arial"/>
          <w:sz w:val="22"/>
        </w:rPr>
        <w:t>La publicación surtirá los efectos de la notificación:</w:t>
      </w:r>
    </w:p>
    <w:p>
      <w:pPr>
        <w:pStyle w:val="ListBullet"/>
      </w:pPr>
      <w:r>
        <w:rPr>
          <w:rFonts w:ascii="Arial" w:hAnsi="Arial" w:cs="Arial"/>
          <w:sz w:val="22"/>
        </w:rPr>
        <w:t>Cuando el acto tenga por destinataria una pluralidad indeterminada de personas.</w:t>
      </w:r>
    </w:p>
    <w:p>
      <w:pPr>
        <w:pStyle w:val="ListBullet"/>
      </w:pPr>
      <w:r>
        <w:rPr>
          <w:rFonts w:ascii="Arial" w:hAnsi="Arial" w:cs="Arial"/>
          <w:sz w:val="22"/>
        </w:rPr>
        <w:t>Cuando la Administración considere que una notificación individual a una sola persona es insuficiente; en este caso, la publicación es adicional.</w:t>
      </w:r>
    </w:p>
    <w:p>
      <w:pPr>
        <w:pStyle w:val="ListBullet"/>
      </w:pPr>
      <w:r>
        <w:rPr>
          <w:rFonts w:ascii="Arial" w:hAnsi="Arial" w:cs="Arial"/>
          <w:sz w:val="22"/>
        </w:rPr>
        <w:t>En actos integrantes de procedimientos selectivos o de concurrencia competitiva.</w:t>
      </w:r>
    </w:p>
    <w:p>
      <w:pPr>
        <w:jc w:val="both"/>
      </w:pPr>
      <w:r>
        <w:rPr>
          <w:rFonts w:ascii="Arial" w:hAnsi="Arial" w:cs="Arial"/>
          <w:sz w:val="22"/>
        </w:rPr>
        <w:t>En selección y concurrencia, la convocatoria debe indicar el medio de las publicaciones sucesivas. Las efectuadas en lugares distintos carecerán de validez a esos efectos.</w:t>
      </w:r>
    </w:p>
    <w:p>
      <w:pPr>
        <w:pStyle w:val="Heading2"/>
        <w:keepNext/>
      </w:pPr>
      <w:r>
        <w:rPr>
          <w:rFonts w:ascii="Arial" w:hAnsi="Arial" w:cs="Arial"/>
          <w:sz w:val="25"/>
        </w:rPr>
        <w:t>8.2. Contenido y medio</w:t>
      </w:r>
    </w:p>
    <w:p>
      <w:pPr>
        <w:jc w:val="both"/>
      </w:pPr>
      <w:r>
        <w:rPr>
          <w:rFonts w:ascii="Arial" w:hAnsi="Arial" w:cs="Arial"/>
          <w:sz w:val="22"/>
        </w:rPr>
        <w:t>La publicación debe contener los mismos elementos exigidos por el artículo 40.2 para la notificación. Si se publican conjuntamente elementos comunes de varios actos, pueden agruparse esos aspectos, especificando los individuales de cada uno.</w:t>
      </w:r>
    </w:p>
    <w:p>
      <w:pPr>
        <w:jc w:val="both"/>
      </w:pPr>
      <w:r>
        <w:rPr>
          <w:rFonts w:ascii="Arial" w:hAnsi="Arial" w:cs="Arial"/>
          <w:sz w:val="22"/>
        </w:rPr>
        <w:t>Se realizará en el diario oficial que corresponda según la Administración de la que proceda el acto. Sin perjuicio de la publicación oficial, puede haber difusión complementaria en portales, tablones o sedes.</w:t>
      </w:r>
    </w:p>
    <w:p>
      <w:pPr>
        <w:pStyle w:val="Heading2"/>
        <w:keepNext/>
      </w:pPr>
      <w:r>
        <w:rPr>
          <w:rFonts w:ascii="Arial" w:hAnsi="Arial" w:cs="Arial"/>
          <w:sz w:val="25"/>
        </w:rPr>
        <w:t>8.3. Publicación con protección de derechos</w:t>
      </w:r>
    </w:p>
    <w:p>
      <w:pPr>
        <w:jc w:val="both"/>
      </w:pPr>
      <w:r>
        <w:rPr>
          <w:rFonts w:ascii="Arial" w:hAnsi="Arial" w:cs="Arial"/>
          <w:sz w:val="22"/>
        </w:rPr>
        <w:t>Si el órgano aprecia que la notificación por anuncio o la publicación íntegra lesiona derechos o intereses legítimos, publicará solo una somera indicación del contenido y del lugar donde las personas interesadas podrán comparecer, dentro del plazo que se establezca, para conocer el texto completo y dejar constancia.</w:t>
      </w:r>
    </w:p>
    <w:p>
      <w:pPr>
        <w:jc w:val="both"/>
      </w:pPr>
      <w:r>
        <w:rPr>
          <w:rFonts w:ascii="Arial" w:hAnsi="Arial" w:cs="Arial"/>
          <w:sz w:val="22"/>
        </w:rPr>
        <w:t>La cautela coordina eficacia con protección de datos, intimidad u otros derechos, pero la indicación debe permitir identificar el asunto y acceder al contenido.</w:t>
      </w:r>
    </w:p>
    <w:p>
      <w:pPr>
        <w:pStyle w:val="Heading1"/>
        <w:keepNext/>
      </w:pPr>
      <w:r>
        <w:rPr>
          <w:rFonts w:ascii="Arial" w:hAnsi="Arial" w:cs="Arial"/>
          <w:sz w:val="30"/>
        </w:rPr>
        <w:t>9. Invalidez: nulidad y anulabilidad</w:t>
      </w:r>
    </w:p>
    <w:p>
      <w:pPr>
        <w:pStyle w:val="Heading2"/>
        <w:keepNext/>
      </w:pPr>
      <w:r>
        <w:rPr>
          <w:rFonts w:ascii="Arial" w:hAnsi="Arial" w:cs="Arial"/>
          <w:sz w:val="25"/>
        </w:rPr>
        <w:t>9.1. Sistema legal</w:t>
      </w:r>
    </w:p>
    <w:p>
      <w:pPr>
        <w:jc w:val="both"/>
      </w:pPr>
      <w:r>
        <w:rPr>
          <w:rFonts w:ascii="Arial" w:hAnsi="Arial" w:cs="Arial"/>
          <w:sz w:val="22"/>
        </w:rPr>
        <w:t>La invalidez aparece cuando el acto infringe el ordenamiento. La LPAC distingue dos grados:</w:t>
      </w:r>
    </w:p>
    <w:p>
      <w:pPr>
        <w:pStyle w:val="ListBullet"/>
      </w:pPr>
      <w:r>
        <w:rPr>
          <w:rFonts w:ascii="Arial" w:hAnsi="Arial" w:cs="Arial"/>
          <w:b/>
          <w:sz w:val="22"/>
        </w:rPr>
        <w:t>Nulidad de pleno derecho</w:t>
      </w:r>
      <w:r>
        <w:rPr>
          <w:rFonts w:ascii="Arial" w:hAnsi="Arial" w:cs="Arial"/>
          <w:sz w:val="22"/>
        </w:rPr>
        <w:t>, reservada a infracciones especialmente graves enumeradas por la ley.</w:t>
      </w:r>
    </w:p>
    <w:p>
      <w:pPr>
        <w:pStyle w:val="ListBullet"/>
      </w:pPr>
      <w:r>
        <w:rPr>
          <w:rFonts w:ascii="Arial" w:hAnsi="Arial" w:cs="Arial"/>
          <w:b/>
          <w:sz w:val="22"/>
        </w:rPr>
        <w:t>Anulabilidad</w:t>
      </w:r>
      <w:r>
        <w:rPr>
          <w:rFonts w:ascii="Arial" w:hAnsi="Arial" w:cs="Arial"/>
          <w:sz w:val="22"/>
        </w:rPr>
        <w:t>, categoría general para las restantes infracciones.</w:t>
      </w:r>
    </w:p>
    <w:p>
      <w:pPr>
        <w:jc w:val="both"/>
      </w:pPr>
      <w:r>
        <w:rPr>
          <w:rFonts w:ascii="Arial" w:hAnsi="Arial" w:cs="Arial"/>
          <w:sz w:val="22"/>
        </w:rPr>
        <w:t>No todo defecto determina invalidez. Puede existir una irregularidad no invalidante, especialmente en forma o tiempo, si no afecta a la finalidad de la garantía ni causa indefensión. Tampoco toda ilegalidad produce automáticamente la desaparición del acto: mientras no sea retirado o anulado por el cauce correspondiente, actúa la presunción de validez.</w:t>
      </w:r>
    </w:p>
    <w:p>
      <w:pPr>
        <w:pStyle w:val="Heading2"/>
        <w:keepNext/>
      </w:pPr>
      <w:r>
        <w:rPr>
          <w:rFonts w:ascii="Arial" w:hAnsi="Arial" w:cs="Arial"/>
          <w:sz w:val="25"/>
        </w:rPr>
        <w:t>9.2. Causas de nulidad de los actos</w:t>
      </w:r>
    </w:p>
    <w:p>
      <w:pPr>
        <w:jc w:val="both"/>
      </w:pPr>
      <w:r>
        <w:rPr>
          <w:rFonts w:ascii="Arial" w:hAnsi="Arial" w:cs="Arial"/>
          <w:sz w:val="22"/>
        </w:rPr>
        <w:t>El artículo 47.1 declara nulos de pleno derecho:</w:t>
      </w:r>
    </w:p>
    <w:p>
      <w:pPr>
        <w:jc w:val="both"/>
      </w:pPr>
      <w:r>
        <w:rPr>
          <w:rFonts w:ascii="Arial" w:hAnsi="Arial" w:cs="Arial"/>
          <w:b/>
          <w:sz w:val="22"/>
        </w:rPr>
        <w:t>a) Lesión de derechos y libertades susceptibles de amparo constitucional.</w:t>
      </w:r>
      <w:r>
        <w:rPr>
          <w:rFonts w:ascii="Arial" w:hAnsi="Arial" w:cs="Arial"/>
          <w:sz w:val="22"/>
        </w:rPr>
        <w:t xml:space="preserve"> No comprende cualquier principio constitucional, sino los derechos protegibles mediante amparo en los términos constitucionales.</w:t>
      </w:r>
    </w:p>
    <w:p>
      <w:pPr>
        <w:jc w:val="both"/>
      </w:pPr>
      <w:r>
        <w:rPr>
          <w:rFonts w:ascii="Arial" w:hAnsi="Arial" w:cs="Arial"/>
          <w:b/>
          <w:sz w:val="22"/>
        </w:rPr>
        <w:t>b) Incompetencia manifiesta por razón de materia o territorio.</w:t>
      </w:r>
      <w:r>
        <w:rPr>
          <w:rFonts w:ascii="Arial" w:hAnsi="Arial" w:cs="Arial"/>
          <w:sz w:val="22"/>
        </w:rPr>
        <w:t xml:space="preserve"> Debe ser patente y referida a estos dos criterios. La incompetencia jerárquica, como regla, genera anulabilidad y puede convalidarse.</w:t>
      </w:r>
    </w:p>
    <w:p>
      <w:pPr>
        <w:jc w:val="both"/>
      </w:pPr>
      <w:r>
        <w:rPr>
          <w:rFonts w:ascii="Arial" w:hAnsi="Arial" w:cs="Arial"/>
          <w:b/>
          <w:sz w:val="22"/>
        </w:rPr>
        <w:t>c) Contenido imposible.</w:t>
      </w:r>
      <w:r>
        <w:rPr>
          <w:rFonts w:ascii="Arial" w:hAnsi="Arial" w:cs="Arial"/>
          <w:sz w:val="22"/>
        </w:rPr>
        <w:t xml:space="preserve"> La imposibilidad ha de afectar realmente a lo mandado, reconocido o prohibido. Puede ser física o jurídica; no basta una dificultad práctica.</w:t>
      </w:r>
    </w:p>
    <w:p>
      <w:pPr>
        <w:jc w:val="both"/>
      </w:pPr>
      <w:r>
        <w:rPr>
          <w:rFonts w:ascii="Arial" w:hAnsi="Arial" w:cs="Arial"/>
          <w:b/>
          <w:sz w:val="22"/>
        </w:rPr>
        <w:t>d) Actos constitutivos de infracción penal o dictados como consecuencia de ella.</w:t>
      </w:r>
      <w:r>
        <w:rPr>
          <w:rFonts w:ascii="Arial" w:hAnsi="Arial" w:cs="Arial"/>
          <w:sz w:val="22"/>
        </w:rPr>
        <w:t xml:space="preserve"> La causa exige relevancia penal, no una mera infracción administrativa.</w:t>
      </w:r>
    </w:p>
    <w:p>
      <w:pPr>
        <w:jc w:val="both"/>
      </w:pPr>
      <w:r>
        <w:rPr>
          <w:rFonts w:ascii="Arial" w:hAnsi="Arial" w:cs="Arial"/>
          <w:b/>
          <w:sz w:val="22"/>
        </w:rPr>
        <w:t>e) Prescindir total y absolutamente del procedimiento legalmente establecido o de las normas que contienen las reglas esenciales para formar la voluntad de los órganos colegiados.</w:t>
      </w:r>
      <w:r>
        <w:rPr>
          <w:rFonts w:ascii="Arial" w:hAnsi="Arial" w:cs="Arial"/>
          <w:sz w:val="22"/>
        </w:rPr>
        <w:t xml:space="preserve"> Una omisión parcial no es automáticamente nulidad; debe equivaler a ausencia total del cauce esencial. En órganos colegiados, afecta a reglas esenciales como convocatoria, composición o mayorías cuando comprometen la voluntad del órgano.</w:t>
      </w:r>
    </w:p>
    <w:p>
      <w:pPr>
        <w:jc w:val="both"/>
      </w:pPr>
      <w:r>
        <w:rPr>
          <w:rFonts w:ascii="Arial" w:hAnsi="Arial" w:cs="Arial"/>
          <w:b/>
          <w:sz w:val="22"/>
        </w:rPr>
        <w:t>f) Actos expresos o presuntos contrarios al ordenamiento por los que se adquieren facultades o derechos careciendo de los requisitos esenciales para su adquisición.</w:t>
      </w:r>
      <w:r>
        <w:rPr>
          <w:rFonts w:ascii="Arial" w:hAnsi="Arial" w:cs="Arial"/>
          <w:sz w:val="22"/>
        </w:rPr>
        <w:t xml:space="preserve"> No basta incumplir cualquier requisito: debe faltar uno esencial. La regla impide consolidar por silencio positivo resultados jurídicamente imposibles.</w:t>
      </w:r>
    </w:p>
    <w:p>
      <w:pPr>
        <w:jc w:val="both"/>
      </w:pPr>
      <w:r>
        <w:rPr>
          <w:rFonts w:ascii="Arial" w:hAnsi="Arial" w:cs="Arial"/>
          <w:b/>
          <w:sz w:val="22"/>
        </w:rPr>
        <w:t>g) Cualquier otro supuesto establecido expresamente en una disposición con rango de ley.</w:t>
      </w:r>
      <w:r>
        <w:rPr>
          <w:rFonts w:ascii="Arial" w:hAnsi="Arial" w:cs="Arial"/>
          <w:sz w:val="22"/>
        </w:rPr>
        <w:t xml:space="preserve"> La nulidad no puede ampliarse por analogía ni ser creada libremente por reglamento.</w:t>
      </w:r>
    </w:p>
    <w:p>
      <w:pPr>
        <w:pStyle w:val="Heading2"/>
        <w:keepNext/>
      </w:pPr>
      <w:r>
        <w:rPr>
          <w:rFonts w:ascii="Arial" w:hAnsi="Arial" w:cs="Arial"/>
          <w:sz w:val="25"/>
        </w:rPr>
        <w:t>9.3. Nulidad de disposiciones administrativas</w:t>
      </w:r>
    </w:p>
    <w:p>
      <w:pPr>
        <w:jc w:val="both"/>
      </w:pPr>
      <w:r>
        <w:rPr>
          <w:rFonts w:ascii="Arial" w:hAnsi="Arial" w:cs="Arial"/>
          <w:sz w:val="22"/>
        </w:rPr>
        <w:t>El artículo 47.2 se refiere a disposiciones administrativas, es decir, reglamentos. Son nulas cuando:</w:t>
      </w:r>
    </w:p>
    <w:p>
      <w:pPr>
        <w:pStyle w:val="ListBullet"/>
      </w:pPr>
      <w:r>
        <w:rPr>
          <w:rFonts w:ascii="Arial" w:hAnsi="Arial" w:cs="Arial"/>
          <w:sz w:val="22"/>
        </w:rPr>
        <w:t>Vulneran la Constitución.</w:t>
      </w:r>
    </w:p>
    <w:p>
      <w:pPr>
        <w:pStyle w:val="ListBullet"/>
      </w:pPr>
      <w:r>
        <w:rPr>
          <w:rFonts w:ascii="Arial" w:hAnsi="Arial" w:cs="Arial"/>
          <w:sz w:val="22"/>
        </w:rPr>
        <w:t>Vulneran leyes u otras disposiciones administrativas de rango superior.</w:t>
      </w:r>
    </w:p>
    <w:p>
      <w:pPr>
        <w:pStyle w:val="ListBullet"/>
      </w:pPr>
      <w:r>
        <w:rPr>
          <w:rFonts w:ascii="Arial" w:hAnsi="Arial" w:cs="Arial"/>
          <w:sz w:val="22"/>
        </w:rPr>
        <w:t>Regulan materias reservadas a la ley.</w:t>
      </w:r>
    </w:p>
    <w:p>
      <w:pPr>
        <w:pStyle w:val="ListBullet"/>
      </w:pPr>
      <w:r>
        <w:rPr>
          <w:rFonts w:ascii="Arial" w:hAnsi="Arial" w:cs="Arial"/>
          <w:sz w:val="22"/>
        </w:rPr>
        <w:t>Establecen retroactividad de disposiciones sancionadoras no favorables o restrictivas de derechos individuales.</w:t>
      </w:r>
    </w:p>
    <w:p>
      <w:pPr>
        <w:jc w:val="both"/>
      </w:pPr>
      <w:r>
        <w:rPr>
          <w:rFonts w:ascii="Arial" w:hAnsi="Arial" w:cs="Arial"/>
          <w:sz w:val="22"/>
        </w:rPr>
        <w:t>En reglamentos no se establece una categoría paralela de anulabilidad: el vicio jurídicamente relevante conduce a nulidad. Además, una resolución particular que contradiga una disposición reglamentaria es nula por la regla de inderogabilidad singular.</w:t>
      </w:r>
    </w:p>
    <w:p>
      <w:pPr>
        <w:pStyle w:val="Heading2"/>
        <w:keepNext/>
      </w:pPr>
      <w:r>
        <w:rPr>
          <w:rFonts w:ascii="Arial" w:hAnsi="Arial" w:cs="Arial"/>
          <w:sz w:val="25"/>
        </w:rPr>
        <w:t>9.4. Anulabilidad</w:t>
      </w:r>
    </w:p>
    <w:p>
      <w:pPr>
        <w:jc w:val="both"/>
      </w:pPr>
      <w:r>
        <w:rPr>
          <w:rFonts w:ascii="Arial" w:hAnsi="Arial" w:cs="Arial"/>
          <w:sz w:val="22"/>
        </w:rPr>
        <w:t xml:space="preserve">Según el artículo 48.1, son anulables los actos que incurran en </w:t>
      </w:r>
      <w:r>
        <w:rPr>
          <w:rFonts w:ascii="Arial" w:hAnsi="Arial" w:cs="Arial"/>
          <w:b/>
          <w:sz w:val="22"/>
        </w:rPr>
        <w:t>cualquier infracción del ordenamiento jurídico</w:t>
      </w:r>
      <w:r>
        <w:rPr>
          <w:rFonts w:ascii="Arial" w:hAnsi="Arial" w:cs="Arial"/>
          <w:sz w:val="22"/>
        </w:rPr>
        <w:t>, incluso la desviación de poder. Es, por tanto, la consecuencia ordinaria cuando la infracción no entra en una causa tasada de nulidad.</w:t>
      </w:r>
    </w:p>
    <w:p>
      <w:pPr>
        <w:jc w:val="both"/>
      </w:pPr>
      <w:r>
        <w:rPr>
          <w:rFonts w:ascii="Arial" w:hAnsi="Arial" w:cs="Arial"/>
          <w:sz w:val="22"/>
        </w:rPr>
        <w:t>Dos reglas modulan los defectos:</w:t>
      </w:r>
    </w:p>
    <w:p>
      <w:pPr>
        <w:spacing w:after="40"/>
        <w:ind w:left="369" w:hanging="227"/>
      </w:pPr>
      <w:r>
        <w:rPr>
          <w:rFonts w:ascii="Arial" w:hAnsi="Arial" w:cs="Arial"/>
          <w:sz w:val="22"/>
        </w:rPr>
        <w:t>1. El defecto de forma solo determina anulabilidad si el acto carece de requisitos formales indispensables para alcanzar su fin o produce indefensión.</w:t>
      </w:r>
    </w:p>
    <w:p>
      <w:pPr>
        <w:spacing w:after="40"/>
        <w:ind w:left="369" w:hanging="227"/>
      </w:pPr>
      <w:r>
        <w:rPr>
          <w:rFonts w:ascii="Arial" w:hAnsi="Arial" w:cs="Arial"/>
          <w:sz w:val="22"/>
        </w:rPr>
        <w:t>2. La actuación fuera del tiempo establecido solo implica anulabilidad cuando así lo imponga la naturaleza del término o plazo.</w:t>
      </w:r>
    </w:p>
    <w:p>
      <w:pPr>
        <w:jc w:val="both"/>
      </w:pPr>
      <w:r>
        <w:rPr>
          <w:rFonts w:ascii="Arial" w:hAnsi="Arial" w:cs="Arial"/>
          <w:sz w:val="22"/>
        </w:rPr>
        <w:t>La indefensión relevante es material: debe haber una reducción real de posibilidades de alegar, probar o recurrir. La mera infracción formal sin perjuicio efectivo puede ser una irregularidad no invalidante.</w:t>
      </w:r>
    </w:p>
    <w:p>
      <w:pPr>
        <w:pStyle w:val="Heading2"/>
        <w:keepNext/>
      </w:pPr>
      <w:r>
        <w:rPr>
          <w:rFonts w:ascii="Arial" w:hAnsi="Arial" w:cs="Arial"/>
          <w:sz w:val="25"/>
        </w:rPr>
        <w:t>9.5. Comparación</w:t>
      </w:r>
    </w:p>
    <w:tbl>
      <w:tblPr>
        <w:tblStyle w:val="TableGrid"/>
        <w:tblW w:type="dxa" w:w="9026"/>
        <w:jc w:val="left"/>
        <w:tblLayout w:type="fixed"/>
        <w:tblLook w:firstColumn="1" w:firstRow="1" w:lastColumn="0" w:lastRow="0" w:noHBand="0" w:noVBand="1" w:val="04A0"/>
        <w:tblInd w:w="120" w:type="dxa"/>
      </w:tblPr>
      <w:tblGrid>
        <w:gridCol w:w="2029"/>
        <w:gridCol w:w="3009"/>
        <w:gridCol w:w="3988"/>
      </w:tblGrid>
      <w:tr>
        <w:trPr>
          <w:tblHeader w:val="true"/>
        </w:trPr>
        <w:tc>
          <w:tcPr>
            <w:tcW w:type="dxa" w:w="202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Cuestión</w:t>
            </w:r>
          </w:p>
        </w:tc>
        <w:tc>
          <w:tcPr>
            <w:tcW w:type="dxa" w:w="300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Nulidad de pleno derecho</w:t>
            </w:r>
          </w:p>
        </w:tc>
        <w:tc>
          <w:tcPr>
            <w:tcW w:type="dxa" w:w="398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Anulabilidad</w:t>
            </w:r>
          </w:p>
        </w:tc>
      </w:tr>
      <w:tr>
        <w:tc>
          <w:tcPr>
            <w:tcW w:type="dxa" w:w="2029"/>
            <w:tcMar>
              <w:top w:w="80" w:type="dxa"/>
              <w:start w:w="120" w:type="dxa"/>
              <w:bottom w:w="80" w:type="dxa"/>
              <w:end w:w="120" w:type="dxa"/>
            </w:tcMar>
            <w:vAlign w:val="center"/>
          </w:tcPr>
          <w:p>
            <w:pPr>
              <w:spacing w:before="0" w:after="0" w:line="240" w:lineRule="auto"/>
              <w:jc w:val="left"/>
            </w:pPr>
            <w:r/>
            <w:r>
              <w:rPr>
                <w:rFonts w:ascii="Arial" w:hAnsi="Arial" w:cs="Arial"/>
                <w:sz w:val="18"/>
              </w:rPr>
              <w:t>Causas</w:t>
            </w:r>
          </w:p>
        </w:tc>
        <w:tc>
          <w:tcPr>
            <w:tcW w:type="dxa" w:w="3009"/>
            <w:tcMar>
              <w:top w:w="80" w:type="dxa"/>
              <w:start w:w="120" w:type="dxa"/>
              <w:bottom w:w="80" w:type="dxa"/>
              <w:end w:w="120" w:type="dxa"/>
            </w:tcMar>
            <w:vAlign w:val="center"/>
          </w:tcPr>
          <w:p>
            <w:pPr>
              <w:spacing w:before="0" w:after="0" w:line="240" w:lineRule="auto"/>
              <w:jc w:val="center"/>
            </w:pPr>
            <w:r/>
            <w:r>
              <w:rPr>
                <w:rFonts w:ascii="Arial" w:hAnsi="Arial" w:cs="Arial"/>
                <w:sz w:val="18"/>
              </w:rPr>
              <w:t>Tasadas en ley</w:t>
            </w:r>
          </w:p>
        </w:tc>
        <w:tc>
          <w:tcPr>
            <w:tcW w:type="dxa" w:w="3988"/>
            <w:tcMar>
              <w:top w:w="80" w:type="dxa"/>
              <w:start w:w="120" w:type="dxa"/>
              <w:bottom w:w="80" w:type="dxa"/>
              <w:end w:w="120" w:type="dxa"/>
            </w:tcMar>
            <w:vAlign w:val="center"/>
          </w:tcPr>
          <w:p>
            <w:pPr>
              <w:spacing w:before="0" w:after="0" w:line="240" w:lineRule="auto"/>
              <w:jc w:val="left"/>
            </w:pPr>
            <w:r/>
            <w:r>
              <w:rPr>
                <w:rFonts w:ascii="Arial" w:hAnsi="Arial" w:cs="Arial"/>
                <w:sz w:val="18"/>
              </w:rPr>
              <w:t>Cualquier infracción no constitutiva de nulidad</w:t>
            </w:r>
          </w:p>
        </w:tc>
      </w:tr>
      <w:tr>
        <w:tc>
          <w:tcPr>
            <w:tcW w:type="dxa" w:w="2029"/>
            <w:tcMar>
              <w:top w:w="80" w:type="dxa"/>
              <w:start w:w="120" w:type="dxa"/>
              <w:bottom w:w="80" w:type="dxa"/>
              <w:end w:w="120" w:type="dxa"/>
            </w:tcMar>
            <w:vAlign w:val="center"/>
          </w:tcPr>
          <w:p>
            <w:pPr>
              <w:spacing w:before="0" w:after="0" w:line="240" w:lineRule="auto"/>
              <w:jc w:val="left"/>
            </w:pPr>
            <w:r/>
            <w:r>
              <w:rPr>
                <w:rFonts w:ascii="Arial" w:hAnsi="Arial" w:cs="Arial"/>
                <w:sz w:val="18"/>
              </w:rPr>
              <w:t>Gravedad</w:t>
            </w:r>
          </w:p>
        </w:tc>
        <w:tc>
          <w:tcPr>
            <w:tcW w:type="dxa" w:w="3009"/>
            <w:tcMar>
              <w:top w:w="80" w:type="dxa"/>
              <w:start w:w="120" w:type="dxa"/>
              <w:bottom w:w="80" w:type="dxa"/>
              <w:end w:w="120" w:type="dxa"/>
            </w:tcMar>
            <w:vAlign w:val="center"/>
          </w:tcPr>
          <w:p>
            <w:pPr>
              <w:spacing w:before="0" w:after="0" w:line="240" w:lineRule="auto"/>
              <w:jc w:val="center"/>
            </w:pPr>
            <w:r/>
            <w:r>
              <w:rPr>
                <w:rFonts w:ascii="Arial" w:hAnsi="Arial" w:cs="Arial"/>
                <w:sz w:val="18"/>
              </w:rPr>
              <w:t>Máxima</w:t>
            </w:r>
          </w:p>
        </w:tc>
        <w:tc>
          <w:tcPr>
            <w:tcW w:type="dxa" w:w="3988"/>
            <w:tcMar>
              <w:top w:w="80" w:type="dxa"/>
              <w:start w:w="120" w:type="dxa"/>
              <w:bottom w:w="80" w:type="dxa"/>
              <w:end w:w="120" w:type="dxa"/>
            </w:tcMar>
            <w:vAlign w:val="center"/>
          </w:tcPr>
          <w:p>
            <w:pPr>
              <w:spacing w:before="0" w:after="0" w:line="240" w:lineRule="auto"/>
              <w:jc w:val="center"/>
            </w:pPr>
            <w:r/>
            <w:r>
              <w:rPr>
                <w:rFonts w:ascii="Arial" w:hAnsi="Arial" w:cs="Arial"/>
                <w:sz w:val="18"/>
              </w:rPr>
              <w:t>Ordinaria</w:t>
            </w:r>
          </w:p>
        </w:tc>
      </w:tr>
      <w:tr>
        <w:tc>
          <w:tcPr>
            <w:tcW w:type="dxa" w:w="2029"/>
            <w:tcMar>
              <w:top w:w="80" w:type="dxa"/>
              <w:start w:w="120" w:type="dxa"/>
              <w:bottom w:w="80" w:type="dxa"/>
              <w:end w:w="120" w:type="dxa"/>
            </w:tcMar>
            <w:vAlign w:val="center"/>
          </w:tcPr>
          <w:p>
            <w:pPr>
              <w:spacing w:before="0" w:after="0" w:line="240" w:lineRule="auto"/>
              <w:jc w:val="left"/>
            </w:pPr>
            <w:r/>
            <w:r>
              <w:rPr>
                <w:rFonts w:ascii="Arial" w:hAnsi="Arial" w:cs="Arial"/>
                <w:sz w:val="18"/>
              </w:rPr>
              <w:t>Presunción de validez</w:t>
            </w:r>
          </w:p>
        </w:tc>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Opera hasta su declaración</w:t>
            </w:r>
          </w:p>
        </w:tc>
        <w:tc>
          <w:tcPr>
            <w:tcW w:type="dxa" w:w="3988"/>
            <w:tcMar>
              <w:top w:w="80" w:type="dxa"/>
              <w:start w:w="120" w:type="dxa"/>
              <w:bottom w:w="80" w:type="dxa"/>
              <w:end w:w="120" w:type="dxa"/>
            </w:tcMar>
            <w:vAlign w:val="center"/>
          </w:tcPr>
          <w:p>
            <w:pPr>
              <w:spacing w:before="0" w:after="0" w:line="240" w:lineRule="auto"/>
              <w:jc w:val="left"/>
            </w:pPr>
            <w:r/>
            <w:r>
              <w:rPr>
                <w:rFonts w:ascii="Arial" w:hAnsi="Arial" w:cs="Arial"/>
                <w:sz w:val="18"/>
              </w:rPr>
              <w:t>Opera hasta la anulación</w:t>
            </w:r>
          </w:p>
        </w:tc>
      </w:tr>
      <w:tr>
        <w:tc>
          <w:tcPr>
            <w:tcW w:type="dxa" w:w="2029"/>
            <w:tcMar>
              <w:top w:w="80" w:type="dxa"/>
              <w:start w:w="120" w:type="dxa"/>
              <w:bottom w:w="80" w:type="dxa"/>
              <w:end w:w="120" w:type="dxa"/>
            </w:tcMar>
            <w:vAlign w:val="center"/>
          </w:tcPr>
          <w:p>
            <w:pPr>
              <w:spacing w:before="0" w:after="0" w:line="240" w:lineRule="auto"/>
              <w:jc w:val="left"/>
            </w:pPr>
            <w:r/>
            <w:r>
              <w:rPr>
                <w:rFonts w:ascii="Arial" w:hAnsi="Arial" w:cs="Arial"/>
                <w:sz w:val="18"/>
              </w:rPr>
              <w:t>Subsanación</w:t>
            </w:r>
          </w:p>
        </w:tc>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No es convalidable</w:t>
            </w:r>
          </w:p>
        </w:tc>
        <w:tc>
          <w:tcPr>
            <w:tcW w:type="dxa" w:w="3988"/>
            <w:tcMar>
              <w:top w:w="80" w:type="dxa"/>
              <w:start w:w="120" w:type="dxa"/>
              <w:bottom w:w="80" w:type="dxa"/>
              <w:end w:w="120" w:type="dxa"/>
            </w:tcMar>
            <w:vAlign w:val="center"/>
          </w:tcPr>
          <w:p>
            <w:pPr>
              <w:spacing w:before="0" w:after="0" w:line="240" w:lineRule="auto"/>
              <w:jc w:val="left"/>
            </w:pPr>
            <w:r/>
            <w:r>
              <w:rPr>
                <w:rFonts w:ascii="Arial" w:hAnsi="Arial" w:cs="Arial"/>
                <w:sz w:val="18"/>
              </w:rPr>
              <w:t>Puede convalidarse</w:t>
            </w:r>
          </w:p>
        </w:tc>
      </w:tr>
      <w:tr>
        <w:tc>
          <w:tcPr>
            <w:tcW w:type="dxa" w:w="2029"/>
            <w:tcMar>
              <w:top w:w="80" w:type="dxa"/>
              <w:start w:w="120" w:type="dxa"/>
              <w:bottom w:w="80" w:type="dxa"/>
              <w:end w:w="120" w:type="dxa"/>
            </w:tcMar>
            <w:vAlign w:val="center"/>
          </w:tcPr>
          <w:p>
            <w:pPr>
              <w:spacing w:before="0" w:after="0" w:line="240" w:lineRule="auto"/>
              <w:jc w:val="left"/>
            </w:pPr>
            <w:r/>
            <w:r>
              <w:rPr>
                <w:rFonts w:ascii="Arial" w:hAnsi="Arial" w:cs="Arial"/>
                <w:sz w:val="18"/>
              </w:rPr>
              <w:t>Revisión por la Administración</w:t>
            </w:r>
          </w:p>
        </w:tc>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Artículo 106, cualquier tiempo, dictamen favorable</w:t>
            </w:r>
          </w:p>
        </w:tc>
        <w:tc>
          <w:tcPr>
            <w:tcW w:type="dxa" w:w="3988"/>
            <w:tcMar>
              <w:top w:w="80" w:type="dxa"/>
              <w:start w:w="120" w:type="dxa"/>
              <w:bottom w:w="80" w:type="dxa"/>
              <w:end w:w="120" w:type="dxa"/>
            </w:tcMar>
            <w:vAlign w:val="center"/>
          </w:tcPr>
          <w:p>
            <w:pPr>
              <w:spacing w:before="0" w:after="0" w:line="240" w:lineRule="auto"/>
              <w:jc w:val="left"/>
            </w:pPr>
            <w:r/>
            <w:r>
              <w:rPr>
                <w:rFonts w:ascii="Arial" w:hAnsi="Arial" w:cs="Arial"/>
                <w:sz w:val="18"/>
              </w:rPr>
              <w:t>Lesividad del artículo 107 si el acto favorable; límites temporales</w:t>
            </w:r>
          </w:p>
        </w:tc>
      </w:tr>
      <w:tr>
        <w:tc>
          <w:tcPr>
            <w:tcW w:type="dxa" w:w="2029"/>
            <w:tcMar>
              <w:top w:w="80" w:type="dxa"/>
              <w:start w:w="120" w:type="dxa"/>
              <w:bottom w:w="80" w:type="dxa"/>
              <w:end w:w="120" w:type="dxa"/>
            </w:tcMar>
            <w:vAlign w:val="center"/>
          </w:tcPr>
          <w:p>
            <w:pPr>
              <w:spacing w:before="0" w:after="0" w:line="240" w:lineRule="auto"/>
              <w:jc w:val="left"/>
            </w:pPr>
            <w:r/>
            <w:r>
              <w:rPr>
                <w:rFonts w:ascii="Arial" w:hAnsi="Arial" w:cs="Arial"/>
                <w:sz w:val="18"/>
              </w:rPr>
              <w:t>Alegación</w:t>
            </w:r>
          </w:p>
        </w:tc>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Sujeta a cauces y límites del artículo 110</w:t>
            </w:r>
          </w:p>
        </w:tc>
        <w:tc>
          <w:tcPr>
            <w:tcW w:type="dxa" w:w="3988"/>
            <w:tcMar>
              <w:top w:w="80" w:type="dxa"/>
              <w:start w:w="120" w:type="dxa"/>
              <w:bottom w:w="80" w:type="dxa"/>
              <w:end w:w="120" w:type="dxa"/>
            </w:tcMar>
            <w:vAlign w:val="center"/>
          </w:tcPr>
          <w:p>
            <w:pPr>
              <w:spacing w:before="0" w:after="0" w:line="240" w:lineRule="auto"/>
              <w:jc w:val="left"/>
            </w:pPr>
            <w:r/>
            <w:r>
              <w:rPr>
                <w:rFonts w:ascii="Arial" w:hAnsi="Arial" w:cs="Arial"/>
                <w:sz w:val="18"/>
              </w:rPr>
              <w:t>Sujeta a recursos y plazos ordinarios</w:t>
            </w:r>
          </w:p>
        </w:tc>
      </w:tr>
      <w:tr>
        <w:tc>
          <w:tcPr>
            <w:tcW w:type="dxa" w:w="2029"/>
            <w:tcMar>
              <w:top w:w="80" w:type="dxa"/>
              <w:start w:w="120" w:type="dxa"/>
              <w:bottom w:w="80" w:type="dxa"/>
              <w:end w:w="120" w:type="dxa"/>
            </w:tcMar>
            <w:vAlign w:val="center"/>
          </w:tcPr>
          <w:p>
            <w:pPr>
              <w:spacing w:before="0" w:after="0" w:line="240" w:lineRule="auto"/>
              <w:jc w:val="left"/>
            </w:pPr>
            <w:r/>
            <w:r>
              <w:rPr>
                <w:rFonts w:ascii="Arial" w:hAnsi="Arial" w:cs="Arial"/>
                <w:sz w:val="18"/>
              </w:rPr>
              <w:t>Efectos típicos de la declaración</w:t>
            </w:r>
          </w:p>
        </w:tc>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En principio, desde el origen</w:t>
            </w:r>
          </w:p>
        </w:tc>
        <w:tc>
          <w:tcPr>
            <w:tcW w:type="dxa" w:w="3988"/>
            <w:tcMar>
              <w:top w:w="80" w:type="dxa"/>
              <w:start w:w="120" w:type="dxa"/>
              <w:bottom w:w="80" w:type="dxa"/>
              <w:end w:w="120" w:type="dxa"/>
            </w:tcMar>
            <w:vAlign w:val="center"/>
          </w:tcPr>
          <w:p>
            <w:pPr>
              <w:spacing w:before="0" w:after="0" w:line="240" w:lineRule="auto"/>
              <w:jc w:val="left"/>
            </w:pPr>
            <w:r/>
            <w:r>
              <w:rPr>
                <w:rFonts w:ascii="Arial" w:hAnsi="Arial" w:cs="Arial"/>
                <w:sz w:val="18"/>
              </w:rPr>
              <w:t>En principio, desde la anulación, con modulaciones</w:t>
            </w:r>
          </w:p>
        </w:tc>
      </w:tr>
    </w:tbl>
    <w:p>
      <w:pPr>
        <w:spacing w:after="40"/>
      </w:pPr>
    </w:p>
    <w:p>
      <w:pPr>
        <w:jc w:val="both"/>
      </w:pPr>
      <w:r>
        <w:rPr>
          <w:rFonts w:ascii="Arial" w:hAnsi="Arial" w:cs="Arial"/>
          <w:sz w:val="22"/>
        </w:rPr>
        <w:t>Aunque se diga que «lo nulo no produce efectos», el acto puede haber sido aplicado hasta declararse la nulidad; de ahí las reglas de conservación y seguridad jurídica.</w:t>
      </w:r>
    </w:p>
    <w:p>
      <w:pPr>
        <w:pStyle w:val="Heading1"/>
        <w:keepNext/>
      </w:pPr>
      <w:r>
        <w:rPr>
          <w:rFonts w:ascii="Arial" w:hAnsi="Arial" w:cs="Arial"/>
          <w:sz w:val="30"/>
        </w:rPr>
        <w:t>10. Técnicas de limitación y saneamiento</w:t>
      </w:r>
    </w:p>
    <w:p>
      <w:pPr>
        <w:pStyle w:val="Heading2"/>
        <w:keepNext/>
      </w:pPr>
      <w:r>
        <w:rPr>
          <w:rFonts w:ascii="Arial" w:hAnsi="Arial" w:cs="Arial"/>
          <w:sz w:val="25"/>
        </w:rPr>
        <w:t>10.1. Límites a la extensión de la invalidez</w:t>
      </w:r>
    </w:p>
    <w:p>
      <w:pPr>
        <w:jc w:val="both"/>
      </w:pPr>
      <w:r>
        <w:rPr>
          <w:rFonts w:ascii="Arial" w:hAnsi="Arial" w:cs="Arial"/>
          <w:sz w:val="22"/>
        </w:rPr>
        <w:t>La nulidad o anulabilidad de un acto no implica la de los sucesivos que sean independientes. La invalidez de una parte tampoco arrastra las restantes partes independientes, salvo que la viciada sea tan importante que sin ella el acto no se hubiera dictado.</w:t>
      </w:r>
    </w:p>
    <w:p>
      <w:pPr>
        <w:jc w:val="both"/>
      </w:pPr>
      <w:r>
        <w:rPr>
          <w:rFonts w:ascii="Arial" w:hAnsi="Arial" w:cs="Arial"/>
          <w:sz w:val="22"/>
        </w:rPr>
        <w:t>En un procedimiento, por ejemplo, la invalidez de una prueba no exige repetir actuaciones anteriores válidas ni anular decisiones autónomas. Se aplica una lógica de proporcionalidad y economía procedimental.</w:t>
      </w:r>
    </w:p>
    <w:p>
      <w:pPr>
        <w:pStyle w:val="Heading2"/>
        <w:keepNext/>
      </w:pPr>
      <w:r>
        <w:rPr>
          <w:rFonts w:ascii="Arial" w:hAnsi="Arial" w:cs="Arial"/>
          <w:sz w:val="25"/>
        </w:rPr>
        <w:t>10.2. Conversión</w:t>
      </w:r>
    </w:p>
    <w:p>
      <w:pPr>
        <w:jc w:val="both"/>
      </w:pPr>
      <w:r>
        <w:rPr>
          <w:rFonts w:ascii="Arial" w:hAnsi="Arial" w:cs="Arial"/>
          <w:sz w:val="22"/>
        </w:rPr>
        <w:t>Los actos nulos o anulables que contengan los elementos constitutivos de otro acto distinto producen los efectos de este. La conversión no «cura» el acto original: reconoce que, aunque no pueda valer como el acto pretendido, reúne los requisitos de otro.</w:t>
      </w:r>
    </w:p>
    <w:p>
      <w:pPr>
        <w:jc w:val="both"/>
      </w:pPr>
      <w:r>
        <w:rPr>
          <w:rFonts w:ascii="Arial" w:hAnsi="Arial" w:cs="Arial"/>
          <w:sz w:val="22"/>
        </w:rPr>
        <w:t>La conversión nunca permite eludir requisitos esenciales del acto resultante.</w:t>
      </w:r>
    </w:p>
    <w:p>
      <w:pPr>
        <w:pStyle w:val="Heading2"/>
        <w:keepNext/>
      </w:pPr>
      <w:r>
        <w:rPr>
          <w:rFonts w:ascii="Arial" w:hAnsi="Arial" w:cs="Arial"/>
          <w:sz w:val="25"/>
        </w:rPr>
        <w:t>10.3. Conservación</w:t>
      </w:r>
    </w:p>
    <w:p>
      <w:pPr>
        <w:jc w:val="both"/>
      </w:pPr>
      <w:r>
        <w:rPr>
          <w:rFonts w:ascii="Arial" w:hAnsi="Arial" w:cs="Arial"/>
          <w:sz w:val="22"/>
        </w:rPr>
        <w:t>El órgano que declare la nulidad o anule actuaciones dispondrá siempre la conservación de aquellos actos y trámites cuyo contenido se hubiera mantenido igual de no haberse cometido la infracción.</w:t>
      </w:r>
    </w:p>
    <w:p>
      <w:pPr>
        <w:jc w:val="both"/>
      </w:pPr>
      <w:r>
        <w:rPr>
          <w:rFonts w:ascii="Arial" w:hAnsi="Arial" w:cs="Arial"/>
          <w:sz w:val="22"/>
        </w:rPr>
        <w:t>Se conservan pruebas, alegaciones o informes no afectados y se retrotrae al momento preciso del defecto.</w:t>
      </w:r>
    </w:p>
    <w:p>
      <w:pPr>
        <w:pStyle w:val="Heading2"/>
        <w:keepNext/>
      </w:pPr>
      <w:r>
        <w:rPr>
          <w:rFonts w:ascii="Arial" w:hAnsi="Arial" w:cs="Arial"/>
          <w:sz w:val="25"/>
        </w:rPr>
        <w:t>10.4. Convalidación</w:t>
      </w:r>
    </w:p>
    <w:p>
      <w:pPr>
        <w:jc w:val="both"/>
      </w:pPr>
      <w:r>
        <w:rPr>
          <w:rFonts w:ascii="Arial" w:hAnsi="Arial" w:cs="Arial"/>
          <w:sz w:val="22"/>
        </w:rPr>
        <w:t xml:space="preserve">La Administración puede convalidar los actos </w:t>
      </w:r>
      <w:r>
        <w:rPr>
          <w:rFonts w:ascii="Arial" w:hAnsi="Arial" w:cs="Arial"/>
          <w:b/>
          <w:sz w:val="22"/>
        </w:rPr>
        <w:t>anulables</w:t>
      </w:r>
      <w:r>
        <w:rPr>
          <w:rFonts w:ascii="Arial" w:hAnsi="Arial" w:cs="Arial"/>
          <w:sz w:val="22"/>
        </w:rPr>
        <w:t>, subsanando sus vicios. La convalidación produce efectos desde su fecha, salvo los supuestos legítimos de retroactividad del artículo 39.3.</w:t>
      </w:r>
    </w:p>
    <w:p>
      <w:pPr>
        <w:jc w:val="both"/>
      </w:pPr>
      <w:r>
        <w:rPr>
          <w:rFonts w:ascii="Arial" w:hAnsi="Arial" w:cs="Arial"/>
          <w:sz w:val="22"/>
        </w:rPr>
        <w:t>Reglas especiales:</w:t>
      </w:r>
    </w:p>
    <w:p>
      <w:pPr>
        <w:pStyle w:val="ListBullet"/>
      </w:pPr>
      <w:r>
        <w:rPr>
          <w:rFonts w:ascii="Arial" w:hAnsi="Arial" w:cs="Arial"/>
          <w:sz w:val="22"/>
        </w:rPr>
        <w:t>Si el vicio consiste en incompetencia no determinante de nulidad, convalida el órgano competente cuando sea superior jerárquico del que dictó el acto.</w:t>
      </w:r>
    </w:p>
    <w:p>
      <w:pPr>
        <w:pStyle w:val="ListBullet"/>
      </w:pPr>
      <w:r>
        <w:rPr>
          <w:rFonts w:ascii="Arial" w:hAnsi="Arial" w:cs="Arial"/>
          <w:sz w:val="22"/>
        </w:rPr>
        <w:t>Si falta una autorización, puede convalidarse mediante su otorgamiento posterior por el órgano competente.</w:t>
      </w:r>
    </w:p>
    <w:p>
      <w:pPr>
        <w:jc w:val="both"/>
      </w:pPr>
      <w:r>
        <w:rPr>
          <w:rFonts w:ascii="Arial" w:hAnsi="Arial" w:cs="Arial"/>
          <w:sz w:val="22"/>
        </w:rPr>
        <w:t>No se convalidan actos nulos: debe eliminarse efectivamente el vicio del anulable.</w:t>
      </w:r>
    </w:p>
    <w:p>
      <w:pPr>
        <w:pStyle w:val="Heading2"/>
        <w:keepNext/>
      </w:pPr>
      <w:r>
        <w:rPr>
          <w:rFonts w:ascii="Arial" w:hAnsi="Arial" w:cs="Arial"/>
          <w:sz w:val="25"/>
        </w:rPr>
        <w:t>10.5. Esquema operativo</w:t>
      </w:r>
    </w:p>
    <w:p>
      <w:pPr>
        <w:jc w:val="both"/>
      </w:pPr>
      <w:r>
        <w:rPr>
          <w:rFonts w:ascii="Arial" w:hAnsi="Arial" w:cs="Arial"/>
          <w:sz w:val="22"/>
        </w:rPr>
        <w:t xml:space="preserve">text ¿Existe infracción? │ ├─ No → acto válido │ └─ Sí │ ├─ ¿Encaja en art. 47 o ley expresa? → nulidad │ └─ ¿Resto de infracciones? → anulabilidad │ ├─ defecto formal sin indefensión/fin preservado → posible irregularidad no invalidante └─ vicio subsanable → posible convalidación </w:t>
      </w:r>
    </w:p>
    <w:p>
      <w:pPr>
        <w:pStyle w:val="Heading1"/>
        <w:keepNext/>
      </w:pPr>
      <w:r>
        <w:rPr>
          <w:rFonts w:ascii="Arial" w:hAnsi="Arial" w:cs="Arial"/>
          <w:sz w:val="30"/>
        </w:rPr>
        <w:t>11. Revisión de oficio</w:t>
      </w:r>
    </w:p>
    <w:p>
      <w:pPr>
        <w:pStyle w:val="Heading2"/>
        <w:keepNext/>
      </w:pPr>
      <w:r>
        <w:rPr>
          <w:rFonts w:ascii="Arial" w:hAnsi="Arial" w:cs="Arial"/>
          <w:sz w:val="25"/>
        </w:rPr>
        <w:t>11.1. Sentido y carácter excepcional</w:t>
      </w:r>
    </w:p>
    <w:p>
      <w:pPr>
        <w:jc w:val="both"/>
      </w:pPr>
      <w:r>
        <w:rPr>
          <w:rFonts w:ascii="Arial" w:hAnsi="Arial" w:cs="Arial"/>
          <w:sz w:val="22"/>
        </w:rPr>
        <w:t>La revisión de oficio permite que la Administración depure actos o reglamentos ilegales sin esperar a que los anule un tribunal. Es una potestad reglada y excepcional porque entra en tensión con seguridad jurídica, confianza legítima y firmeza.</w:t>
      </w:r>
    </w:p>
    <w:p>
      <w:pPr>
        <w:jc w:val="both"/>
      </w:pPr>
      <w:r>
        <w:rPr>
          <w:rFonts w:ascii="Arial" w:hAnsi="Arial" w:cs="Arial"/>
          <w:sz w:val="22"/>
        </w:rPr>
        <w:t>Incluye revisión de nulidad —artículo 106—, lesividad —107—, suspensión —108—, revocación y rectificación —109— y límites —110—.</w:t>
      </w:r>
    </w:p>
    <w:p>
      <w:pPr>
        <w:jc w:val="both"/>
      </w:pPr>
      <w:r>
        <w:rPr>
          <w:rFonts w:ascii="Arial" w:hAnsi="Arial" w:cs="Arial"/>
          <w:sz w:val="22"/>
        </w:rPr>
        <w:t>No debe confundirse con los recursos administrativos. El recurso se interpone dentro de un plazo contra un acto impugnable; la revisión de nulidad puede promoverse en cualquier momento, pero solo por las causas extraordinarias del artículo 47.1 y con dictamen consultivo favorable.</w:t>
      </w:r>
    </w:p>
    <w:p>
      <w:pPr>
        <w:pStyle w:val="Heading2"/>
        <w:keepNext/>
      </w:pPr>
      <w:r>
        <w:rPr>
          <w:rFonts w:ascii="Arial" w:hAnsi="Arial" w:cs="Arial"/>
          <w:sz w:val="25"/>
        </w:rPr>
        <w:t>11.2. Revisión de actos nulos</w:t>
      </w:r>
    </w:p>
    <w:p>
      <w:pPr>
        <w:jc w:val="both"/>
      </w:pPr>
      <w:r>
        <w:rPr>
          <w:rFonts w:ascii="Arial" w:hAnsi="Arial" w:cs="Arial"/>
          <w:sz w:val="22"/>
        </w:rPr>
        <w:t xml:space="preserve">Las Administraciones, </w:t>
      </w:r>
      <w:r>
        <w:rPr>
          <w:rFonts w:ascii="Arial" w:hAnsi="Arial" w:cs="Arial"/>
          <w:b/>
          <w:sz w:val="22"/>
        </w:rPr>
        <w:t>en cualquier momento</w:t>
      </w:r>
      <w:r>
        <w:rPr>
          <w:rFonts w:ascii="Arial" w:hAnsi="Arial" w:cs="Arial"/>
          <w:sz w:val="22"/>
        </w:rPr>
        <w:t>, por iniciativa propia o a solicitud de la persona interesada, y previo dictamen favorable del Consejo de Estado u órgano consultivo equivalente de la comunidad autónoma, declararán de oficio la nulidad de actos que:</w:t>
      </w:r>
    </w:p>
    <w:p>
      <w:pPr>
        <w:pStyle w:val="ListBullet"/>
      </w:pPr>
      <w:r>
        <w:rPr>
          <w:rFonts w:ascii="Arial" w:hAnsi="Arial" w:cs="Arial"/>
          <w:sz w:val="22"/>
        </w:rPr>
        <w:t>Hayan puesto fin a la vía administrativa, o</w:t>
      </w:r>
    </w:p>
    <w:p>
      <w:pPr>
        <w:pStyle w:val="ListBullet"/>
      </w:pPr>
      <w:r>
        <w:rPr>
          <w:rFonts w:ascii="Arial" w:hAnsi="Arial" w:cs="Arial"/>
          <w:sz w:val="22"/>
        </w:rPr>
        <w:t>No hayan sido recurridos en plazo,</w:t>
      </w:r>
    </w:p>
    <w:p>
      <w:pPr>
        <w:pStyle w:val="ListBullet"/>
      </w:pPr>
      <w:r>
        <w:rPr>
          <w:rFonts w:ascii="Arial" w:hAnsi="Arial" w:cs="Arial"/>
          <w:sz w:val="22"/>
        </w:rPr>
        <w:t>Y estén incursos en alguna causa del artículo 47.1.</w:t>
      </w:r>
    </w:p>
    <w:p>
      <w:pPr>
        <w:jc w:val="both"/>
      </w:pPr>
      <w:r>
        <w:rPr>
          <w:rFonts w:ascii="Arial" w:hAnsi="Arial" w:cs="Arial"/>
          <w:sz w:val="22"/>
        </w:rPr>
        <w:t xml:space="preserve">La expresión «de oficio» designa el poder de autotutela revisora, aunque el procedimiento pueda comenzar por solicitud. El dictamen debe ser </w:t>
      </w:r>
      <w:r>
        <w:rPr>
          <w:rFonts w:ascii="Arial" w:hAnsi="Arial" w:cs="Arial"/>
          <w:b/>
          <w:sz w:val="22"/>
        </w:rPr>
        <w:t>favorable</w:t>
      </w:r>
      <w:r>
        <w:rPr>
          <w:rFonts w:ascii="Arial" w:hAnsi="Arial" w:cs="Arial"/>
          <w:sz w:val="22"/>
        </w:rPr>
        <w:t>: no basta solicitarlo; si concluye que no procede la nulidad, la Administración no puede declararla por esta vía.</w:t>
      </w:r>
    </w:p>
    <w:p>
      <w:pPr>
        <w:jc w:val="both"/>
      </w:pPr>
      <w:r>
        <w:rPr>
          <w:rFonts w:ascii="Arial" w:hAnsi="Arial" w:cs="Arial"/>
          <w:sz w:val="22"/>
        </w:rPr>
        <w:t>La persona solicitante ha de identificar el acto y una causa concreta de nulidad. La revisión no es una segunda oportunidad para discutir cualquier ilegalidad o reabrir un recurso extemporáneo.</w:t>
      </w:r>
    </w:p>
    <w:p>
      <w:pPr>
        <w:pStyle w:val="Heading2"/>
        <w:keepNext/>
      </w:pPr>
      <w:r>
        <w:rPr>
          <w:rFonts w:ascii="Arial" w:hAnsi="Arial" w:cs="Arial"/>
          <w:sz w:val="25"/>
        </w:rPr>
        <w:t>11.3. Revisión de reglamentos nulos</w:t>
      </w:r>
    </w:p>
    <w:p>
      <w:pPr>
        <w:jc w:val="both"/>
      </w:pPr>
      <w:r>
        <w:rPr>
          <w:rFonts w:ascii="Arial" w:hAnsi="Arial" w:cs="Arial"/>
          <w:sz w:val="22"/>
        </w:rPr>
        <w:t>También en cualquier momento, pero únicamente por iniciativa propia, las Administraciones pueden declarar la nulidad de disposiciones administrativas en los supuestos del artículo 47.2, con dictamen favorable del órgano consultivo.</w:t>
      </w:r>
    </w:p>
    <w:p>
      <w:pPr>
        <w:jc w:val="both"/>
      </w:pPr>
      <w:r>
        <w:rPr>
          <w:rFonts w:ascii="Arial" w:hAnsi="Arial" w:cs="Arial"/>
          <w:sz w:val="22"/>
        </w:rPr>
        <w:t>La diferencia es clara:</w:t>
      </w:r>
    </w:p>
    <w:tbl>
      <w:tblPr>
        <w:tblStyle w:val="TableGrid"/>
        <w:tblW w:type="dxa" w:w="9026"/>
        <w:jc w:val="left"/>
        <w:tblLayout w:type="fixed"/>
        <w:tblLook w:firstColumn="1" w:firstRow="1" w:lastColumn="0" w:lastRow="0" w:noHBand="0" w:noVBand="1" w:val="04A0"/>
        <w:tblInd w:w="120" w:type="dxa"/>
      </w:tblPr>
      <w:tblGrid>
        <w:gridCol w:w="1469"/>
        <w:gridCol w:w="2939"/>
        <w:gridCol w:w="4618"/>
      </w:tblGrid>
      <w:tr>
        <w:trPr>
          <w:tblHeader w:val="true"/>
        </w:trPr>
        <w:tc>
          <w:tcPr>
            <w:tcW w:type="dxa" w:w="146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Objeto</w:t>
            </w:r>
          </w:p>
        </w:tc>
        <w:tc>
          <w:tcPr>
            <w:tcW w:type="dxa" w:w="293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Iniciativa de la Administración</w:t>
            </w:r>
          </w:p>
        </w:tc>
        <w:tc>
          <w:tcPr>
            <w:tcW w:type="dxa" w:w="461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Solicitud del interesado</w:t>
            </w:r>
          </w:p>
        </w:tc>
      </w:tr>
      <w:tr>
        <w:tc>
          <w:tcPr>
            <w:tcW w:type="dxa" w:w="1469"/>
            <w:tcMar>
              <w:top w:w="80" w:type="dxa"/>
              <w:start w:w="120" w:type="dxa"/>
              <w:bottom w:w="80" w:type="dxa"/>
              <w:end w:w="120" w:type="dxa"/>
            </w:tcMar>
            <w:vAlign w:val="center"/>
          </w:tcPr>
          <w:p>
            <w:pPr>
              <w:spacing w:before="0" w:after="0" w:line="240" w:lineRule="auto"/>
              <w:jc w:val="left"/>
            </w:pPr>
            <w:r/>
            <w:r>
              <w:rPr>
                <w:rFonts w:ascii="Arial" w:hAnsi="Arial" w:cs="Arial"/>
                <w:sz w:val="18"/>
              </w:rPr>
              <w:t>Acto nulo</w:t>
            </w:r>
          </w:p>
        </w:tc>
        <w:tc>
          <w:tcPr>
            <w:tcW w:type="dxa" w:w="2939"/>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4618"/>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r>
      <w:tr>
        <w:tc>
          <w:tcPr>
            <w:tcW w:type="dxa" w:w="1469"/>
            <w:tcMar>
              <w:top w:w="80" w:type="dxa"/>
              <w:start w:w="120" w:type="dxa"/>
              <w:bottom w:w="80" w:type="dxa"/>
              <w:end w:w="120" w:type="dxa"/>
            </w:tcMar>
            <w:vAlign w:val="center"/>
          </w:tcPr>
          <w:p>
            <w:pPr>
              <w:spacing w:before="0" w:after="0" w:line="240" w:lineRule="auto"/>
              <w:jc w:val="left"/>
            </w:pPr>
            <w:r/>
            <w:r>
              <w:rPr>
                <w:rFonts w:ascii="Arial" w:hAnsi="Arial" w:cs="Arial"/>
                <w:sz w:val="18"/>
              </w:rPr>
              <w:t>Reglamento nulo</w:t>
            </w:r>
          </w:p>
        </w:tc>
        <w:tc>
          <w:tcPr>
            <w:tcW w:type="dxa" w:w="2939"/>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4618"/>
            <w:tcMar>
              <w:top w:w="80" w:type="dxa"/>
              <w:start w:w="120" w:type="dxa"/>
              <w:bottom w:w="80" w:type="dxa"/>
              <w:end w:w="120" w:type="dxa"/>
            </w:tcMar>
            <w:vAlign w:val="center"/>
          </w:tcPr>
          <w:p>
            <w:pPr>
              <w:spacing w:before="0" w:after="0" w:line="240" w:lineRule="auto"/>
              <w:jc w:val="left"/>
            </w:pPr>
            <w:r/>
            <w:r>
              <w:rPr>
                <w:rFonts w:ascii="Arial" w:hAnsi="Arial" w:cs="Arial"/>
                <w:sz w:val="18"/>
              </w:rPr>
              <w:t>No como verdadero derecho a iniciar el artículo 106.2</w:t>
            </w:r>
          </w:p>
        </w:tc>
      </w:tr>
    </w:tbl>
    <w:p>
      <w:pPr>
        <w:spacing w:after="40"/>
      </w:pPr>
    </w:p>
    <w:p>
      <w:pPr>
        <w:jc w:val="both"/>
      </w:pPr>
      <w:r>
        <w:rPr>
          <w:rFonts w:ascii="Arial" w:hAnsi="Arial" w:cs="Arial"/>
          <w:sz w:val="22"/>
        </w:rPr>
        <w:t>La declaración de nulidad de una disposición no afecta por sí misma a los actos administrativos firmes dictados en aplicación de ella. Con esta regla se protege la estabilidad de situaciones consolidadas, sin perjuicio de las vías que en cada caso pudieran existir.</w:t>
      </w:r>
    </w:p>
    <w:p>
      <w:pPr>
        <w:pStyle w:val="Heading2"/>
        <w:keepNext/>
      </w:pPr>
      <w:r>
        <w:rPr>
          <w:rFonts w:ascii="Arial" w:hAnsi="Arial" w:cs="Arial"/>
          <w:sz w:val="25"/>
        </w:rPr>
        <w:t>11.4. Inadmisión de solicitudes</w:t>
      </w:r>
    </w:p>
    <w:p>
      <w:pPr>
        <w:jc w:val="both"/>
      </w:pPr>
      <w:r>
        <w:rPr>
          <w:rFonts w:ascii="Arial" w:hAnsi="Arial" w:cs="Arial"/>
          <w:sz w:val="22"/>
        </w:rPr>
        <w:t>El órgano competente puede inadmitir motivadamente, sin recabar dictamen consultivo, las solicitudes de revisión cuando:</w:t>
      </w:r>
    </w:p>
    <w:p>
      <w:pPr>
        <w:pStyle w:val="ListBullet"/>
      </w:pPr>
      <w:r>
        <w:rPr>
          <w:rFonts w:ascii="Arial" w:hAnsi="Arial" w:cs="Arial"/>
          <w:sz w:val="22"/>
        </w:rPr>
        <w:t>No se basen en una causa de nulidad del artículo 47.1.</w:t>
      </w:r>
    </w:p>
    <w:p>
      <w:pPr>
        <w:pStyle w:val="ListBullet"/>
      </w:pPr>
      <w:r>
        <w:rPr>
          <w:rFonts w:ascii="Arial" w:hAnsi="Arial" w:cs="Arial"/>
          <w:sz w:val="22"/>
        </w:rPr>
        <w:t>Carezcan manifiestamente de fundamento.</w:t>
      </w:r>
    </w:p>
    <w:p>
      <w:pPr>
        <w:pStyle w:val="ListBullet"/>
      </w:pPr>
      <w:r>
        <w:rPr>
          <w:rFonts w:ascii="Arial" w:hAnsi="Arial" w:cs="Arial"/>
          <w:sz w:val="22"/>
        </w:rPr>
        <w:t>Se hayan desestimado en cuanto al fondo otras solicitudes sustancialmente iguales.</w:t>
      </w:r>
    </w:p>
    <w:p>
      <w:pPr>
        <w:jc w:val="both"/>
      </w:pPr>
      <w:r>
        <w:rPr>
          <w:rFonts w:ascii="Arial" w:hAnsi="Arial" w:cs="Arial"/>
          <w:sz w:val="22"/>
        </w:rPr>
        <w:t>La inadmisión es distinta de la desestimación. La primera impide tramitar el fondo por una causa inicial y debe motivarse; la segunda llega a la conclusión, tras la tramitación pertinente, de que el acto no es nulo.</w:t>
      </w:r>
    </w:p>
    <w:p>
      <w:pPr>
        <w:pStyle w:val="Heading2"/>
        <w:keepNext/>
      </w:pPr>
      <w:r>
        <w:rPr>
          <w:rFonts w:ascii="Arial" w:hAnsi="Arial" w:cs="Arial"/>
          <w:sz w:val="25"/>
        </w:rPr>
        <w:t>11.5. Resolución, indemnizaciones y plazo</w:t>
      </w:r>
    </w:p>
    <w:p>
      <w:pPr>
        <w:jc w:val="both"/>
      </w:pPr>
      <w:r>
        <w:rPr>
          <w:rFonts w:ascii="Arial" w:hAnsi="Arial" w:cs="Arial"/>
          <w:sz w:val="22"/>
        </w:rPr>
        <w:t>Al declarar la nulidad, la Administración puede reconocer en la misma resolución las indemnizaciones que procedan si concurren los presupuestos de responsabilidad patrimonial previstos en la Ley 40/2015.</w:t>
      </w:r>
    </w:p>
    <w:p>
      <w:pPr>
        <w:jc w:val="both"/>
      </w:pPr>
      <w:r>
        <w:rPr>
          <w:rFonts w:ascii="Arial" w:hAnsi="Arial" w:cs="Arial"/>
          <w:sz w:val="22"/>
        </w:rPr>
        <w:t xml:space="preserve">El plazo máximo del procedimiento de revisión es de </w:t>
      </w:r>
      <w:r>
        <w:rPr>
          <w:rFonts w:ascii="Arial" w:hAnsi="Arial" w:cs="Arial"/>
          <w:b/>
          <w:sz w:val="22"/>
        </w:rPr>
        <w:t>seis meses</w:t>
      </w:r>
      <w:r>
        <w:rPr>
          <w:rFonts w:ascii="Arial" w:hAnsi="Arial" w:cs="Arial"/>
          <w:sz w:val="22"/>
        </w:rPr>
        <w:t>:</w:t>
      </w:r>
    </w:p>
    <w:p>
      <w:pPr>
        <w:pStyle w:val="ListBullet"/>
      </w:pPr>
      <w:r>
        <w:rPr>
          <w:rFonts w:ascii="Arial" w:hAnsi="Arial" w:cs="Arial"/>
          <w:sz w:val="22"/>
        </w:rPr>
        <w:t xml:space="preserve">Si comenzó de oficio, la falta de resolución produce </w:t>
      </w:r>
      <w:r>
        <w:rPr>
          <w:rFonts w:ascii="Arial" w:hAnsi="Arial" w:cs="Arial"/>
          <w:b/>
          <w:sz w:val="22"/>
        </w:rPr>
        <w:t>caducidad</w:t>
      </w:r>
      <w:r>
        <w:rPr>
          <w:rFonts w:ascii="Arial" w:hAnsi="Arial" w:cs="Arial"/>
          <w:sz w:val="22"/>
        </w:rPr>
        <w:t>.</w:t>
      </w:r>
    </w:p>
    <w:p>
      <w:pPr>
        <w:pStyle w:val="ListBullet"/>
      </w:pPr>
      <w:r>
        <w:rPr>
          <w:rFonts w:ascii="Arial" w:hAnsi="Arial" w:cs="Arial"/>
          <w:sz w:val="22"/>
        </w:rPr>
        <w:t xml:space="preserve">Si comenzó a solicitud del interesado, puede entenderse </w:t>
      </w:r>
      <w:r>
        <w:rPr>
          <w:rFonts w:ascii="Arial" w:hAnsi="Arial" w:cs="Arial"/>
          <w:b/>
          <w:sz w:val="22"/>
        </w:rPr>
        <w:t>desestimada por silencio</w:t>
      </w:r>
      <w:r>
        <w:rPr>
          <w:rFonts w:ascii="Arial" w:hAnsi="Arial" w:cs="Arial"/>
          <w:sz w:val="22"/>
        </w:rPr>
        <w:t>.</w:t>
      </w:r>
    </w:p>
    <w:p>
      <w:pPr>
        <w:jc w:val="both"/>
      </w:pPr>
      <w:r>
        <w:rPr>
          <w:rFonts w:ascii="Arial" w:hAnsi="Arial" w:cs="Arial"/>
          <w:sz w:val="22"/>
        </w:rPr>
        <w:t>Caducidad y silencio negativo no son equivalentes. La caducidad termina ese procedimiento iniciado de oficio; el silencio desestimatorio permite impugnar y no exime de resolver expresamente.</w:t>
      </w:r>
    </w:p>
    <w:p>
      <w:pPr>
        <w:pStyle w:val="Heading1"/>
        <w:keepNext/>
      </w:pPr>
      <w:r>
        <w:rPr>
          <w:rFonts w:ascii="Arial" w:hAnsi="Arial" w:cs="Arial"/>
          <w:sz w:val="30"/>
        </w:rPr>
        <w:t>12. Lesividad de actos anulables</w:t>
      </w:r>
    </w:p>
    <w:p>
      <w:pPr>
        <w:pStyle w:val="Heading2"/>
        <w:keepNext/>
      </w:pPr>
      <w:r>
        <w:rPr>
          <w:rFonts w:ascii="Arial" w:hAnsi="Arial" w:cs="Arial"/>
          <w:sz w:val="25"/>
        </w:rPr>
        <w:t>12.1. Por qué es necesaria</w:t>
      </w:r>
    </w:p>
    <w:p>
      <w:pPr>
        <w:jc w:val="both"/>
      </w:pPr>
      <w:r>
        <w:rPr>
          <w:rFonts w:ascii="Arial" w:hAnsi="Arial" w:cs="Arial"/>
          <w:sz w:val="22"/>
        </w:rPr>
        <w:t>La Administración no puede anular por sí sola un acto favorable meramente anulable. Debe declarar su perjuicio para el interés público e impugnarlo ante la jurisdicción contenciosa. Exige acto favorable, vicio de anulabilidad y lesión del interés público.</w:t>
      </w:r>
    </w:p>
    <w:p>
      <w:pPr>
        <w:jc w:val="both"/>
      </w:pPr>
      <w:r>
        <w:rPr>
          <w:rFonts w:ascii="Arial" w:hAnsi="Arial" w:cs="Arial"/>
          <w:sz w:val="22"/>
        </w:rPr>
        <w:t>La declaración de lesividad no anula el acto y no es susceptible de recurso autónomo, sin perjuicio de su examen como presupuesto del proceso judicial. Debe notificarse a las personas interesadas a efectos informativos.</w:t>
      </w:r>
    </w:p>
    <w:p>
      <w:pPr>
        <w:pStyle w:val="Heading2"/>
        <w:keepNext/>
      </w:pPr>
      <w:r>
        <w:rPr>
          <w:rFonts w:ascii="Arial" w:hAnsi="Arial" w:cs="Arial"/>
          <w:sz w:val="25"/>
        </w:rPr>
        <w:t>12.2. Procedimiento y plazos</w:t>
      </w:r>
    </w:p>
    <w:p>
      <w:pPr>
        <w:jc w:val="both"/>
      </w:pPr>
      <w:r>
        <w:rPr>
          <w:rFonts w:ascii="Arial" w:hAnsi="Arial" w:cs="Arial"/>
          <w:sz w:val="22"/>
        </w:rPr>
        <w:t xml:space="preserve">No puede declararse la lesividad una vez transcurridos </w:t>
      </w:r>
      <w:r>
        <w:rPr>
          <w:rFonts w:ascii="Arial" w:hAnsi="Arial" w:cs="Arial"/>
          <w:b/>
          <w:sz w:val="22"/>
        </w:rPr>
        <w:t>cuatro años</w:t>
      </w:r>
      <w:r>
        <w:rPr>
          <w:rFonts w:ascii="Arial" w:hAnsi="Arial" w:cs="Arial"/>
          <w:sz w:val="22"/>
        </w:rPr>
        <w:t xml:space="preserve"> desde que se dictó el acto. Antes de declararla debe darse audiencia a cuantos aparezcan como interesados.</w:t>
      </w:r>
    </w:p>
    <w:p>
      <w:pPr>
        <w:jc w:val="both"/>
      </w:pPr>
      <w:r>
        <w:rPr>
          <w:rFonts w:ascii="Arial" w:hAnsi="Arial" w:cs="Arial"/>
          <w:sz w:val="22"/>
        </w:rPr>
        <w:t xml:space="preserve">Si transcurren </w:t>
      </w:r>
      <w:r>
        <w:rPr>
          <w:rFonts w:ascii="Arial" w:hAnsi="Arial" w:cs="Arial"/>
          <w:b/>
          <w:sz w:val="22"/>
        </w:rPr>
        <w:t>seis meses</w:t>
      </w:r>
      <w:r>
        <w:rPr>
          <w:rFonts w:ascii="Arial" w:hAnsi="Arial" w:cs="Arial"/>
          <w:sz w:val="22"/>
        </w:rPr>
        <w:t xml:space="preserve"> desde el inicio sin declaración, se produce la caducidad. En la Administración General del Estado y comunidades autónomas la competencia se determina por sus normas; si el acto procede de una entidad local, la declaración corresponde al Pleno o, en su defecto, al órgano colegiado superior.</w:t>
      </w:r>
    </w:p>
    <w:p>
      <w:pPr>
        <w:jc w:val="both"/>
      </w:pPr>
      <w:r>
        <w:rPr>
          <w:rFonts w:ascii="Arial" w:hAnsi="Arial" w:cs="Arial"/>
          <w:sz w:val="22"/>
        </w:rPr>
        <w:t>Después de declarar la lesividad, la Administración dispone del plazo procesal aplicable para interponer el recurso contencioso. La declaración es un requisito previo, no una sentencia administrativa.</w:t>
      </w:r>
    </w:p>
    <w:p>
      <w:pPr>
        <w:pStyle w:val="Heading1"/>
        <w:keepNext/>
      </w:pPr>
      <w:r>
        <w:rPr>
          <w:rFonts w:ascii="Arial" w:hAnsi="Arial" w:cs="Arial"/>
          <w:sz w:val="30"/>
        </w:rPr>
        <w:t>13. Suspensión, revocación y rectificación</w:t>
      </w:r>
    </w:p>
    <w:p>
      <w:pPr>
        <w:pStyle w:val="Heading2"/>
        <w:keepNext/>
      </w:pPr>
      <w:r>
        <w:rPr>
          <w:rFonts w:ascii="Arial" w:hAnsi="Arial" w:cs="Arial"/>
          <w:sz w:val="25"/>
        </w:rPr>
        <w:t>13.1. Suspensión en revisión</w:t>
      </w:r>
    </w:p>
    <w:p>
      <w:pPr>
        <w:jc w:val="both"/>
      </w:pPr>
      <w:r>
        <w:rPr>
          <w:rFonts w:ascii="Arial" w:hAnsi="Arial" w:cs="Arial"/>
          <w:sz w:val="22"/>
        </w:rPr>
        <w:t>Iniciado un procedimiento de revisión o lesividad, el órgano competente puede suspender el acto si su ejecución causaría perjuicios de imposible o difícil reparación. Exige valoración del riesgo y no prejuzga el resultado.</w:t>
      </w:r>
    </w:p>
    <w:p>
      <w:pPr>
        <w:pStyle w:val="Heading2"/>
        <w:keepNext/>
      </w:pPr>
      <w:r>
        <w:rPr>
          <w:rFonts w:ascii="Arial" w:hAnsi="Arial" w:cs="Arial"/>
          <w:sz w:val="25"/>
        </w:rPr>
        <w:t>13.2. Revocación de actos desfavorables</w:t>
      </w:r>
    </w:p>
    <w:p>
      <w:pPr>
        <w:jc w:val="both"/>
      </w:pPr>
      <w:r>
        <w:rPr>
          <w:rFonts w:ascii="Arial" w:hAnsi="Arial" w:cs="Arial"/>
          <w:sz w:val="22"/>
        </w:rPr>
        <w:t>Las Administraciones pueden revocar, mientras no haya transcurrido el plazo de prescripción, sus actos de gravamen o desfavorables. La revocación no puede:</w:t>
      </w:r>
    </w:p>
    <w:p>
      <w:pPr>
        <w:pStyle w:val="ListBullet"/>
      </w:pPr>
      <w:r>
        <w:rPr>
          <w:rFonts w:ascii="Arial" w:hAnsi="Arial" w:cs="Arial"/>
          <w:sz w:val="22"/>
        </w:rPr>
        <w:t>Constituir dispensa o exención no permitida por las leyes.</w:t>
      </w:r>
    </w:p>
    <w:p>
      <w:pPr>
        <w:pStyle w:val="ListBullet"/>
      </w:pPr>
      <w:r>
        <w:rPr>
          <w:rFonts w:ascii="Arial" w:hAnsi="Arial" w:cs="Arial"/>
          <w:sz w:val="22"/>
        </w:rPr>
        <w:t>Ser contraria al principio de igualdad.</w:t>
      </w:r>
    </w:p>
    <w:p>
      <w:pPr>
        <w:pStyle w:val="ListBullet"/>
      </w:pPr>
      <w:r>
        <w:rPr>
          <w:rFonts w:ascii="Arial" w:hAnsi="Arial" w:cs="Arial"/>
          <w:sz w:val="22"/>
        </w:rPr>
        <w:t>Ser contraria al interés público.</w:t>
      </w:r>
    </w:p>
    <w:p>
      <w:pPr>
        <w:pStyle w:val="ListBullet"/>
      </w:pPr>
      <w:r>
        <w:rPr>
          <w:rFonts w:ascii="Arial" w:hAnsi="Arial" w:cs="Arial"/>
          <w:sz w:val="22"/>
        </w:rPr>
        <w:t>Ser contraria al ordenamiento jurídico.</w:t>
      </w:r>
    </w:p>
    <w:p>
      <w:pPr>
        <w:jc w:val="both"/>
      </w:pPr>
      <w:r>
        <w:rPr>
          <w:rFonts w:ascii="Arial" w:hAnsi="Arial" w:cs="Arial"/>
          <w:sz w:val="22"/>
        </w:rPr>
        <w:t>No es una revisión libre de legalidad de actos favorables. Su objeto típico es retirar o mitigar una decisión desfavorable cuando hacerlo sigue siendo legal y compatible con el interés público.</w:t>
      </w:r>
    </w:p>
    <w:p>
      <w:pPr>
        <w:pStyle w:val="Heading2"/>
        <w:keepNext/>
      </w:pPr>
      <w:r>
        <w:rPr>
          <w:rFonts w:ascii="Arial" w:hAnsi="Arial" w:cs="Arial"/>
          <w:sz w:val="25"/>
        </w:rPr>
        <w:t>13.3. Rectificación de errores</w:t>
      </w:r>
    </w:p>
    <w:p>
      <w:pPr>
        <w:jc w:val="both"/>
      </w:pPr>
      <w:r>
        <w:rPr>
          <w:rFonts w:ascii="Arial" w:hAnsi="Arial" w:cs="Arial"/>
          <w:sz w:val="22"/>
        </w:rPr>
        <w:t xml:space="preserve">Las Administraciones pueden rectificar </w:t>
      </w:r>
      <w:r>
        <w:rPr>
          <w:rFonts w:ascii="Arial" w:hAnsi="Arial" w:cs="Arial"/>
          <w:b/>
          <w:sz w:val="22"/>
        </w:rPr>
        <w:t>en cualquier momento</w:t>
      </w:r>
      <w:r>
        <w:rPr>
          <w:rFonts w:ascii="Arial" w:hAnsi="Arial" w:cs="Arial"/>
          <w:sz w:val="22"/>
        </w:rPr>
        <w:t>, de oficio o a instancia de las personas interesadas, errores materiales, de hecho o aritméticos existentes en sus actos.</w:t>
      </w:r>
    </w:p>
    <w:p>
      <w:pPr>
        <w:jc w:val="both"/>
      </w:pPr>
      <w:r>
        <w:rPr>
          <w:rFonts w:ascii="Arial" w:hAnsi="Arial" w:cs="Arial"/>
          <w:sz w:val="22"/>
        </w:rPr>
        <w:t>La rectificación:</w:t>
      </w:r>
    </w:p>
    <w:p>
      <w:pPr>
        <w:pStyle w:val="ListBullet"/>
      </w:pPr>
      <w:r>
        <w:rPr>
          <w:rFonts w:ascii="Arial" w:hAnsi="Arial" w:cs="Arial"/>
          <w:sz w:val="22"/>
        </w:rPr>
        <w:t>Corrige una equivocación patente, comprobable con el expediente.</w:t>
      </w:r>
    </w:p>
    <w:p>
      <w:pPr>
        <w:pStyle w:val="ListBullet"/>
      </w:pPr>
      <w:r>
        <w:rPr>
          <w:rFonts w:ascii="Arial" w:hAnsi="Arial" w:cs="Arial"/>
          <w:sz w:val="22"/>
        </w:rPr>
        <w:t>No exige una nueva valoración jurídica.</w:t>
      </w:r>
    </w:p>
    <w:p>
      <w:pPr>
        <w:pStyle w:val="ListBullet"/>
      </w:pPr>
      <w:r>
        <w:rPr>
          <w:rFonts w:ascii="Arial" w:hAnsi="Arial" w:cs="Arial"/>
          <w:sz w:val="22"/>
        </w:rPr>
        <w:t>No puede alterar el sentido sustancial del acto.</w:t>
      </w:r>
    </w:p>
    <w:p>
      <w:pPr>
        <w:pStyle w:val="ListBullet"/>
      </w:pPr>
      <w:r>
        <w:rPr>
          <w:rFonts w:ascii="Arial" w:hAnsi="Arial" w:cs="Arial"/>
          <w:sz w:val="22"/>
        </w:rPr>
        <w:t>No puede encubrir una revisión de oficio ni sustituir un recurso.</w:t>
      </w:r>
    </w:p>
    <w:p>
      <w:pPr>
        <w:jc w:val="both"/>
      </w:pPr>
      <w:r>
        <w:rPr>
          <w:rFonts w:ascii="Arial" w:hAnsi="Arial" w:cs="Arial"/>
          <w:sz w:val="22"/>
        </w:rPr>
        <w:t>Cambiar una suma mal realizada es rectificación; reinterpretar una norma, reevaluar pruebas o sustituir el criterio decisorio no lo es.</w:t>
      </w:r>
    </w:p>
    <w:p>
      <w:pPr>
        <w:pStyle w:val="Heading2"/>
        <w:keepNext/>
      </w:pPr>
      <w:r>
        <w:rPr>
          <w:rFonts w:ascii="Arial" w:hAnsi="Arial" w:cs="Arial"/>
          <w:sz w:val="25"/>
        </w:rPr>
        <w:t>13.4. Límites del artículo 110</w:t>
      </w:r>
    </w:p>
    <w:p>
      <w:pPr>
        <w:jc w:val="both"/>
      </w:pPr>
      <w:r>
        <w:rPr>
          <w:rFonts w:ascii="Arial" w:hAnsi="Arial" w:cs="Arial"/>
          <w:sz w:val="22"/>
        </w:rPr>
        <w:t>Aunque la revisión sea posible en abstracto, no podrá ejercerse cuando, por prescripción de acciones, tiempo transcurrido u otras circunstancias, resulte contraria a:</w:t>
      </w:r>
    </w:p>
    <w:p>
      <w:pPr>
        <w:pStyle w:val="ListBullet"/>
      </w:pPr>
      <w:r>
        <w:rPr>
          <w:rFonts w:ascii="Arial" w:hAnsi="Arial" w:cs="Arial"/>
          <w:sz w:val="22"/>
        </w:rPr>
        <w:t>Equidad.</w:t>
      </w:r>
    </w:p>
    <w:p>
      <w:pPr>
        <w:pStyle w:val="ListBullet"/>
      </w:pPr>
      <w:r>
        <w:rPr>
          <w:rFonts w:ascii="Arial" w:hAnsi="Arial" w:cs="Arial"/>
          <w:sz w:val="22"/>
        </w:rPr>
        <w:t>Buena fe.</w:t>
      </w:r>
    </w:p>
    <w:p>
      <w:pPr>
        <w:pStyle w:val="ListBullet"/>
      </w:pPr>
      <w:r>
        <w:rPr>
          <w:rFonts w:ascii="Arial" w:hAnsi="Arial" w:cs="Arial"/>
          <w:sz w:val="22"/>
        </w:rPr>
        <w:t>Derechos de los particulares.</w:t>
      </w:r>
    </w:p>
    <w:p>
      <w:pPr>
        <w:pStyle w:val="ListBullet"/>
      </w:pPr>
      <w:r>
        <w:rPr>
          <w:rFonts w:ascii="Arial" w:hAnsi="Arial" w:cs="Arial"/>
          <w:sz w:val="22"/>
        </w:rPr>
        <w:t>Leyes.</w:t>
      </w:r>
    </w:p>
    <w:p>
      <w:pPr>
        <w:jc w:val="both"/>
      </w:pPr>
      <w:r>
        <w:rPr>
          <w:rFonts w:ascii="Arial" w:hAnsi="Arial" w:cs="Arial"/>
          <w:sz w:val="22"/>
        </w:rPr>
        <w:t>El artículo 110 impide que la nulidad se convierta en un poder sin límites materiales. Exige ponderar la gravedad del vicio frente a seguridad jurídica y confianza legítima. No establece un plazo fijo para la nulidad, pero permite frenar una revisión cuya utilización tardía sea jurídicamente intolerable.</w:t>
      </w:r>
    </w:p>
    <w:p>
      <w:pPr>
        <w:pStyle w:val="Heading1"/>
        <w:keepNext/>
      </w:pPr>
      <w:r>
        <w:rPr>
          <w:rFonts w:ascii="Arial" w:hAnsi="Arial" w:cs="Arial"/>
          <w:sz w:val="30"/>
        </w:rPr>
        <w:t>14. Competencia revisora en la Administración General del Estado</w:t>
      </w:r>
    </w:p>
    <w:p>
      <w:pPr>
        <w:jc w:val="both"/>
      </w:pPr>
      <w:r>
        <w:rPr>
          <w:rFonts w:ascii="Arial" w:hAnsi="Arial" w:cs="Arial"/>
          <w:sz w:val="22"/>
        </w:rPr>
        <w:t>El artículo 111 distribuye la competencia:</w:t>
      </w:r>
    </w:p>
    <w:p>
      <w:pPr>
        <w:pStyle w:val="ListBullet"/>
      </w:pPr>
      <w:r>
        <w:rPr>
          <w:rFonts w:ascii="Arial" w:hAnsi="Arial" w:cs="Arial"/>
          <w:sz w:val="22"/>
        </w:rPr>
        <w:t xml:space="preserve">El </w:t>
      </w:r>
      <w:r>
        <w:rPr>
          <w:rFonts w:ascii="Arial" w:hAnsi="Arial" w:cs="Arial"/>
          <w:b/>
          <w:sz w:val="22"/>
        </w:rPr>
        <w:t>Consejo de Ministros</w:t>
      </w:r>
      <w:r>
        <w:rPr>
          <w:rFonts w:ascii="Arial" w:hAnsi="Arial" w:cs="Arial"/>
          <w:sz w:val="22"/>
        </w:rPr>
        <w:t xml:space="preserve"> revisa sus propios actos y disposiciones y los dictados por ministros.</w:t>
      </w:r>
    </w:p>
    <w:p>
      <w:pPr>
        <w:pStyle w:val="ListBullet"/>
      </w:pPr>
      <w:r>
        <w:rPr>
          <w:rFonts w:ascii="Arial" w:hAnsi="Arial" w:cs="Arial"/>
          <w:sz w:val="22"/>
        </w:rPr>
        <w:t xml:space="preserve">En la Administración General del Estado, los </w:t>
      </w:r>
      <w:r>
        <w:rPr>
          <w:rFonts w:ascii="Arial" w:hAnsi="Arial" w:cs="Arial"/>
          <w:b/>
          <w:sz w:val="22"/>
        </w:rPr>
        <w:t>ministros</w:t>
      </w:r>
      <w:r>
        <w:rPr>
          <w:rFonts w:ascii="Arial" w:hAnsi="Arial" w:cs="Arial"/>
          <w:sz w:val="22"/>
        </w:rPr>
        <w:t xml:space="preserve"> revisan actos y disposiciones de secretarios de Estado y de órganos directivos de su departamento que no dependan de una secretaría de Estado.</w:t>
      </w:r>
    </w:p>
    <w:p>
      <w:pPr>
        <w:pStyle w:val="ListBullet"/>
      </w:pPr>
      <w:r>
        <w:rPr>
          <w:rFonts w:ascii="Arial" w:hAnsi="Arial" w:cs="Arial"/>
          <w:sz w:val="22"/>
        </w:rPr>
        <w:t xml:space="preserve">Los </w:t>
      </w:r>
      <w:r>
        <w:rPr>
          <w:rFonts w:ascii="Arial" w:hAnsi="Arial" w:cs="Arial"/>
          <w:b/>
          <w:sz w:val="22"/>
        </w:rPr>
        <w:t>secretarios de Estado</w:t>
      </w:r>
      <w:r>
        <w:rPr>
          <w:rFonts w:ascii="Arial" w:hAnsi="Arial" w:cs="Arial"/>
          <w:sz w:val="22"/>
        </w:rPr>
        <w:t xml:space="preserve"> revisan actos y disposiciones de órganos directivos dependientes de ellos.</w:t>
      </w:r>
    </w:p>
    <w:p>
      <w:pPr>
        <w:pStyle w:val="ListBullet"/>
      </w:pPr>
      <w:r>
        <w:rPr>
          <w:rFonts w:ascii="Arial" w:hAnsi="Arial" w:cs="Arial"/>
          <w:sz w:val="22"/>
        </w:rPr>
        <w:t>En organismos públicos y entidades vinculados o dependientes, revisan los actos de órganos dependientes los máximos órganos rectores; los actos de estos últimos, el órgano al que estén adscritos.</w:t>
      </w:r>
    </w:p>
    <w:p>
      <w:pPr>
        <w:jc w:val="both"/>
      </w:pPr>
      <w:r>
        <w:rPr>
          <w:rFonts w:ascii="Arial" w:hAnsi="Arial" w:cs="Arial"/>
          <w:sz w:val="22"/>
        </w:rPr>
        <w:t>Esta distribución se refiere a la revisión de oficio de actos nulos y disposiciones. No desplaza las reglas específicas sobre recursos, revocación o rectificación.</w:t>
      </w:r>
    </w:p>
    <w:p>
      <w:pPr>
        <w:pStyle w:val="Heading1"/>
        <w:keepNext/>
      </w:pPr>
      <w:r>
        <w:rPr>
          <w:rFonts w:ascii="Arial" w:hAnsi="Arial" w:cs="Arial"/>
          <w:sz w:val="30"/>
        </w:rPr>
        <w:t>15. Cuadros integrados de repaso</w:t>
      </w:r>
    </w:p>
    <w:p>
      <w:pPr>
        <w:pStyle w:val="Heading2"/>
        <w:keepNext/>
      </w:pPr>
      <w:r>
        <w:rPr>
          <w:rFonts w:ascii="Arial" w:hAnsi="Arial" w:cs="Arial"/>
          <w:sz w:val="25"/>
        </w:rPr>
        <w:t>15.1. Notificación y publicación</w:t>
      </w:r>
    </w:p>
    <w:tbl>
      <w:tblPr>
        <w:tblStyle w:val="TableGrid"/>
        <w:tblW w:type="dxa" w:w="9026"/>
        <w:jc w:val="left"/>
        <w:tblLayout w:type="fixed"/>
        <w:tblLook w:firstColumn="1" w:firstRow="1" w:lastColumn="0" w:lastRow="0" w:noHBand="0" w:noVBand="1" w:val="04A0"/>
        <w:tblInd w:w="120" w:type="dxa"/>
      </w:tblPr>
      <w:tblGrid>
        <w:gridCol w:w="3868"/>
        <w:gridCol w:w="5158"/>
      </w:tblGrid>
      <w:tr>
        <w:trPr>
          <w:tblHeader w:val="true"/>
        </w:trPr>
        <w:tc>
          <w:tcPr>
            <w:tcW w:type="dxa" w:w="386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Supuesto</w:t>
            </w:r>
          </w:p>
        </w:tc>
        <w:tc>
          <w:tcPr>
            <w:tcW w:type="dxa" w:w="515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Regla</w:t>
            </w:r>
          </w:p>
        </w:tc>
      </w:tr>
      <w:tr>
        <w:tc>
          <w:tcPr>
            <w:tcW w:type="dxa" w:w="3868"/>
            <w:tcMar>
              <w:top w:w="80" w:type="dxa"/>
              <w:start w:w="120" w:type="dxa"/>
              <w:bottom w:w="80" w:type="dxa"/>
              <w:end w:w="120" w:type="dxa"/>
            </w:tcMar>
            <w:vAlign w:val="center"/>
          </w:tcPr>
          <w:p>
            <w:pPr>
              <w:spacing w:before="0" w:after="0" w:line="240" w:lineRule="auto"/>
              <w:jc w:val="left"/>
            </w:pPr>
            <w:r/>
            <w:r>
              <w:rPr>
                <w:rFonts w:ascii="Arial" w:hAnsi="Arial" w:cs="Arial"/>
                <w:sz w:val="18"/>
              </w:rPr>
              <w:t>Plazo para cursar notificación</w:t>
            </w:r>
          </w:p>
        </w:tc>
        <w:tc>
          <w:tcPr>
            <w:tcW w:type="dxa" w:w="5158"/>
            <w:tcMar>
              <w:top w:w="80" w:type="dxa"/>
              <w:start w:w="120" w:type="dxa"/>
              <w:bottom w:w="80" w:type="dxa"/>
              <w:end w:w="120" w:type="dxa"/>
            </w:tcMar>
            <w:vAlign w:val="center"/>
          </w:tcPr>
          <w:p>
            <w:pPr>
              <w:spacing w:before="0" w:after="0" w:line="240" w:lineRule="auto"/>
              <w:jc w:val="left"/>
            </w:pPr>
            <w:r/>
            <w:r>
              <w:rPr>
                <w:rFonts w:ascii="Arial" w:hAnsi="Arial" w:cs="Arial"/>
                <w:sz w:val="18"/>
              </w:rPr>
              <w:t>10 días desde que se dicta el acto</w:t>
            </w:r>
          </w:p>
        </w:tc>
      </w:tr>
      <w:tr>
        <w:tc>
          <w:tcPr>
            <w:tcW w:type="dxa" w:w="3868"/>
            <w:tcMar>
              <w:top w:w="80" w:type="dxa"/>
              <w:start w:w="120" w:type="dxa"/>
              <w:bottom w:w="80" w:type="dxa"/>
              <w:end w:w="120" w:type="dxa"/>
            </w:tcMar>
            <w:vAlign w:val="center"/>
          </w:tcPr>
          <w:p>
            <w:pPr>
              <w:spacing w:before="0" w:after="0" w:line="240" w:lineRule="auto"/>
              <w:jc w:val="left"/>
            </w:pPr>
            <w:r/>
            <w:r>
              <w:rPr>
                <w:rFonts w:ascii="Arial" w:hAnsi="Arial" w:cs="Arial"/>
                <w:sz w:val="18"/>
              </w:rPr>
              <w:t>Persona en domicilio que puede recibir</w:t>
            </w:r>
          </w:p>
        </w:tc>
        <w:tc>
          <w:tcPr>
            <w:tcW w:type="dxa" w:w="5158"/>
            <w:tcMar>
              <w:top w:w="80" w:type="dxa"/>
              <w:start w:w="120" w:type="dxa"/>
              <w:bottom w:w="80" w:type="dxa"/>
              <w:end w:w="120" w:type="dxa"/>
            </w:tcMar>
            <w:vAlign w:val="center"/>
          </w:tcPr>
          <w:p>
            <w:pPr>
              <w:spacing w:before="0" w:after="0" w:line="240" w:lineRule="auto"/>
              <w:jc w:val="left"/>
            </w:pPr>
            <w:r/>
            <w:r>
              <w:rPr>
                <w:rFonts w:ascii="Arial" w:hAnsi="Arial" w:cs="Arial"/>
                <w:sz w:val="18"/>
              </w:rPr>
              <w:t>Mayor de 14 años, identificándose</w:t>
            </w:r>
          </w:p>
        </w:tc>
      </w:tr>
      <w:tr>
        <w:tc>
          <w:tcPr>
            <w:tcW w:type="dxa" w:w="3868"/>
            <w:tcMar>
              <w:top w:w="80" w:type="dxa"/>
              <w:start w:w="120" w:type="dxa"/>
              <w:bottom w:w="80" w:type="dxa"/>
              <w:end w:w="120" w:type="dxa"/>
            </w:tcMar>
            <w:vAlign w:val="center"/>
          </w:tcPr>
          <w:p>
            <w:pPr>
              <w:spacing w:before="0" w:after="0" w:line="240" w:lineRule="auto"/>
              <w:jc w:val="left"/>
            </w:pPr>
            <w:r/>
            <w:r>
              <w:rPr>
                <w:rFonts w:ascii="Arial" w:hAnsi="Arial" w:cs="Arial"/>
                <w:sz w:val="18"/>
              </w:rPr>
              <w:t>Segundo intento en papel</w:t>
            </w:r>
          </w:p>
        </w:tc>
        <w:tc>
          <w:tcPr>
            <w:tcW w:type="dxa" w:w="5158"/>
            <w:tcMar>
              <w:top w:w="80" w:type="dxa"/>
              <w:start w:w="120" w:type="dxa"/>
              <w:bottom w:w="80" w:type="dxa"/>
              <w:end w:w="120" w:type="dxa"/>
            </w:tcMar>
            <w:vAlign w:val="center"/>
          </w:tcPr>
          <w:p>
            <w:pPr>
              <w:spacing w:before="0" w:after="0" w:line="240" w:lineRule="auto"/>
              <w:jc w:val="left"/>
            </w:pPr>
            <w:r/>
            <w:r>
              <w:rPr>
                <w:rFonts w:ascii="Arial" w:hAnsi="Arial" w:cs="Arial"/>
                <w:sz w:val="18"/>
              </w:rPr>
              <w:t>Una vez, hora distinta, dentro de 3 días; franja contraria a las 15:00 y 3 horas mínimas</w:t>
            </w:r>
          </w:p>
        </w:tc>
      </w:tr>
      <w:tr>
        <w:tc>
          <w:tcPr>
            <w:tcW w:type="dxa" w:w="3868"/>
            <w:tcMar>
              <w:top w:w="80" w:type="dxa"/>
              <w:start w:w="120" w:type="dxa"/>
              <w:bottom w:w="80" w:type="dxa"/>
              <w:end w:w="120" w:type="dxa"/>
            </w:tcMar>
            <w:vAlign w:val="center"/>
          </w:tcPr>
          <w:p>
            <w:pPr>
              <w:spacing w:before="0" w:after="0" w:line="240" w:lineRule="auto"/>
              <w:jc w:val="left"/>
            </w:pPr>
            <w:r/>
            <w:r>
              <w:rPr>
                <w:rFonts w:ascii="Arial" w:hAnsi="Arial" w:cs="Arial"/>
                <w:sz w:val="18"/>
              </w:rPr>
              <w:t>Electrónica no abierta</w:t>
            </w:r>
          </w:p>
        </w:tc>
        <w:tc>
          <w:tcPr>
            <w:tcW w:type="dxa" w:w="5158"/>
            <w:tcMar>
              <w:top w:w="80" w:type="dxa"/>
              <w:start w:w="120" w:type="dxa"/>
              <w:bottom w:w="80" w:type="dxa"/>
              <w:end w:w="120" w:type="dxa"/>
            </w:tcMar>
            <w:vAlign w:val="center"/>
          </w:tcPr>
          <w:p>
            <w:pPr>
              <w:spacing w:before="0" w:after="0" w:line="240" w:lineRule="auto"/>
              <w:jc w:val="left"/>
            </w:pPr>
            <w:r/>
            <w:r>
              <w:rPr>
                <w:rFonts w:ascii="Arial" w:hAnsi="Arial" w:cs="Arial"/>
                <w:sz w:val="18"/>
              </w:rPr>
              <w:t>Rechazo tras 10 días naturales si obligatoria o elegida, salvo imposibilidad</w:t>
            </w:r>
          </w:p>
        </w:tc>
      </w:tr>
      <w:tr>
        <w:tc>
          <w:tcPr>
            <w:tcW w:type="dxa" w:w="3868"/>
            <w:tcMar>
              <w:top w:w="80" w:type="dxa"/>
              <w:start w:w="120" w:type="dxa"/>
              <w:bottom w:w="80" w:type="dxa"/>
              <w:end w:w="120" w:type="dxa"/>
            </w:tcMar>
            <w:vAlign w:val="center"/>
          </w:tcPr>
          <w:p>
            <w:pPr>
              <w:spacing w:before="0" w:after="0" w:line="240" w:lineRule="auto"/>
              <w:jc w:val="left"/>
            </w:pPr>
            <w:r/>
            <w:r>
              <w:rPr>
                <w:rFonts w:ascii="Arial" w:hAnsi="Arial" w:cs="Arial"/>
                <w:sz w:val="18"/>
              </w:rPr>
              <w:t>Desconocido, domicilio ignorado o intentos fallidos</w:t>
            </w:r>
          </w:p>
        </w:tc>
        <w:tc>
          <w:tcPr>
            <w:tcW w:type="dxa" w:w="5158"/>
            <w:tcMar>
              <w:top w:w="80" w:type="dxa"/>
              <w:start w:w="120" w:type="dxa"/>
              <w:bottom w:w="80" w:type="dxa"/>
              <w:end w:w="120" w:type="dxa"/>
            </w:tcMar>
            <w:vAlign w:val="center"/>
          </w:tcPr>
          <w:p>
            <w:pPr>
              <w:spacing w:before="0" w:after="0" w:line="240" w:lineRule="auto"/>
              <w:jc w:val="left"/>
            </w:pPr>
            <w:r/>
            <w:r>
              <w:rPr>
                <w:rFonts w:ascii="Arial" w:hAnsi="Arial" w:cs="Arial"/>
                <w:sz w:val="18"/>
              </w:rPr>
              <w:t>Anuncio obligatorio en BOE</w:t>
            </w:r>
          </w:p>
        </w:tc>
      </w:tr>
      <w:tr>
        <w:tc>
          <w:tcPr>
            <w:tcW w:type="dxa" w:w="3868"/>
            <w:tcMar>
              <w:top w:w="80" w:type="dxa"/>
              <w:start w:w="120" w:type="dxa"/>
              <w:bottom w:w="80" w:type="dxa"/>
              <w:end w:w="120" w:type="dxa"/>
            </w:tcMar>
            <w:vAlign w:val="center"/>
          </w:tcPr>
          <w:p>
            <w:pPr>
              <w:spacing w:before="0" w:after="0" w:line="240" w:lineRule="auto"/>
              <w:jc w:val="left"/>
            </w:pPr>
            <w:r/>
            <w:r>
              <w:rPr>
                <w:rFonts w:ascii="Arial" w:hAnsi="Arial" w:cs="Arial"/>
                <w:sz w:val="18"/>
              </w:rPr>
              <w:t>Selección/concurrencia</w:t>
            </w:r>
          </w:p>
        </w:tc>
        <w:tc>
          <w:tcPr>
            <w:tcW w:type="dxa" w:w="5158"/>
            <w:tcMar>
              <w:top w:w="80" w:type="dxa"/>
              <w:start w:w="120" w:type="dxa"/>
              <w:bottom w:w="80" w:type="dxa"/>
              <w:end w:w="120" w:type="dxa"/>
            </w:tcMar>
            <w:vAlign w:val="center"/>
          </w:tcPr>
          <w:p>
            <w:pPr>
              <w:spacing w:before="0" w:after="0" w:line="240" w:lineRule="auto"/>
              <w:jc w:val="left"/>
            </w:pPr>
            <w:r/>
            <w:r>
              <w:rPr>
                <w:rFonts w:ascii="Arial" w:hAnsi="Arial" w:cs="Arial"/>
                <w:sz w:val="18"/>
              </w:rPr>
              <w:t>Publicación en el medio indicado por convocatoria</w:t>
            </w:r>
          </w:p>
        </w:tc>
      </w:tr>
      <w:tr>
        <w:tc>
          <w:tcPr>
            <w:tcW w:type="dxa" w:w="3868"/>
            <w:tcMar>
              <w:top w:w="80" w:type="dxa"/>
              <w:start w:w="120" w:type="dxa"/>
              <w:bottom w:w="80" w:type="dxa"/>
              <w:end w:w="120" w:type="dxa"/>
            </w:tcMar>
            <w:vAlign w:val="center"/>
          </w:tcPr>
          <w:p>
            <w:pPr>
              <w:spacing w:before="0" w:after="0" w:line="240" w:lineRule="auto"/>
              <w:jc w:val="left"/>
            </w:pPr>
            <w:r/>
            <w:r>
              <w:rPr>
                <w:rFonts w:ascii="Arial" w:hAnsi="Arial" w:cs="Arial"/>
                <w:sz w:val="18"/>
              </w:rPr>
              <w:t>Correo o dispositivo</w:t>
            </w:r>
          </w:p>
        </w:tc>
        <w:tc>
          <w:tcPr>
            <w:tcW w:type="dxa" w:w="5158"/>
            <w:tcMar>
              <w:top w:w="80" w:type="dxa"/>
              <w:start w:w="120" w:type="dxa"/>
              <w:bottom w:w="80" w:type="dxa"/>
              <w:end w:w="120" w:type="dxa"/>
            </w:tcMar>
            <w:vAlign w:val="center"/>
          </w:tcPr>
          <w:p>
            <w:pPr>
              <w:spacing w:before="0" w:after="0" w:line="240" w:lineRule="auto"/>
              <w:jc w:val="left"/>
            </w:pPr>
            <w:r/>
            <w:r>
              <w:rPr>
                <w:rFonts w:ascii="Arial" w:hAnsi="Arial" w:cs="Arial"/>
                <w:sz w:val="18"/>
              </w:rPr>
              <w:t>Recibe aviso, no sustituye la notificación</w:t>
            </w:r>
          </w:p>
        </w:tc>
      </w:tr>
    </w:tbl>
    <w:p>
      <w:pPr>
        <w:spacing w:after="40"/>
      </w:pPr>
    </w:p>
    <w:p>
      <w:pPr>
        <w:pStyle w:val="Heading2"/>
        <w:keepNext/>
      </w:pPr>
      <w:r>
        <w:rPr>
          <w:rFonts w:ascii="Arial" w:hAnsi="Arial" w:cs="Arial"/>
          <w:sz w:val="25"/>
        </w:rPr>
        <w:t>15.2. Vías de depuración</w:t>
      </w:r>
    </w:p>
    <w:tbl>
      <w:tblPr>
        <w:tblStyle w:val="TableGrid"/>
        <w:tblW w:type="dxa" w:w="9026"/>
        <w:jc w:val="left"/>
        <w:tblLayout w:type="fixed"/>
        <w:tblLook w:firstColumn="1" w:firstRow="1" w:lastColumn="0" w:lastRow="0" w:noHBand="0" w:noVBand="1" w:val="04A0"/>
        <w:tblInd w:w="120" w:type="dxa"/>
      </w:tblPr>
      <w:tblGrid>
        <w:gridCol w:w="2316"/>
        <w:gridCol w:w="1598"/>
        <w:gridCol w:w="1997"/>
        <w:gridCol w:w="3115"/>
      </w:tblGrid>
      <w:tr>
        <w:trPr>
          <w:tblHeader w:val="true"/>
        </w:trPr>
        <w:tc>
          <w:tcPr>
            <w:tcW w:type="dxa" w:w="231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Situación</w:t>
            </w:r>
          </w:p>
        </w:tc>
        <w:tc>
          <w:tcPr>
            <w:tcW w:type="dxa" w:w="159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Instrumento</w:t>
            </w:r>
          </w:p>
        </w:tc>
        <w:tc>
          <w:tcPr>
            <w:tcW w:type="dxa" w:w="199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Límite temporal principal</w:t>
            </w:r>
          </w:p>
        </w:tc>
        <w:tc>
          <w:tcPr>
            <w:tcW w:type="dxa" w:w="311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Quién decide la retirada/anulación</w:t>
            </w:r>
          </w:p>
        </w:tc>
      </w:tr>
      <w:tr>
        <w:tc>
          <w:tcPr>
            <w:tcW w:type="dxa" w:w="2316"/>
            <w:tcMar>
              <w:top w:w="80" w:type="dxa"/>
              <w:start w:w="120" w:type="dxa"/>
              <w:bottom w:w="80" w:type="dxa"/>
              <w:end w:w="120" w:type="dxa"/>
            </w:tcMar>
            <w:vAlign w:val="center"/>
          </w:tcPr>
          <w:p>
            <w:pPr>
              <w:spacing w:before="0" w:after="0" w:line="240" w:lineRule="auto"/>
              <w:jc w:val="left"/>
            </w:pPr>
            <w:r/>
            <w:r>
              <w:rPr>
                <w:rFonts w:ascii="Arial" w:hAnsi="Arial" w:cs="Arial"/>
                <w:sz w:val="18"/>
              </w:rPr>
              <w:t>Acto nulo final/no recurrido</w:t>
            </w:r>
          </w:p>
        </w:tc>
        <w:tc>
          <w:tcPr>
            <w:tcW w:type="dxa" w:w="1598"/>
            <w:tcMar>
              <w:top w:w="80" w:type="dxa"/>
              <w:start w:w="120" w:type="dxa"/>
              <w:bottom w:w="80" w:type="dxa"/>
              <w:end w:w="120" w:type="dxa"/>
            </w:tcMar>
            <w:vAlign w:val="center"/>
          </w:tcPr>
          <w:p>
            <w:pPr>
              <w:spacing w:before="0" w:after="0" w:line="240" w:lineRule="auto"/>
              <w:jc w:val="left"/>
            </w:pPr>
            <w:r/>
            <w:r>
              <w:rPr>
                <w:rFonts w:ascii="Arial" w:hAnsi="Arial" w:cs="Arial"/>
                <w:sz w:val="18"/>
              </w:rPr>
              <w:t>Revisión art. 106.1</w:t>
            </w:r>
          </w:p>
        </w:tc>
        <w:tc>
          <w:tcPr>
            <w:tcW w:type="dxa" w:w="1997"/>
            <w:tcMar>
              <w:top w:w="80" w:type="dxa"/>
              <w:start w:w="120" w:type="dxa"/>
              <w:bottom w:w="80" w:type="dxa"/>
              <w:end w:w="120" w:type="dxa"/>
            </w:tcMar>
            <w:vAlign w:val="center"/>
          </w:tcPr>
          <w:p>
            <w:pPr>
              <w:spacing w:before="0" w:after="0" w:line="240" w:lineRule="auto"/>
              <w:jc w:val="left"/>
            </w:pPr>
            <w:r/>
            <w:r>
              <w:rPr>
                <w:rFonts w:ascii="Arial" w:hAnsi="Arial" w:cs="Arial"/>
                <w:sz w:val="18"/>
              </w:rPr>
              <w:t>Cualquier momento, con art. 110</w:t>
            </w:r>
          </w:p>
        </w:tc>
        <w:tc>
          <w:tcPr>
            <w:tcW w:type="dxa" w:w="3115"/>
            <w:tcMar>
              <w:top w:w="80" w:type="dxa"/>
              <w:start w:w="120" w:type="dxa"/>
              <w:bottom w:w="80" w:type="dxa"/>
              <w:end w:w="120" w:type="dxa"/>
            </w:tcMar>
            <w:vAlign w:val="center"/>
          </w:tcPr>
          <w:p>
            <w:pPr>
              <w:spacing w:before="0" w:after="0" w:line="240" w:lineRule="auto"/>
              <w:jc w:val="left"/>
            </w:pPr>
            <w:r/>
            <w:r>
              <w:rPr>
                <w:rFonts w:ascii="Arial" w:hAnsi="Arial" w:cs="Arial"/>
                <w:sz w:val="18"/>
              </w:rPr>
              <w:t>Administración, dictamen favorable</w:t>
            </w:r>
          </w:p>
        </w:tc>
      </w:tr>
      <w:tr>
        <w:tc>
          <w:tcPr>
            <w:tcW w:type="dxa" w:w="2316"/>
            <w:tcMar>
              <w:top w:w="80" w:type="dxa"/>
              <w:start w:w="120" w:type="dxa"/>
              <w:bottom w:w="80" w:type="dxa"/>
              <w:end w:w="120" w:type="dxa"/>
            </w:tcMar>
            <w:vAlign w:val="center"/>
          </w:tcPr>
          <w:p>
            <w:pPr>
              <w:spacing w:before="0" w:after="0" w:line="240" w:lineRule="auto"/>
              <w:jc w:val="left"/>
            </w:pPr>
            <w:r/>
            <w:r>
              <w:rPr>
                <w:rFonts w:ascii="Arial" w:hAnsi="Arial" w:cs="Arial"/>
                <w:sz w:val="18"/>
              </w:rPr>
              <w:t>Reglamento nulo</w:t>
            </w:r>
          </w:p>
        </w:tc>
        <w:tc>
          <w:tcPr>
            <w:tcW w:type="dxa" w:w="1598"/>
            <w:tcMar>
              <w:top w:w="80" w:type="dxa"/>
              <w:start w:w="120" w:type="dxa"/>
              <w:bottom w:w="80" w:type="dxa"/>
              <w:end w:w="120" w:type="dxa"/>
            </w:tcMar>
            <w:vAlign w:val="center"/>
          </w:tcPr>
          <w:p>
            <w:pPr>
              <w:spacing w:before="0" w:after="0" w:line="240" w:lineRule="auto"/>
              <w:jc w:val="left"/>
            </w:pPr>
            <w:r/>
            <w:r>
              <w:rPr>
                <w:rFonts w:ascii="Arial" w:hAnsi="Arial" w:cs="Arial"/>
                <w:sz w:val="18"/>
              </w:rPr>
              <w:t>Revisión art. 106.2</w:t>
            </w:r>
          </w:p>
        </w:tc>
        <w:tc>
          <w:tcPr>
            <w:tcW w:type="dxa" w:w="1997"/>
            <w:tcMar>
              <w:top w:w="80" w:type="dxa"/>
              <w:start w:w="120" w:type="dxa"/>
              <w:bottom w:w="80" w:type="dxa"/>
              <w:end w:w="120" w:type="dxa"/>
            </w:tcMar>
            <w:vAlign w:val="center"/>
          </w:tcPr>
          <w:p>
            <w:pPr>
              <w:spacing w:before="0" w:after="0" w:line="240" w:lineRule="auto"/>
              <w:jc w:val="left"/>
            </w:pPr>
            <w:r/>
            <w:r>
              <w:rPr>
                <w:rFonts w:ascii="Arial" w:hAnsi="Arial" w:cs="Arial"/>
                <w:sz w:val="18"/>
              </w:rPr>
              <w:t>Cualquier momento, con art. 110</w:t>
            </w:r>
          </w:p>
        </w:tc>
        <w:tc>
          <w:tcPr>
            <w:tcW w:type="dxa" w:w="3115"/>
            <w:tcMar>
              <w:top w:w="80" w:type="dxa"/>
              <w:start w:w="120" w:type="dxa"/>
              <w:bottom w:w="80" w:type="dxa"/>
              <w:end w:w="120" w:type="dxa"/>
            </w:tcMar>
            <w:vAlign w:val="center"/>
          </w:tcPr>
          <w:p>
            <w:pPr>
              <w:spacing w:before="0" w:after="0" w:line="240" w:lineRule="auto"/>
              <w:jc w:val="left"/>
            </w:pPr>
            <w:r/>
            <w:r>
              <w:rPr>
                <w:rFonts w:ascii="Arial" w:hAnsi="Arial" w:cs="Arial"/>
                <w:sz w:val="18"/>
              </w:rPr>
              <w:t>Administración de oficio, dictamen favorable</w:t>
            </w:r>
          </w:p>
        </w:tc>
      </w:tr>
      <w:tr>
        <w:tc>
          <w:tcPr>
            <w:tcW w:type="dxa" w:w="2316"/>
            <w:tcMar>
              <w:top w:w="80" w:type="dxa"/>
              <w:start w:w="120" w:type="dxa"/>
              <w:bottom w:w="80" w:type="dxa"/>
              <w:end w:w="120" w:type="dxa"/>
            </w:tcMar>
            <w:vAlign w:val="center"/>
          </w:tcPr>
          <w:p>
            <w:pPr>
              <w:spacing w:before="0" w:after="0" w:line="240" w:lineRule="auto"/>
              <w:jc w:val="left"/>
            </w:pPr>
            <w:r/>
            <w:r>
              <w:rPr>
                <w:rFonts w:ascii="Arial" w:hAnsi="Arial" w:cs="Arial"/>
                <w:sz w:val="18"/>
              </w:rPr>
              <w:t>Acto favorable anulable</w:t>
            </w:r>
          </w:p>
        </w:tc>
        <w:tc>
          <w:tcPr>
            <w:tcW w:type="dxa" w:w="1598"/>
            <w:tcMar>
              <w:top w:w="80" w:type="dxa"/>
              <w:start w:w="120" w:type="dxa"/>
              <w:bottom w:w="80" w:type="dxa"/>
              <w:end w:w="120" w:type="dxa"/>
            </w:tcMar>
            <w:vAlign w:val="center"/>
          </w:tcPr>
          <w:p>
            <w:pPr>
              <w:spacing w:before="0" w:after="0" w:line="240" w:lineRule="auto"/>
              <w:jc w:val="left"/>
            </w:pPr>
            <w:r/>
            <w:r>
              <w:rPr>
                <w:rFonts w:ascii="Arial" w:hAnsi="Arial" w:cs="Arial"/>
                <w:sz w:val="18"/>
              </w:rPr>
              <w:t>Lesividad art. 107</w:t>
            </w:r>
          </w:p>
        </w:tc>
        <w:tc>
          <w:tcPr>
            <w:tcW w:type="dxa" w:w="1997"/>
            <w:tcMar>
              <w:top w:w="80" w:type="dxa"/>
              <w:start w:w="120" w:type="dxa"/>
              <w:bottom w:w="80" w:type="dxa"/>
              <w:end w:w="120" w:type="dxa"/>
            </w:tcMar>
            <w:vAlign w:val="center"/>
          </w:tcPr>
          <w:p>
            <w:pPr>
              <w:spacing w:before="0" w:after="0" w:line="240" w:lineRule="auto"/>
              <w:jc w:val="left"/>
            </w:pPr>
            <w:r/>
            <w:r>
              <w:rPr>
                <w:rFonts w:ascii="Arial" w:hAnsi="Arial" w:cs="Arial"/>
                <w:sz w:val="18"/>
              </w:rPr>
              <w:t>Declaración dentro de 4 años</w:t>
            </w:r>
          </w:p>
        </w:tc>
        <w:tc>
          <w:tcPr>
            <w:tcW w:type="dxa" w:w="3115"/>
            <w:tcMar>
              <w:top w:w="80" w:type="dxa"/>
              <w:start w:w="120" w:type="dxa"/>
              <w:bottom w:w="80" w:type="dxa"/>
              <w:end w:w="120" w:type="dxa"/>
            </w:tcMar>
            <w:vAlign w:val="center"/>
          </w:tcPr>
          <w:p>
            <w:pPr>
              <w:spacing w:before="0" w:after="0" w:line="240" w:lineRule="auto"/>
              <w:jc w:val="left"/>
            </w:pPr>
            <w:r/>
            <w:r>
              <w:rPr>
                <w:rFonts w:ascii="Arial" w:hAnsi="Arial" w:cs="Arial"/>
                <w:sz w:val="18"/>
              </w:rPr>
              <w:t>Tribunal, tras declaración administrativa</w:t>
            </w:r>
          </w:p>
        </w:tc>
      </w:tr>
      <w:tr>
        <w:tc>
          <w:tcPr>
            <w:tcW w:type="dxa" w:w="2316"/>
            <w:tcMar>
              <w:top w:w="80" w:type="dxa"/>
              <w:start w:w="120" w:type="dxa"/>
              <w:bottom w:w="80" w:type="dxa"/>
              <w:end w:w="120" w:type="dxa"/>
            </w:tcMar>
            <w:vAlign w:val="center"/>
          </w:tcPr>
          <w:p>
            <w:pPr>
              <w:spacing w:before="0" w:after="0" w:line="240" w:lineRule="auto"/>
              <w:jc w:val="left"/>
            </w:pPr>
            <w:r/>
            <w:r>
              <w:rPr>
                <w:rFonts w:ascii="Arial" w:hAnsi="Arial" w:cs="Arial"/>
                <w:sz w:val="18"/>
              </w:rPr>
              <w:t>Acto desfavorable</w:t>
            </w:r>
          </w:p>
        </w:tc>
        <w:tc>
          <w:tcPr>
            <w:tcW w:type="dxa" w:w="1598"/>
            <w:tcMar>
              <w:top w:w="80" w:type="dxa"/>
              <w:start w:w="120" w:type="dxa"/>
              <w:bottom w:w="80" w:type="dxa"/>
              <w:end w:w="120" w:type="dxa"/>
            </w:tcMar>
            <w:vAlign w:val="center"/>
          </w:tcPr>
          <w:p>
            <w:pPr>
              <w:spacing w:before="0" w:after="0" w:line="240" w:lineRule="auto"/>
              <w:jc w:val="left"/>
            </w:pPr>
            <w:r/>
            <w:r>
              <w:rPr>
                <w:rFonts w:ascii="Arial" w:hAnsi="Arial" w:cs="Arial"/>
                <w:sz w:val="18"/>
              </w:rPr>
              <w:t>Revocación art. 109.1</w:t>
            </w:r>
          </w:p>
        </w:tc>
        <w:tc>
          <w:tcPr>
            <w:tcW w:type="dxa" w:w="1997"/>
            <w:tcMar>
              <w:top w:w="80" w:type="dxa"/>
              <w:start w:w="120" w:type="dxa"/>
              <w:bottom w:w="80" w:type="dxa"/>
              <w:end w:w="120" w:type="dxa"/>
            </w:tcMar>
            <w:vAlign w:val="center"/>
          </w:tcPr>
          <w:p>
            <w:pPr>
              <w:spacing w:before="0" w:after="0" w:line="240" w:lineRule="auto"/>
              <w:jc w:val="left"/>
            </w:pPr>
            <w:r/>
            <w:r>
              <w:rPr>
                <w:rFonts w:ascii="Arial" w:hAnsi="Arial" w:cs="Arial"/>
                <w:sz w:val="18"/>
              </w:rPr>
              <w:t>Antes de prescripción</w:t>
            </w:r>
          </w:p>
        </w:tc>
        <w:tc>
          <w:tcPr>
            <w:tcW w:type="dxa" w:w="3115"/>
            <w:tcMar>
              <w:top w:w="80" w:type="dxa"/>
              <w:start w:w="120" w:type="dxa"/>
              <w:bottom w:w="80" w:type="dxa"/>
              <w:end w:w="120" w:type="dxa"/>
            </w:tcMar>
            <w:vAlign w:val="center"/>
          </w:tcPr>
          <w:p>
            <w:pPr>
              <w:spacing w:before="0" w:after="0" w:line="240" w:lineRule="auto"/>
              <w:jc w:val="left"/>
            </w:pPr>
            <w:r/>
            <w:r>
              <w:rPr>
                <w:rFonts w:ascii="Arial" w:hAnsi="Arial" w:cs="Arial"/>
                <w:sz w:val="18"/>
              </w:rPr>
              <w:t>Administración, dentro de límites</w:t>
            </w:r>
          </w:p>
        </w:tc>
      </w:tr>
      <w:tr>
        <w:tc>
          <w:tcPr>
            <w:tcW w:type="dxa" w:w="2316"/>
            <w:tcMar>
              <w:top w:w="80" w:type="dxa"/>
              <w:start w:w="120" w:type="dxa"/>
              <w:bottom w:w="80" w:type="dxa"/>
              <w:end w:w="120" w:type="dxa"/>
            </w:tcMar>
            <w:vAlign w:val="center"/>
          </w:tcPr>
          <w:p>
            <w:pPr>
              <w:spacing w:before="0" w:after="0" w:line="240" w:lineRule="auto"/>
              <w:jc w:val="left"/>
            </w:pPr>
            <w:r/>
            <w:r>
              <w:rPr>
                <w:rFonts w:ascii="Arial" w:hAnsi="Arial" w:cs="Arial"/>
                <w:sz w:val="18"/>
              </w:rPr>
              <w:t>Error material, hecho o aritmético</w:t>
            </w:r>
          </w:p>
        </w:tc>
        <w:tc>
          <w:tcPr>
            <w:tcW w:type="dxa" w:w="1598"/>
            <w:tcMar>
              <w:top w:w="80" w:type="dxa"/>
              <w:start w:w="120" w:type="dxa"/>
              <w:bottom w:w="80" w:type="dxa"/>
              <w:end w:w="120" w:type="dxa"/>
            </w:tcMar>
            <w:vAlign w:val="center"/>
          </w:tcPr>
          <w:p>
            <w:pPr>
              <w:spacing w:before="0" w:after="0" w:line="240" w:lineRule="auto"/>
              <w:jc w:val="left"/>
            </w:pPr>
            <w:r/>
            <w:r>
              <w:rPr>
                <w:rFonts w:ascii="Arial" w:hAnsi="Arial" w:cs="Arial"/>
                <w:sz w:val="18"/>
              </w:rPr>
              <w:t>Rectificación art. 109.2</w:t>
            </w:r>
          </w:p>
        </w:tc>
        <w:tc>
          <w:tcPr>
            <w:tcW w:type="dxa" w:w="1997"/>
            <w:tcMar>
              <w:top w:w="80" w:type="dxa"/>
              <w:start w:w="120" w:type="dxa"/>
              <w:bottom w:w="80" w:type="dxa"/>
              <w:end w:w="120" w:type="dxa"/>
            </w:tcMar>
            <w:vAlign w:val="center"/>
          </w:tcPr>
          <w:p>
            <w:pPr>
              <w:spacing w:before="0" w:after="0" w:line="240" w:lineRule="auto"/>
              <w:jc w:val="left"/>
            </w:pPr>
            <w:r/>
            <w:r>
              <w:rPr>
                <w:rFonts w:ascii="Arial" w:hAnsi="Arial" w:cs="Arial"/>
                <w:sz w:val="18"/>
              </w:rPr>
              <w:t>Cualquier momento</w:t>
            </w:r>
          </w:p>
        </w:tc>
        <w:tc>
          <w:tcPr>
            <w:tcW w:type="dxa" w:w="3115"/>
            <w:tcMar>
              <w:top w:w="80" w:type="dxa"/>
              <w:start w:w="120" w:type="dxa"/>
              <w:bottom w:w="80" w:type="dxa"/>
              <w:end w:w="120" w:type="dxa"/>
            </w:tcMar>
            <w:vAlign w:val="center"/>
          </w:tcPr>
          <w:p>
            <w:pPr>
              <w:spacing w:before="0" w:after="0" w:line="240" w:lineRule="auto"/>
              <w:jc w:val="center"/>
            </w:pPr>
            <w:r/>
            <w:r>
              <w:rPr>
                <w:rFonts w:ascii="Arial" w:hAnsi="Arial" w:cs="Arial"/>
                <w:sz w:val="18"/>
              </w:rPr>
              <w:t>Administración</w:t>
            </w:r>
          </w:p>
        </w:tc>
      </w:tr>
    </w:tbl>
    <w:p>
      <w:pPr>
        <w:spacing w:after="40"/>
      </w:pPr>
    </w:p>
    <w:p>
      <w:pPr>
        <w:pStyle w:val="Heading2"/>
        <w:keepNext/>
      </w:pPr>
      <w:r>
        <w:rPr>
          <w:rFonts w:ascii="Arial" w:hAnsi="Arial" w:cs="Arial"/>
          <w:sz w:val="25"/>
        </w:rPr>
        <w:t>15.3. Plazos de revisión</w:t>
      </w:r>
    </w:p>
    <w:tbl>
      <w:tblPr>
        <w:tblStyle w:val="TableGrid"/>
        <w:tblW w:type="dxa" w:w="9026"/>
        <w:jc w:val="left"/>
        <w:tblLayout w:type="fixed"/>
        <w:tblLook w:firstColumn="1" w:firstRow="1" w:lastColumn="0" w:lastRow="0" w:noHBand="0" w:noVBand="1" w:val="04A0"/>
        <w:tblInd w:w="120" w:type="dxa"/>
      </w:tblPr>
      <w:tblGrid>
        <w:gridCol w:w="3632"/>
        <w:gridCol w:w="1981"/>
        <w:gridCol w:w="3413"/>
      </w:tblGrid>
      <w:tr>
        <w:trPr>
          <w:tblHeader w:val="true"/>
        </w:trPr>
        <w:tc>
          <w:tcPr>
            <w:tcW w:type="dxa" w:w="363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Procedimiento</w:t>
            </w:r>
          </w:p>
        </w:tc>
        <w:tc>
          <w:tcPr>
            <w:tcW w:type="dxa" w:w="198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Plazo máximo</w:t>
            </w:r>
          </w:p>
        </w:tc>
        <w:tc>
          <w:tcPr>
            <w:tcW w:type="dxa" w:w="341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Consecuencia</w:t>
            </w:r>
          </w:p>
        </w:tc>
      </w:tr>
      <w:tr>
        <w:tc>
          <w:tcPr>
            <w:tcW w:type="dxa" w:w="3632"/>
            <w:tcMar>
              <w:top w:w="80" w:type="dxa"/>
              <w:start w:w="120" w:type="dxa"/>
              <w:bottom w:w="80" w:type="dxa"/>
              <w:end w:w="120" w:type="dxa"/>
            </w:tcMar>
            <w:vAlign w:val="center"/>
          </w:tcPr>
          <w:p>
            <w:pPr>
              <w:spacing w:before="0" w:after="0" w:line="240" w:lineRule="auto"/>
              <w:jc w:val="left"/>
            </w:pPr>
            <w:r/>
            <w:r>
              <w:rPr>
                <w:rFonts w:ascii="Arial" w:hAnsi="Arial" w:cs="Arial"/>
                <w:sz w:val="18"/>
              </w:rPr>
              <w:t>Revisión de nulidad iniciada de oficio</w:t>
            </w:r>
          </w:p>
        </w:tc>
        <w:tc>
          <w:tcPr>
            <w:tcW w:type="dxa" w:w="1981"/>
            <w:tcMar>
              <w:top w:w="80" w:type="dxa"/>
              <w:start w:w="120" w:type="dxa"/>
              <w:bottom w:w="80" w:type="dxa"/>
              <w:end w:w="120" w:type="dxa"/>
            </w:tcMar>
            <w:vAlign w:val="center"/>
          </w:tcPr>
          <w:p>
            <w:pPr>
              <w:spacing w:before="0" w:after="0" w:line="240" w:lineRule="auto"/>
              <w:jc w:val="center"/>
            </w:pPr>
            <w:r/>
            <w:r>
              <w:rPr>
                <w:rFonts w:ascii="Arial" w:hAnsi="Arial" w:cs="Arial"/>
                <w:sz w:val="18"/>
              </w:rPr>
              <w:t>6 meses</w:t>
            </w:r>
          </w:p>
        </w:tc>
        <w:tc>
          <w:tcPr>
            <w:tcW w:type="dxa" w:w="3413"/>
            <w:tcMar>
              <w:top w:w="80" w:type="dxa"/>
              <w:start w:w="120" w:type="dxa"/>
              <w:bottom w:w="80" w:type="dxa"/>
              <w:end w:w="120" w:type="dxa"/>
            </w:tcMar>
            <w:vAlign w:val="center"/>
          </w:tcPr>
          <w:p>
            <w:pPr>
              <w:spacing w:before="0" w:after="0" w:line="240" w:lineRule="auto"/>
              <w:jc w:val="center"/>
            </w:pPr>
            <w:r/>
            <w:r>
              <w:rPr>
                <w:rFonts w:ascii="Arial" w:hAnsi="Arial" w:cs="Arial"/>
                <w:sz w:val="18"/>
              </w:rPr>
              <w:t>Caducidad</w:t>
            </w:r>
          </w:p>
        </w:tc>
      </w:tr>
      <w:tr>
        <w:tc>
          <w:tcPr>
            <w:tcW w:type="dxa" w:w="3632"/>
            <w:tcMar>
              <w:top w:w="80" w:type="dxa"/>
              <w:start w:w="120" w:type="dxa"/>
              <w:bottom w:w="80" w:type="dxa"/>
              <w:end w:w="120" w:type="dxa"/>
            </w:tcMar>
            <w:vAlign w:val="center"/>
          </w:tcPr>
          <w:p>
            <w:pPr>
              <w:spacing w:before="0" w:after="0" w:line="240" w:lineRule="auto"/>
              <w:jc w:val="left"/>
            </w:pPr>
            <w:r/>
            <w:r>
              <w:rPr>
                <w:rFonts w:ascii="Arial" w:hAnsi="Arial" w:cs="Arial"/>
                <w:sz w:val="18"/>
              </w:rPr>
              <w:t>Revisión de nulidad a solicitud</w:t>
            </w:r>
          </w:p>
        </w:tc>
        <w:tc>
          <w:tcPr>
            <w:tcW w:type="dxa" w:w="1981"/>
            <w:tcMar>
              <w:top w:w="80" w:type="dxa"/>
              <w:start w:w="120" w:type="dxa"/>
              <w:bottom w:w="80" w:type="dxa"/>
              <w:end w:w="120" w:type="dxa"/>
            </w:tcMar>
            <w:vAlign w:val="center"/>
          </w:tcPr>
          <w:p>
            <w:pPr>
              <w:spacing w:before="0" w:after="0" w:line="240" w:lineRule="auto"/>
              <w:jc w:val="center"/>
            </w:pPr>
            <w:r/>
            <w:r>
              <w:rPr>
                <w:rFonts w:ascii="Arial" w:hAnsi="Arial" w:cs="Arial"/>
                <w:sz w:val="18"/>
              </w:rPr>
              <w:t>6 meses</w:t>
            </w:r>
          </w:p>
        </w:tc>
        <w:tc>
          <w:tcPr>
            <w:tcW w:type="dxa" w:w="3413"/>
            <w:tcMar>
              <w:top w:w="80" w:type="dxa"/>
              <w:start w:w="120" w:type="dxa"/>
              <w:bottom w:w="80" w:type="dxa"/>
              <w:end w:w="120" w:type="dxa"/>
            </w:tcMar>
            <w:vAlign w:val="center"/>
          </w:tcPr>
          <w:p>
            <w:pPr>
              <w:spacing w:before="0" w:after="0" w:line="240" w:lineRule="auto"/>
              <w:jc w:val="left"/>
            </w:pPr>
            <w:r/>
            <w:r>
              <w:rPr>
                <w:rFonts w:ascii="Arial" w:hAnsi="Arial" w:cs="Arial"/>
                <w:sz w:val="18"/>
              </w:rPr>
              <w:t>Silencio desestimatorio</w:t>
            </w:r>
          </w:p>
        </w:tc>
      </w:tr>
      <w:tr>
        <w:tc>
          <w:tcPr>
            <w:tcW w:type="dxa" w:w="3632"/>
            <w:tcMar>
              <w:top w:w="80" w:type="dxa"/>
              <w:start w:w="120" w:type="dxa"/>
              <w:bottom w:w="80" w:type="dxa"/>
              <w:end w:w="120" w:type="dxa"/>
            </w:tcMar>
            <w:vAlign w:val="center"/>
          </w:tcPr>
          <w:p>
            <w:pPr>
              <w:spacing w:before="0" w:after="0" w:line="240" w:lineRule="auto"/>
              <w:jc w:val="left"/>
            </w:pPr>
            <w:r/>
            <w:r>
              <w:rPr>
                <w:rFonts w:ascii="Arial" w:hAnsi="Arial" w:cs="Arial"/>
                <w:sz w:val="18"/>
              </w:rPr>
              <w:t>Lesividad</w:t>
            </w:r>
          </w:p>
        </w:tc>
        <w:tc>
          <w:tcPr>
            <w:tcW w:type="dxa" w:w="1981"/>
            <w:tcMar>
              <w:top w:w="80" w:type="dxa"/>
              <w:start w:w="120" w:type="dxa"/>
              <w:bottom w:w="80" w:type="dxa"/>
              <w:end w:w="120" w:type="dxa"/>
            </w:tcMar>
            <w:vAlign w:val="center"/>
          </w:tcPr>
          <w:p>
            <w:pPr>
              <w:spacing w:before="0" w:after="0" w:line="240" w:lineRule="auto"/>
              <w:jc w:val="left"/>
            </w:pPr>
            <w:r/>
            <w:r>
              <w:rPr>
                <w:rFonts w:ascii="Arial" w:hAnsi="Arial" w:cs="Arial"/>
                <w:sz w:val="18"/>
              </w:rPr>
              <w:t>6 meses para declarar</w:t>
            </w:r>
          </w:p>
        </w:tc>
        <w:tc>
          <w:tcPr>
            <w:tcW w:type="dxa" w:w="3413"/>
            <w:tcMar>
              <w:top w:w="80" w:type="dxa"/>
              <w:start w:w="120" w:type="dxa"/>
              <w:bottom w:w="80" w:type="dxa"/>
              <w:end w:w="120" w:type="dxa"/>
            </w:tcMar>
            <w:vAlign w:val="center"/>
          </w:tcPr>
          <w:p>
            <w:pPr>
              <w:spacing w:before="0" w:after="0" w:line="240" w:lineRule="auto"/>
              <w:jc w:val="center"/>
            </w:pPr>
            <w:r/>
            <w:r>
              <w:rPr>
                <w:rFonts w:ascii="Arial" w:hAnsi="Arial" w:cs="Arial"/>
                <w:sz w:val="18"/>
              </w:rPr>
              <w:t>Caducidad</w:t>
            </w:r>
          </w:p>
        </w:tc>
      </w:tr>
      <w:tr>
        <w:tc>
          <w:tcPr>
            <w:tcW w:type="dxa" w:w="3632"/>
            <w:tcMar>
              <w:top w:w="80" w:type="dxa"/>
              <w:start w:w="120" w:type="dxa"/>
              <w:bottom w:w="80" w:type="dxa"/>
              <w:end w:w="120" w:type="dxa"/>
            </w:tcMar>
            <w:vAlign w:val="center"/>
          </w:tcPr>
          <w:p>
            <w:pPr>
              <w:spacing w:before="0" w:after="0" w:line="240" w:lineRule="auto"/>
              <w:jc w:val="left"/>
            </w:pPr>
            <w:r/>
            <w:r>
              <w:rPr>
                <w:rFonts w:ascii="Arial" w:hAnsi="Arial" w:cs="Arial"/>
                <w:sz w:val="18"/>
              </w:rPr>
              <w:t>Posibilidad de declarar lesividad</w:t>
            </w:r>
          </w:p>
        </w:tc>
        <w:tc>
          <w:tcPr>
            <w:tcW w:type="dxa" w:w="1981"/>
            <w:tcMar>
              <w:top w:w="80" w:type="dxa"/>
              <w:start w:w="120" w:type="dxa"/>
              <w:bottom w:w="80" w:type="dxa"/>
              <w:end w:w="120" w:type="dxa"/>
            </w:tcMar>
            <w:vAlign w:val="center"/>
          </w:tcPr>
          <w:p>
            <w:pPr>
              <w:spacing w:before="0" w:after="0" w:line="240" w:lineRule="auto"/>
              <w:jc w:val="left"/>
            </w:pPr>
            <w:r/>
            <w:r>
              <w:rPr>
                <w:rFonts w:ascii="Arial" w:hAnsi="Arial" w:cs="Arial"/>
                <w:sz w:val="18"/>
              </w:rPr>
              <w:t>4 años desde el acto</w:t>
            </w:r>
          </w:p>
        </w:tc>
        <w:tc>
          <w:tcPr>
            <w:tcW w:type="dxa" w:w="3413"/>
            <w:tcMar>
              <w:top w:w="80" w:type="dxa"/>
              <w:start w:w="120" w:type="dxa"/>
              <w:bottom w:w="80" w:type="dxa"/>
              <w:end w:w="120" w:type="dxa"/>
            </w:tcMar>
            <w:vAlign w:val="center"/>
          </w:tcPr>
          <w:p>
            <w:pPr>
              <w:spacing w:before="0" w:after="0" w:line="240" w:lineRule="auto"/>
              <w:jc w:val="left"/>
            </w:pPr>
            <w:r/>
            <w:r>
              <w:rPr>
                <w:rFonts w:ascii="Arial" w:hAnsi="Arial" w:cs="Arial"/>
                <w:sz w:val="18"/>
              </w:rPr>
              <w:t>Transcurridos, ya no procede esta vía</w:t>
            </w:r>
          </w:p>
        </w:tc>
      </w:tr>
    </w:tbl>
    <w:p>
      <w:pPr>
        <w:spacing w:after="40"/>
      </w:pPr>
    </w:p>
    <w:p>
      <w:pPr>
        <w:pStyle w:val="Heading1"/>
        <w:keepNext/>
      </w:pPr>
      <w:r>
        <w:rPr>
          <w:rFonts w:ascii="Arial" w:hAnsi="Arial" w:cs="Arial"/>
          <w:sz w:val="30"/>
        </w:rPr>
        <w:t>16. Trampas frecuentes</w:t>
      </w:r>
    </w:p>
    <w:p>
      <w:pPr>
        <w:spacing w:after="40"/>
        <w:ind w:left="369" w:hanging="227"/>
      </w:pPr>
      <w:r>
        <w:rPr>
          <w:rFonts w:ascii="Arial" w:hAnsi="Arial" w:cs="Arial"/>
          <w:sz w:val="22"/>
        </w:rPr>
        <w:t xml:space="preserve">1. </w:t>
      </w:r>
      <w:r>
        <w:rPr>
          <w:rFonts w:ascii="Arial" w:hAnsi="Arial" w:cs="Arial"/>
          <w:b/>
          <w:sz w:val="22"/>
        </w:rPr>
        <w:t>Acto general no equivale a reglamento.</w:t>
      </w:r>
      <w:r>
        <w:rPr>
          <w:rFonts w:ascii="Arial" w:hAnsi="Arial" w:cs="Arial"/>
          <w:sz w:val="22"/>
        </w:rPr>
        <w:t xml:space="preserve"> Hay que comprobar si innova el ordenamiento o aplica una norma.</w:t>
      </w:r>
    </w:p>
    <w:p>
      <w:pPr>
        <w:spacing w:after="40"/>
        <w:ind w:left="369" w:hanging="227"/>
      </w:pPr>
      <w:r>
        <w:rPr>
          <w:rFonts w:ascii="Arial" w:hAnsi="Arial" w:cs="Arial"/>
          <w:sz w:val="22"/>
        </w:rPr>
        <w:t xml:space="preserve">2. </w:t>
      </w:r>
      <w:r>
        <w:rPr>
          <w:rFonts w:ascii="Arial" w:hAnsi="Arial" w:cs="Arial"/>
          <w:b/>
          <w:sz w:val="22"/>
        </w:rPr>
        <w:t>Definitivo no equivale a firme.</w:t>
      </w:r>
      <w:r>
        <w:rPr>
          <w:rFonts w:ascii="Arial" w:hAnsi="Arial" w:cs="Arial"/>
          <w:sz w:val="22"/>
        </w:rPr>
        <w:t xml:space="preserve"> El definitivo resuelve; el firme ya no admite recurso ordinario.</w:t>
      </w:r>
    </w:p>
    <w:p>
      <w:pPr>
        <w:spacing w:after="40"/>
        <w:ind w:left="369" w:hanging="227"/>
      </w:pPr>
      <w:r>
        <w:rPr>
          <w:rFonts w:ascii="Arial" w:hAnsi="Arial" w:cs="Arial"/>
          <w:sz w:val="22"/>
        </w:rPr>
        <w:t xml:space="preserve">3. </w:t>
      </w:r>
      <w:r>
        <w:rPr>
          <w:rFonts w:ascii="Arial" w:hAnsi="Arial" w:cs="Arial"/>
          <w:b/>
          <w:sz w:val="22"/>
        </w:rPr>
        <w:t>Presunción de validez no equivale a legalidad incontestable.</w:t>
      </w:r>
      <w:r>
        <w:rPr>
          <w:rFonts w:ascii="Arial" w:hAnsi="Arial" w:cs="Arial"/>
          <w:sz w:val="22"/>
        </w:rPr>
        <w:t xml:space="preserve"> Puede destruirse por recurso o revisión.</w:t>
      </w:r>
    </w:p>
    <w:p>
      <w:pPr>
        <w:spacing w:after="40"/>
        <w:ind w:left="369" w:hanging="227"/>
      </w:pPr>
      <w:r>
        <w:rPr>
          <w:rFonts w:ascii="Arial" w:hAnsi="Arial" w:cs="Arial"/>
          <w:sz w:val="22"/>
        </w:rPr>
        <w:t xml:space="preserve">4. </w:t>
      </w:r>
      <w:r>
        <w:rPr>
          <w:rFonts w:ascii="Arial" w:hAnsi="Arial" w:cs="Arial"/>
          <w:b/>
          <w:sz w:val="22"/>
        </w:rPr>
        <w:t>Eficacia no equivale a ejecutividad.</w:t>
      </w:r>
      <w:r>
        <w:rPr>
          <w:rFonts w:ascii="Arial" w:hAnsi="Arial" w:cs="Arial"/>
          <w:sz w:val="22"/>
        </w:rPr>
        <w:t xml:space="preserve"> Una se refiere a producir efectos y otra a la aptitud de cumplimiento.</w:t>
      </w:r>
    </w:p>
    <w:p>
      <w:pPr>
        <w:spacing w:after="40"/>
        <w:ind w:left="369" w:hanging="227"/>
      </w:pPr>
      <w:r>
        <w:rPr>
          <w:rFonts w:ascii="Arial" w:hAnsi="Arial" w:cs="Arial"/>
          <w:sz w:val="22"/>
        </w:rPr>
        <w:t xml:space="preserve">5. </w:t>
      </w:r>
      <w:r>
        <w:rPr>
          <w:rFonts w:ascii="Arial" w:hAnsi="Arial" w:cs="Arial"/>
          <w:b/>
          <w:sz w:val="22"/>
        </w:rPr>
        <w:t>Aviso electrónico no es notificación.</w:t>
      </w:r>
      <w:r>
        <w:rPr>
          <w:rFonts w:ascii="Arial" w:hAnsi="Arial" w:cs="Arial"/>
          <w:sz w:val="22"/>
        </w:rPr>
        <w:t xml:space="preserve"> Su omisión no invalida la puesta a disposición.</w:t>
      </w:r>
    </w:p>
    <w:p>
      <w:pPr>
        <w:spacing w:after="40"/>
        <w:ind w:left="369" w:hanging="227"/>
      </w:pPr>
      <w:r>
        <w:rPr>
          <w:rFonts w:ascii="Arial" w:hAnsi="Arial" w:cs="Arial"/>
          <w:sz w:val="22"/>
        </w:rPr>
        <w:t xml:space="preserve">6. </w:t>
      </w:r>
      <w:r>
        <w:rPr>
          <w:rFonts w:ascii="Arial" w:hAnsi="Arial" w:cs="Arial"/>
          <w:b/>
          <w:sz w:val="22"/>
        </w:rPr>
        <w:t>Diez días electrónicos son naturales.</w:t>
      </w:r>
      <w:r>
        <w:rPr>
          <w:rFonts w:ascii="Arial" w:hAnsi="Arial" w:cs="Arial"/>
          <w:sz w:val="22"/>
        </w:rPr>
        <w:t xml:space="preserve"> El plazo para cursar la notificación también es diez días, pero son reglas diferentes.</w:t>
      </w:r>
    </w:p>
    <w:p>
      <w:pPr>
        <w:spacing w:after="40"/>
        <w:ind w:left="369" w:hanging="227"/>
      </w:pPr>
      <w:r>
        <w:rPr>
          <w:rFonts w:ascii="Arial" w:hAnsi="Arial" w:cs="Arial"/>
          <w:sz w:val="22"/>
        </w:rPr>
        <w:t xml:space="preserve">7. </w:t>
      </w:r>
      <w:r>
        <w:rPr>
          <w:rFonts w:ascii="Arial" w:hAnsi="Arial" w:cs="Arial"/>
          <w:b/>
          <w:sz w:val="22"/>
        </w:rPr>
        <w:t>El BOE es obligatorio en notificación infructuosa.</w:t>
      </w:r>
      <w:r>
        <w:rPr>
          <w:rFonts w:ascii="Arial" w:hAnsi="Arial" w:cs="Arial"/>
          <w:sz w:val="22"/>
        </w:rPr>
        <w:t xml:space="preserve"> Los demás boletines y tablones son previos y facultativos.</w:t>
      </w:r>
    </w:p>
    <w:p>
      <w:pPr>
        <w:spacing w:after="40"/>
        <w:ind w:left="369" w:hanging="227"/>
      </w:pPr>
      <w:r>
        <w:rPr>
          <w:rFonts w:ascii="Arial" w:hAnsi="Arial" w:cs="Arial"/>
          <w:sz w:val="22"/>
        </w:rPr>
        <w:t xml:space="preserve">8. </w:t>
      </w:r>
      <w:r>
        <w:rPr>
          <w:rFonts w:ascii="Arial" w:hAnsi="Arial" w:cs="Arial"/>
          <w:b/>
          <w:sz w:val="22"/>
        </w:rPr>
        <w:t>Toda infracción no es nulidad.</w:t>
      </w:r>
      <w:r>
        <w:rPr>
          <w:rFonts w:ascii="Arial" w:hAnsi="Arial" w:cs="Arial"/>
          <w:sz w:val="22"/>
        </w:rPr>
        <w:t xml:space="preserve"> La nulidad exige artículo 47 o ley expresa; lo ordinario es anulabilidad.</w:t>
      </w:r>
    </w:p>
    <w:p>
      <w:pPr>
        <w:spacing w:after="40"/>
        <w:ind w:left="369" w:hanging="227"/>
      </w:pPr>
      <w:r>
        <w:rPr>
          <w:rFonts w:ascii="Arial" w:hAnsi="Arial" w:cs="Arial"/>
          <w:sz w:val="22"/>
        </w:rPr>
        <w:t xml:space="preserve">9. </w:t>
      </w:r>
      <w:r>
        <w:rPr>
          <w:rFonts w:ascii="Arial" w:hAnsi="Arial" w:cs="Arial"/>
          <w:b/>
          <w:sz w:val="22"/>
        </w:rPr>
        <w:t>Defecto formal no invalida siempre.</w:t>
      </w:r>
      <w:r>
        <w:rPr>
          <w:rFonts w:ascii="Arial" w:hAnsi="Arial" w:cs="Arial"/>
          <w:sz w:val="22"/>
        </w:rPr>
        <w:t xml:space="preserve"> Debe impedir la finalidad o causar indefensión.</w:t>
      </w:r>
    </w:p>
    <w:p>
      <w:pPr>
        <w:spacing w:after="40"/>
        <w:ind w:left="369" w:hanging="227"/>
      </w:pPr>
      <w:r>
        <w:rPr>
          <w:rFonts w:ascii="Arial" w:hAnsi="Arial" w:cs="Arial"/>
          <w:sz w:val="22"/>
        </w:rPr>
        <w:t xml:space="preserve">10. </w:t>
      </w:r>
      <w:r>
        <w:rPr>
          <w:rFonts w:ascii="Arial" w:hAnsi="Arial" w:cs="Arial"/>
          <w:b/>
          <w:sz w:val="22"/>
        </w:rPr>
        <w:t>Acto nulo no se convalida.</w:t>
      </w:r>
      <w:r>
        <w:rPr>
          <w:rFonts w:ascii="Arial" w:hAnsi="Arial" w:cs="Arial"/>
          <w:sz w:val="22"/>
        </w:rPr>
        <w:t xml:space="preserve"> La convalidación está prevista para anulables.</w:t>
      </w:r>
    </w:p>
    <w:p>
      <w:pPr>
        <w:spacing w:after="40"/>
        <w:ind w:left="369" w:hanging="227"/>
      </w:pPr>
      <w:r>
        <w:rPr>
          <w:rFonts w:ascii="Arial" w:hAnsi="Arial" w:cs="Arial"/>
          <w:sz w:val="22"/>
        </w:rPr>
        <w:t xml:space="preserve">11. </w:t>
      </w:r>
      <w:r>
        <w:rPr>
          <w:rFonts w:ascii="Arial" w:hAnsi="Arial" w:cs="Arial"/>
          <w:b/>
          <w:sz w:val="22"/>
        </w:rPr>
        <w:t>Revisión a solicitud solo para actos.</w:t>
      </w:r>
      <w:r>
        <w:rPr>
          <w:rFonts w:ascii="Arial" w:hAnsi="Arial" w:cs="Arial"/>
          <w:sz w:val="22"/>
        </w:rPr>
        <w:t xml:space="preserve"> La revisión de reglamentos del artículo 106.2 se inicia de oficio.</w:t>
      </w:r>
    </w:p>
    <w:p>
      <w:pPr>
        <w:spacing w:after="40"/>
        <w:ind w:left="369" w:hanging="227"/>
      </w:pPr>
      <w:r>
        <w:rPr>
          <w:rFonts w:ascii="Arial" w:hAnsi="Arial" w:cs="Arial"/>
          <w:sz w:val="22"/>
        </w:rPr>
        <w:t xml:space="preserve">12. </w:t>
      </w:r>
      <w:r>
        <w:rPr>
          <w:rFonts w:ascii="Arial" w:hAnsi="Arial" w:cs="Arial"/>
          <w:b/>
          <w:sz w:val="22"/>
        </w:rPr>
        <w:t>El dictamen consultivo debe ser favorable.</w:t>
      </w:r>
      <w:r>
        <w:rPr>
          <w:rFonts w:ascii="Arial" w:hAnsi="Arial" w:cs="Arial"/>
          <w:sz w:val="22"/>
        </w:rPr>
        <w:t xml:space="preserve"> Su mera petición no habilita a declarar la nulidad.</w:t>
      </w:r>
    </w:p>
    <w:p>
      <w:pPr>
        <w:spacing w:after="40"/>
        <w:ind w:left="369" w:hanging="227"/>
      </w:pPr>
      <w:r>
        <w:rPr>
          <w:rFonts w:ascii="Arial" w:hAnsi="Arial" w:cs="Arial"/>
          <w:sz w:val="22"/>
        </w:rPr>
        <w:t xml:space="preserve">13. </w:t>
      </w:r>
      <w:r>
        <w:rPr>
          <w:rFonts w:ascii="Arial" w:hAnsi="Arial" w:cs="Arial"/>
          <w:b/>
          <w:sz w:val="22"/>
        </w:rPr>
        <w:t>Lesividad no anula.</w:t>
      </w:r>
      <w:r>
        <w:rPr>
          <w:rFonts w:ascii="Arial" w:hAnsi="Arial" w:cs="Arial"/>
          <w:sz w:val="22"/>
        </w:rPr>
        <w:t xml:space="preserve"> Prepara la impugnación judicial del acto favorable anulable.</w:t>
      </w:r>
    </w:p>
    <w:p>
      <w:pPr>
        <w:spacing w:after="40"/>
        <w:ind w:left="369" w:hanging="227"/>
      </w:pPr>
      <w:r>
        <w:rPr>
          <w:rFonts w:ascii="Arial" w:hAnsi="Arial" w:cs="Arial"/>
          <w:sz w:val="22"/>
        </w:rPr>
        <w:t xml:space="preserve">14. </w:t>
      </w:r>
      <w:r>
        <w:rPr>
          <w:rFonts w:ascii="Arial" w:hAnsi="Arial" w:cs="Arial"/>
          <w:b/>
          <w:sz w:val="22"/>
        </w:rPr>
        <w:t>Rectificar no es revisar.</w:t>
      </w:r>
      <w:r>
        <w:rPr>
          <w:rFonts w:ascii="Arial" w:hAnsi="Arial" w:cs="Arial"/>
          <w:sz w:val="22"/>
        </w:rPr>
        <w:t xml:space="preserve"> Un cambio de criterio jurídico excede el error material.</w:t>
      </w:r>
    </w:p>
    <w:p>
      <w:pPr>
        <w:spacing w:after="40"/>
        <w:ind w:left="369" w:hanging="227"/>
      </w:pPr>
      <w:r>
        <w:rPr>
          <w:rFonts w:ascii="Arial" w:hAnsi="Arial" w:cs="Arial"/>
          <w:sz w:val="22"/>
        </w:rPr>
        <w:t xml:space="preserve">15. </w:t>
      </w:r>
      <w:r>
        <w:rPr>
          <w:rFonts w:ascii="Arial" w:hAnsi="Arial" w:cs="Arial"/>
          <w:b/>
          <w:sz w:val="22"/>
        </w:rPr>
        <w:t>“En cualquier momento” no elimina el artículo 110.</w:t>
      </w:r>
      <w:r>
        <w:rPr>
          <w:rFonts w:ascii="Arial" w:hAnsi="Arial" w:cs="Arial"/>
          <w:sz w:val="22"/>
        </w:rPr>
        <w:t xml:space="preserve"> Equidad, buena fe, derechos y ley limitan la revisión.</w:t>
      </w:r>
    </w:p>
    <w:p>
      <w:pPr>
        <w:pStyle w:val="Heading1"/>
        <w:keepNext/>
      </w:pPr>
      <w:r>
        <w:rPr>
          <w:rFonts w:ascii="Arial" w:hAnsi="Arial" w:cs="Arial"/>
          <w:sz w:val="30"/>
        </w:rPr>
        <w:t>17. Resumen final de memoria</w:t>
      </w:r>
    </w:p>
    <w:p>
      <w:pPr>
        <w:pStyle w:val="ListBullet"/>
      </w:pPr>
      <w:r>
        <w:rPr>
          <w:rFonts w:ascii="Arial" w:hAnsi="Arial" w:cs="Arial"/>
          <w:sz w:val="22"/>
        </w:rPr>
        <w:t>El acto administrativo es una declaración unilateral dictada en ejercicio de potestad administrativa y productora de efectos jurídicos concretos.</w:t>
      </w:r>
    </w:p>
    <w:p>
      <w:pPr>
        <w:pStyle w:val="ListBullet"/>
      </w:pPr>
      <w:r>
        <w:rPr>
          <w:rFonts w:ascii="Arial" w:hAnsi="Arial" w:cs="Arial"/>
          <w:sz w:val="22"/>
        </w:rPr>
        <w:t>Debe proceder del órgano competente, seguir procedimiento y tener contenido lícito, posible, determinado y adecuado al fin.</w:t>
      </w:r>
    </w:p>
    <w:p>
      <w:pPr>
        <w:pStyle w:val="ListBullet"/>
      </w:pPr>
      <w:r>
        <w:rPr>
          <w:rFonts w:ascii="Arial" w:hAnsi="Arial" w:cs="Arial"/>
          <w:sz w:val="22"/>
        </w:rPr>
        <w:t>Son categorías distintas: favorable/desfavorable, definitivo/trámite, expreso/presunto, reglado/discrecional y firme/no firme.</w:t>
      </w:r>
    </w:p>
    <w:p>
      <w:pPr>
        <w:pStyle w:val="ListBullet"/>
      </w:pPr>
      <w:r>
        <w:rPr>
          <w:rFonts w:ascii="Arial" w:hAnsi="Arial" w:cs="Arial"/>
          <w:sz w:val="22"/>
        </w:rPr>
        <w:t>Se motivan los supuestos del artículo 35, especialmente limitaciones, recursos y revisión, suspensión, rechazo de prueba, sanciones, responsabilidad y discrecionalidad.</w:t>
      </w:r>
    </w:p>
    <w:p>
      <w:pPr>
        <w:pStyle w:val="ListBullet"/>
      </w:pPr>
      <w:r>
        <w:rPr>
          <w:rFonts w:ascii="Arial" w:hAnsi="Arial" w:cs="Arial"/>
          <w:sz w:val="22"/>
        </w:rPr>
        <w:t>La regla formal es escrito por medios electrónicos; los actos verbales deben documentarse cuando sea necesaria constancia.</w:t>
      </w:r>
    </w:p>
    <w:p>
      <w:pPr>
        <w:pStyle w:val="ListBullet"/>
      </w:pPr>
      <w:r>
        <w:rPr>
          <w:rFonts w:ascii="Arial" w:hAnsi="Arial" w:cs="Arial"/>
          <w:sz w:val="22"/>
        </w:rPr>
        <w:t>Los actos se presumen válidos y producen efectos desde que se dictan, salvo demora por contenido, notificación, publicación o aprobación.</w:t>
      </w:r>
    </w:p>
    <w:p>
      <w:pPr>
        <w:pStyle w:val="ListBullet"/>
      </w:pPr>
      <w:r>
        <w:rPr>
          <w:rFonts w:ascii="Arial" w:hAnsi="Arial" w:cs="Arial"/>
          <w:sz w:val="22"/>
        </w:rPr>
        <w:t>La retroactividad es excepcional: sustitución de acto anulado o acto favorable con hechos preexistentes y sin perjuicio a terceros.</w:t>
      </w:r>
    </w:p>
    <w:p>
      <w:pPr>
        <w:pStyle w:val="ListBullet"/>
      </w:pPr>
      <w:r>
        <w:rPr>
          <w:rFonts w:ascii="Arial" w:hAnsi="Arial" w:cs="Arial"/>
          <w:sz w:val="22"/>
        </w:rPr>
        <w:t>La notificación incluye texto íntegro, fin de vía, recursos, órgano y plazo; se cursa en diez días.</w:t>
      </w:r>
    </w:p>
    <w:p>
      <w:pPr>
        <w:pStyle w:val="ListBullet"/>
      </w:pPr>
      <w:r>
        <w:rPr>
          <w:rFonts w:ascii="Arial" w:hAnsi="Arial" w:cs="Arial"/>
          <w:sz w:val="22"/>
        </w:rPr>
        <w:t>La notificación electrónica se entiende rechazada tras diez días naturales sin acceso cuando sea obligatoria o elegida.</w:t>
      </w:r>
    </w:p>
    <w:p>
      <w:pPr>
        <w:pStyle w:val="ListBullet"/>
      </w:pPr>
      <w:r>
        <w:rPr>
          <w:rFonts w:ascii="Arial" w:hAnsi="Arial" w:cs="Arial"/>
          <w:sz w:val="22"/>
        </w:rPr>
        <w:t>La notificación infructuosa exige anuncio en BOE.</w:t>
      </w:r>
    </w:p>
    <w:p>
      <w:pPr>
        <w:pStyle w:val="ListBullet"/>
      </w:pPr>
      <w:r>
        <w:rPr>
          <w:rFonts w:ascii="Arial" w:hAnsi="Arial" w:cs="Arial"/>
          <w:sz w:val="22"/>
        </w:rPr>
        <w:t>El artículo 47 contiene causas tasadas de nulidad; el artículo 48 convierte la anulabilidad en regla general.</w:t>
      </w:r>
    </w:p>
    <w:p>
      <w:pPr>
        <w:pStyle w:val="ListBullet"/>
      </w:pPr>
      <w:r>
        <w:rPr>
          <w:rFonts w:ascii="Arial" w:hAnsi="Arial" w:cs="Arial"/>
          <w:sz w:val="22"/>
        </w:rPr>
        <w:t>Conversión, conservación y convalidación limitan o reparan la invalidez; solo los actos anulables se convalidan.</w:t>
      </w:r>
    </w:p>
    <w:p>
      <w:pPr>
        <w:pStyle w:val="ListBullet"/>
      </w:pPr>
      <w:r>
        <w:rPr>
          <w:rFonts w:ascii="Arial" w:hAnsi="Arial" w:cs="Arial"/>
          <w:sz w:val="22"/>
        </w:rPr>
        <w:t>La revisión de nulidad requiere dictamen favorable y tiene plazo de resolución de seis meses.</w:t>
      </w:r>
    </w:p>
    <w:p>
      <w:pPr>
        <w:pStyle w:val="ListBullet"/>
      </w:pPr>
      <w:r>
        <w:rPr>
          <w:rFonts w:ascii="Arial" w:hAnsi="Arial" w:cs="Arial"/>
          <w:sz w:val="22"/>
        </w:rPr>
        <w:t>El acto favorable anulable exige lesividad dentro de cuatro años y posterior control judicial.</w:t>
      </w:r>
    </w:p>
    <w:p>
      <w:pPr>
        <w:pStyle w:val="ListBullet"/>
      </w:pPr>
      <w:r>
        <w:rPr>
          <w:rFonts w:ascii="Arial" w:hAnsi="Arial" w:cs="Arial"/>
          <w:sz w:val="22"/>
        </w:rPr>
        <w:t>Los actos desfavorables pueden revocarse dentro de límites; los errores materiales, de hecho o aritméticos pueden rectificarse en cualquier momento.</w:t>
      </w:r>
    </w:p>
    <w:p>
      <w:pPr>
        <w:pStyle w:val="Heading1"/>
        <w:keepNext/>
      </w:pPr>
      <w:r>
        <w:rPr>
          <w:rFonts w:ascii="Arial" w:hAnsi="Arial" w:cs="Arial"/>
          <w:sz w:val="30"/>
        </w:rPr>
        <w:t>18. Datos preguntables</w:t>
      </w:r>
    </w:p>
    <w:tbl>
      <w:tblPr>
        <w:tblStyle w:val="TableGrid"/>
        <w:tblW w:type="dxa" w:w="9026"/>
        <w:jc w:val="left"/>
        <w:tblLayout w:type="fixed"/>
        <w:tblLook w:firstColumn="1" w:firstRow="1" w:lastColumn="0" w:lastRow="0" w:noHBand="0" w:noVBand="1" w:val="04A0"/>
        <w:tblInd w:w="120" w:type="dxa"/>
      </w:tblPr>
      <w:tblGrid>
        <w:gridCol w:w="5507"/>
        <w:gridCol w:w="3519"/>
      </w:tblGrid>
      <w:tr>
        <w:trPr>
          <w:tblHeader w:val="true"/>
        </w:trPr>
        <w:tc>
          <w:tcPr>
            <w:tcW w:type="dxa" w:w="550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Dato</w:t>
            </w:r>
          </w:p>
        </w:tc>
        <w:tc>
          <w:tcPr>
            <w:tcW w:type="dxa" w:w="351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Respuesta</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Artículo de producción y contenido</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34 LPAC</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Artículo de motivación</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35 LPAC</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Artículo de forma</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36 LPAC</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Inderogabilidad singular</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37 LPAC</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Ejecutividad</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38 LPAC</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Efectos y retroactividad</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39 LPAC</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Plazo para cursar notificación</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10 días</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Edad mínima del receptor en domicilio</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Más de 14 años</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Repetición del intento en papel</w:t>
            </w:r>
          </w:p>
        </w:tc>
        <w:tc>
          <w:tcPr>
            <w:tcW w:type="dxa" w:w="3519"/>
            <w:tcMar>
              <w:top w:w="80" w:type="dxa"/>
              <w:start w:w="120" w:type="dxa"/>
              <w:bottom w:w="80" w:type="dxa"/>
              <w:end w:w="120" w:type="dxa"/>
            </w:tcMar>
            <w:vAlign w:val="center"/>
          </w:tcPr>
          <w:p>
            <w:pPr>
              <w:spacing w:before="0" w:after="0" w:line="240" w:lineRule="auto"/>
              <w:jc w:val="left"/>
            </w:pPr>
            <w:r/>
            <w:r>
              <w:rPr>
                <w:rFonts w:ascii="Arial" w:hAnsi="Arial" w:cs="Arial"/>
                <w:sz w:val="18"/>
              </w:rPr>
              <w:t>Una sola vez dentro de 3 días</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Diferencia mínima entre intentos</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3 horas</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Inacceso electrónico que implica rechazo</w:t>
            </w:r>
          </w:p>
        </w:tc>
        <w:tc>
          <w:tcPr>
            <w:tcW w:type="dxa" w:w="3519"/>
            <w:tcMar>
              <w:top w:w="80" w:type="dxa"/>
              <w:start w:w="120" w:type="dxa"/>
              <w:bottom w:w="80" w:type="dxa"/>
              <w:end w:w="120" w:type="dxa"/>
            </w:tcMar>
            <w:vAlign w:val="center"/>
          </w:tcPr>
          <w:p>
            <w:pPr>
              <w:spacing w:before="0" w:after="0" w:line="240" w:lineRule="auto"/>
              <w:jc w:val="left"/>
            </w:pPr>
            <w:r/>
            <w:r>
              <w:rPr>
                <w:rFonts w:ascii="Arial" w:hAnsi="Arial" w:cs="Arial"/>
                <w:sz w:val="18"/>
              </w:rPr>
              <w:t>10 días naturales</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Medio obligatorio de anuncio infructuoso</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BOE</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Nulidad de actos</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47.1</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Nulidad de reglamentos</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47.2</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Anulabilidad</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48</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Convalidación</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52</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Revisión de nulidad</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106</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Plazo del procedimiento de revisión</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6 meses</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Lesividad</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107</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Límite para declarar lesividad</w:t>
            </w:r>
          </w:p>
        </w:tc>
        <w:tc>
          <w:tcPr>
            <w:tcW w:type="dxa" w:w="3519"/>
            <w:tcMar>
              <w:top w:w="80" w:type="dxa"/>
              <w:start w:w="120" w:type="dxa"/>
              <w:bottom w:w="80" w:type="dxa"/>
              <w:end w:w="120" w:type="dxa"/>
            </w:tcMar>
            <w:vAlign w:val="center"/>
          </w:tcPr>
          <w:p>
            <w:pPr>
              <w:spacing w:before="0" w:after="0" w:line="240" w:lineRule="auto"/>
              <w:jc w:val="left"/>
            </w:pPr>
            <w:r/>
            <w:r>
              <w:rPr>
                <w:rFonts w:ascii="Arial" w:hAnsi="Arial" w:cs="Arial"/>
                <w:sz w:val="18"/>
              </w:rPr>
              <w:t>4 años desde el acto</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Caducidad del procedimiento de lesividad</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6 meses</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Revocación y rectificación</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109</w:t>
            </w:r>
          </w:p>
        </w:tc>
      </w:tr>
      <w:tr>
        <w:tc>
          <w:tcPr>
            <w:tcW w:type="dxa" w:w="5507"/>
            <w:tcMar>
              <w:top w:w="80" w:type="dxa"/>
              <w:start w:w="120" w:type="dxa"/>
              <w:bottom w:w="80" w:type="dxa"/>
              <w:end w:w="120" w:type="dxa"/>
            </w:tcMar>
            <w:vAlign w:val="center"/>
          </w:tcPr>
          <w:p>
            <w:pPr>
              <w:spacing w:before="0" w:after="0" w:line="240" w:lineRule="auto"/>
              <w:jc w:val="left"/>
            </w:pPr>
            <w:r/>
            <w:r>
              <w:rPr>
                <w:rFonts w:ascii="Arial" w:hAnsi="Arial" w:cs="Arial"/>
                <w:sz w:val="18"/>
              </w:rPr>
              <w:t>Límites a la revisión</w:t>
            </w:r>
          </w:p>
        </w:tc>
        <w:tc>
          <w:tcPr>
            <w:tcW w:type="dxa" w:w="3519"/>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110</w:t>
            </w:r>
          </w:p>
        </w:tc>
      </w:tr>
    </w:tbl>
    <w:p>
      <w:pPr>
        <w:spacing w:after="40"/>
      </w:pP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G15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3,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Ley 39/2015 (5).</w:t>
      </w:r>
    </w:p>
    <w:p>
      <w:pPr>
        <w:jc w:val="both"/>
      </w:pPr>
      <w:r>
        <w:rPr>
          <w:rFonts w:ascii="Arial" w:hAnsi="Arial" w:cs="Arial"/>
          <w:b/>
          <w:sz w:val="22"/>
        </w:rPr>
        <w:t>Artículos o preceptos más repetidos:</w:t>
      </w:r>
      <w:r>
        <w:rPr>
          <w:rFonts w:ascii="Arial" w:hAnsi="Arial" w:cs="Arial"/>
          <w:sz w:val="22"/>
        </w:rPr>
        <w:t xml:space="preserve"> 50 (1); 108 (1); 36 (1); 35 (1); 49 (1).</w:t>
      </w:r>
    </w:p>
    <w:p>
      <w:pPr>
        <w:jc w:val="both"/>
      </w:pPr>
      <w:r>
        <w:rPr>
          <w:rFonts w:ascii="Arial" w:hAnsi="Arial" w:cs="Arial"/>
          <w:b/>
          <w:sz w:val="22"/>
        </w:rPr>
        <w:t>Formas de pregunta predominantes:</w:t>
      </w:r>
      <w:r>
        <w:rPr>
          <w:rFonts w:ascii="Arial" w:hAnsi="Arial" w:cs="Arial"/>
          <w:sz w:val="22"/>
        </w:rPr>
        <w:t xml:space="preserve"> Procedimientos (5).</w:t>
      </w:r>
    </w:p>
    <w:p>
      <w:pPr>
        <w:pStyle w:val="Heading2"/>
        <w:keepNext/>
      </w:pPr>
      <w:r>
        <w:rPr>
          <w:rFonts w:ascii="Arial" w:hAnsi="Arial" w:cs="Arial"/>
          <w:sz w:val="25"/>
        </w:rPr>
        <w:t>Patrones observados</w:t>
      </w:r>
    </w:p>
    <w:p>
      <w:pPr>
        <w:pStyle w:val="ListBullet"/>
      </w:pPr>
      <w:r>
        <w:rPr>
          <w:rFonts w:ascii="Arial" w:hAnsi="Arial" w:cs="Arial"/>
          <w:b/>
          <w:sz w:val="22"/>
        </w:rPr>
        <w:t>2024, teoría 15:</w:t>
      </w:r>
      <w:r>
        <w:rPr>
          <w:rFonts w:ascii="Arial" w:hAnsi="Arial" w:cs="Arial"/>
          <w:sz w:val="22"/>
        </w:rPr>
        <w:t xml:space="preserve"> De acuerdo con 10 establecido en eI artículo 50 de la Ley 39/2015, de 1 de octubre, del Procedimiento Administrativo Común de las Administraciones Públicas, los actos nulos o anulables que, sín embargo,…</w:t>
      </w:r>
    </w:p>
    <w:p>
      <w:pPr>
        <w:pStyle w:val="ListBullet"/>
      </w:pPr>
      <w:r>
        <w:rPr>
          <w:rFonts w:ascii="Arial" w:hAnsi="Arial" w:cs="Arial"/>
          <w:b/>
          <w:sz w:val="22"/>
        </w:rPr>
        <w:t>2025, teoría 15:</w:t>
      </w:r>
      <w:r>
        <w:rPr>
          <w:rFonts w:ascii="Arial" w:hAnsi="Arial" w:cs="Arial"/>
          <w:sz w:val="22"/>
        </w:rPr>
        <w:t xml:space="preserve"> Según lo establecido en el Artículo 108 de Ley 39/2015, de 1 de octubre, del Procedimiento Administrativo Común de las Administraciones Públicas:</w:t>
      </w:r>
    </w:p>
    <w:p>
      <w:pPr>
        <w:pStyle w:val="ListBullet"/>
      </w:pPr>
      <w:r>
        <w:rPr>
          <w:rFonts w:ascii="Arial" w:hAnsi="Arial" w:cs="Arial"/>
          <w:b/>
          <w:sz w:val="22"/>
        </w:rPr>
        <w:t>2025, teoría 15:</w:t>
      </w:r>
      <w:r>
        <w:rPr>
          <w:rFonts w:ascii="Arial" w:hAnsi="Arial" w:cs="Arial"/>
          <w:sz w:val="22"/>
        </w:rPr>
        <w:t xml:space="preserve"> Según establece el artículo 36 de la Ley 39/2015, de 1 de octubre, del Procedimiento Administrativo Común de las Administraciones Públicas, cuando deba dictarse una serie de actos administrativos de la misma…</w:t>
      </w:r>
    </w:p>
    <w:p>
      <w:pPr>
        <w:pStyle w:val="ListBullet"/>
      </w:pPr>
      <w:r>
        <w:rPr>
          <w:rFonts w:ascii="Arial" w:hAnsi="Arial" w:cs="Arial"/>
          <w:b/>
          <w:sz w:val="22"/>
        </w:rPr>
        <w:t>2025, teoría 15:</w:t>
      </w:r>
      <w:r>
        <w:rPr>
          <w:rFonts w:ascii="Arial" w:hAnsi="Arial" w:cs="Arial"/>
          <w:sz w:val="22"/>
        </w:rPr>
        <w:t xml:space="preserve"> Según el artículo 35 de la Ley 39/2015, de 1 de octubre, del Procedimiento Administrativo Común de las Administraciones Públicas, s eñale la respuesta correcta respecto a qu é actos administrativos deben ser…</w:t>
      </w:r>
    </w:p>
    <w:p>
      <w:pPr>
        <w:pStyle w:val="ListBullet"/>
      </w:pPr>
      <w:r>
        <w:rPr>
          <w:rFonts w:ascii="Arial" w:hAnsi="Arial" w:cs="Arial"/>
          <w:b/>
          <w:sz w:val="22"/>
        </w:rPr>
        <w:t>2026, teoría 19:</w:t>
      </w:r>
      <w:r>
        <w:rPr>
          <w:rFonts w:ascii="Arial" w:hAnsi="Arial" w:cs="Arial"/>
          <w:sz w:val="22"/>
        </w:rPr>
        <w:t xml:space="preserve"> La Ley 39/2015, de I de octubre, del Procedimiento Administrativo Común de las Administraciones Públicas, en eI artículo 49, regula los límites a la extensión de la nulidad o anulabilidad de los actos. Señale…</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 utilizadas</w:t>
      </w:r>
    </w:p>
    <w:p>
      <w:pPr>
        <w:pStyle w:val="ListBullet"/>
        <w:ind w:left="397" w:hanging="198"/>
      </w:pPr>
      <w:r>
        <w:rPr>
          <w:rFonts w:ascii="Arial" w:hAnsi="Arial" w:cs="Arial"/>
          <w:sz w:val="18"/>
        </w:rPr>
        <w:t>Constitución Española, texto consolidado (https://www.boe.es/buscar/act.php?id=BOE-A-1978-31229).</w:t>
      </w:r>
    </w:p>
    <w:p>
      <w:pPr>
        <w:pStyle w:val="ListBullet"/>
        <w:ind w:left="397" w:hanging="198"/>
      </w:pPr>
      <w:r>
        <w:rPr>
          <w:rFonts w:ascii="Arial" w:hAnsi="Arial" w:cs="Arial"/>
          <w:sz w:val="18"/>
        </w:rPr>
        <w:t>Ley 39/2015, de 1 de octubre, del Procedimiento Administrativo Común de las Administraciones Públicas, texto consolidado (https://www.boe.es/buscar/act.php?id=BOE-A-2015-10565).</w:t>
      </w:r>
    </w:p>
    <w:p>
      <w:pPr>
        <w:pStyle w:val="ListBullet"/>
        <w:ind w:left="397" w:hanging="198"/>
      </w:pPr>
      <w:r>
        <w:rPr>
          <w:rFonts w:ascii="Arial" w:hAnsi="Arial" w:cs="Arial"/>
          <w:sz w:val="18"/>
        </w:rPr>
        <w:t>Ley 40/2015, de 1 de octubre, de Régimen Jurídico del Sector Público, texto consolidado (https://www.boe.es/buscar/act.php?id=BOE-A-2015-10566).</w:t>
      </w:r>
    </w:p>
    <w:p>
      <w:pPr>
        <w:pStyle w:val="ListBullet"/>
        <w:ind w:left="397" w:hanging="198"/>
      </w:pPr>
      <w:r>
        <w:rPr>
          <w:rFonts w:ascii="Arial" w:hAnsi="Arial" w:cs="Arial"/>
          <w:sz w:val="18"/>
        </w:rPr>
        <w:t>Real Decreto 203/2021, de 30 de marzo, Reglamento de actuación y funcionamiento del sector público por medios electrónicos, texto consolidado (https://www.boe.es/buscar/act.php?id=BOE-A-2021-5032).</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G15 · Tema 15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15. Los actos administrativos. Concepto y clases. Motivación, forma y eficacia de los actos administrativos. Notificación y publicación. Nulidad…</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