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16</w:t>
      </w:r>
    </w:p>
    <w:p>
      <w:pPr>
        <w:keepNext/>
        <w:spacing w:before="0" w:after="280"/>
        <w:pBdr>
          <w:bottom w:val="single" w:sz="12" w:space="1" w:color="2F75B5"/>
        </w:pBdr>
      </w:pPr>
      <w:r>
        <w:rPr>
          <w:rFonts w:ascii="Arial" w:hAnsi="Arial" w:cs="Arial"/>
          <w:b/>
          <w:color w:val="17365D"/>
          <w:sz w:val="40"/>
        </w:rPr>
        <w:t>El procedimiento administrativo común. La capacidad de obrar y el concepto de interesado. Representación. Identificación y firma de los interesados. Derechos del interesado en el procedimiento administrativo. Obligación de resolver y silencio administrativo. Términos y plazos.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El procedimiento administrativo es el cauce ordenado mediante el cual la Administración forma su voluntad, garantiza la participación de las personas interesadas y adopta una decisión sometida a Derecho. No es una sucesión ornamental de trámites: sirve a la legalidad, a la eficacia y a la defensa.</w:t>
      </w:r>
    </w:p>
    <w:p>
      <w:pPr>
        <w:jc w:val="both"/>
      </w:pPr>
      <w:r>
        <w:rPr>
          <w:rFonts w:ascii="Arial" w:hAnsi="Arial" w:cs="Arial"/>
          <w:sz w:val="22"/>
        </w:rPr>
        <w:t xml:space="preserve">Su regulación básica se encuentra en la </w:t>
      </w:r>
      <w:r>
        <w:rPr>
          <w:rFonts w:ascii="Arial" w:hAnsi="Arial" w:cs="Arial"/>
          <w:b/>
          <w:sz w:val="22"/>
        </w:rPr>
        <w:t>Ley 39/2015, de 1 de octubre, del Procedimiento Administrativo Común de las Administraciones Públicas</w:t>
      </w:r>
      <w:r>
        <w:rPr>
          <w:rFonts w:ascii="Arial" w:hAnsi="Arial" w:cs="Arial"/>
          <w:sz w:val="22"/>
        </w:rPr>
        <w:t xml:space="preserve"> —LPAC—. El tema está actualizado a </w:t>
      </w:r>
      <w:r>
        <w:rPr>
          <w:rFonts w:ascii="Arial" w:hAnsi="Arial" w:cs="Arial"/>
          <w:b/>
          <w:sz w:val="22"/>
        </w:rPr>
        <w:t>30 de julio de 2026</w:t>
      </w:r>
      <w:r>
        <w:rPr>
          <w:rFonts w:ascii="Arial" w:hAnsi="Arial" w:cs="Arial"/>
          <w:sz w:val="22"/>
        </w:rPr>
        <w:t xml:space="preserve"> sobre el texto consolidado del BOE, cuya última modificación publicada es de 6 de noviembre de 2024. Son esenciales los artículos 1 a 33, especialmente el 3 a 13 y el 21 a 33.</w:t>
      </w:r>
    </w:p>
    <w:p>
      <w:pPr>
        <w:pStyle w:val="Heading1"/>
        <w:keepNext/>
      </w:pPr>
      <w:r>
        <w:rPr>
          <w:rFonts w:ascii="Arial" w:hAnsi="Arial" w:cs="Arial"/>
          <w:sz w:val="30"/>
        </w:rPr>
        <w:t>1. El procedimiento administrativo común</w:t>
      </w:r>
    </w:p>
    <w:p>
      <w:pPr>
        <w:pStyle w:val="Heading2"/>
        <w:keepNext/>
      </w:pPr>
      <w:r>
        <w:rPr>
          <w:rFonts w:ascii="Arial" w:hAnsi="Arial" w:cs="Arial"/>
          <w:sz w:val="25"/>
        </w:rPr>
        <w:t>1.1. Fundamento constitucional</w:t>
      </w:r>
    </w:p>
    <w:p>
      <w:pPr>
        <w:jc w:val="both"/>
      </w:pPr>
      <w:r>
        <w:rPr>
          <w:rFonts w:ascii="Arial" w:hAnsi="Arial" w:cs="Arial"/>
          <w:sz w:val="22"/>
        </w:rPr>
        <w:t>El artículo 105.c de la Constitución ordena que la ley regule el procedimiento a través del cual deben producirse los actos administrativos, garantizando, cuando proceda, la audiencia de la persona interesada. Se relaciona con:</w:t>
      </w:r>
    </w:p>
    <w:p>
      <w:pPr>
        <w:pStyle w:val="ListBullet"/>
      </w:pPr>
      <w:r>
        <w:rPr>
          <w:rFonts w:ascii="Arial" w:hAnsi="Arial" w:cs="Arial"/>
          <w:sz w:val="22"/>
        </w:rPr>
        <w:t>Artículo 9.3: legalidad, seguridad jurídica e interdicción de arbitrariedad.</w:t>
      </w:r>
    </w:p>
    <w:p>
      <w:pPr>
        <w:pStyle w:val="ListBullet"/>
      </w:pPr>
      <w:r>
        <w:rPr>
          <w:rFonts w:ascii="Arial" w:hAnsi="Arial" w:cs="Arial"/>
          <w:sz w:val="22"/>
        </w:rPr>
        <w:t>Artículo 103.1: servicio objetivo al interés general, eficacia, jerarquía, descentralización, desconcentración, coordinación y pleno sometimiento a ley y Derecho.</w:t>
      </w:r>
    </w:p>
    <w:p>
      <w:pPr>
        <w:pStyle w:val="ListBullet"/>
      </w:pPr>
      <w:r>
        <w:rPr>
          <w:rFonts w:ascii="Arial" w:hAnsi="Arial" w:cs="Arial"/>
          <w:sz w:val="22"/>
        </w:rPr>
        <w:t>Artículo 106: control judicial de la potestad reglamentaria, actuación administrativa y sometimiento a sus fines.</w:t>
      </w:r>
    </w:p>
    <w:p>
      <w:pPr>
        <w:pStyle w:val="ListBullet"/>
      </w:pPr>
      <w:r>
        <w:rPr>
          <w:rFonts w:ascii="Arial" w:hAnsi="Arial" w:cs="Arial"/>
          <w:sz w:val="22"/>
        </w:rPr>
        <w:t>Artículo 149.1.18: competencia estatal sobre bases del régimen jurídico y procedimiento administrativo común, sin perjuicio de las especialidades derivadas de la organización autonómica.</w:t>
      </w:r>
    </w:p>
    <w:p>
      <w:pPr>
        <w:jc w:val="both"/>
      </w:pPr>
      <w:r>
        <w:rPr>
          <w:rFonts w:ascii="Arial" w:hAnsi="Arial" w:cs="Arial"/>
          <w:sz w:val="22"/>
        </w:rPr>
        <w:t>El procedimiento común asegura un tratamiento básico igual de la ciudadanía ante todas las Administraciones, pero no significa uniformidad absoluta. Pueden existir procedimientos especiales y especialidades organizativas dentro de las condiciones legales.</w:t>
      </w:r>
    </w:p>
    <w:p>
      <w:pPr>
        <w:pStyle w:val="Heading2"/>
        <w:keepNext/>
      </w:pPr>
      <w:r>
        <w:rPr>
          <w:rFonts w:ascii="Arial" w:hAnsi="Arial" w:cs="Arial"/>
          <w:sz w:val="25"/>
        </w:rPr>
        <w:t>1.2. Objeto de la Ley 39/2015</w:t>
      </w:r>
    </w:p>
    <w:p>
      <w:pPr>
        <w:jc w:val="both"/>
      </w:pPr>
      <w:r>
        <w:rPr>
          <w:rFonts w:ascii="Arial" w:hAnsi="Arial" w:cs="Arial"/>
          <w:sz w:val="22"/>
        </w:rPr>
        <w:t>El artículo 1 regula:</w:t>
      </w:r>
    </w:p>
    <w:p>
      <w:pPr>
        <w:pStyle w:val="ListBullet"/>
      </w:pPr>
      <w:r>
        <w:rPr>
          <w:rFonts w:ascii="Arial" w:hAnsi="Arial" w:cs="Arial"/>
          <w:sz w:val="22"/>
        </w:rPr>
        <w:t>Requisitos de validez y eficacia de los actos administrativos.</w:t>
      </w:r>
    </w:p>
    <w:p>
      <w:pPr>
        <w:pStyle w:val="ListBullet"/>
      </w:pPr>
      <w:r>
        <w:rPr>
          <w:rFonts w:ascii="Arial" w:hAnsi="Arial" w:cs="Arial"/>
          <w:sz w:val="22"/>
        </w:rPr>
        <w:t>Procedimiento administrativo común a todas las Administraciones, incluidos los procedimientos sancionadores y de responsabilidad patrimonial.</w:t>
      </w:r>
    </w:p>
    <w:p>
      <w:pPr>
        <w:pStyle w:val="ListBullet"/>
      </w:pPr>
      <w:r>
        <w:rPr>
          <w:rFonts w:ascii="Arial" w:hAnsi="Arial" w:cs="Arial"/>
          <w:sz w:val="22"/>
        </w:rPr>
        <w:t>Principios a los que se ajusta el ejercicio de iniciativa legislativa y potestad reglamentaria.</w:t>
      </w:r>
    </w:p>
    <w:p>
      <w:pPr>
        <w:jc w:val="both"/>
      </w:pPr>
      <w:r>
        <w:rPr>
          <w:rFonts w:ascii="Arial" w:hAnsi="Arial" w:cs="Arial"/>
          <w:sz w:val="22"/>
        </w:rPr>
        <w:t xml:space="preserve">Solo mediante </w:t>
      </w:r>
      <w:r>
        <w:rPr>
          <w:rFonts w:ascii="Arial" w:hAnsi="Arial" w:cs="Arial"/>
          <w:b/>
          <w:sz w:val="22"/>
        </w:rPr>
        <w:t>ley</w:t>
      </w:r>
      <w:r>
        <w:rPr>
          <w:rFonts w:ascii="Arial" w:hAnsi="Arial" w:cs="Arial"/>
          <w:sz w:val="22"/>
        </w:rPr>
        <w:t>, cuando resulte eficaz, proporcionado y necesario para alcanzar los fines del procedimiento y se motive, pueden incluirse trámites adicionales o distintos. Reglamentariamente pueden establecerse especialidades relativas a órganos competentes, plazos propios por razón de materia, formas de iniciación y terminación, publicación e informes.</w:t>
      </w:r>
    </w:p>
    <w:p>
      <w:pPr>
        <w:spacing w:after="100"/>
        <w:ind w:left="340" w:right="227"/>
        <w:shd w:fill="EAF2F8"/>
      </w:pPr>
      <w:r>
        <w:rPr>
          <w:rFonts w:ascii="Arial" w:hAnsi="Arial" w:cs="Arial"/>
          <w:b/>
          <w:sz w:val="20"/>
        </w:rPr>
        <w:t>Clave:</w:t>
      </w:r>
      <w:r>
        <w:rPr>
          <w:rFonts w:ascii="Arial" w:hAnsi="Arial" w:cs="Arial"/>
          <w:sz w:val="20"/>
        </w:rPr>
        <w:t xml:space="preserve"> «procedimiento común» no impide toda especialidad; exige que los trámites adicionales o diferentes tengan cobertura legal y justificación. El reglamento puede concretar especialidades expresamente permitidas, no vaciar garantías legales.</w:t>
      </w:r>
    </w:p>
    <w:p>
      <w:pPr>
        <w:pStyle w:val="Heading2"/>
        <w:keepNext/>
      </w:pPr>
      <w:r>
        <w:rPr>
          <w:rFonts w:ascii="Arial" w:hAnsi="Arial" w:cs="Arial"/>
          <w:sz w:val="25"/>
        </w:rPr>
        <w:t>1.3. Ámbito subjetivo</w:t>
      </w:r>
    </w:p>
    <w:p>
      <w:pPr>
        <w:jc w:val="both"/>
      </w:pPr>
      <w:r>
        <w:rPr>
          <w:rFonts w:ascii="Arial" w:hAnsi="Arial" w:cs="Arial"/>
          <w:sz w:val="22"/>
        </w:rPr>
        <w:t>La LPAC se aplica al sector público:</w:t>
      </w:r>
    </w:p>
    <w:p>
      <w:pPr>
        <w:spacing w:after="40"/>
        <w:ind w:left="369" w:hanging="227"/>
      </w:pPr>
      <w:r>
        <w:rPr>
          <w:rFonts w:ascii="Arial" w:hAnsi="Arial" w:cs="Arial"/>
          <w:sz w:val="22"/>
        </w:rPr>
        <w:t>1. Administración General del Estado.</w:t>
      </w:r>
    </w:p>
    <w:p>
      <w:pPr>
        <w:spacing w:after="40"/>
        <w:ind w:left="369" w:hanging="227"/>
      </w:pPr>
      <w:r>
        <w:rPr>
          <w:rFonts w:ascii="Arial" w:hAnsi="Arial" w:cs="Arial"/>
          <w:sz w:val="22"/>
        </w:rPr>
        <w:t>2. Administraciones de las comunidades autónomas.</w:t>
      </w:r>
    </w:p>
    <w:p>
      <w:pPr>
        <w:spacing w:after="40"/>
        <w:ind w:left="369" w:hanging="227"/>
      </w:pPr>
      <w:r>
        <w:rPr>
          <w:rFonts w:ascii="Arial" w:hAnsi="Arial" w:cs="Arial"/>
          <w:sz w:val="22"/>
        </w:rPr>
        <w:t>3. Entidades que integran la Administración local.</w:t>
      </w:r>
    </w:p>
    <w:p>
      <w:pPr>
        <w:spacing w:after="40"/>
        <w:ind w:left="369" w:hanging="227"/>
      </w:pPr>
      <w:r>
        <w:rPr>
          <w:rFonts w:ascii="Arial" w:hAnsi="Arial" w:cs="Arial"/>
          <w:sz w:val="22"/>
        </w:rPr>
        <w:t>4. Sector público institucional.</w:t>
      </w:r>
    </w:p>
    <w:p>
      <w:pPr>
        <w:jc w:val="both"/>
      </w:pPr>
      <w:r>
        <w:rPr>
          <w:rFonts w:ascii="Arial" w:hAnsi="Arial" w:cs="Arial"/>
          <w:sz w:val="22"/>
        </w:rPr>
        <w:t>Las entidades de Derecho privado vinculadas o dependientes quedan sujetas a las normas que específicamente se refieran a ellas y, en todo caso, cuando ejerzan potestades administrativas. Las universidades públicas se rigen por su normativa específica y supletoriamente por la LPAC. Las corporaciones de Derecho público se rigen por su normativa específica al ejercer funciones públicas atribuidas por ley o delegadas y, supletoriamente, por la LPAC.</w:t>
      </w:r>
    </w:p>
    <w:p>
      <w:pPr>
        <w:pStyle w:val="Heading2"/>
        <w:keepNext/>
      </w:pPr>
      <w:r>
        <w:rPr>
          <w:rFonts w:ascii="Arial" w:hAnsi="Arial" w:cs="Arial"/>
          <w:sz w:val="25"/>
        </w:rPr>
        <w:t>1.4. Especialidades por razón de materia</w:t>
      </w:r>
    </w:p>
    <w:p>
      <w:pPr>
        <w:jc w:val="both"/>
      </w:pPr>
      <w:r>
        <w:rPr>
          <w:rFonts w:ascii="Arial" w:hAnsi="Arial" w:cs="Arial"/>
          <w:sz w:val="22"/>
        </w:rPr>
        <w:t>La disposición adicional primera reconoce procedimientos regidos por normativa específica, con aplicación supletoria de la LPAC, en materias como:</w:t>
      </w:r>
    </w:p>
    <w:p>
      <w:pPr>
        <w:pStyle w:val="ListBullet"/>
      </w:pPr>
      <w:r>
        <w:rPr>
          <w:rFonts w:ascii="Arial" w:hAnsi="Arial" w:cs="Arial"/>
          <w:sz w:val="22"/>
        </w:rPr>
        <w:t>Actuaciones y procedimientos tributarios y aduaneros.</w:t>
      </w:r>
    </w:p>
    <w:p>
      <w:pPr>
        <w:pStyle w:val="ListBullet"/>
      </w:pPr>
      <w:r>
        <w:rPr>
          <w:rFonts w:ascii="Arial" w:hAnsi="Arial" w:cs="Arial"/>
          <w:sz w:val="22"/>
        </w:rPr>
        <w:t>Gestión, inspección, liquidación, recaudación, impugnación y revisión en Seguridad Social y desempleo.</w:t>
      </w:r>
    </w:p>
    <w:p>
      <w:pPr>
        <w:pStyle w:val="ListBullet"/>
      </w:pPr>
      <w:r>
        <w:rPr>
          <w:rFonts w:ascii="Arial" w:hAnsi="Arial" w:cs="Arial"/>
          <w:sz w:val="22"/>
        </w:rPr>
        <w:t>Procedimientos sancionadores tributarios, aduaneros, sociales, de tráfico y extranjería.</w:t>
      </w:r>
    </w:p>
    <w:p>
      <w:pPr>
        <w:pStyle w:val="ListBullet"/>
      </w:pPr>
      <w:r>
        <w:rPr>
          <w:rFonts w:ascii="Arial" w:hAnsi="Arial" w:cs="Arial"/>
          <w:sz w:val="22"/>
        </w:rPr>
        <w:t>Extranjería y asilo.</w:t>
      </w:r>
    </w:p>
    <w:p>
      <w:pPr>
        <w:jc w:val="both"/>
      </w:pPr>
      <w:r>
        <w:rPr>
          <w:rFonts w:ascii="Arial" w:hAnsi="Arial" w:cs="Arial"/>
          <w:sz w:val="22"/>
        </w:rPr>
        <w:t>Para esta oposición es importante: la LPAC constituye el marco general, pero los procedimientos de Seguridad Social pueden tener reglas propias. En una pregunta hay que comprobar primero si se invoca una especialidad expresa.</w:t>
      </w:r>
    </w:p>
    <w:p>
      <w:pPr>
        <w:pStyle w:val="Heading2"/>
        <w:keepNext/>
      </w:pPr>
      <w:r>
        <w:rPr>
          <w:rFonts w:ascii="Arial" w:hAnsi="Arial" w:cs="Arial"/>
          <w:sz w:val="25"/>
        </w:rPr>
        <w:t>1.5. Principios funcionales</w:t>
      </w:r>
    </w:p>
    <w:p>
      <w:pPr>
        <w:jc w:val="both"/>
      </w:pPr>
      <w:r>
        <w:rPr>
          <w:rFonts w:ascii="Arial" w:hAnsi="Arial" w:cs="Arial"/>
          <w:sz w:val="22"/>
        </w:rPr>
        <w:t>El procedimiento se apoya en legalidad, contradicción, audiencia, imparcialidad, celeridad, economía, oficialidad y tramitación electrónica. La Administración impulsa de oficio el expediente, pero las personas interesadas soportan cargas como subsanar, aportar lo que les corresponde o actuar en plazo.</w:t>
      </w:r>
    </w:p>
    <w:p>
      <w:pPr>
        <w:jc w:val="both"/>
      </w:pPr>
      <w:r>
        <w:rPr>
          <w:rFonts w:ascii="Arial" w:hAnsi="Arial" w:cs="Arial"/>
          <w:sz w:val="22"/>
        </w:rPr>
        <w:t>La forma electrónica es la manera ordinaria de funcionamiento, no un procedimiento diferente. Debe respetar accesibilidad, asistencia, interoperabilidad, seguridad, identificación, integridad y protección de datos.</w:t>
      </w:r>
    </w:p>
    <w:p>
      <w:pPr>
        <w:pStyle w:val="Heading1"/>
        <w:keepNext/>
      </w:pPr>
      <w:r>
        <w:rPr>
          <w:rFonts w:ascii="Arial" w:hAnsi="Arial" w:cs="Arial"/>
          <w:sz w:val="30"/>
        </w:rPr>
        <w:t>2. Capacidad de obrar</w:t>
      </w:r>
    </w:p>
    <w:p>
      <w:pPr>
        <w:pStyle w:val="Heading2"/>
        <w:keepNext/>
      </w:pPr>
      <w:r>
        <w:rPr>
          <w:rFonts w:ascii="Arial" w:hAnsi="Arial" w:cs="Arial"/>
          <w:sz w:val="25"/>
        </w:rPr>
        <w:t>2.1. Regla general</w:t>
      </w:r>
    </w:p>
    <w:p>
      <w:pPr>
        <w:jc w:val="both"/>
      </w:pPr>
      <w:r>
        <w:rPr>
          <w:rFonts w:ascii="Arial" w:hAnsi="Arial" w:cs="Arial"/>
          <w:sz w:val="22"/>
        </w:rPr>
        <w:t>Tienen capacidad de obrar ante las Administraciones:</w:t>
      </w:r>
    </w:p>
    <w:p>
      <w:pPr>
        <w:pStyle w:val="ListBullet"/>
      </w:pPr>
      <w:r>
        <w:rPr>
          <w:rFonts w:ascii="Arial" w:hAnsi="Arial" w:cs="Arial"/>
          <w:sz w:val="22"/>
        </w:rPr>
        <w:t>Las personas físicas o jurídicas que la ostenten conforme a las normas civiles.</w:t>
      </w:r>
    </w:p>
    <w:p>
      <w:pPr>
        <w:pStyle w:val="ListBullet"/>
      </w:pPr>
      <w:r>
        <w:rPr>
          <w:rFonts w:ascii="Arial" w:hAnsi="Arial" w:cs="Arial"/>
          <w:sz w:val="22"/>
        </w:rPr>
        <w:t>Los menores de edad para ejercer y defender derechos e intereses cuya actuación permita el ordenamiento sin asistencia de quien ejerza patria potestad, tutela o curatela; se exceptúan los menores incapacitados cuando la extensión de la incapacitación afecte al ejercicio y defensa de esos derechos o intereses, según la literalidad legal.</w:t>
      </w:r>
    </w:p>
    <w:p>
      <w:pPr>
        <w:pStyle w:val="ListBullet"/>
      </w:pPr>
      <w:r>
        <w:rPr>
          <w:rFonts w:ascii="Arial" w:hAnsi="Arial" w:cs="Arial"/>
          <w:sz w:val="22"/>
        </w:rPr>
        <w:t>Cuando la ley lo declare expresamente, grupos de afectados, uniones y entidades sin personalidad jurídica y patrimonios independientes o autónomos.</w:t>
      </w:r>
    </w:p>
    <w:p>
      <w:pPr>
        <w:jc w:val="both"/>
      </w:pPr>
      <w:r>
        <w:rPr>
          <w:rFonts w:ascii="Arial" w:hAnsi="Arial" w:cs="Arial"/>
          <w:sz w:val="22"/>
        </w:rPr>
        <w:t>La capacidad de obrar administrativa puede ser más amplia que la civil en ámbitos concretos. Un menor puede, por ejemplo, actuar por sí respecto de derechos cuya normativa sectorial le permita ejercer autónomamente.</w:t>
      </w:r>
    </w:p>
    <w:p>
      <w:pPr>
        <w:pStyle w:val="Heading2"/>
        <w:keepNext/>
      </w:pPr>
      <w:r>
        <w:rPr>
          <w:rFonts w:ascii="Arial" w:hAnsi="Arial" w:cs="Arial"/>
          <w:sz w:val="25"/>
        </w:rPr>
        <w:t>2.2. Capacidad, legitimación e interés</w:t>
      </w:r>
    </w:p>
    <w:p>
      <w:pPr>
        <w:jc w:val="both"/>
      </w:pPr>
      <w:r>
        <w:rPr>
          <w:rFonts w:ascii="Arial" w:hAnsi="Arial" w:cs="Arial"/>
          <w:sz w:val="22"/>
        </w:rPr>
        <w:t>No deben confundirse:</w:t>
      </w:r>
    </w:p>
    <w:p>
      <w:pPr>
        <w:pStyle w:val="ListBullet"/>
      </w:pPr>
      <w:r>
        <w:rPr>
          <w:rFonts w:ascii="Arial" w:hAnsi="Arial" w:cs="Arial"/>
          <w:b/>
          <w:sz w:val="22"/>
        </w:rPr>
        <w:t>Capacidad de obrar:</w:t>
      </w:r>
      <w:r>
        <w:rPr>
          <w:rFonts w:ascii="Arial" w:hAnsi="Arial" w:cs="Arial"/>
          <w:sz w:val="22"/>
        </w:rPr>
        <w:t xml:space="preserve"> aptitud general para actuar válidamente ante la Administración.</w:t>
      </w:r>
    </w:p>
    <w:p>
      <w:pPr>
        <w:pStyle w:val="ListBullet"/>
      </w:pPr>
      <w:r>
        <w:rPr>
          <w:rFonts w:ascii="Arial" w:hAnsi="Arial" w:cs="Arial"/>
          <w:b/>
          <w:sz w:val="22"/>
        </w:rPr>
        <w:t>Legitimación:</w:t>
      </w:r>
      <w:r>
        <w:rPr>
          <w:rFonts w:ascii="Arial" w:hAnsi="Arial" w:cs="Arial"/>
          <w:sz w:val="22"/>
        </w:rPr>
        <w:t xml:space="preserve"> conexión concreta con el objeto que permite participar o impugnar.</w:t>
      </w:r>
    </w:p>
    <w:p>
      <w:pPr>
        <w:pStyle w:val="ListBullet"/>
      </w:pPr>
      <w:r>
        <w:rPr>
          <w:rFonts w:ascii="Arial" w:hAnsi="Arial" w:cs="Arial"/>
          <w:b/>
          <w:sz w:val="22"/>
        </w:rPr>
        <w:t>Representación:</w:t>
      </w:r>
      <w:r>
        <w:rPr>
          <w:rFonts w:ascii="Arial" w:hAnsi="Arial" w:cs="Arial"/>
          <w:sz w:val="22"/>
        </w:rPr>
        <w:t xml:space="preserve"> actuación de otra persona por cuenta del titular.</w:t>
      </w:r>
    </w:p>
    <w:p>
      <w:pPr>
        <w:jc w:val="both"/>
      </w:pPr>
      <w:r>
        <w:rPr>
          <w:rFonts w:ascii="Arial" w:hAnsi="Arial" w:cs="Arial"/>
          <w:sz w:val="22"/>
        </w:rPr>
        <w:t>Una persona puede ser capaz y no estar legitimada en un expediente concreto; puede estar legitimada, pero actuar mediante representante.</w:t>
      </w:r>
    </w:p>
    <w:p>
      <w:pPr>
        <w:pStyle w:val="Heading1"/>
        <w:keepNext/>
      </w:pPr>
      <w:r>
        <w:rPr>
          <w:rFonts w:ascii="Arial" w:hAnsi="Arial" w:cs="Arial"/>
          <w:sz w:val="30"/>
        </w:rPr>
        <w:t>3. Concepto de interesado</w:t>
      </w:r>
    </w:p>
    <w:p>
      <w:pPr>
        <w:pStyle w:val="Heading2"/>
        <w:keepNext/>
      </w:pPr>
      <w:r>
        <w:rPr>
          <w:rFonts w:ascii="Arial" w:hAnsi="Arial" w:cs="Arial"/>
          <w:sz w:val="25"/>
        </w:rPr>
        <w:t>3.1. Supuestos del artículo 4</w:t>
      </w:r>
    </w:p>
    <w:p>
      <w:pPr>
        <w:jc w:val="both"/>
      </w:pPr>
      <w:r>
        <w:rPr>
          <w:rFonts w:ascii="Arial" w:hAnsi="Arial" w:cs="Arial"/>
          <w:sz w:val="22"/>
        </w:rPr>
        <w:t>Son personas interesadas:</w:t>
      </w:r>
    </w:p>
    <w:p>
      <w:pPr>
        <w:jc w:val="both"/>
      </w:pPr>
      <w:r>
        <w:rPr>
          <w:rFonts w:ascii="Arial" w:hAnsi="Arial" w:cs="Arial"/>
          <w:b/>
          <w:sz w:val="22"/>
        </w:rPr>
        <w:t>a) Quienes promuevan el procedimiento</w:t>
      </w:r>
      <w:r>
        <w:rPr>
          <w:rFonts w:ascii="Arial" w:hAnsi="Arial" w:cs="Arial"/>
          <w:sz w:val="22"/>
        </w:rPr>
        <w:t xml:space="preserve"> como titulares de derechos o intereses legítimos individuales o colectivos.</w:t>
      </w:r>
    </w:p>
    <w:p>
      <w:pPr>
        <w:jc w:val="both"/>
      </w:pPr>
      <w:r>
        <w:rPr>
          <w:rFonts w:ascii="Arial" w:hAnsi="Arial" w:cs="Arial"/>
          <w:b/>
          <w:sz w:val="22"/>
        </w:rPr>
        <w:t>b) Quienes, sin haberlo iniciado, tengan derechos que puedan resultar afectados</w:t>
      </w:r>
      <w:r>
        <w:rPr>
          <w:rFonts w:ascii="Arial" w:hAnsi="Arial" w:cs="Arial"/>
          <w:sz w:val="22"/>
        </w:rPr>
        <w:t xml:space="preserve"> por la decisión. La condición deriva de esa titularidad aunque todavía no se hayan personado.</w:t>
      </w:r>
    </w:p>
    <w:p>
      <w:pPr>
        <w:jc w:val="both"/>
      </w:pPr>
      <w:r>
        <w:rPr>
          <w:rFonts w:ascii="Arial" w:hAnsi="Arial" w:cs="Arial"/>
          <w:b/>
          <w:sz w:val="22"/>
        </w:rPr>
        <w:t>c) Quienes tengan intereses legítimos, individuales o colectivos, que puedan resultar afectados y se personen</w:t>
      </w:r>
      <w:r>
        <w:rPr>
          <w:rFonts w:ascii="Arial" w:hAnsi="Arial" w:cs="Arial"/>
          <w:sz w:val="22"/>
        </w:rPr>
        <w:t xml:space="preserve"> antes de que recaiga resolución definitiva.</w:t>
      </w:r>
    </w:p>
    <w:p>
      <w:pPr>
        <w:jc w:val="both"/>
      </w:pPr>
      <w:r>
        <w:rPr>
          <w:rFonts w:ascii="Arial" w:hAnsi="Arial" w:cs="Arial"/>
          <w:sz w:val="22"/>
        </w:rPr>
        <w:t>El derecho subjetivo concede una facultad reconocida directamente por el ordenamiento. El interés legítimo exige una ventaja o perjuicio real, propio y cualificado derivado del resultado; no basta el mero interés por la legalidad, salvo acción pública reconocida por ley.</w:t>
      </w:r>
    </w:p>
    <w:p>
      <w:pPr>
        <w:pStyle w:val="Heading2"/>
        <w:keepNext/>
      </w:pPr>
      <w:r>
        <w:rPr>
          <w:rFonts w:ascii="Arial" w:hAnsi="Arial" w:cs="Arial"/>
          <w:sz w:val="25"/>
        </w:rPr>
        <w:t>3.2. Intereses colectivos y sucesión</w:t>
      </w:r>
    </w:p>
    <w:p>
      <w:pPr>
        <w:jc w:val="both"/>
      </w:pPr>
      <w:r>
        <w:rPr>
          <w:rFonts w:ascii="Arial" w:hAnsi="Arial" w:cs="Arial"/>
          <w:sz w:val="22"/>
        </w:rPr>
        <w:t>Asociaciones y organizaciones representativas de intereses económicos y sociales son titulares de intereses legítimos colectivos en los términos que reconozca la ley. Esto no concede legitimación universal: debe existir conexión entre fines representativos, colectivo y objeto.</w:t>
      </w:r>
    </w:p>
    <w:p>
      <w:pPr>
        <w:jc w:val="both"/>
      </w:pPr>
      <w:r>
        <w:rPr>
          <w:rFonts w:ascii="Arial" w:hAnsi="Arial" w:cs="Arial"/>
          <w:sz w:val="22"/>
        </w:rPr>
        <w:t>Cuando la condición de interesado derive de una relación jurídica transmisible, el derechohabiente sucede en tal condición cualquiera que sea el estado del procedimiento. La transmisión no obliga a reiniciar actuaciones válidas, aunque deba garantizarse la participación del sucesor desde que se acredite.</w:t>
      </w:r>
    </w:p>
    <w:p>
      <w:pPr>
        <w:pStyle w:val="Heading2"/>
        <w:keepNext/>
      </w:pPr>
      <w:r>
        <w:rPr>
          <w:rFonts w:ascii="Arial" w:hAnsi="Arial" w:cs="Arial"/>
          <w:sz w:val="25"/>
        </w:rPr>
        <w:t>3.3. Pluralidad y nuevos interesados</w:t>
      </w:r>
    </w:p>
    <w:p>
      <w:pPr>
        <w:jc w:val="both"/>
      </w:pPr>
      <w:r>
        <w:rPr>
          <w:rFonts w:ascii="Arial" w:hAnsi="Arial" w:cs="Arial"/>
          <w:sz w:val="22"/>
        </w:rPr>
        <w:t>Si una solicitud, escrito o comunicación tiene varios interesados, las actuaciones se entenderán con el representante o con quien hayan designado y, si no existe designación, con quien figure en primer término.</w:t>
      </w:r>
    </w:p>
    <w:p>
      <w:pPr>
        <w:jc w:val="both"/>
      </w:pPr>
      <w:r>
        <w:rPr>
          <w:rFonts w:ascii="Arial" w:hAnsi="Arial" w:cs="Arial"/>
          <w:sz w:val="22"/>
        </w:rPr>
        <w:t>Si durante la instrucción de un procedimiento sin publicidad se advierte la existencia de titulares de derechos o intereses legítimos y directos cuya identificación resulte del expediente y que puedan verse afectados, se les comunicará la tramitación.</w:t>
      </w:r>
    </w:p>
    <w:p>
      <w:pPr>
        <w:spacing w:after="100"/>
        <w:ind w:left="340" w:right="227"/>
        <w:shd w:fill="EAF2F8"/>
      </w:pPr>
      <w:r>
        <w:rPr>
          <w:rFonts w:ascii="Arial" w:hAnsi="Arial" w:cs="Arial"/>
          <w:b/>
          <w:sz w:val="20"/>
        </w:rPr>
        <w:t>Trampa:</w:t>
      </w:r>
      <w:r>
        <w:rPr>
          <w:rFonts w:ascii="Arial" w:hAnsi="Arial" w:cs="Arial"/>
          <w:sz w:val="20"/>
        </w:rPr>
        <w:t xml:space="preserve"> quien posee un derecho potencialmente afectado es interesado aunque no se persone; quien invoca solo un interés legítimo no iniciador debe personarse antes de resolución definitiva.</w:t>
      </w:r>
    </w:p>
    <w:p>
      <w:pPr>
        <w:pStyle w:val="Heading1"/>
        <w:keepNext/>
      </w:pPr>
      <w:r>
        <w:rPr>
          <w:rFonts w:ascii="Arial" w:hAnsi="Arial" w:cs="Arial"/>
          <w:sz w:val="30"/>
        </w:rPr>
        <w:t>4. Representación</w:t>
      </w:r>
    </w:p>
    <w:p>
      <w:pPr>
        <w:pStyle w:val="Heading2"/>
        <w:keepNext/>
      </w:pPr>
      <w:r>
        <w:rPr>
          <w:rFonts w:ascii="Arial" w:hAnsi="Arial" w:cs="Arial"/>
          <w:sz w:val="25"/>
        </w:rPr>
        <w:t>4.1. Posibilidad y sujetos</w:t>
      </w:r>
    </w:p>
    <w:p>
      <w:pPr>
        <w:jc w:val="both"/>
      </w:pPr>
      <w:r>
        <w:rPr>
          <w:rFonts w:ascii="Arial" w:hAnsi="Arial" w:cs="Arial"/>
          <w:sz w:val="22"/>
        </w:rPr>
        <w:t>Las personas interesadas con capacidad pueden actuar mediante representante. Las actuaciones se entenderán con este, salvo manifestación expresa en contra del interesado.</w:t>
      </w:r>
    </w:p>
    <w:p>
      <w:pPr>
        <w:jc w:val="both"/>
      </w:pPr>
      <w:r>
        <w:rPr>
          <w:rFonts w:ascii="Arial" w:hAnsi="Arial" w:cs="Arial"/>
          <w:sz w:val="22"/>
        </w:rPr>
        <w:t>Pueden representar:</w:t>
      </w:r>
    </w:p>
    <w:p>
      <w:pPr>
        <w:pStyle w:val="ListBullet"/>
      </w:pPr>
      <w:r>
        <w:rPr>
          <w:rFonts w:ascii="Arial" w:hAnsi="Arial" w:cs="Arial"/>
          <w:sz w:val="22"/>
        </w:rPr>
        <w:t>Personas físicas con capacidad de obrar.</w:t>
      </w:r>
    </w:p>
    <w:p>
      <w:pPr>
        <w:pStyle w:val="ListBullet"/>
      </w:pPr>
      <w:r>
        <w:rPr>
          <w:rFonts w:ascii="Arial" w:hAnsi="Arial" w:cs="Arial"/>
          <w:sz w:val="22"/>
        </w:rPr>
        <w:t>Personas jurídicas, cuando sus estatutos lo prevean.</w:t>
      </w:r>
    </w:p>
    <w:p>
      <w:pPr>
        <w:jc w:val="both"/>
      </w:pPr>
      <w:r>
        <w:rPr>
          <w:rFonts w:ascii="Arial" w:hAnsi="Arial" w:cs="Arial"/>
          <w:sz w:val="22"/>
        </w:rPr>
        <w:t>La representación facilita actuación profesional, familiar o asociativa, pero no desplaza la titularidad del derecho. El interesado puede comparecer personalmente en cualquier momento.</w:t>
      </w:r>
    </w:p>
    <w:p>
      <w:pPr>
        <w:pStyle w:val="Heading2"/>
        <w:keepNext/>
      </w:pPr>
      <w:r>
        <w:rPr>
          <w:rFonts w:ascii="Arial" w:hAnsi="Arial" w:cs="Arial"/>
          <w:sz w:val="25"/>
        </w:rPr>
        <w:t>4.2. Actos que exigen acreditación</w:t>
      </w:r>
    </w:p>
    <w:p>
      <w:pPr>
        <w:jc w:val="both"/>
      </w:pPr>
      <w:r>
        <w:rPr>
          <w:rFonts w:ascii="Arial" w:hAnsi="Arial" w:cs="Arial"/>
          <w:sz w:val="22"/>
        </w:rPr>
        <w:t>Debe acreditarse la representación para:</w:t>
      </w:r>
    </w:p>
    <w:p>
      <w:pPr>
        <w:spacing w:after="40"/>
        <w:ind w:left="369" w:hanging="227"/>
      </w:pPr>
      <w:r>
        <w:rPr>
          <w:rFonts w:ascii="Arial" w:hAnsi="Arial" w:cs="Arial"/>
          <w:sz w:val="22"/>
        </w:rPr>
        <w:t>1. Formular solicitudes.</w:t>
      </w:r>
    </w:p>
    <w:p>
      <w:pPr>
        <w:spacing w:after="40"/>
        <w:ind w:left="369" w:hanging="227"/>
      </w:pPr>
      <w:r>
        <w:rPr>
          <w:rFonts w:ascii="Arial" w:hAnsi="Arial" w:cs="Arial"/>
          <w:sz w:val="22"/>
        </w:rPr>
        <w:t>2. Presentar declaraciones responsables o comunicaciones.</w:t>
      </w:r>
    </w:p>
    <w:p>
      <w:pPr>
        <w:spacing w:after="40"/>
        <w:ind w:left="369" w:hanging="227"/>
      </w:pPr>
      <w:r>
        <w:rPr>
          <w:rFonts w:ascii="Arial" w:hAnsi="Arial" w:cs="Arial"/>
          <w:sz w:val="22"/>
        </w:rPr>
        <w:t>3. Interponer recursos.</w:t>
      </w:r>
    </w:p>
    <w:p>
      <w:pPr>
        <w:spacing w:after="40"/>
        <w:ind w:left="369" w:hanging="227"/>
      </w:pPr>
      <w:r>
        <w:rPr>
          <w:rFonts w:ascii="Arial" w:hAnsi="Arial" w:cs="Arial"/>
          <w:sz w:val="22"/>
        </w:rPr>
        <w:t>4. Desistir de acciones.</w:t>
      </w:r>
    </w:p>
    <w:p>
      <w:pPr>
        <w:spacing w:after="40"/>
        <w:ind w:left="369" w:hanging="227"/>
      </w:pPr>
      <w:r>
        <w:rPr>
          <w:rFonts w:ascii="Arial" w:hAnsi="Arial" w:cs="Arial"/>
          <w:sz w:val="22"/>
        </w:rPr>
        <w:t>5. Renunciar a derechos en nombre de otra persona.</w:t>
      </w:r>
    </w:p>
    <w:p>
      <w:pPr>
        <w:jc w:val="both"/>
      </w:pPr>
      <w:r>
        <w:rPr>
          <w:rFonts w:ascii="Arial" w:hAnsi="Arial" w:cs="Arial"/>
          <w:sz w:val="22"/>
        </w:rPr>
        <w:t>Para actos y gestiones de mero trámite se presume la representación. La diferencia responde al riesgo: los cinco actos enumerados inician, impugnan o disponen de posiciones jurídicas relevantes.</w:t>
      </w:r>
    </w:p>
    <w:p>
      <w:pPr>
        <w:jc w:val="both"/>
      </w:pPr>
      <w:r>
        <w:rPr>
          <w:rFonts w:ascii="Arial" w:hAnsi="Arial" w:cs="Arial"/>
          <w:sz w:val="22"/>
        </w:rPr>
        <w:t xml:space="preserve">La falta o insuficiencia de acreditación no impide tener por realizado el acto si se aporta o subsana dentro de </w:t>
      </w:r>
      <w:r>
        <w:rPr>
          <w:rFonts w:ascii="Arial" w:hAnsi="Arial" w:cs="Arial"/>
          <w:b/>
          <w:sz w:val="22"/>
        </w:rPr>
        <w:t>diez días</w:t>
      </w:r>
      <w:r>
        <w:rPr>
          <w:rFonts w:ascii="Arial" w:hAnsi="Arial" w:cs="Arial"/>
          <w:sz w:val="22"/>
        </w:rPr>
        <w:t>, o dentro de un plazo superior concedido por las circunstancias.</w:t>
      </w:r>
    </w:p>
    <w:p>
      <w:pPr>
        <w:pStyle w:val="Heading2"/>
        <w:keepNext/>
      </w:pPr>
      <w:r>
        <w:rPr>
          <w:rFonts w:ascii="Arial" w:hAnsi="Arial" w:cs="Arial"/>
          <w:sz w:val="25"/>
        </w:rPr>
        <w:t>4.3. Medios de acreditación</w:t>
      </w:r>
    </w:p>
    <w:p>
      <w:pPr>
        <w:jc w:val="both"/>
      </w:pPr>
      <w:r>
        <w:rPr>
          <w:rFonts w:ascii="Arial" w:hAnsi="Arial" w:cs="Arial"/>
          <w:sz w:val="22"/>
        </w:rPr>
        <w:t>Puede acreditarse por cualquier medio válido en Derecho que deje constancia fidedigna. Se entiende acreditada mediante:</w:t>
      </w:r>
    </w:p>
    <w:p>
      <w:pPr>
        <w:pStyle w:val="ListBullet"/>
      </w:pPr>
      <w:r>
        <w:rPr>
          <w:rFonts w:ascii="Arial" w:hAnsi="Arial" w:cs="Arial"/>
          <w:sz w:val="22"/>
        </w:rPr>
        <w:t xml:space="preserve">Apoderamiento </w:t>
      </w:r>
      <w:r>
        <w:rPr>
          <w:rFonts w:ascii="Arial" w:hAnsi="Arial" w:cs="Arial"/>
          <w:i/>
          <w:sz w:val="22"/>
        </w:rPr>
        <w:t>apud acta</w:t>
      </w:r>
      <w:r>
        <w:rPr>
          <w:rFonts w:ascii="Arial" w:hAnsi="Arial" w:cs="Arial"/>
          <w:sz w:val="22"/>
        </w:rPr>
        <w:t xml:space="preserve"> por comparecencia personal.</w:t>
      </w:r>
    </w:p>
    <w:p>
      <w:pPr>
        <w:pStyle w:val="ListBullet"/>
      </w:pPr>
      <w:r>
        <w:rPr>
          <w:rFonts w:ascii="Arial" w:hAnsi="Arial" w:cs="Arial"/>
          <w:sz w:val="22"/>
        </w:rPr>
        <w:t xml:space="preserve">Apoderamiento </w:t>
      </w:r>
      <w:r>
        <w:rPr>
          <w:rFonts w:ascii="Arial" w:hAnsi="Arial" w:cs="Arial"/>
          <w:i/>
          <w:sz w:val="22"/>
        </w:rPr>
        <w:t>apud acta</w:t>
      </w:r>
      <w:r>
        <w:rPr>
          <w:rFonts w:ascii="Arial" w:hAnsi="Arial" w:cs="Arial"/>
          <w:sz w:val="22"/>
        </w:rPr>
        <w:t xml:space="preserve"> por comparecencia electrónica en sede, utilizando sistemas de firma.</w:t>
      </w:r>
    </w:p>
    <w:p>
      <w:pPr>
        <w:pStyle w:val="ListBullet"/>
      </w:pPr>
      <w:r>
        <w:rPr>
          <w:rFonts w:ascii="Arial" w:hAnsi="Arial" w:cs="Arial"/>
          <w:sz w:val="22"/>
        </w:rPr>
        <w:t>Inscripción en el registro electrónico de apoderamientos.</w:t>
      </w:r>
    </w:p>
    <w:p>
      <w:pPr>
        <w:pStyle w:val="ListBullet"/>
      </w:pPr>
      <w:r>
        <w:rPr>
          <w:rFonts w:ascii="Arial" w:hAnsi="Arial" w:cs="Arial"/>
          <w:sz w:val="22"/>
        </w:rPr>
        <w:t>Documento público, privado con garantías u otro medio admitido.</w:t>
      </w:r>
    </w:p>
    <w:p>
      <w:pPr>
        <w:jc w:val="both"/>
      </w:pPr>
      <w:r>
        <w:rPr>
          <w:rFonts w:ascii="Arial" w:hAnsi="Arial" w:cs="Arial"/>
          <w:sz w:val="22"/>
        </w:rPr>
        <w:t>El documento acreditativo se incorpora al expediente. El órgano debe valorar alcance, vigencia y facultades, no limitarse a comprobar que existe un papel denominado «poder».</w:t>
      </w:r>
    </w:p>
    <w:p>
      <w:pPr>
        <w:pStyle w:val="Heading2"/>
        <w:keepNext/>
      </w:pPr>
      <w:r>
        <w:rPr>
          <w:rFonts w:ascii="Arial" w:hAnsi="Arial" w:cs="Arial"/>
          <w:sz w:val="25"/>
        </w:rPr>
        <w:t>4.4. Registros electrónicos de apoderamientos</w:t>
      </w:r>
    </w:p>
    <w:p>
      <w:pPr>
        <w:jc w:val="both"/>
      </w:pPr>
      <w:r>
        <w:rPr>
          <w:rFonts w:ascii="Arial" w:hAnsi="Arial" w:cs="Arial"/>
          <w:sz w:val="22"/>
        </w:rPr>
        <w:t>La Administración General del Estado, comunidades autónomas y entidades locales dispondrán de un registro electrónico general de apoderamientos. Deben ser interoperables y permitir consultas y transmisión de solicitudes, escritos y comunicaciones.</w:t>
      </w:r>
    </w:p>
    <w:p>
      <w:pPr>
        <w:jc w:val="both"/>
      </w:pPr>
      <w:r>
        <w:rPr>
          <w:rFonts w:ascii="Arial" w:hAnsi="Arial" w:cs="Arial"/>
          <w:sz w:val="22"/>
        </w:rPr>
        <w:t>Los poderes inscribibles pueden ser:</w:t>
      </w:r>
    </w:p>
    <w:p>
      <w:pPr>
        <w:pStyle w:val="ListBullet"/>
      </w:pPr>
      <w:r>
        <w:rPr>
          <w:rFonts w:ascii="Arial" w:hAnsi="Arial" w:cs="Arial"/>
          <w:sz w:val="22"/>
        </w:rPr>
        <w:t>General para actuar ante cualquier Administración.</w:t>
      </w:r>
    </w:p>
    <w:p>
      <w:pPr>
        <w:pStyle w:val="ListBullet"/>
      </w:pPr>
      <w:r>
        <w:rPr>
          <w:rFonts w:ascii="Arial" w:hAnsi="Arial" w:cs="Arial"/>
          <w:sz w:val="22"/>
        </w:rPr>
        <w:t>General para actuar ante una Administración u organismo concreto.</w:t>
      </w:r>
    </w:p>
    <w:p>
      <w:pPr>
        <w:pStyle w:val="ListBullet"/>
      </w:pPr>
      <w:r>
        <w:rPr>
          <w:rFonts w:ascii="Arial" w:hAnsi="Arial" w:cs="Arial"/>
          <w:sz w:val="22"/>
        </w:rPr>
        <w:t>Especial para determinados trámites especificados.</w:t>
      </w:r>
    </w:p>
    <w:p>
      <w:pPr>
        <w:jc w:val="both"/>
      </w:pPr>
      <w:r>
        <w:rPr>
          <w:rFonts w:ascii="Arial" w:hAnsi="Arial" w:cs="Arial"/>
          <w:sz w:val="22"/>
        </w:rPr>
        <w:t xml:space="preserve">El apoderamiento </w:t>
      </w:r>
      <w:r>
        <w:rPr>
          <w:rFonts w:ascii="Arial" w:hAnsi="Arial" w:cs="Arial"/>
          <w:i/>
          <w:sz w:val="22"/>
        </w:rPr>
        <w:t>apud acta</w:t>
      </w:r>
      <w:r>
        <w:rPr>
          <w:rFonts w:ascii="Arial" w:hAnsi="Arial" w:cs="Arial"/>
          <w:sz w:val="22"/>
        </w:rPr>
        <w:t xml:space="preserve"> se otorga mediante comparecencia electrónica o personal en oficina de asistencia en materia de registros. Los poderes inscritos tendrán la validez máxima determinada al otorgarse, sin exceder de </w:t>
      </w:r>
      <w:r>
        <w:rPr>
          <w:rFonts w:ascii="Arial" w:hAnsi="Arial" w:cs="Arial"/>
          <w:b/>
          <w:sz w:val="22"/>
        </w:rPr>
        <w:t>cinco años</w:t>
      </w:r>
      <w:r>
        <w:rPr>
          <w:rFonts w:ascii="Arial" w:hAnsi="Arial" w:cs="Arial"/>
          <w:sz w:val="22"/>
        </w:rPr>
        <w:t>. Pueden revocarse o prorrogarse; la prórroga inscrita tampoco superará cinco años desde su inscripción.</w:t>
      </w:r>
    </w:p>
    <w:p>
      <w:pPr>
        <w:jc w:val="both"/>
      </w:pPr>
      <w:r>
        <w:rPr>
          <w:rFonts w:ascii="Arial" w:hAnsi="Arial" w:cs="Arial"/>
          <w:sz w:val="22"/>
        </w:rPr>
        <w:t>Las Administraciones pueden habilitar, con carácter general o específico, a personas físicas o jurídicas autorizadas para determinadas transacciones electrónicas. La habilitación especifica condiciones y obligaciones y no impide exigir acreditación cuando sea necesario.</w:t>
      </w:r>
    </w:p>
    <w:p>
      <w:pPr>
        <w:pStyle w:val="Heading1"/>
        <w:keepNext/>
      </w:pPr>
      <w:r>
        <w:rPr>
          <w:rFonts w:ascii="Arial" w:hAnsi="Arial" w:cs="Arial"/>
          <w:sz w:val="30"/>
        </w:rPr>
        <w:t>5. Identificación y firma de los interesados</w:t>
      </w:r>
    </w:p>
    <w:p>
      <w:pPr>
        <w:pStyle w:val="Heading2"/>
        <w:keepNext/>
      </w:pPr>
      <w:r>
        <w:rPr>
          <w:rFonts w:ascii="Arial" w:hAnsi="Arial" w:cs="Arial"/>
          <w:sz w:val="25"/>
        </w:rPr>
        <w:t>5.1. Dos funciones distintas</w:t>
      </w:r>
    </w:p>
    <w:p>
      <w:pPr>
        <w:jc w:val="both"/>
      </w:pPr>
      <w:r>
        <w:rPr>
          <w:rFonts w:ascii="Arial" w:hAnsi="Arial" w:cs="Arial"/>
          <w:sz w:val="22"/>
        </w:rPr>
        <w:t xml:space="preserve">La </w:t>
      </w:r>
      <w:r>
        <w:rPr>
          <w:rFonts w:ascii="Arial" w:hAnsi="Arial" w:cs="Arial"/>
          <w:b/>
          <w:sz w:val="22"/>
        </w:rPr>
        <w:t>identificación</w:t>
      </w:r>
      <w:r>
        <w:rPr>
          <w:rFonts w:ascii="Arial" w:hAnsi="Arial" w:cs="Arial"/>
          <w:sz w:val="22"/>
        </w:rPr>
        <w:t xml:space="preserve"> comprueba quién actúa. La </w:t>
      </w:r>
      <w:r>
        <w:rPr>
          <w:rFonts w:ascii="Arial" w:hAnsi="Arial" w:cs="Arial"/>
          <w:b/>
          <w:sz w:val="22"/>
        </w:rPr>
        <w:t>firma</w:t>
      </w:r>
      <w:r>
        <w:rPr>
          <w:rFonts w:ascii="Arial" w:hAnsi="Arial" w:cs="Arial"/>
          <w:sz w:val="22"/>
        </w:rPr>
        <w:t xml:space="preserve"> acredita autenticidad de la voluntad y consentimiento y garantiza integridad e inalterabilidad del documento. La firma presupone identificación, pero no todo trámite identificado necesita firma.</w:t>
      </w:r>
    </w:p>
    <w:p>
      <w:pPr>
        <w:jc w:val="both"/>
      </w:pPr>
      <w:r>
        <w:rPr>
          <w:rFonts w:ascii="Arial" w:hAnsi="Arial" w:cs="Arial"/>
          <w:sz w:val="22"/>
        </w:rPr>
        <w:t>Las Administraciones verificarán identidad mediante nombre y apellidos o denominación social que consten en DNI o documento identificativo equivalente.</w:t>
      </w:r>
    </w:p>
    <w:p>
      <w:pPr>
        <w:pStyle w:val="Heading2"/>
        <w:keepNext/>
      </w:pPr>
      <w:r>
        <w:rPr>
          <w:rFonts w:ascii="Arial" w:hAnsi="Arial" w:cs="Arial"/>
          <w:sz w:val="25"/>
        </w:rPr>
        <w:t>5.2. Sistemas de identificación electrónica</w:t>
      </w:r>
    </w:p>
    <w:p>
      <w:pPr>
        <w:jc w:val="both"/>
      </w:pPr>
      <w:r>
        <w:rPr>
          <w:rFonts w:ascii="Arial" w:hAnsi="Arial" w:cs="Arial"/>
          <w:sz w:val="22"/>
        </w:rPr>
        <w:t>El artículo 9 admite:</w:t>
      </w:r>
    </w:p>
    <w:p>
      <w:pPr>
        <w:pStyle w:val="ListBullet"/>
      </w:pPr>
      <w:r>
        <w:rPr>
          <w:rFonts w:ascii="Arial" w:hAnsi="Arial" w:cs="Arial"/>
          <w:sz w:val="22"/>
        </w:rPr>
        <w:t>Sistemas basados en certificados electrónicos cualificados de firma expedidos por prestadores de confianza.</w:t>
      </w:r>
    </w:p>
    <w:p>
      <w:pPr>
        <w:pStyle w:val="ListBullet"/>
      </w:pPr>
      <w:r>
        <w:rPr>
          <w:rFonts w:ascii="Arial" w:hAnsi="Arial" w:cs="Arial"/>
          <w:sz w:val="22"/>
        </w:rPr>
        <w:t>Sistemas basados en certificados electrónicos cualificados de sello.</w:t>
      </w:r>
    </w:p>
    <w:p>
      <w:pPr>
        <w:pStyle w:val="ListBullet"/>
      </w:pPr>
      <w:r>
        <w:rPr>
          <w:rFonts w:ascii="Arial" w:hAnsi="Arial" w:cs="Arial"/>
          <w:sz w:val="22"/>
        </w:rPr>
        <w:t>Cualquier otro sistema que la Administración considere válido, con registro previo que garantice identidad y previa comunicación a la Secretaría General de Administración Digital en los términos legales.</w:t>
      </w:r>
    </w:p>
    <w:p>
      <w:pPr>
        <w:jc w:val="both"/>
      </w:pPr>
      <w:r>
        <w:rPr>
          <w:rFonts w:ascii="Arial" w:hAnsi="Arial" w:cs="Arial"/>
          <w:sz w:val="22"/>
        </w:rPr>
        <w:t>Cada Administración puede decidir qué sistemas admite, pero si acepta un sistema del tercer grupo debe garantizar que en todo procedimiento sea posible usar alguno basado en certificado cualificado de firma o sello.</w:t>
      </w:r>
    </w:p>
    <w:p>
      <w:pPr>
        <w:jc w:val="both"/>
      </w:pPr>
      <w:r>
        <w:rPr>
          <w:rFonts w:ascii="Arial" w:hAnsi="Arial" w:cs="Arial"/>
          <w:sz w:val="22"/>
        </w:rPr>
        <w:t>Los recursos técnicos del sistema alternativo deben respetar las condiciones territoriales y de protección de datos del artículo 9. La aceptación por la Administración General del Estado sirve para acreditar identidad ante todas las Administraciones, salvo prueba en contrario.</w:t>
      </w:r>
    </w:p>
    <w:p>
      <w:pPr>
        <w:jc w:val="both"/>
      </w:pPr>
      <w:r>
        <w:rPr>
          <w:rFonts w:ascii="Arial" w:hAnsi="Arial" w:cs="Arial"/>
          <w:sz w:val="22"/>
        </w:rPr>
        <w:t>La disposición adicional sexta impide utilizar como sistemas de identificación o firma los basados en tecnologías de registro distribuido mientras no exista una regulación estatal específica dentro del marco de la Unión Europea.</w:t>
      </w:r>
    </w:p>
    <w:p>
      <w:pPr>
        <w:pStyle w:val="Heading2"/>
        <w:keepNext/>
      </w:pPr>
      <w:r>
        <w:rPr>
          <w:rFonts w:ascii="Arial" w:hAnsi="Arial" w:cs="Arial"/>
          <w:sz w:val="25"/>
        </w:rPr>
        <w:t>5.3. Sistemas de firma</w:t>
      </w:r>
    </w:p>
    <w:p>
      <w:pPr>
        <w:jc w:val="both"/>
      </w:pPr>
      <w:r>
        <w:rPr>
          <w:rFonts w:ascii="Arial" w:hAnsi="Arial" w:cs="Arial"/>
          <w:sz w:val="22"/>
        </w:rPr>
        <w:t>Se consideran válidos, entre otros:</w:t>
      </w:r>
    </w:p>
    <w:p>
      <w:pPr>
        <w:pStyle w:val="ListBullet"/>
      </w:pPr>
      <w:r>
        <w:rPr>
          <w:rFonts w:ascii="Arial" w:hAnsi="Arial" w:cs="Arial"/>
          <w:sz w:val="22"/>
        </w:rPr>
        <w:t>Firma electrónica cualificada y avanzada basada en certificado cualificado.</w:t>
      </w:r>
    </w:p>
    <w:p>
      <w:pPr>
        <w:pStyle w:val="ListBullet"/>
      </w:pPr>
      <w:r>
        <w:rPr>
          <w:rFonts w:ascii="Arial" w:hAnsi="Arial" w:cs="Arial"/>
          <w:sz w:val="22"/>
        </w:rPr>
        <w:t>Sello electrónico cualificado y avanzado basado en certificado cualificado.</w:t>
      </w:r>
    </w:p>
    <w:p>
      <w:pPr>
        <w:pStyle w:val="ListBullet"/>
      </w:pPr>
      <w:r>
        <w:rPr>
          <w:rFonts w:ascii="Arial" w:hAnsi="Arial" w:cs="Arial"/>
          <w:sz w:val="22"/>
        </w:rPr>
        <w:t>Otros sistemas admitidos por la Administración con los requisitos y comunicación legalmente previstos.</w:t>
      </w:r>
    </w:p>
    <w:p>
      <w:pPr>
        <w:jc w:val="both"/>
      </w:pPr>
      <w:r>
        <w:rPr>
          <w:rFonts w:ascii="Arial" w:hAnsi="Arial" w:cs="Arial"/>
          <w:sz w:val="22"/>
        </w:rPr>
        <w:t>Cuando la normativa lo disponga expresamente, los sistemas de identificación pueden admitirse como firma si permiten acreditar autenticidad de voluntad y consentimiento. El uso de una firma admitida implica que la identidad se entiende acreditada.</w:t>
      </w:r>
    </w:p>
    <w:p>
      <w:pPr>
        <w:pStyle w:val="Heading2"/>
        <w:keepNext/>
      </w:pPr>
      <w:r>
        <w:rPr>
          <w:rFonts w:ascii="Arial" w:hAnsi="Arial" w:cs="Arial"/>
          <w:sz w:val="25"/>
        </w:rPr>
        <w:t>5.4. Cuándo se exige firma</w:t>
      </w:r>
    </w:p>
    <w:p>
      <w:pPr>
        <w:jc w:val="both"/>
      </w:pPr>
      <w:r>
        <w:rPr>
          <w:rFonts w:ascii="Arial" w:hAnsi="Arial" w:cs="Arial"/>
          <w:sz w:val="22"/>
        </w:rPr>
        <w:t>Como regla, basta acreditar previamente la identidad. Solo se requiere firma obligatoria para:</w:t>
      </w:r>
    </w:p>
    <w:p>
      <w:pPr>
        <w:spacing w:after="40"/>
        <w:ind w:left="369" w:hanging="227"/>
      </w:pPr>
      <w:r>
        <w:rPr>
          <w:rFonts w:ascii="Arial" w:hAnsi="Arial" w:cs="Arial"/>
          <w:sz w:val="22"/>
        </w:rPr>
        <w:t>1. Formular solicitudes.</w:t>
      </w:r>
    </w:p>
    <w:p>
      <w:pPr>
        <w:spacing w:after="40"/>
        <w:ind w:left="369" w:hanging="227"/>
      </w:pPr>
      <w:r>
        <w:rPr>
          <w:rFonts w:ascii="Arial" w:hAnsi="Arial" w:cs="Arial"/>
          <w:sz w:val="22"/>
        </w:rPr>
        <w:t>2. Presentar declaraciones responsables o comunicaciones.</w:t>
      </w:r>
    </w:p>
    <w:p>
      <w:pPr>
        <w:spacing w:after="40"/>
        <w:ind w:left="369" w:hanging="227"/>
      </w:pPr>
      <w:r>
        <w:rPr>
          <w:rFonts w:ascii="Arial" w:hAnsi="Arial" w:cs="Arial"/>
          <w:sz w:val="22"/>
        </w:rPr>
        <w:t>3. Interponer recursos.</w:t>
      </w:r>
    </w:p>
    <w:p>
      <w:pPr>
        <w:spacing w:after="40"/>
        <w:ind w:left="369" w:hanging="227"/>
      </w:pPr>
      <w:r>
        <w:rPr>
          <w:rFonts w:ascii="Arial" w:hAnsi="Arial" w:cs="Arial"/>
          <w:sz w:val="22"/>
        </w:rPr>
        <w:t>4. Desistir de acciones.</w:t>
      </w:r>
    </w:p>
    <w:p>
      <w:pPr>
        <w:spacing w:after="40"/>
        <w:ind w:left="369" w:hanging="227"/>
      </w:pPr>
      <w:r>
        <w:rPr>
          <w:rFonts w:ascii="Arial" w:hAnsi="Arial" w:cs="Arial"/>
          <w:sz w:val="22"/>
        </w:rPr>
        <w:t>5. Renunciar a derechos.</w:t>
      </w:r>
    </w:p>
    <w:p>
      <w:pPr>
        <w:jc w:val="both"/>
      </w:pPr>
      <w:r>
        <w:rPr>
          <w:rFonts w:ascii="Arial" w:hAnsi="Arial" w:cs="Arial"/>
          <w:sz w:val="22"/>
        </w:rPr>
        <w:t>La lista coincide con los actos en que debe acreditarse representación. Un acceso de consulta, una aportación puramente material o una gestión ordinaria no exige añadir firma si ya existe identificación suficiente, salvo norma aplicable.</w:t>
      </w:r>
    </w:p>
    <w:p>
      <w:pPr>
        <w:pStyle w:val="Heading2"/>
        <w:keepNext/>
      </w:pPr>
      <w:r>
        <w:rPr>
          <w:rFonts w:ascii="Arial" w:hAnsi="Arial" w:cs="Arial"/>
          <w:sz w:val="25"/>
        </w:rPr>
        <w:t>5.5. Asistencia</w:t>
      </w:r>
    </w:p>
    <w:p>
      <w:pPr>
        <w:jc w:val="both"/>
      </w:pPr>
      <w:r>
        <w:rPr>
          <w:rFonts w:ascii="Arial" w:hAnsi="Arial" w:cs="Arial"/>
          <w:sz w:val="22"/>
        </w:rPr>
        <w:t>Las Administraciones asistirán en el uso de medios electrónicos a quienes no estén obligados y lo soliciten, especialmente para identificación, firma, solicitud a través del registro y obtención de copias auténticas.</w:t>
      </w:r>
    </w:p>
    <w:p>
      <w:pPr>
        <w:jc w:val="both"/>
      </w:pPr>
      <w:r>
        <w:rPr>
          <w:rFonts w:ascii="Arial" w:hAnsi="Arial" w:cs="Arial"/>
          <w:sz w:val="22"/>
        </w:rPr>
        <w:t>Si una persona no obligada carece de medios, un funcionario habilitado puede identificarla o firmar por ella mediante su propio sistema, siempre que:</w:t>
      </w:r>
    </w:p>
    <w:p>
      <w:pPr>
        <w:pStyle w:val="ListBullet"/>
      </w:pPr>
      <w:r>
        <w:rPr>
          <w:rFonts w:ascii="Arial" w:hAnsi="Arial" w:cs="Arial"/>
          <w:sz w:val="22"/>
        </w:rPr>
        <w:t>La persona se identifique ante el funcionario.</w:t>
      </w:r>
    </w:p>
    <w:p>
      <w:pPr>
        <w:pStyle w:val="ListBullet"/>
      </w:pPr>
      <w:r>
        <w:rPr>
          <w:rFonts w:ascii="Arial" w:hAnsi="Arial" w:cs="Arial"/>
          <w:sz w:val="22"/>
        </w:rPr>
        <w:t>Preste consentimiento expreso para esa actuación.</w:t>
      </w:r>
    </w:p>
    <w:p>
      <w:pPr>
        <w:pStyle w:val="ListBullet"/>
      </w:pPr>
      <w:r>
        <w:rPr>
          <w:rFonts w:ascii="Arial" w:hAnsi="Arial" w:cs="Arial"/>
          <w:sz w:val="22"/>
        </w:rPr>
        <w:t>Quede constancia para casos de discrepancia o litigio.</w:t>
      </w:r>
    </w:p>
    <w:p>
      <w:pPr>
        <w:jc w:val="both"/>
      </w:pPr>
      <w:r>
        <w:rPr>
          <w:rFonts w:ascii="Arial" w:hAnsi="Arial" w:cs="Arial"/>
          <w:sz w:val="22"/>
        </w:rPr>
        <w:t>La Administración General del Estado, comunidades autónomas y entidades locales mantendrán un registro interoperable de funcionarios habilitados, donde figurarán al menos quienes presten servicio en oficinas de asistencia en materia de registros.</w:t>
      </w:r>
    </w:p>
    <w:p>
      <w:pPr>
        <w:pStyle w:val="Heading1"/>
        <w:keepNext/>
      </w:pPr>
      <w:r>
        <w:rPr>
          <w:rFonts w:ascii="Arial" w:hAnsi="Arial" w:cs="Arial"/>
          <w:sz w:val="30"/>
        </w:rPr>
        <w:t>6. Derechos: personas y personas interesadas</w:t>
      </w:r>
    </w:p>
    <w:p>
      <w:pPr>
        <w:pStyle w:val="Heading2"/>
        <w:keepNext/>
      </w:pPr>
      <w:r>
        <w:rPr>
          <w:rFonts w:ascii="Arial" w:hAnsi="Arial" w:cs="Arial"/>
          <w:sz w:val="25"/>
        </w:rPr>
        <w:t>6.1. Derechos generales del artículo 13</w:t>
      </w:r>
    </w:p>
    <w:p>
      <w:pPr>
        <w:jc w:val="both"/>
      </w:pPr>
      <w:r>
        <w:rPr>
          <w:rFonts w:ascii="Arial" w:hAnsi="Arial" w:cs="Arial"/>
          <w:sz w:val="22"/>
        </w:rPr>
        <w:t>Quienes poseen capacidad de obrar tienen, en sus relaciones con las Administraciones, derecho a:</w:t>
      </w:r>
    </w:p>
    <w:p>
      <w:pPr>
        <w:pStyle w:val="ListBullet"/>
      </w:pPr>
      <w:r>
        <w:rPr>
          <w:rFonts w:ascii="Arial" w:hAnsi="Arial" w:cs="Arial"/>
          <w:sz w:val="22"/>
        </w:rPr>
        <w:t>Comunicarse mediante el Punto de Acceso General electrónico.</w:t>
      </w:r>
    </w:p>
    <w:p>
      <w:pPr>
        <w:pStyle w:val="ListBullet"/>
      </w:pPr>
      <w:r>
        <w:rPr>
          <w:rFonts w:ascii="Arial" w:hAnsi="Arial" w:cs="Arial"/>
          <w:sz w:val="22"/>
        </w:rPr>
        <w:t>Ser asistidos en el uso de medios electrónicos.</w:t>
      </w:r>
    </w:p>
    <w:p>
      <w:pPr>
        <w:pStyle w:val="ListBullet"/>
      </w:pPr>
      <w:r>
        <w:rPr>
          <w:rFonts w:ascii="Arial" w:hAnsi="Arial" w:cs="Arial"/>
          <w:sz w:val="22"/>
        </w:rPr>
        <w:t>Utilizar las lenguas oficiales en su comunidad autónoma.</w:t>
      </w:r>
    </w:p>
    <w:p>
      <w:pPr>
        <w:pStyle w:val="ListBullet"/>
      </w:pPr>
      <w:r>
        <w:rPr>
          <w:rFonts w:ascii="Arial" w:hAnsi="Arial" w:cs="Arial"/>
          <w:sz w:val="22"/>
        </w:rPr>
        <w:t>Acceder a información pública, archivos y registros conforme a la normativa de transparencia.</w:t>
      </w:r>
    </w:p>
    <w:p>
      <w:pPr>
        <w:pStyle w:val="ListBullet"/>
      </w:pPr>
      <w:r>
        <w:rPr>
          <w:rFonts w:ascii="Arial" w:hAnsi="Arial" w:cs="Arial"/>
          <w:sz w:val="22"/>
        </w:rPr>
        <w:t>Ser tratados con respeto y deferencia.</w:t>
      </w:r>
    </w:p>
    <w:p>
      <w:pPr>
        <w:pStyle w:val="ListBullet"/>
      </w:pPr>
      <w:r>
        <w:rPr>
          <w:rFonts w:ascii="Arial" w:hAnsi="Arial" w:cs="Arial"/>
          <w:sz w:val="22"/>
        </w:rPr>
        <w:t>Exigir responsabilidades de Administraciones y autoridades cuando proceda.</w:t>
      </w:r>
    </w:p>
    <w:p>
      <w:pPr>
        <w:pStyle w:val="ListBullet"/>
      </w:pPr>
      <w:r>
        <w:rPr>
          <w:rFonts w:ascii="Arial" w:hAnsi="Arial" w:cs="Arial"/>
          <w:sz w:val="22"/>
        </w:rPr>
        <w:t>Obtener y utilizar medios de identificación y firma electrónica.</w:t>
      </w:r>
    </w:p>
    <w:p>
      <w:pPr>
        <w:pStyle w:val="ListBullet"/>
      </w:pPr>
      <w:r>
        <w:rPr>
          <w:rFonts w:ascii="Arial" w:hAnsi="Arial" w:cs="Arial"/>
          <w:sz w:val="22"/>
        </w:rPr>
        <w:t>Protección de datos personales y seguridad y confidencialidad de los datos que figuren en aplicaciones, sistemas o ficheros.</w:t>
      </w:r>
    </w:p>
    <w:p>
      <w:pPr>
        <w:pStyle w:val="ListBullet"/>
      </w:pPr>
      <w:r>
        <w:rPr>
          <w:rFonts w:ascii="Arial" w:hAnsi="Arial" w:cs="Arial"/>
          <w:sz w:val="22"/>
        </w:rPr>
        <w:t>Los demás reconocidos por Constitución y leyes.</w:t>
      </w:r>
    </w:p>
    <w:p>
      <w:pPr>
        <w:jc w:val="both"/>
      </w:pPr>
      <w:r>
        <w:rPr>
          <w:rFonts w:ascii="Arial" w:hAnsi="Arial" w:cs="Arial"/>
          <w:sz w:val="22"/>
        </w:rPr>
        <w:t>Son derechos de relación general. No presuponen necesariamente que exista un expediente concreto.</w:t>
      </w:r>
    </w:p>
    <w:p>
      <w:pPr>
        <w:pStyle w:val="Heading2"/>
        <w:keepNext/>
      </w:pPr>
      <w:r>
        <w:rPr>
          <w:rFonts w:ascii="Arial" w:hAnsi="Arial" w:cs="Arial"/>
          <w:sz w:val="25"/>
        </w:rPr>
        <w:t>6.2. Derechos del interesado del artículo 53</w:t>
      </w:r>
    </w:p>
    <w:p>
      <w:pPr>
        <w:jc w:val="both"/>
      </w:pPr>
      <w:r>
        <w:rPr>
          <w:rFonts w:ascii="Arial" w:hAnsi="Arial" w:cs="Arial"/>
          <w:sz w:val="22"/>
        </w:rPr>
        <w:t>Además de los anteriores, quien sea interesado en un procedimiento puede:</w:t>
      </w:r>
    </w:p>
    <w:p>
      <w:pPr>
        <w:jc w:val="both"/>
      </w:pPr>
      <w:r>
        <w:rPr>
          <w:rFonts w:ascii="Arial" w:hAnsi="Arial" w:cs="Arial"/>
          <w:b/>
          <w:sz w:val="22"/>
        </w:rPr>
        <w:t>a) Conocer en cualquier momento</w:t>
      </w:r>
      <w:r>
        <w:rPr>
          <w:rFonts w:ascii="Arial" w:hAnsi="Arial" w:cs="Arial"/>
          <w:sz w:val="22"/>
        </w:rPr>
        <w:t xml:space="preserve"> el estado de tramitación, el sentido del silencio, el órgano competente para instruir y resolver y los actos de trámite dictados. Puede acceder y obtener copia de documentos.</w:t>
      </w:r>
    </w:p>
    <w:p>
      <w:pPr>
        <w:jc w:val="both"/>
      </w:pPr>
      <w:r>
        <w:rPr>
          <w:rFonts w:ascii="Arial" w:hAnsi="Arial" w:cs="Arial"/>
          <w:b/>
          <w:sz w:val="22"/>
        </w:rPr>
        <w:t>b) Identificar</w:t>
      </w:r>
      <w:r>
        <w:rPr>
          <w:rFonts w:ascii="Arial" w:hAnsi="Arial" w:cs="Arial"/>
          <w:sz w:val="22"/>
        </w:rPr>
        <w:t xml:space="preserve"> a autoridades y personal bajo cuya responsabilidad se tramita.</w:t>
      </w:r>
    </w:p>
    <w:p>
      <w:pPr>
        <w:jc w:val="both"/>
      </w:pPr>
      <w:r>
        <w:rPr>
          <w:rFonts w:ascii="Arial" w:hAnsi="Arial" w:cs="Arial"/>
          <w:b/>
          <w:sz w:val="22"/>
        </w:rPr>
        <w:t>c) No presentar originales</w:t>
      </w:r>
      <w:r>
        <w:rPr>
          <w:rFonts w:ascii="Arial" w:hAnsi="Arial" w:cs="Arial"/>
          <w:sz w:val="22"/>
        </w:rPr>
        <w:t>, salvo excepción normativa; si excepcionalmente se exige, tiene derecho a una copia auténtica.</w:t>
      </w:r>
    </w:p>
    <w:p>
      <w:pPr>
        <w:jc w:val="both"/>
      </w:pPr>
      <w:r>
        <w:rPr>
          <w:rFonts w:ascii="Arial" w:hAnsi="Arial" w:cs="Arial"/>
          <w:b/>
          <w:sz w:val="22"/>
        </w:rPr>
        <w:t>d) No presentar datos y documentos</w:t>
      </w:r>
      <w:r>
        <w:rPr>
          <w:rFonts w:ascii="Arial" w:hAnsi="Arial" w:cs="Arial"/>
          <w:sz w:val="22"/>
        </w:rPr>
        <w:t xml:space="preserve"> no exigidos o que ya estén en poder de las Administraciones o hayan sido elaborados por estas, con las condiciones legales de consulta.</w:t>
      </w:r>
    </w:p>
    <w:p>
      <w:pPr>
        <w:jc w:val="both"/>
      </w:pPr>
      <w:r>
        <w:rPr>
          <w:rFonts w:ascii="Arial" w:hAnsi="Arial" w:cs="Arial"/>
          <w:b/>
          <w:sz w:val="22"/>
        </w:rPr>
        <w:t>e) Formular alegaciones, utilizar medios de defensa y aportar documentos</w:t>
      </w:r>
      <w:r>
        <w:rPr>
          <w:rFonts w:ascii="Arial" w:hAnsi="Arial" w:cs="Arial"/>
          <w:sz w:val="22"/>
        </w:rPr>
        <w:t xml:space="preserve"> en cualquier fase anterior al trámite de audiencia, que deberán considerarse al redactar la propuesta.</w:t>
      </w:r>
    </w:p>
    <w:p>
      <w:pPr>
        <w:jc w:val="both"/>
      </w:pPr>
      <w:r>
        <w:rPr>
          <w:rFonts w:ascii="Arial" w:hAnsi="Arial" w:cs="Arial"/>
          <w:b/>
          <w:sz w:val="22"/>
        </w:rPr>
        <w:t>f) Obtener información y orientación</w:t>
      </w:r>
      <w:r>
        <w:rPr>
          <w:rFonts w:ascii="Arial" w:hAnsi="Arial" w:cs="Arial"/>
          <w:sz w:val="22"/>
        </w:rPr>
        <w:t xml:space="preserve"> sobre requisitos jurídicos o técnicos aplicables a proyectos, actuaciones o solicitudes.</w:t>
      </w:r>
    </w:p>
    <w:p>
      <w:pPr>
        <w:jc w:val="both"/>
      </w:pPr>
      <w:r>
        <w:rPr>
          <w:rFonts w:ascii="Arial" w:hAnsi="Arial" w:cs="Arial"/>
          <w:b/>
          <w:sz w:val="22"/>
        </w:rPr>
        <w:t>g) Actuar asistido de asesor</w:t>
      </w:r>
      <w:r>
        <w:rPr>
          <w:rFonts w:ascii="Arial" w:hAnsi="Arial" w:cs="Arial"/>
          <w:sz w:val="22"/>
        </w:rPr>
        <w:t xml:space="preserve"> cuando lo considere conveniente.</w:t>
      </w:r>
    </w:p>
    <w:p>
      <w:pPr>
        <w:jc w:val="both"/>
      </w:pPr>
      <w:r>
        <w:rPr>
          <w:rFonts w:ascii="Arial" w:hAnsi="Arial" w:cs="Arial"/>
          <w:b/>
          <w:sz w:val="22"/>
        </w:rPr>
        <w:t>h) Cumplir obligaciones de pago</w:t>
      </w:r>
      <w:r>
        <w:rPr>
          <w:rFonts w:ascii="Arial" w:hAnsi="Arial" w:cs="Arial"/>
          <w:sz w:val="22"/>
        </w:rPr>
        <w:t xml:space="preserve"> mediante medios electrónicos.</w:t>
      </w:r>
    </w:p>
    <w:p>
      <w:pPr>
        <w:jc w:val="both"/>
      </w:pPr>
      <w:r>
        <w:rPr>
          <w:rFonts w:ascii="Arial" w:hAnsi="Arial" w:cs="Arial"/>
          <w:b/>
          <w:sz w:val="22"/>
        </w:rPr>
        <w:t>i) Ejercer los demás derechos</w:t>
      </w:r>
      <w:r>
        <w:rPr>
          <w:rFonts w:ascii="Arial" w:hAnsi="Arial" w:cs="Arial"/>
          <w:sz w:val="22"/>
        </w:rPr>
        <w:t xml:space="preserve"> reconocidos por Constitución y leyes.</w:t>
      </w:r>
    </w:p>
    <w:p>
      <w:pPr>
        <w:jc w:val="both"/>
      </w:pPr>
      <w:r>
        <w:rPr>
          <w:rFonts w:ascii="Arial" w:hAnsi="Arial" w:cs="Arial"/>
          <w:sz w:val="22"/>
        </w:rPr>
        <w:t>El derecho de acceso al expediente se concilia con protección de datos, confidencialidad y derechos de terceros. No permite conocer información ajena sin conexión ni habilitación.</w:t>
      </w:r>
    </w:p>
    <w:p>
      <w:pPr>
        <w:pStyle w:val="Heading2"/>
        <w:keepNext/>
      </w:pPr>
      <w:r>
        <w:rPr>
          <w:rFonts w:ascii="Arial" w:hAnsi="Arial" w:cs="Arial"/>
          <w:sz w:val="25"/>
        </w:rPr>
        <w:t>6.3. Derechos en el procedimiento sancionador</w:t>
      </w:r>
    </w:p>
    <w:p>
      <w:pPr>
        <w:jc w:val="both"/>
      </w:pPr>
      <w:r>
        <w:rPr>
          <w:rFonts w:ascii="Arial" w:hAnsi="Arial" w:cs="Arial"/>
          <w:sz w:val="22"/>
        </w:rPr>
        <w:t>El presunto responsable tiene además derecho a:</w:t>
      </w:r>
    </w:p>
    <w:p>
      <w:pPr>
        <w:pStyle w:val="ListBullet"/>
      </w:pPr>
      <w:r>
        <w:rPr>
          <w:rFonts w:ascii="Arial" w:hAnsi="Arial" w:cs="Arial"/>
          <w:sz w:val="22"/>
        </w:rPr>
        <w:t>Ser notificado de los hechos imputados.</w:t>
      </w:r>
    </w:p>
    <w:p>
      <w:pPr>
        <w:pStyle w:val="ListBullet"/>
      </w:pPr>
      <w:r>
        <w:rPr>
          <w:rFonts w:ascii="Arial" w:hAnsi="Arial" w:cs="Arial"/>
          <w:sz w:val="22"/>
        </w:rPr>
        <w:t>Conocer infracciones que esos hechos puedan constituir y sanciones posibles.</w:t>
      </w:r>
    </w:p>
    <w:p>
      <w:pPr>
        <w:pStyle w:val="ListBullet"/>
      </w:pPr>
      <w:r>
        <w:rPr>
          <w:rFonts w:ascii="Arial" w:hAnsi="Arial" w:cs="Arial"/>
          <w:sz w:val="22"/>
        </w:rPr>
        <w:t>Conocer identidad del instructor, autoridad competente para sancionar y norma atributiva.</w:t>
      </w:r>
    </w:p>
    <w:p>
      <w:pPr>
        <w:pStyle w:val="ListBullet"/>
      </w:pPr>
      <w:r>
        <w:rPr>
          <w:rFonts w:ascii="Arial" w:hAnsi="Arial" w:cs="Arial"/>
          <w:sz w:val="22"/>
        </w:rPr>
        <w:t>Ser presumido no responsable mientras no se demuestre lo contrario.</w:t>
      </w:r>
    </w:p>
    <w:p>
      <w:pPr>
        <w:jc w:val="both"/>
      </w:pPr>
      <w:r>
        <w:rPr>
          <w:rFonts w:ascii="Arial" w:hAnsi="Arial" w:cs="Arial"/>
          <w:sz w:val="22"/>
        </w:rPr>
        <w:t>Esta última garantía es la traslación administrativa de la presunción de inocencia: corresponde a la Administración acreditar hechos y responsabilidad mediante prueba válida.</w:t>
      </w:r>
    </w:p>
    <w:p>
      <w:pPr>
        <w:pStyle w:val="Heading2"/>
        <w:keepNext/>
      </w:pPr>
      <w:r>
        <w:rPr>
          <w:rFonts w:ascii="Arial" w:hAnsi="Arial" w:cs="Arial"/>
          <w:sz w:val="25"/>
        </w:rPr>
        <w:t>6.4. Cuadro de distinción</w:t>
      </w:r>
    </w:p>
    <w:tbl>
      <w:tblPr>
        <w:tblStyle w:val="TableGrid"/>
        <w:tblW w:type="dxa" w:w="9026"/>
        <w:jc w:val="left"/>
        <w:tblLayout w:type="fixed"/>
        <w:tblLook w:firstColumn="1" w:firstRow="1" w:lastColumn="0" w:lastRow="0" w:noHBand="0" w:noVBand="1" w:val="04A0"/>
        <w:tblInd w:w="120" w:type="dxa"/>
      </w:tblPr>
      <w:tblGrid>
        <w:gridCol w:w="4513"/>
        <w:gridCol w:w="4513"/>
      </w:tblGrid>
      <w:tr>
        <w:trPr>
          <w:tblHeader w:val="true"/>
        </w:trPr>
        <w:tc>
          <w:tcPr>
            <w:tcW w:type="dxa" w:w="451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Artículo 13</w:t>
            </w:r>
          </w:p>
        </w:tc>
        <w:tc>
          <w:tcPr>
            <w:tcW w:type="dxa" w:w="451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Artículo 53</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Derechos de toda persona con capacidad en su relación administrativa</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Derechos adicionales de quien es interesado en un procedimiento</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PAG, asistencia, lenguas, información pública, respeto, responsabilidad, e-ID, datos</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Estado del expediente, copias, identificación del tramitador, no aportar, alegar, asesor, pagar</w:t>
            </w:r>
          </w:p>
        </w:tc>
      </w:tr>
      <w:tr>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No requiere expediente concreto</w:t>
            </w:r>
          </w:p>
        </w:tc>
        <w:tc>
          <w:tcPr>
            <w:tcW w:type="dxa" w:w="4513"/>
            <w:tcMar>
              <w:top w:w="80" w:type="dxa"/>
              <w:start w:w="120" w:type="dxa"/>
              <w:bottom w:w="80" w:type="dxa"/>
              <w:end w:w="120" w:type="dxa"/>
            </w:tcMar>
            <w:vAlign w:val="center"/>
          </w:tcPr>
          <w:p>
            <w:pPr>
              <w:spacing w:before="0" w:after="0" w:line="240" w:lineRule="auto"/>
              <w:jc w:val="left"/>
            </w:pPr>
            <w:r/>
            <w:r>
              <w:rPr>
                <w:rFonts w:ascii="Arial" w:hAnsi="Arial" w:cs="Arial"/>
                <w:sz w:val="18"/>
              </w:rPr>
              <w:t>Requiere la condición del artículo 4</w:t>
            </w:r>
          </w:p>
        </w:tc>
      </w:tr>
    </w:tbl>
    <w:p>
      <w:pPr>
        <w:spacing w:after="40"/>
      </w:pPr>
    </w:p>
    <w:p>
      <w:pPr>
        <w:pStyle w:val="Heading1"/>
        <w:keepNext/>
      </w:pPr>
      <w:r>
        <w:rPr>
          <w:rFonts w:ascii="Arial" w:hAnsi="Arial" w:cs="Arial"/>
          <w:sz w:val="30"/>
        </w:rPr>
        <w:t>7. Obligación de resolver</w:t>
      </w:r>
    </w:p>
    <w:p>
      <w:pPr>
        <w:pStyle w:val="Heading2"/>
        <w:keepNext/>
      </w:pPr>
      <w:r>
        <w:rPr>
          <w:rFonts w:ascii="Arial" w:hAnsi="Arial" w:cs="Arial"/>
          <w:sz w:val="25"/>
        </w:rPr>
        <w:t>7.1. Regla general y excepciones</w:t>
      </w:r>
    </w:p>
    <w:p>
      <w:pPr>
        <w:jc w:val="both"/>
      </w:pPr>
      <w:r>
        <w:rPr>
          <w:rFonts w:ascii="Arial" w:hAnsi="Arial" w:cs="Arial"/>
          <w:sz w:val="22"/>
        </w:rPr>
        <w:t xml:space="preserve">La Administración debe dictar </w:t>
      </w:r>
      <w:r>
        <w:rPr>
          <w:rFonts w:ascii="Arial" w:hAnsi="Arial" w:cs="Arial"/>
          <w:b/>
          <w:sz w:val="22"/>
        </w:rPr>
        <w:t>resolución expresa y notificarla en todos los procedimientos</w:t>
      </w:r>
      <w:r>
        <w:rPr>
          <w:rFonts w:ascii="Arial" w:hAnsi="Arial" w:cs="Arial"/>
          <w:sz w:val="22"/>
        </w:rPr>
        <w:t>, cualquiera que sea su forma de iniciación. No puede ampararse en silencio, oscuridad o insuficiencia de la norma para dejar de resolver.</w:t>
      </w:r>
    </w:p>
    <w:p>
      <w:pPr>
        <w:jc w:val="both"/>
      </w:pPr>
      <w:r>
        <w:rPr>
          <w:rFonts w:ascii="Arial" w:hAnsi="Arial" w:cs="Arial"/>
          <w:sz w:val="22"/>
        </w:rPr>
        <w:t>En caso de prescripción, renuncia del derecho, caducidad, desistimiento o desaparición sobrevenida del objeto, también hay resolución: declarará la circunstancia, los hechos y las normas aplicables.</w:t>
      </w:r>
    </w:p>
    <w:p>
      <w:pPr>
        <w:jc w:val="both"/>
      </w:pPr>
      <w:r>
        <w:rPr>
          <w:rFonts w:ascii="Arial" w:hAnsi="Arial" w:cs="Arial"/>
          <w:sz w:val="22"/>
        </w:rPr>
        <w:t>Solo se exceptúan:</w:t>
      </w:r>
    </w:p>
    <w:p>
      <w:pPr>
        <w:pStyle w:val="ListBullet"/>
      </w:pPr>
      <w:r>
        <w:rPr>
          <w:rFonts w:ascii="Arial" w:hAnsi="Arial" w:cs="Arial"/>
          <w:sz w:val="22"/>
        </w:rPr>
        <w:t>Terminación por pacto o convenio.</w:t>
      </w:r>
    </w:p>
    <w:p>
      <w:pPr>
        <w:pStyle w:val="ListBullet"/>
      </w:pPr>
      <w:r>
        <w:rPr>
          <w:rFonts w:ascii="Arial" w:hAnsi="Arial" w:cs="Arial"/>
          <w:sz w:val="22"/>
        </w:rPr>
        <w:t>Procedimientos relativos al ejercicio de derechos sometidos únicamente a declaración responsable o comunicación.</w:t>
      </w:r>
    </w:p>
    <w:p>
      <w:pPr>
        <w:jc w:val="both"/>
      </w:pPr>
      <w:r>
        <w:rPr>
          <w:rFonts w:ascii="Arial" w:hAnsi="Arial" w:cs="Arial"/>
          <w:sz w:val="22"/>
        </w:rPr>
        <w:t>La excepción no significa ausencia de control. Una declaración responsable puede ser comprobada y dar lugar a una resolución posterior si hay inexactitud o incumplimiento, pero el ejercicio inicial del derecho no requiere una resolución autorizatoria.</w:t>
      </w:r>
    </w:p>
    <w:p>
      <w:pPr>
        <w:pStyle w:val="Heading2"/>
        <w:keepNext/>
      </w:pPr>
      <w:r>
        <w:rPr>
          <w:rFonts w:ascii="Arial" w:hAnsi="Arial" w:cs="Arial"/>
          <w:sz w:val="25"/>
        </w:rPr>
        <w:t>7.2. Plazo máximo</w:t>
      </w:r>
    </w:p>
    <w:p>
      <w:pPr>
        <w:jc w:val="both"/>
      </w:pPr>
      <w:r>
        <w:rPr>
          <w:rFonts w:ascii="Arial" w:hAnsi="Arial" w:cs="Arial"/>
          <w:sz w:val="22"/>
        </w:rPr>
        <w:t xml:space="preserve">El plazo máximo para </w:t>
      </w:r>
      <w:r>
        <w:rPr>
          <w:rFonts w:ascii="Arial" w:hAnsi="Arial" w:cs="Arial"/>
          <w:b/>
          <w:sz w:val="22"/>
        </w:rPr>
        <w:t>notificar</w:t>
      </w:r>
      <w:r>
        <w:rPr>
          <w:rFonts w:ascii="Arial" w:hAnsi="Arial" w:cs="Arial"/>
          <w:sz w:val="22"/>
        </w:rPr>
        <w:t xml:space="preserve"> resolución expresa será el fijado por la norma del procedimiento. No podrá exceder de </w:t>
      </w:r>
      <w:r>
        <w:rPr>
          <w:rFonts w:ascii="Arial" w:hAnsi="Arial" w:cs="Arial"/>
          <w:b/>
          <w:sz w:val="22"/>
        </w:rPr>
        <w:t>seis meses</w:t>
      </w:r>
      <w:r>
        <w:rPr>
          <w:rFonts w:ascii="Arial" w:hAnsi="Arial" w:cs="Arial"/>
          <w:sz w:val="22"/>
        </w:rPr>
        <w:t>, salvo que una ley establezca uno mayor o así lo prevea el Derecho de la Unión Europea.</w:t>
      </w:r>
    </w:p>
    <w:p>
      <w:pPr>
        <w:jc w:val="both"/>
      </w:pPr>
      <w:r>
        <w:rPr>
          <w:rFonts w:ascii="Arial" w:hAnsi="Arial" w:cs="Arial"/>
          <w:sz w:val="22"/>
        </w:rPr>
        <w:t xml:space="preserve">Si la norma no fija plazo, será de </w:t>
      </w:r>
      <w:r>
        <w:rPr>
          <w:rFonts w:ascii="Arial" w:hAnsi="Arial" w:cs="Arial"/>
          <w:b/>
          <w:sz w:val="22"/>
        </w:rPr>
        <w:t>tres meses</w:t>
      </w:r>
      <w:r>
        <w:rPr>
          <w:rFonts w:ascii="Arial" w:hAnsi="Arial" w:cs="Arial"/>
          <w:sz w:val="22"/>
        </w:rPr>
        <w:t>.</w:t>
      </w:r>
    </w:p>
    <w:p>
      <w:pPr>
        <w:jc w:val="both"/>
      </w:pPr>
      <w:r>
        <w:rPr>
          <w:rFonts w:ascii="Arial" w:hAnsi="Arial" w:cs="Arial"/>
          <w:sz w:val="22"/>
        </w:rPr>
        <w:t>El inicio del cómputo depende de cómo comience:</w:t>
      </w:r>
    </w:p>
    <w:tbl>
      <w:tblPr>
        <w:tblStyle w:val="TableGrid"/>
        <w:tblW w:type="dxa" w:w="9026"/>
        <w:jc w:val="left"/>
        <w:tblLayout w:type="fixed"/>
        <w:tblLook w:firstColumn="1" w:firstRow="1" w:lastColumn="0" w:lastRow="0" w:noHBand="0" w:noVBand="1" w:val="04A0"/>
        <w:tblInd w:w="120" w:type="dxa"/>
      </w:tblPr>
      <w:tblGrid>
        <w:gridCol w:w="1289"/>
        <w:gridCol w:w="7737"/>
      </w:tblGrid>
      <w:tr>
        <w:trPr>
          <w:tblHeader w:val="true"/>
        </w:trPr>
        <w:tc>
          <w:tcPr>
            <w:tcW w:type="dxa" w:w="128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Iniciación</w:t>
            </w:r>
          </w:p>
        </w:tc>
        <w:tc>
          <w:tcPr>
            <w:tcW w:type="dxa" w:w="773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i/>
                <w:color w:val="17365D"/>
                <w:sz w:val="18"/>
              </w:rPr>
              <w:t>Dies a quo</w:t>
            </w:r>
            <w:r>
              <w:rPr>
                <w:rFonts w:ascii="Arial" w:hAnsi="Arial" w:cs="Arial"/>
                <w:b/>
                <w:color w:val="17365D"/>
                <w:sz w:val="18"/>
              </w:rPr>
              <w:t xml:space="preserve"> del plazo máximo</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De oficio</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Fecha del acuerdo de iniciación</w:t>
            </w:r>
          </w:p>
        </w:tc>
      </w:tr>
      <w:tr>
        <w:tc>
          <w:tcPr>
            <w:tcW w:type="dxa" w:w="1289"/>
            <w:tcMar>
              <w:top w:w="80" w:type="dxa"/>
              <w:start w:w="120" w:type="dxa"/>
              <w:bottom w:w="80" w:type="dxa"/>
              <w:end w:w="120" w:type="dxa"/>
            </w:tcMar>
            <w:vAlign w:val="center"/>
          </w:tcPr>
          <w:p>
            <w:pPr>
              <w:spacing w:before="0" w:after="0" w:line="240" w:lineRule="auto"/>
              <w:jc w:val="left"/>
            </w:pPr>
            <w:r/>
            <w:r>
              <w:rPr>
                <w:rFonts w:ascii="Arial" w:hAnsi="Arial" w:cs="Arial"/>
                <w:sz w:val="18"/>
              </w:rPr>
              <w:t>A solicitud</w:t>
            </w:r>
          </w:p>
        </w:tc>
        <w:tc>
          <w:tcPr>
            <w:tcW w:type="dxa" w:w="7737"/>
            <w:tcMar>
              <w:top w:w="80" w:type="dxa"/>
              <w:start w:w="120" w:type="dxa"/>
              <w:bottom w:w="80" w:type="dxa"/>
              <w:end w:w="120" w:type="dxa"/>
            </w:tcMar>
            <w:vAlign w:val="center"/>
          </w:tcPr>
          <w:p>
            <w:pPr>
              <w:spacing w:before="0" w:after="0" w:line="240" w:lineRule="auto"/>
              <w:jc w:val="left"/>
            </w:pPr>
            <w:r/>
            <w:r>
              <w:rPr>
                <w:rFonts w:ascii="Arial" w:hAnsi="Arial" w:cs="Arial"/>
                <w:sz w:val="18"/>
              </w:rPr>
              <w:t>Fecha de entrada de la solicitud en el registro electrónico de la Administración u organismo competente para tramitar</w:t>
            </w:r>
          </w:p>
        </w:tc>
      </w:tr>
    </w:tbl>
    <w:p>
      <w:pPr>
        <w:spacing w:after="40"/>
      </w:pPr>
    </w:p>
    <w:p>
      <w:pPr>
        <w:jc w:val="both"/>
      </w:pPr>
      <w:r>
        <w:rPr>
          <w:rFonts w:ascii="Arial" w:hAnsi="Arial" w:cs="Arial"/>
          <w:sz w:val="22"/>
        </w:rPr>
        <w:t>La entrada en cualquier registro admitido asegura presentación, pero el plazo máximo del artículo 21.3 comienza cuando llega al registro electrónico de la Administración u organismo competente para su tramitación.</w:t>
      </w:r>
    </w:p>
    <w:p>
      <w:pPr>
        <w:pStyle w:val="Heading2"/>
        <w:keepNext/>
      </w:pPr>
      <w:r>
        <w:rPr>
          <w:rFonts w:ascii="Arial" w:hAnsi="Arial" w:cs="Arial"/>
          <w:sz w:val="25"/>
        </w:rPr>
        <w:t>7.3. Deber de información</w:t>
      </w:r>
    </w:p>
    <w:p>
      <w:pPr>
        <w:jc w:val="both"/>
      </w:pPr>
      <w:r>
        <w:rPr>
          <w:rFonts w:ascii="Arial" w:hAnsi="Arial" w:cs="Arial"/>
          <w:sz w:val="22"/>
        </w:rPr>
        <w:t>Las Administraciones publicarán y mantendrán actualizadas en su portal web relaciones de procedimientos con plazo máximo y efectos del silencio.</w:t>
      </w:r>
    </w:p>
    <w:p>
      <w:pPr>
        <w:jc w:val="both"/>
      </w:pPr>
      <w:r>
        <w:rPr>
          <w:rFonts w:ascii="Arial" w:hAnsi="Arial" w:cs="Arial"/>
          <w:sz w:val="22"/>
        </w:rPr>
        <w:t>Además, informarán a cada interesado:</w:t>
      </w:r>
    </w:p>
    <w:p>
      <w:pPr>
        <w:pStyle w:val="ListBullet"/>
      </w:pPr>
      <w:r>
        <w:rPr>
          <w:rFonts w:ascii="Arial" w:hAnsi="Arial" w:cs="Arial"/>
          <w:sz w:val="22"/>
        </w:rPr>
        <w:t>En la notificación o publicación del acuerdo de iniciación de oficio.</w:t>
      </w:r>
    </w:p>
    <w:p>
      <w:pPr>
        <w:pStyle w:val="ListBullet"/>
      </w:pPr>
      <w:r>
        <w:rPr>
          <w:rFonts w:ascii="Arial" w:hAnsi="Arial" w:cs="Arial"/>
          <w:sz w:val="22"/>
        </w:rPr>
        <w:t xml:space="preserve">En procedimientos a solicitud, mediante comunicación dentro de los </w:t>
      </w:r>
      <w:r>
        <w:rPr>
          <w:rFonts w:ascii="Arial" w:hAnsi="Arial" w:cs="Arial"/>
          <w:b/>
          <w:sz w:val="22"/>
        </w:rPr>
        <w:t>diez días</w:t>
      </w:r>
      <w:r>
        <w:rPr>
          <w:rFonts w:ascii="Arial" w:hAnsi="Arial" w:cs="Arial"/>
          <w:sz w:val="22"/>
        </w:rPr>
        <w:t xml:space="preserve"> siguientes a la recepción en el registro electrónico competente.</w:t>
      </w:r>
    </w:p>
    <w:p>
      <w:pPr>
        <w:jc w:val="both"/>
      </w:pPr>
      <w:r>
        <w:rPr>
          <w:rFonts w:ascii="Arial" w:hAnsi="Arial" w:cs="Arial"/>
          <w:sz w:val="22"/>
        </w:rPr>
        <w:t>La comunicación indicará plazo máximo, efectos del silencio y fecha en que la solicitud fue recibida por el órgano competente.</w:t>
      </w:r>
    </w:p>
    <w:p>
      <w:pPr>
        <w:pStyle w:val="Heading2"/>
        <w:keepNext/>
      </w:pPr>
      <w:r>
        <w:rPr>
          <w:rFonts w:ascii="Arial" w:hAnsi="Arial" w:cs="Arial"/>
          <w:sz w:val="25"/>
        </w:rPr>
        <w:t>7.4. Responsabilidad y medios</w:t>
      </w:r>
    </w:p>
    <w:p>
      <w:pPr>
        <w:jc w:val="both"/>
      </w:pPr>
      <w:r>
        <w:rPr>
          <w:rFonts w:ascii="Arial" w:hAnsi="Arial" w:cs="Arial"/>
          <w:sz w:val="22"/>
        </w:rPr>
        <w:t>Si el volumen de solicitudes o personas afectadas amenaza el plazo, el órgano competente, a propuesta razonada del instructor, o su superior jerárquico, a propuesta de aquel, puede habilitar medios personales y materiales.</w:t>
      </w:r>
    </w:p>
    <w:p>
      <w:pPr>
        <w:jc w:val="both"/>
      </w:pPr>
      <w:r>
        <w:rPr>
          <w:rFonts w:ascii="Arial" w:hAnsi="Arial" w:cs="Arial"/>
          <w:sz w:val="22"/>
        </w:rPr>
        <w:t>El personal encargado del despacho y los titulares de órganos de instrucción y resolución son directamente responsables, dentro de sus competencias, del cumplimiento. El incumplimiento puede generar responsabilidad disciplinaria y las demás previstas.</w:t>
      </w:r>
    </w:p>
    <w:p>
      <w:pPr>
        <w:jc w:val="both"/>
      </w:pPr>
      <w:r>
        <w:rPr>
          <w:rFonts w:ascii="Arial" w:hAnsi="Arial" w:cs="Arial"/>
          <w:sz w:val="22"/>
        </w:rPr>
        <w:t>El silencio protege al interesado frente a inactividad, pero no normaliza el retraso ni sustituye el deber de buena administración.</w:t>
      </w:r>
    </w:p>
    <w:p>
      <w:pPr>
        <w:pStyle w:val="Heading1"/>
        <w:keepNext/>
      </w:pPr>
      <w:r>
        <w:rPr>
          <w:rFonts w:ascii="Arial" w:hAnsi="Arial" w:cs="Arial"/>
          <w:sz w:val="30"/>
        </w:rPr>
        <w:t>8. Suspensión y ampliación del plazo para resolver</w:t>
      </w:r>
    </w:p>
    <w:p>
      <w:pPr>
        <w:pStyle w:val="Heading2"/>
        <w:keepNext/>
      </w:pPr>
      <w:r>
        <w:rPr>
          <w:rFonts w:ascii="Arial" w:hAnsi="Arial" w:cs="Arial"/>
          <w:sz w:val="25"/>
        </w:rPr>
        <w:t>8.1. Suspensión facultativa</w:t>
      </w:r>
    </w:p>
    <w:p>
      <w:pPr>
        <w:jc w:val="both"/>
      </w:pPr>
      <w:r>
        <w:rPr>
          <w:rFonts w:ascii="Arial" w:hAnsi="Arial" w:cs="Arial"/>
          <w:sz w:val="22"/>
        </w:rPr>
        <w:t>El artículo 22.1 permite suspender el plazo máximo:</w:t>
      </w:r>
    </w:p>
    <w:tbl>
      <w:tblPr>
        <w:tblStyle w:val="TableGrid"/>
        <w:tblW w:type="dxa" w:w="9026"/>
        <w:jc w:val="left"/>
        <w:tblLayout w:type="fixed"/>
        <w:tblLook w:firstColumn="1" w:firstRow="1" w:lastColumn="0" w:lastRow="0" w:noHBand="0" w:noVBand="1" w:val="04A0"/>
        <w:tblInd w:w="120" w:type="dxa"/>
      </w:tblPr>
      <w:tblGrid>
        <w:gridCol w:w="4475"/>
        <w:gridCol w:w="4551"/>
      </w:tblGrid>
      <w:tr>
        <w:trPr>
          <w:tblHeader w:val="true"/>
        </w:trPr>
        <w:tc>
          <w:tcPr>
            <w:tcW w:type="dxa" w:w="44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Causa</w:t>
            </w:r>
          </w:p>
        </w:tc>
        <w:tc>
          <w:tcPr>
            <w:tcW w:type="dxa" w:w="45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Duración</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Subsanar deficiencias o aportar documentos necesarios</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notificación del requerimiento hasta cumplimiento o fin del plazo</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Pronunciamiento previo y preceptivo de órgano de la UE</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petición comunicada hasta recepción comunicada</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de la UE no finalizado que condicione directamente</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conocimiento comunicado hasta resolución notificada</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Informe preceptivo de la misma u otra Administración</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petición hasta recepción; máximo 3 meses</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Pruebas técnicas o análisis contradictorios/dirimentes propuestos</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Tiempo necesario para incorporar resultados</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Negociación de pacto o convenio</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declaración formal hasta conclusión eficaz o sin efecto</w:t>
            </w:r>
          </w:p>
        </w:tc>
      </w:tr>
      <w:tr>
        <w:tc>
          <w:tcPr>
            <w:tcW w:type="dxa" w:w="4475"/>
            <w:tcMar>
              <w:top w:w="80" w:type="dxa"/>
              <w:start w:w="120" w:type="dxa"/>
              <w:bottom w:w="80" w:type="dxa"/>
              <w:end w:w="120" w:type="dxa"/>
            </w:tcMar>
            <w:vAlign w:val="center"/>
          </w:tcPr>
          <w:p>
            <w:pPr>
              <w:spacing w:before="0" w:after="0" w:line="240" w:lineRule="auto"/>
              <w:jc w:val="left"/>
            </w:pPr>
            <w:r/>
            <w:r>
              <w:rPr>
                <w:rFonts w:ascii="Arial" w:hAnsi="Arial" w:cs="Arial"/>
                <w:sz w:val="18"/>
              </w:rPr>
              <w:t>Pronunciamiento judicial previo indispensable</w:t>
            </w:r>
          </w:p>
        </w:tc>
        <w:tc>
          <w:tcPr>
            <w:tcW w:type="dxa" w:w="4551"/>
            <w:tcMar>
              <w:top w:w="80" w:type="dxa"/>
              <w:start w:w="120" w:type="dxa"/>
              <w:bottom w:w="80" w:type="dxa"/>
              <w:end w:w="120" w:type="dxa"/>
            </w:tcMar>
            <w:vAlign w:val="center"/>
          </w:tcPr>
          <w:p>
            <w:pPr>
              <w:spacing w:before="0" w:after="0" w:line="240" w:lineRule="auto"/>
              <w:jc w:val="left"/>
            </w:pPr>
            <w:r/>
            <w:r>
              <w:rPr>
                <w:rFonts w:ascii="Arial" w:hAnsi="Arial" w:cs="Arial"/>
                <w:sz w:val="18"/>
              </w:rPr>
              <w:t>Desde su solicitud comunicada hasta constancia comunicada</w:t>
            </w:r>
          </w:p>
        </w:tc>
      </w:tr>
    </w:tbl>
    <w:p>
      <w:pPr>
        <w:spacing w:after="40"/>
      </w:pPr>
    </w:p>
    <w:p>
      <w:pPr>
        <w:jc w:val="both"/>
      </w:pPr>
      <w:r>
        <w:rPr>
          <w:rFonts w:ascii="Arial" w:hAnsi="Arial" w:cs="Arial"/>
          <w:sz w:val="22"/>
        </w:rPr>
        <w:t>Si el informe preceptivo no llega en tres meses, continúa el procedimiento. Suspender no significa reiniciar el cómputo: al desaparecer la causa, se reanuda por el tiempo restante.</w:t>
      </w:r>
    </w:p>
    <w:p>
      <w:pPr>
        <w:pStyle w:val="Heading2"/>
        <w:keepNext/>
      </w:pPr>
      <w:r>
        <w:rPr>
          <w:rFonts w:ascii="Arial" w:hAnsi="Arial" w:cs="Arial"/>
          <w:sz w:val="25"/>
        </w:rPr>
        <w:t>8.2. Suspensión obligatoria</w:t>
      </w:r>
    </w:p>
    <w:p>
      <w:pPr>
        <w:jc w:val="both"/>
      </w:pPr>
      <w:r>
        <w:rPr>
          <w:rFonts w:ascii="Arial" w:hAnsi="Arial" w:cs="Arial"/>
          <w:sz w:val="22"/>
        </w:rPr>
        <w:t>El plazo se suspenderá necesariamente:</w:t>
      </w:r>
    </w:p>
    <w:p>
      <w:pPr>
        <w:spacing w:after="40"/>
        <w:ind w:left="369" w:hanging="227"/>
      </w:pPr>
      <w:r>
        <w:rPr>
          <w:rFonts w:ascii="Arial" w:hAnsi="Arial" w:cs="Arial"/>
          <w:sz w:val="22"/>
        </w:rPr>
        <w:t>1. Si una Administración requiere a otra que anule o revise el acto ilegal que sirve de base imprescindible al suyo, desde el requerimiento hasta su atención o la resolución judicial.</w:t>
      </w:r>
    </w:p>
    <w:p>
      <w:pPr>
        <w:spacing w:after="40"/>
        <w:ind w:left="369" w:hanging="227"/>
      </w:pPr>
      <w:r>
        <w:rPr>
          <w:rFonts w:ascii="Arial" w:hAnsi="Arial" w:cs="Arial"/>
          <w:sz w:val="22"/>
        </w:rPr>
        <w:t>2. Si el órgano resolutor acuerda actuaciones complementarias del artículo 87, desde la notificación del acuerdo motivado hasta su terminación.</w:t>
      </w:r>
    </w:p>
    <w:p>
      <w:pPr>
        <w:spacing w:after="40"/>
        <w:ind w:left="369" w:hanging="227"/>
      </w:pPr>
      <w:r>
        <w:rPr>
          <w:rFonts w:ascii="Arial" w:hAnsi="Arial" w:cs="Arial"/>
          <w:sz w:val="22"/>
        </w:rPr>
        <w:t>3. Si se promueve recusación, desde que se plantea hasta que el superior jerárquico la resuelve.</w:t>
      </w:r>
    </w:p>
    <w:p>
      <w:pPr>
        <w:jc w:val="both"/>
      </w:pPr>
      <w:r>
        <w:rPr>
          <w:rFonts w:ascii="Arial" w:hAnsi="Arial" w:cs="Arial"/>
          <w:sz w:val="22"/>
        </w:rPr>
        <w:t>La diferencia verbal es preguntable: el apartado 1 dice «se podrá suspender»; el apartado 2, «se suspenderá».</w:t>
      </w:r>
    </w:p>
    <w:p>
      <w:pPr>
        <w:pStyle w:val="Heading2"/>
        <w:keepNext/>
      </w:pPr>
      <w:r>
        <w:rPr>
          <w:rFonts w:ascii="Arial" w:hAnsi="Arial" w:cs="Arial"/>
          <w:sz w:val="25"/>
        </w:rPr>
        <w:t>8.3. Ampliación excepcional del plazo máximo</w:t>
      </w:r>
    </w:p>
    <w:p>
      <w:pPr>
        <w:jc w:val="both"/>
      </w:pPr>
      <w:r>
        <w:rPr>
          <w:rFonts w:ascii="Arial" w:hAnsi="Arial" w:cs="Arial"/>
          <w:sz w:val="22"/>
        </w:rPr>
        <w:t>Cuando se hayan agotado los medios personales y materiales disponibles, el órgano competente para resolver, a propuesta del instructor, o el superior jerárquico, a propuesta del órgano resolutor, puede acordar motivadamente ampliar el plazo máximo.</w:t>
      </w:r>
    </w:p>
    <w:p>
      <w:pPr>
        <w:jc w:val="both"/>
      </w:pPr>
      <w:r>
        <w:rPr>
          <w:rFonts w:ascii="Arial" w:hAnsi="Arial" w:cs="Arial"/>
          <w:sz w:val="22"/>
        </w:rPr>
        <w:t>La ampliación:</w:t>
      </w:r>
    </w:p>
    <w:p>
      <w:pPr>
        <w:pStyle w:val="ListBullet"/>
      </w:pPr>
      <w:r>
        <w:rPr>
          <w:rFonts w:ascii="Arial" w:hAnsi="Arial" w:cs="Arial"/>
          <w:sz w:val="22"/>
        </w:rPr>
        <w:t>Es excepcional.</w:t>
      </w:r>
    </w:p>
    <w:p>
      <w:pPr>
        <w:pStyle w:val="ListBullet"/>
      </w:pPr>
      <w:r>
        <w:rPr>
          <w:rFonts w:ascii="Arial" w:hAnsi="Arial" w:cs="Arial"/>
          <w:sz w:val="22"/>
        </w:rPr>
        <w:t>No puede superar el plazo originalmente establecido.</w:t>
      </w:r>
    </w:p>
    <w:p>
      <w:pPr>
        <w:pStyle w:val="ListBullet"/>
      </w:pPr>
      <w:r>
        <w:rPr>
          <w:rFonts w:ascii="Arial" w:hAnsi="Arial" w:cs="Arial"/>
          <w:sz w:val="22"/>
        </w:rPr>
        <w:t>Debe notificarse.</w:t>
      </w:r>
    </w:p>
    <w:p>
      <w:pPr>
        <w:pStyle w:val="ListBullet"/>
      </w:pPr>
      <w:r>
        <w:rPr>
          <w:rFonts w:ascii="Arial" w:hAnsi="Arial" w:cs="Arial"/>
          <w:sz w:val="22"/>
        </w:rPr>
        <w:t>No admite recurso separado.</w:t>
      </w:r>
    </w:p>
    <w:p>
      <w:pPr>
        <w:jc w:val="both"/>
      </w:pPr>
      <w:r>
        <w:rPr>
          <w:rFonts w:ascii="Arial" w:hAnsi="Arial" w:cs="Arial"/>
          <w:sz w:val="22"/>
        </w:rPr>
        <w:t>No se confunde con la ampliación de un plazo de trámite del artículo 32, cuyo máximo ordinario es la mitad del plazo inicial.</w:t>
      </w:r>
    </w:p>
    <w:p>
      <w:pPr>
        <w:pStyle w:val="Heading1"/>
        <w:keepNext/>
      </w:pPr>
      <w:r>
        <w:rPr>
          <w:rFonts w:ascii="Arial" w:hAnsi="Arial" w:cs="Arial"/>
          <w:sz w:val="30"/>
        </w:rPr>
        <w:t>9. Silencio administrativo en procedimientos a solicitud</w:t>
      </w:r>
    </w:p>
    <w:p>
      <w:pPr>
        <w:pStyle w:val="Heading2"/>
        <w:keepNext/>
      </w:pPr>
      <w:r>
        <w:rPr>
          <w:rFonts w:ascii="Arial" w:hAnsi="Arial" w:cs="Arial"/>
          <w:sz w:val="25"/>
        </w:rPr>
        <w:t>9.1. Regla estimatoria</w:t>
      </w:r>
    </w:p>
    <w:p>
      <w:pPr>
        <w:jc w:val="both"/>
      </w:pPr>
      <w:r>
        <w:rPr>
          <w:rFonts w:ascii="Arial" w:hAnsi="Arial" w:cs="Arial"/>
          <w:sz w:val="22"/>
        </w:rPr>
        <w:t xml:space="preserve">Vencido el plazo máximo sin notificación expresa, la persona interesada puede entender </w:t>
      </w:r>
      <w:r>
        <w:rPr>
          <w:rFonts w:ascii="Arial" w:hAnsi="Arial" w:cs="Arial"/>
          <w:b/>
          <w:sz w:val="22"/>
        </w:rPr>
        <w:t>estimada</w:t>
      </w:r>
      <w:r>
        <w:rPr>
          <w:rFonts w:ascii="Arial" w:hAnsi="Arial" w:cs="Arial"/>
          <w:sz w:val="22"/>
        </w:rPr>
        <w:t xml:space="preserve"> su solicitud, salvo que una norma con rango de ley, norma de la Unión Europea o norma internacional aplicable en España disponga lo contrario.</w:t>
      </w:r>
    </w:p>
    <w:p>
      <w:pPr>
        <w:jc w:val="both"/>
      </w:pPr>
      <w:r>
        <w:rPr>
          <w:rFonts w:ascii="Arial" w:hAnsi="Arial" w:cs="Arial"/>
          <w:sz w:val="22"/>
        </w:rPr>
        <w:t>Si el procedimiento se refiere al acceso a actividades o su ejercicio, la ley que establezca silencio negativo debe fundarse en razones imperiosas de interés general.</w:t>
      </w:r>
    </w:p>
    <w:p>
      <w:pPr>
        <w:jc w:val="both"/>
      </w:pPr>
      <w:r>
        <w:rPr>
          <w:rFonts w:ascii="Arial" w:hAnsi="Arial" w:cs="Arial"/>
          <w:sz w:val="22"/>
        </w:rPr>
        <w:t>El silencio positivo no permite adquirir facultades faltando requisitos esenciales ni obtener resultados contrarios al ordenamiento en los supuestos de nulidad del artículo 47.1.f.</w:t>
      </w:r>
    </w:p>
    <w:p>
      <w:pPr>
        <w:pStyle w:val="Heading2"/>
        <w:keepNext/>
      </w:pPr>
      <w:r>
        <w:rPr>
          <w:rFonts w:ascii="Arial" w:hAnsi="Arial" w:cs="Arial"/>
          <w:sz w:val="25"/>
        </w:rPr>
        <w:t>9.2. Supuestos de silencio desestimatorio</w:t>
      </w:r>
    </w:p>
    <w:p>
      <w:pPr>
        <w:jc w:val="both"/>
      </w:pPr>
      <w:r>
        <w:rPr>
          <w:rFonts w:ascii="Arial" w:hAnsi="Arial" w:cs="Arial"/>
          <w:sz w:val="22"/>
        </w:rPr>
        <w:t>Es negativo en procedimientos:</w:t>
      </w:r>
    </w:p>
    <w:p>
      <w:pPr>
        <w:spacing w:after="40"/>
        <w:ind w:left="369" w:hanging="227"/>
      </w:pPr>
      <w:r>
        <w:rPr>
          <w:rFonts w:ascii="Arial" w:hAnsi="Arial" w:cs="Arial"/>
          <w:sz w:val="22"/>
        </w:rPr>
        <w:t>1. Relativos al derecho de petición del artículo 29 de la Constitución.</w:t>
      </w:r>
    </w:p>
    <w:p>
      <w:pPr>
        <w:spacing w:after="40"/>
        <w:ind w:left="369" w:hanging="227"/>
      </w:pPr>
      <w:r>
        <w:rPr>
          <w:rFonts w:ascii="Arial" w:hAnsi="Arial" w:cs="Arial"/>
          <w:sz w:val="22"/>
        </w:rPr>
        <w:t>2. Cuya estimación transfiera al solicitante o a terceros facultades sobre dominio público o servicio público.</w:t>
      </w:r>
    </w:p>
    <w:p>
      <w:pPr>
        <w:spacing w:after="40"/>
        <w:ind w:left="369" w:hanging="227"/>
      </w:pPr>
      <w:r>
        <w:rPr>
          <w:rFonts w:ascii="Arial" w:hAnsi="Arial" w:cs="Arial"/>
          <w:sz w:val="22"/>
        </w:rPr>
        <w:t>3. Que impliquen ejercicio de actividades que puedan dañar el medio ambiente.</w:t>
      </w:r>
    </w:p>
    <w:p>
      <w:pPr>
        <w:spacing w:after="40"/>
        <w:ind w:left="369" w:hanging="227"/>
      </w:pPr>
      <w:r>
        <w:rPr>
          <w:rFonts w:ascii="Arial" w:hAnsi="Arial" w:cs="Arial"/>
          <w:sz w:val="22"/>
        </w:rPr>
        <w:t>4. De responsabilidad patrimonial.</w:t>
      </w:r>
    </w:p>
    <w:p>
      <w:pPr>
        <w:spacing w:after="40"/>
        <w:ind w:left="369" w:hanging="227"/>
      </w:pPr>
      <w:r>
        <w:rPr>
          <w:rFonts w:ascii="Arial" w:hAnsi="Arial" w:cs="Arial"/>
          <w:sz w:val="22"/>
        </w:rPr>
        <w:t>5. De impugnación de actos y disposiciones.</w:t>
      </w:r>
    </w:p>
    <w:p>
      <w:pPr>
        <w:spacing w:after="40"/>
        <w:ind w:left="369" w:hanging="227"/>
      </w:pPr>
      <w:r>
        <w:rPr>
          <w:rFonts w:ascii="Arial" w:hAnsi="Arial" w:cs="Arial"/>
          <w:sz w:val="22"/>
        </w:rPr>
        <w:t>6. De revisión de oficio iniciados a solicitud.</w:t>
      </w:r>
    </w:p>
    <w:p>
      <w:pPr>
        <w:spacing w:after="40"/>
        <w:ind w:left="369" w:hanging="227"/>
      </w:pPr>
      <w:r>
        <w:rPr>
          <w:rFonts w:ascii="Arial" w:hAnsi="Arial" w:cs="Arial"/>
          <w:sz w:val="22"/>
        </w:rPr>
        <w:t>7. En los demás casos en que lo establezca una norma habilitada.</w:t>
      </w:r>
    </w:p>
    <w:p>
      <w:pPr>
        <w:jc w:val="both"/>
      </w:pPr>
      <w:r>
        <w:rPr>
          <w:rFonts w:ascii="Arial" w:hAnsi="Arial" w:cs="Arial"/>
          <w:sz w:val="22"/>
        </w:rPr>
        <w:t>El silencio negativo no es una denegación material consolidada. Tiene el solo efecto de abrir el recurso administrativo o contencioso procedente.</w:t>
      </w:r>
    </w:p>
    <w:p>
      <w:pPr>
        <w:pStyle w:val="Heading2"/>
        <w:keepNext/>
      </w:pPr>
      <w:r>
        <w:rPr>
          <w:rFonts w:ascii="Arial" w:hAnsi="Arial" w:cs="Arial"/>
          <w:sz w:val="25"/>
        </w:rPr>
        <w:t>9.3. Doble silencio en alzada</w:t>
      </w:r>
    </w:p>
    <w:p>
      <w:pPr>
        <w:jc w:val="both"/>
      </w:pPr>
      <w:r>
        <w:rPr>
          <w:rFonts w:ascii="Arial" w:hAnsi="Arial" w:cs="Arial"/>
          <w:sz w:val="22"/>
        </w:rPr>
        <w:t>Si se interpone recurso de alzada contra la desestimación por silencio de una solicitud y vence también el plazo del recurso sin resolución notificada, el recurso se entiende estimado, salvo que se refiera a las materias exceptuadas por el propio artículo 24.1.</w:t>
      </w:r>
    </w:p>
    <w:p>
      <w:pPr>
        <w:jc w:val="both"/>
      </w:pPr>
      <w:r>
        <w:rPr>
          <w:rFonts w:ascii="Arial" w:hAnsi="Arial" w:cs="Arial"/>
          <w:sz w:val="22"/>
        </w:rPr>
        <w:t xml:space="preserve">Es la llamada regla del </w:t>
      </w:r>
      <w:r>
        <w:rPr>
          <w:rFonts w:ascii="Arial" w:hAnsi="Arial" w:cs="Arial"/>
          <w:b/>
          <w:sz w:val="22"/>
        </w:rPr>
        <w:t>doble silencio</w:t>
      </w:r>
      <w:r>
        <w:rPr>
          <w:rFonts w:ascii="Arial" w:hAnsi="Arial" w:cs="Arial"/>
          <w:sz w:val="22"/>
        </w:rPr>
        <w:t>. No se aplica a una alzada contra una resolución expresa ni permite estimación en materias que el legislador mantiene bajo silencio negativo.</w:t>
      </w:r>
    </w:p>
    <w:p>
      <w:pPr>
        <w:pStyle w:val="Heading2"/>
        <w:keepNext/>
      </w:pPr>
      <w:r>
        <w:rPr>
          <w:rFonts w:ascii="Arial" w:hAnsi="Arial" w:cs="Arial"/>
          <w:sz w:val="25"/>
        </w:rPr>
        <w:t>9.4. Efectos y resolución posterior</w:t>
      </w:r>
    </w:p>
    <w:tbl>
      <w:tblPr>
        <w:tblStyle w:val="TableGrid"/>
        <w:tblW w:type="dxa" w:w="9026"/>
        <w:jc w:val="left"/>
        <w:tblLayout w:type="fixed"/>
        <w:tblLook w:firstColumn="1" w:firstRow="1" w:lastColumn="0" w:lastRow="0" w:noHBand="0" w:noVBand="1" w:val="04A0"/>
        <w:tblInd w:w="120" w:type="dxa"/>
      </w:tblPr>
      <w:tblGrid>
        <w:gridCol w:w="1303"/>
        <w:gridCol w:w="2698"/>
        <w:gridCol w:w="5025"/>
      </w:tblGrid>
      <w:tr>
        <w:trPr>
          <w:tblHeader w:val="true"/>
        </w:trPr>
        <w:tc>
          <w:tcPr>
            <w:tcW w:type="dxa" w:w="130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Tipo de silencio</w:t>
            </w:r>
          </w:p>
        </w:tc>
        <w:tc>
          <w:tcPr>
            <w:tcW w:type="dxa" w:w="269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Naturaleza</w:t>
            </w:r>
          </w:p>
        </w:tc>
        <w:tc>
          <w:tcPr>
            <w:tcW w:type="dxa" w:w="502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Resolución expresa posterior</w:t>
            </w:r>
          </w:p>
        </w:tc>
      </w:tr>
      <w:tr>
        <w:tc>
          <w:tcPr>
            <w:tcW w:type="dxa" w:w="1303"/>
            <w:tcMar>
              <w:top w:w="80" w:type="dxa"/>
              <w:start w:w="120" w:type="dxa"/>
              <w:bottom w:w="80" w:type="dxa"/>
              <w:end w:w="120" w:type="dxa"/>
            </w:tcMar>
            <w:vAlign w:val="center"/>
          </w:tcPr>
          <w:p>
            <w:pPr>
              <w:spacing w:before="0" w:after="0" w:line="240" w:lineRule="auto"/>
              <w:jc w:val="left"/>
            </w:pPr>
            <w:r/>
            <w:r>
              <w:rPr>
                <w:rFonts w:ascii="Arial" w:hAnsi="Arial" w:cs="Arial"/>
                <w:sz w:val="18"/>
              </w:rPr>
              <w:t>Positivo</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Acto administrativo finalizador</w:t>
            </w:r>
          </w:p>
        </w:tc>
        <w:tc>
          <w:tcPr>
            <w:tcW w:type="dxa" w:w="5025"/>
            <w:tcMar>
              <w:top w:w="80" w:type="dxa"/>
              <w:start w:w="120" w:type="dxa"/>
              <w:bottom w:w="80" w:type="dxa"/>
              <w:end w:w="120" w:type="dxa"/>
            </w:tcMar>
            <w:vAlign w:val="center"/>
          </w:tcPr>
          <w:p>
            <w:pPr>
              <w:spacing w:before="0" w:after="0" w:line="240" w:lineRule="auto"/>
              <w:jc w:val="left"/>
            </w:pPr>
            <w:r/>
            <w:r>
              <w:rPr>
                <w:rFonts w:ascii="Arial" w:hAnsi="Arial" w:cs="Arial"/>
                <w:sz w:val="18"/>
              </w:rPr>
              <w:t>Solo puede confirmarlo</w:t>
            </w:r>
          </w:p>
        </w:tc>
      </w:tr>
      <w:tr>
        <w:tc>
          <w:tcPr>
            <w:tcW w:type="dxa" w:w="1303"/>
            <w:tcMar>
              <w:top w:w="80" w:type="dxa"/>
              <w:start w:w="120" w:type="dxa"/>
              <w:bottom w:w="80" w:type="dxa"/>
              <w:end w:w="120" w:type="dxa"/>
            </w:tcMar>
            <w:vAlign w:val="center"/>
          </w:tcPr>
          <w:p>
            <w:pPr>
              <w:spacing w:before="0" w:after="0" w:line="240" w:lineRule="auto"/>
              <w:jc w:val="left"/>
            </w:pPr>
            <w:r/>
            <w:r>
              <w:rPr>
                <w:rFonts w:ascii="Arial" w:hAnsi="Arial" w:cs="Arial"/>
                <w:sz w:val="18"/>
              </w:rPr>
              <w:t>Negativo</w:t>
            </w:r>
          </w:p>
        </w:tc>
        <w:tc>
          <w:tcPr>
            <w:tcW w:type="dxa" w:w="2698"/>
            <w:tcMar>
              <w:top w:w="80" w:type="dxa"/>
              <w:start w:w="120" w:type="dxa"/>
              <w:bottom w:w="80" w:type="dxa"/>
              <w:end w:w="120" w:type="dxa"/>
            </w:tcMar>
            <w:vAlign w:val="center"/>
          </w:tcPr>
          <w:p>
            <w:pPr>
              <w:spacing w:before="0" w:after="0" w:line="240" w:lineRule="auto"/>
              <w:jc w:val="left"/>
            </w:pPr>
            <w:r/>
            <w:r>
              <w:rPr>
                <w:rFonts w:ascii="Arial" w:hAnsi="Arial" w:cs="Arial"/>
                <w:sz w:val="18"/>
              </w:rPr>
              <w:t>Ficción para permitir recurso</w:t>
            </w:r>
          </w:p>
        </w:tc>
        <w:tc>
          <w:tcPr>
            <w:tcW w:type="dxa" w:w="5025"/>
            <w:tcMar>
              <w:top w:w="80" w:type="dxa"/>
              <w:start w:w="120" w:type="dxa"/>
              <w:bottom w:w="80" w:type="dxa"/>
              <w:end w:w="120" w:type="dxa"/>
            </w:tcMar>
            <w:vAlign w:val="center"/>
          </w:tcPr>
          <w:p>
            <w:pPr>
              <w:spacing w:before="0" w:after="0" w:line="240" w:lineRule="auto"/>
              <w:jc w:val="left"/>
            </w:pPr>
            <w:r/>
            <w:r>
              <w:rPr>
                <w:rFonts w:ascii="Arial" w:hAnsi="Arial" w:cs="Arial"/>
                <w:sz w:val="18"/>
              </w:rPr>
              <w:t>Administración no queda vinculada y puede estimar o desestimar</w:t>
            </w:r>
          </w:p>
        </w:tc>
      </w:tr>
    </w:tbl>
    <w:p>
      <w:pPr>
        <w:spacing w:after="40"/>
      </w:pPr>
    </w:p>
    <w:p>
      <w:pPr>
        <w:jc w:val="both"/>
      </w:pPr>
      <w:r>
        <w:rPr>
          <w:rFonts w:ascii="Arial" w:hAnsi="Arial" w:cs="Arial"/>
          <w:sz w:val="22"/>
        </w:rPr>
        <w:t>La obligación de resolver persiste en ambos. El acto presunto positivo produce efectos desde el vencimiento del plazo máximo sin resolución notificada.</w:t>
      </w:r>
    </w:p>
    <w:p>
      <w:pPr>
        <w:jc w:val="both"/>
      </w:pPr>
      <w:r>
        <w:rPr>
          <w:rFonts w:ascii="Arial" w:hAnsi="Arial" w:cs="Arial"/>
          <w:sz w:val="22"/>
        </w:rPr>
        <w:t>Puede hacerse valer ante Administración y cualquier persona física o jurídica, pública o privada. Su existencia se prueba por cualquier medio admitido, incluido certificado.</w:t>
      </w:r>
    </w:p>
    <w:p>
      <w:pPr>
        <w:jc w:val="both"/>
      </w:pPr>
      <w:r>
        <w:rPr>
          <w:rFonts w:ascii="Arial" w:hAnsi="Arial" w:cs="Arial"/>
          <w:sz w:val="22"/>
        </w:rPr>
        <w:t xml:space="preserve">El órgano competente expedirá el certificado de oficio en </w:t>
      </w:r>
      <w:r>
        <w:rPr>
          <w:rFonts w:ascii="Arial" w:hAnsi="Arial" w:cs="Arial"/>
          <w:b/>
          <w:sz w:val="22"/>
        </w:rPr>
        <w:t>quince días</w:t>
      </w:r>
      <w:r>
        <w:rPr>
          <w:rFonts w:ascii="Arial" w:hAnsi="Arial" w:cs="Arial"/>
          <w:sz w:val="22"/>
        </w:rPr>
        <w:t xml:space="preserve"> desde el vencimiento. El interesado puede solicitarlo en cualquier momento; entonces los quince días se cuentan desde el siguiente a la entrada de la petición en el registro electrónico del órgano competente para resolver.</w:t>
      </w:r>
    </w:p>
    <w:p>
      <w:pPr>
        <w:pStyle w:val="Heading1"/>
        <w:keepNext/>
      </w:pPr>
      <w:r>
        <w:rPr>
          <w:rFonts w:ascii="Arial" w:hAnsi="Arial" w:cs="Arial"/>
          <w:sz w:val="30"/>
        </w:rPr>
        <w:t>10. Falta de resolución en procedimientos de oficio</w:t>
      </w:r>
    </w:p>
    <w:p>
      <w:pPr>
        <w:jc w:val="both"/>
      </w:pPr>
      <w:r>
        <w:rPr>
          <w:rFonts w:ascii="Arial" w:hAnsi="Arial" w:cs="Arial"/>
          <w:sz w:val="22"/>
        </w:rPr>
        <w:t>El vencimiento no exime de resolver y produce efectos según el contenido:</w:t>
      </w:r>
    </w:p>
    <w:p>
      <w:pPr>
        <w:pStyle w:val="ListBullet"/>
      </w:pPr>
      <w:r>
        <w:rPr>
          <w:rFonts w:ascii="Arial" w:hAnsi="Arial" w:cs="Arial"/>
          <w:sz w:val="22"/>
        </w:rPr>
        <w:t>Si podrían reconocerse derechos o situaciones favorables, quienes hubieran comparecido pueden entender desestimadas sus pretensiones.</w:t>
      </w:r>
    </w:p>
    <w:p>
      <w:pPr>
        <w:pStyle w:val="ListBullet"/>
      </w:pPr>
      <w:r>
        <w:rPr>
          <w:rFonts w:ascii="Arial" w:hAnsi="Arial" w:cs="Arial"/>
          <w:sz w:val="22"/>
        </w:rPr>
        <w:t xml:space="preserve">Si se ejercen potestades sancionadoras o de intervención susceptibles de efectos desfavorables o de gravamen, se produce </w:t>
      </w:r>
      <w:r>
        <w:rPr>
          <w:rFonts w:ascii="Arial" w:hAnsi="Arial" w:cs="Arial"/>
          <w:b/>
          <w:sz w:val="22"/>
        </w:rPr>
        <w:t>caducidad</w:t>
      </w:r>
      <w:r>
        <w:rPr>
          <w:rFonts w:ascii="Arial" w:hAnsi="Arial" w:cs="Arial"/>
          <w:sz w:val="22"/>
        </w:rPr>
        <w:t xml:space="preserve"> y la resolución que la declare ordena el archivo.</w:t>
      </w:r>
    </w:p>
    <w:p>
      <w:pPr>
        <w:jc w:val="both"/>
      </w:pPr>
      <w:r>
        <w:rPr>
          <w:rFonts w:ascii="Arial" w:hAnsi="Arial" w:cs="Arial"/>
          <w:sz w:val="22"/>
        </w:rPr>
        <w:t>Si el procedimiento se paralizó por causa imputable al interesado, se interrumpe el cómputo durante esa paralización.</w:t>
      </w:r>
    </w:p>
    <w:p>
      <w:pPr>
        <w:jc w:val="both"/>
      </w:pPr>
      <w:r>
        <w:rPr>
          <w:rFonts w:ascii="Arial" w:hAnsi="Arial" w:cs="Arial"/>
          <w:sz w:val="22"/>
        </w:rPr>
        <w:t>Silencio negativo y caducidad no son intercambiables. La caducidad termina el procedimiento desfavorable iniciado de oficio, aunque no equivale a declarar inexistente la infracción ni impide necesariamente comenzar otro si no prescribió. En un procedimiento favorable de oficio, las pretensiones de quienes comparecieron se entienden desestimadas.</w:t>
      </w:r>
    </w:p>
    <w:p>
      <w:pPr>
        <w:pStyle w:val="Heading1"/>
        <w:keepNext/>
      </w:pPr>
      <w:r>
        <w:rPr>
          <w:rFonts w:ascii="Arial" w:hAnsi="Arial" w:cs="Arial"/>
          <w:sz w:val="30"/>
        </w:rPr>
        <w:t>11. Términos y plazos</w:t>
      </w:r>
    </w:p>
    <w:p>
      <w:pPr>
        <w:pStyle w:val="Heading2"/>
        <w:keepNext/>
      </w:pPr>
      <w:r>
        <w:rPr>
          <w:rFonts w:ascii="Arial" w:hAnsi="Arial" w:cs="Arial"/>
          <w:sz w:val="25"/>
        </w:rPr>
        <w:t>11.1. Noción y obligatoriedad</w:t>
      </w:r>
    </w:p>
    <w:p>
      <w:pPr>
        <w:jc w:val="both"/>
      </w:pPr>
      <w:r>
        <w:rPr>
          <w:rFonts w:ascii="Arial" w:hAnsi="Arial" w:cs="Arial"/>
          <w:sz w:val="22"/>
        </w:rPr>
        <w:t xml:space="preserve">En uso doctrinal, </w:t>
      </w:r>
      <w:r>
        <w:rPr>
          <w:rFonts w:ascii="Arial" w:hAnsi="Arial" w:cs="Arial"/>
          <w:b/>
          <w:sz w:val="22"/>
        </w:rPr>
        <w:t>término</w:t>
      </w:r>
      <w:r>
        <w:rPr>
          <w:rFonts w:ascii="Arial" w:hAnsi="Arial" w:cs="Arial"/>
          <w:sz w:val="22"/>
        </w:rPr>
        <w:t xml:space="preserve"> es un momento concreto para actuar y </w:t>
      </w:r>
      <w:r>
        <w:rPr>
          <w:rFonts w:ascii="Arial" w:hAnsi="Arial" w:cs="Arial"/>
          <w:b/>
          <w:sz w:val="22"/>
        </w:rPr>
        <w:t>plazo</w:t>
      </w:r>
      <w:r>
        <w:rPr>
          <w:rFonts w:ascii="Arial" w:hAnsi="Arial" w:cs="Arial"/>
          <w:sz w:val="22"/>
        </w:rPr>
        <w:t xml:space="preserve"> es un período. La LPAC emplea ambas expresiones y establece que obligan a autoridades, personal y personas interesadas.</w:t>
      </w:r>
    </w:p>
    <w:p>
      <w:pPr>
        <w:jc w:val="both"/>
      </w:pPr>
      <w:r>
        <w:rPr>
          <w:rFonts w:ascii="Arial" w:hAnsi="Arial" w:cs="Arial"/>
          <w:sz w:val="22"/>
        </w:rPr>
        <w:t>El cómputo correcto exige identificar:</w:t>
      </w:r>
    </w:p>
    <w:p>
      <w:pPr>
        <w:spacing w:after="40"/>
        <w:ind w:left="369" w:hanging="227"/>
      </w:pPr>
      <w:r>
        <w:rPr>
          <w:rFonts w:ascii="Arial" w:hAnsi="Arial" w:cs="Arial"/>
          <w:sz w:val="22"/>
        </w:rPr>
        <w:t>1. Unidad: horas, días, meses o años.</w:t>
      </w:r>
    </w:p>
    <w:p>
      <w:pPr>
        <w:spacing w:after="40"/>
        <w:ind w:left="369" w:hanging="227"/>
      </w:pPr>
      <w:r>
        <w:rPr>
          <w:rFonts w:ascii="Arial" w:hAnsi="Arial" w:cs="Arial"/>
          <w:sz w:val="22"/>
        </w:rPr>
        <w:t>2. Si son días hábiles o naturales.</w:t>
      </w:r>
    </w:p>
    <w:p>
      <w:pPr>
        <w:spacing w:after="40"/>
        <w:ind w:left="369" w:hanging="227"/>
      </w:pPr>
      <w:r>
        <w:rPr>
          <w:rFonts w:ascii="Arial" w:hAnsi="Arial" w:cs="Arial"/>
          <w:sz w:val="22"/>
        </w:rPr>
        <w:t>3. Acontecimiento inicial: notificación, publicación, silencio o presentación.</w:t>
      </w:r>
    </w:p>
    <w:p>
      <w:pPr>
        <w:spacing w:after="40"/>
        <w:ind w:left="369" w:hanging="227"/>
      </w:pPr>
      <w:r>
        <w:rPr>
          <w:rFonts w:ascii="Arial" w:hAnsi="Arial" w:cs="Arial"/>
          <w:sz w:val="22"/>
        </w:rPr>
        <w:t>4. Día inicial y día final.</w:t>
      </w:r>
    </w:p>
    <w:p>
      <w:pPr>
        <w:spacing w:after="40"/>
        <w:ind w:left="369" w:hanging="227"/>
      </w:pPr>
      <w:r>
        <w:rPr>
          <w:rFonts w:ascii="Arial" w:hAnsi="Arial" w:cs="Arial"/>
          <w:sz w:val="22"/>
        </w:rPr>
        <w:t>5. Posibles suspensiones o ampliaciones.</w:t>
      </w:r>
    </w:p>
    <w:p>
      <w:pPr>
        <w:pStyle w:val="Heading2"/>
        <w:keepNext/>
      </w:pPr>
      <w:r>
        <w:rPr>
          <w:rFonts w:ascii="Arial" w:hAnsi="Arial" w:cs="Arial"/>
          <w:sz w:val="25"/>
        </w:rPr>
        <w:t>11.2. Plazos por horas</w:t>
      </w:r>
    </w:p>
    <w:p>
      <w:pPr>
        <w:jc w:val="both"/>
      </w:pPr>
      <w:r>
        <w:rPr>
          <w:rFonts w:ascii="Arial" w:hAnsi="Arial" w:cs="Arial"/>
          <w:sz w:val="22"/>
        </w:rPr>
        <w:t xml:space="preserve">Salvo ley o Derecho de la Unión con otro cómputo, las horas son </w:t>
      </w:r>
      <w:r>
        <w:rPr>
          <w:rFonts w:ascii="Arial" w:hAnsi="Arial" w:cs="Arial"/>
          <w:b/>
          <w:sz w:val="22"/>
        </w:rPr>
        <w:t>hábiles</w:t>
      </w:r>
      <w:r>
        <w:rPr>
          <w:rFonts w:ascii="Arial" w:hAnsi="Arial" w:cs="Arial"/>
          <w:sz w:val="22"/>
        </w:rPr>
        <w:t>. Son hábiles todas las horas de un día hábil.</w:t>
      </w:r>
    </w:p>
    <w:p>
      <w:pPr>
        <w:jc w:val="both"/>
      </w:pPr>
      <w:r>
        <w:rPr>
          <w:rFonts w:ascii="Arial" w:hAnsi="Arial" w:cs="Arial"/>
          <w:sz w:val="22"/>
        </w:rPr>
        <w:t>Los plazos por horas:</w:t>
      </w:r>
    </w:p>
    <w:p>
      <w:pPr>
        <w:pStyle w:val="ListBullet"/>
      </w:pPr>
      <w:r>
        <w:rPr>
          <w:rFonts w:ascii="Arial" w:hAnsi="Arial" w:cs="Arial"/>
          <w:sz w:val="22"/>
        </w:rPr>
        <w:t>Se cuentan de hora en hora y de minuto en minuto.</w:t>
      </w:r>
    </w:p>
    <w:p>
      <w:pPr>
        <w:pStyle w:val="ListBullet"/>
      </w:pPr>
      <w:r>
        <w:rPr>
          <w:rFonts w:ascii="Arial" w:hAnsi="Arial" w:cs="Arial"/>
          <w:sz w:val="22"/>
        </w:rPr>
        <w:t>Comienzan desde la hora y minuto de la notificación o publicación.</w:t>
      </w:r>
    </w:p>
    <w:p>
      <w:pPr>
        <w:pStyle w:val="ListBullet"/>
      </w:pPr>
      <w:r>
        <w:rPr>
          <w:rFonts w:ascii="Arial" w:hAnsi="Arial" w:cs="Arial"/>
          <w:sz w:val="22"/>
        </w:rPr>
        <w:t>No pueden durar más de veinticuatro horas; si exceden, se expresarán en días.</w:t>
      </w:r>
    </w:p>
    <w:p>
      <w:pPr>
        <w:jc w:val="both"/>
      </w:pPr>
      <w:r>
        <w:rPr>
          <w:rFonts w:ascii="Arial" w:hAnsi="Arial" w:cs="Arial"/>
          <w:sz w:val="22"/>
        </w:rPr>
        <w:t>Ejemplo: notificación a las 10:25 con plazo de tres horas hábiles. Se computa desde ese instante dentro de horas pertenecientes a días hábiles, no desde el día siguiente.</w:t>
      </w:r>
    </w:p>
    <w:p>
      <w:pPr>
        <w:pStyle w:val="Heading2"/>
        <w:keepNext/>
      </w:pPr>
      <w:r>
        <w:rPr>
          <w:rFonts w:ascii="Arial" w:hAnsi="Arial" w:cs="Arial"/>
          <w:sz w:val="25"/>
        </w:rPr>
        <w:t>11.3. Plazos por días</w:t>
      </w:r>
    </w:p>
    <w:p>
      <w:pPr>
        <w:jc w:val="both"/>
      </w:pPr>
      <w:r>
        <w:rPr>
          <w:rFonts w:ascii="Arial" w:hAnsi="Arial" w:cs="Arial"/>
          <w:sz w:val="22"/>
        </w:rPr>
        <w:t xml:space="preserve">Cuando se señalen por días y una ley o norma de la Unión no diga otra cosa, se entiende que son </w:t>
      </w:r>
      <w:r>
        <w:rPr>
          <w:rFonts w:ascii="Arial" w:hAnsi="Arial" w:cs="Arial"/>
          <w:b/>
          <w:sz w:val="22"/>
        </w:rPr>
        <w:t>hábiles</w:t>
      </w:r>
      <w:r>
        <w:rPr>
          <w:rFonts w:ascii="Arial" w:hAnsi="Arial" w:cs="Arial"/>
          <w:sz w:val="22"/>
        </w:rPr>
        <w:t xml:space="preserve"> y se excluyen:</w:t>
      </w:r>
    </w:p>
    <w:p>
      <w:pPr>
        <w:pStyle w:val="ListBullet"/>
      </w:pPr>
      <w:r>
        <w:rPr>
          <w:rFonts w:ascii="Arial" w:hAnsi="Arial" w:cs="Arial"/>
          <w:sz w:val="22"/>
        </w:rPr>
        <w:t>Sábados.</w:t>
      </w:r>
    </w:p>
    <w:p>
      <w:pPr>
        <w:pStyle w:val="ListBullet"/>
      </w:pPr>
      <w:r>
        <w:rPr>
          <w:rFonts w:ascii="Arial" w:hAnsi="Arial" w:cs="Arial"/>
          <w:sz w:val="22"/>
        </w:rPr>
        <w:t>Domingos.</w:t>
      </w:r>
    </w:p>
    <w:p>
      <w:pPr>
        <w:pStyle w:val="ListBullet"/>
      </w:pPr>
      <w:r>
        <w:rPr>
          <w:rFonts w:ascii="Arial" w:hAnsi="Arial" w:cs="Arial"/>
          <w:sz w:val="22"/>
        </w:rPr>
        <w:t>Festivos.</w:t>
      </w:r>
    </w:p>
    <w:p>
      <w:pPr>
        <w:jc w:val="both"/>
      </w:pPr>
      <w:r>
        <w:rPr>
          <w:rFonts w:ascii="Arial" w:hAnsi="Arial" w:cs="Arial"/>
          <w:sz w:val="22"/>
        </w:rPr>
        <w:t>Si los días son naturales, esta circunstancia debe hacerse constar en la notificación.</w:t>
      </w:r>
    </w:p>
    <w:p>
      <w:pPr>
        <w:jc w:val="both"/>
      </w:pPr>
      <w:r>
        <w:rPr>
          <w:rFonts w:ascii="Arial" w:hAnsi="Arial" w:cs="Arial"/>
          <w:sz w:val="22"/>
        </w:rPr>
        <w:t>Los plazos en días comienzan el día siguiente a la notificación o publicación, o el siguiente a aquel en que se produzca estimación o desestimación por silencio.</w:t>
      </w:r>
    </w:p>
    <w:p>
      <w:pPr>
        <w:jc w:val="both"/>
      </w:pPr>
      <w:r>
        <w:rPr>
          <w:rFonts w:ascii="Arial" w:hAnsi="Arial" w:cs="Arial"/>
          <w:sz w:val="22"/>
        </w:rPr>
        <w:t>Ejemplo: una notificación válida en lunes con plazo de diez días hábiles comienza el martes; no cuenta sábados, domingos ni festivos aplicables.</w:t>
      </w:r>
    </w:p>
    <w:p>
      <w:pPr>
        <w:pStyle w:val="Heading2"/>
        <w:keepNext/>
      </w:pPr>
      <w:r>
        <w:rPr>
          <w:rFonts w:ascii="Arial" w:hAnsi="Arial" w:cs="Arial"/>
          <w:sz w:val="25"/>
        </w:rPr>
        <w:t>11.4. Meses y años</w:t>
      </w:r>
    </w:p>
    <w:p>
      <w:pPr>
        <w:jc w:val="both"/>
      </w:pPr>
      <w:r>
        <w:rPr>
          <w:rFonts w:ascii="Arial" w:hAnsi="Arial" w:cs="Arial"/>
          <w:sz w:val="22"/>
        </w:rPr>
        <w:t>Los plazos expresados en meses o años se computan a partir del día siguiente a la notificación o publicación o desde el siguiente al silencio, pero vencen el mismo día ordinal en que se produjo el hecho inicial dentro del mes o año de vencimiento.</w:t>
      </w:r>
    </w:p>
    <w:p>
      <w:pPr>
        <w:jc w:val="both"/>
      </w:pPr>
      <w:r>
        <w:rPr>
          <w:rFonts w:ascii="Arial" w:hAnsi="Arial" w:cs="Arial"/>
          <w:sz w:val="22"/>
        </w:rPr>
        <w:t>Si en el mes de vencimiento no existe día equivalente, expiran el último día del mes. Así, un plazo de un mes derivado de notificación el 31 de enero vence el último día de febrero.</w:t>
      </w:r>
    </w:p>
    <w:p>
      <w:pPr>
        <w:jc w:val="both"/>
      </w:pPr>
      <w:r>
        <w:rPr>
          <w:rFonts w:ascii="Arial" w:hAnsi="Arial" w:cs="Arial"/>
          <w:sz w:val="22"/>
        </w:rPr>
        <w:t>No debe transformarse un mes en treinta días. El cómputo es «de fecha a fecha».</w:t>
      </w:r>
    </w:p>
    <w:p>
      <w:pPr>
        <w:pStyle w:val="Heading2"/>
        <w:keepNext/>
      </w:pPr>
      <w:r>
        <w:rPr>
          <w:rFonts w:ascii="Arial" w:hAnsi="Arial" w:cs="Arial"/>
          <w:sz w:val="25"/>
        </w:rPr>
        <w:t>11.5. Día final inhábil y calendarios</w:t>
      </w:r>
    </w:p>
    <w:p>
      <w:pPr>
        <w:jc w:val="both"/>
      </w:pPr>
      <w:r>
        <w:rPr>
          <w:rFonts w:ascii="Arial" w:hAnsi="Arial" w:cs="Arial"/>
          <w:sz w:val="22"/>
        </w:rPr>
        <w:t>Si el último día es inhábil, se prorroga al primer día hábil siguiente.</w:t>
      </w:r>
    </w:p>
    <w:p>
      <w:pPr>
        <w:jc w:val="both"/>
      </w:pPr>
      <w:r>
        <w:rPr>
          <w:rFonts w:ascii="Arial" w:hAnsi="Arial" w:cs="Arial"/>
          <w:sz w:val="22"/>
        </w:rPr>
        <w:t>Si un día es hábil en el municipio o comunidad autónoma de residencia del interesado e inhábil en la sede del órgano, o a la inversa, se considera inhábil en todo caso.</w:t>
      </w:r>
    </w:p>
    <w:p>
      <w:pPr>
        <w:jc w:val="both"/>
      </w:pPr>
      <w:r>
        <w:rPr>
          <w:rFonts w:ascii="Arial" w:hAnsi="Arial" w:cs="Arial"/>
          <w:sz w:val="22"/>
        </w:rPr>
        <w:t>La Administración General del Estado y las comunidades autónomas fijan, dentro de su ámbito y con su calendario laboral, el calendario de días inhábiles. El autonómico comprende los inhábiles locales. Debe publicarse antes del comienzo de cada año en el diario oficial y otros medios que garanticen conocimiento.</w:t>
      </w:r>
    </w:p>
    <w:p>
      <w:pPr>
        <w:pStyle w:val="Heading1"/>
        <w:keepNext/>
      </w:pPr>
      <w:r>
        <w:rPr>
          <w:rFonts w:ascii="Arial" w:hAnsi="Arial" w:cs="Arial"/>
          <w:sz w:val="30"/>
        </w:rPr>
        <w:t>12. Registro electrónico y cómputo</w:t>
      </w:r>
    </w:p>
    <w:p>
      <w:pPr>
        <w:pStyle w:val="Heading2"/>
        <w:keepNext/>
      </w:pPr>
      <w:r>
        <w:rPr>
          <w:rFonts w:ascii="Arial" w:hAnsi="Arial" w:cs="Arial"/>
          <w:sz w:val="25"/>
        </w:rPr>
        <w:t>12.1. Funcionamiento permanente</w:t>
      </w:r>
    </w:p>
    <w:p>
      <w:pPr>
        <w:jc w:val="both"/>
      </w:pPr>
      <w:r>
        <w:rPr>
          <w:rFonts w:ascii="Arial" w:hAnsi="Arial" w:cs="Arial"/>
          <w:sz w:val="22"/>
        </w:rPr>
        <w:t>El registro electrónico permite presentar documentos todos los días del año durante las veinticuatro horas. Esto no convierte en hábil cualquier día.</w:t>
      </w:r>
    </w:p>
    <w:p>
      <w:pPr>
        <w:jc w:val="both"/>
      </w:pPr>
      <w:r>
        <w:rPr>
          <w:rFonts w:ascii="Arial" w:hAnsi="Arial" w:cs="Arial"/>
          <w:sz w:val="22"/>
        </w:rPr>
        <w:t xml:space="preserve">Para plazos del interesado fijados en días hábiles, una presentación en inhábil se entiende realizada en la </w:t>
      </w:r>
      <w:r>
        <w:rPr>
          <w:rFonts w:ascii="Arial" w:hAnsi="Arial" w:cs="Arial"/>
          <w:b/>
          <w:sz w:val="22"/>
        </w:rPr>
        <w:t>primera hora del primer día hábil siguiente</w:t>
      </w:r>
      <w:r>
        <w:rPr>
          <w:rFonts w:ascii="Arial" w:hAnsi="Arial" w:cs="Arial"/>
          <w:sz w:val="22"/>
        </w:rPr>
        <w:t>, salvo norma que permita recepción en día inhábil. Los documentos presentados en inhábil conservan entre sí su orden real y se consideran anteriores a los presentados el primer día hábil posterior.</w:t>
      </w:r>
    </w:p>
    <w:p>
      <w:pPr>
        <w:pStyle w:val="Heading2"/>
        <w:keepNext/>
      </w:pPr>
      <w:r>
        <w:rPr>
          <w:rFonts w:ascii="Arial" w:hAnsi="Arial" w:cs="Arial"/>
          <w:sz w:val="25"/>
        </w:rPr>
        <w:t>12.2. Plazos de la Administración</w:t>
      </w:r>
    </w:p>
    <w:p>
      <w:pPr>
        <w:jc w:val="both"/>
      </w:pPr>
      <w:r>
        <w:rPr>
          <w:rFonts w:ascii="Arial" w:hAnsi="Arial" w:cs="Arial"/>
          <w:sz w:val="22"/>
        </w:rPr>
        <w:t>El inicio de plazos que la Administración debe cumplir viene determinado por fecha y hora de presentación en el registro electrónico de cada Administración u organismo. La fecha efectiva de inicio debe comunicarse a quien presentó.</w:t>
      </w:r>
    </w:p>
    <w:p>
      <w:pPr>
        <w:jc w:val="both"/>
      </w:pPr>
      <w:r>
        <w:rPr>
          <w:rFonts w:ascii="Arial" w:hAnsi="Arial" w:cs="Arial"/>
          <w:sz w:val="22"/>
        </w:rPr>
        <w:t>La sede especificará el calendario aplicable. En el registro electrónico rige el calendario de la sede administrativa correspondiente; no se utiliza mecánicamente la regla de contraste entre residencia del interesado y sede del órgano.</w:t>
      </w:r>
    </w:p>
    <w:p>
      <w:pPr>
        <w:spacing w:after="100"/>
        <w:ind w:left="340" w:right="227"/>
        <w:shd w:fill="EAF2F8"/>
      </w:pPr>
      <w:r>
        <w:rPr>
          <w:rFonts w:ascii="Arial" w:hAnsi="Arial" w:cs="Arial"/>
          <w:b/>
          <w:sz w:val="20"/>
        </w:rPr>
        <w:t>Trampa:</w:t>
      </w:r>
      <w:r>
        <w:rPr>
          <w:rFonts w:ascii="Arial" w:hAnsi="Arial" w:cs="Arial"/>
          <w:sz w:val="20"/>
        </w:rPr>
        <w:t xml:space="preserve"> el registro está abierto 24/7, pero una presentación en domingo puede imputarse al primer instante del lunes hábil a efectos del plazo del interesado.</w:t>
      </w:r>
    </w:p>
    <w:p>
      <w:pPr>
        <w:pStyle w:val="Heading1"/>
        <w:keepNext/>
      </w:pPr>
      <w:r>
        <w:rPr>
          <w:rFonts w:ascii="Arial" w:hAnsi="Arial" w:cs="Arial"/>
          <w:sz w:val="30"/>
        </w:rPr>
        <w:t>13. Ampliación de plazos de trámites</w:t>
      </w:r>
    </w:p>
    <w:p>
      <w:pPr>
        <w:pStyle w:val="Heading2"/>
        <w:keepNext/>
      </w:pPr>
      <w:r>
        <w:rPr>
          <w:rFonts w:ascii="Arial" w:hAnsi="Arial" w:cs="Arial"/>
          <w:sz w:val="25"/>
        </w:rPr>
        <w:t>13.1. Régimen ordinario</w:t>
      </w:r>
    </w:p>
    <w:p>
      <w:pPr>
        <w:jc w:val="both"/>
      </w:pPr>
      <w:r>
        <w:rPr>
          <w:rFonts w:ascii="Arial" w:hAnsi="Arial" w:cs="Arial"/>
          <w:sz w:val="22"/>
        </w:rPr>
        <w:t xml:space="preserve">La Administración puede conceder, de oficio o a petición, una ampliación que no exceda de la </w:t>
      </w:r>
      <w:r>
        <w:rPr>
          <w:rFonts w:ascii="Arial" w:hAnsi="Arial" w:cs="Arial"/>
          <w:b/>
          <w:sz w:val="22"/>
        </w:rPr>
        <w:t>mitad del plazo inicial</w:t>
      </w:r>
      <w:r>
        <w:rPr>
          <w:rFonts w:ascii="Arial" w:hAnsi="Arial" w:cs="Arial"/>
          <w:sz w:val="22"/>
        </w:rPr>
        <w:t>, si:</w:t>
      </w:r>
    </w:p>
    <w:p>
      <w:pPr>
        <w:pStyle w:val="ListBullet"/>
      </w:pPr>
      <w:r>
        <w:rPr>
          <w:rFonts w:ascii="Arial" w:hAnsi="Arial" w:cs="Arial"/>
          <w:sz w:val="22"/>
        </w:rPr>
        <w:t>Las circunstancias lo aconsejan.</w:t>
      </w:r>
    </w:p>
    <w:p>
      <w:pPr>
        <w:pStyle w:val="ListBullet"/>
      </w:pPr>
      <w:r>
        <w:rPr>
          <w:rFonts w:ascii="Arial" w:hAnsi="Arial" w:cs="Arial"/>
          <w:sz w:val="22"/>
        </w:rPr>
        <w:t>No se perjudican derechos de terceros.</w:t>
      </w:r>
    </w:p>
    <w:p>
      <w:pPr>
        <w:pStyle w:val="ListBullet"/>
      </w:pPr>
      <w:r>
        <w:rPr>
          <w:rFonts w:ascii="Arial" w:hAnsi="Arial" w:cs="Arial"/>
          <w:sz w:val="22"/>
        </w:rPr>
        <w:t>No existe precepto contrario.</w:t>
      </w:r>
    </w:p>
    <w:p>
      <w:pPr>
        <w:jc w:val="both"/>
      </w:pPr>
      <w:r>
        <w:rPr>
          <w:rFonts w:ascii="Arial" w:hAnsi="Arial" w:cs="Arial"/>
          <w:sz w:val="22"/>
        </w:rPr>
        <w:t>El acuerdo debe notificarse. La petición y la decisión han de producirse antes de vencer el plazo; un plazo ya vencido nunca puede ampliarse. El acuerdo de ampliación o denegación no admite recurso separado, sin perjuicio de alegarlo frente a la resolución final.</w:t>
      </w:r>
    </w:p>
    <w:p>
      <w:pPr>
        <w:jc w:val="both"/>
      </w:pPr>
      <w:r>
        <w:rPr>
          <w:rFonts w:ascii="Arial" w:hAnsi="Arial" w:cs="Arial"/>
          <w:sz w:val="22"/>
        </w:rPr>
        <w:t>Se aplicará en todo caso la ampliación máxima a procedimientos tramitados por misiones diplomáticas y oficinas consulares y a aquellos que, sustanciados en España, exijan cumplimentar trámites en el extranjero o intervención de interesados residentes fuera.</w:t>
      </w:r>
    </w:p>
    <w:p>
      <w:pPr>
        <w:pStyle w:val="Heading2"/>
        <w:keepNext/>
      </w:pPr>
      <w:r>
        <w:rPr>
          <w:rFonts w:ascii="Arial" w:hAnsi="Arial" w:cs="Arial"/>
          <w:sz w:val="25"/>
        </w:rPr>
        <w:t>13.2. Incidencias técnicas y ciberincidentes</w:t>
      </w:r>
    </w:p>
    <w:p>
      <w:pPr>
        <w:jc w:val="both"/>
      </w:pPr>
      <w:r>
        <w:rPr>
          <w:rFonts w:ascii="Arial" w:hAnsi="Arial" w:cs="Arial"/>
          <w:sz w:val="22"/>
        </w:rPr>
        <w:t>Una incidencia técnica que imposibilite el funcionamiento ordinario del sistema o aplicación puede justificar ampliación de plazos no vencidos hasta resolver el problema. La Administración publicará en sede la incidencia y la ampliación concreta.</w:t>
      </w:r>
    </w:p>
    <w:p>
      <w:pPr>
        <w:jc w:val="both"/>
      </w:pPr>
      <w:r>
        <w:rPr>
          <w:rFonts w:ascii="Arial" w:hAnsi="Arial" w:cs="Arial"/>
          <w:sz w:val="22"/>
        </w:rPr>
        <w:t>Si existe un ciberincidente grave que afecte a servicios y sistemas usados para tramitar procedimientos y ejercer derechos, la Administración puede acordar una ampliación general de plazos.</w:t>
      </w:r>
    </w:p>
    <w:p>
      <w:pPr>
        <w:jc w:val="both"/>
      </w:pPr>
      <w:r>
        <w:rPr>
          <w:rFonts w:ascii="Arial" w:hAnsi="Arial" w:cs="Arial"/>
          <w:sz w:val="22"/>
        </w:rPr>
        <w:t>La previsión evita que un fallo imputable a la infraestructura administrativa perjudique a quien debía actuar electrónicamente.</w:t>
      </w:r>
    </w:p>
    <w:p>
      <w:pPr>
        <w:pStyle w:val="Heading1"/>
        <w:keepNext/>
      </w:pPr>
      <w:r>
        <w:rPr>
          <w:rFonts w:ascii="Arial" w:hAnsi="Arial" w:cs="Arial"/>
          <w:sz w:val="30"/>
        </w:rPr>
        <w:t>14. Tramitación de urgencia</w:t>
      </w:r>
    </w:p>
    <w:p>
      <w:pPr>
        <w:jc w:val="both"/>
      </w:pPr>
      <w:r>
        <w:rPr>
          <w:rFonts w:ascii="Arial" w:hAnsi="Arial" w:cs="Arial"/>
          <w:sz w:val="22"/>
        </w:rPr>
        <w:t>Cuando razones de interés público lo aconsejen, puede acordarse, de oficio o a solicitud, la aplicación de urgencia. Los plazos del procedimiento ordinario se reducen a la mitad, excepto los relativos a:</w:t>
      </w:r>
    </w:p>
    <w:p>
      <w:pPr>
        <w:pStyle w:val="ListBullet"/>
      </w:pPr>
      <w:r>
        <w:rPr>
          <w:rFonts w:ascii="Arial" w:hAnsi="Arial" w:cs="Arial"/>
          <w:sz w:val="22"/>
        </w:rPr>
        <w:t>Presentación de solicitudes.</w:t>
      </w:r>
    </w:p>
    <w:p>
      <w:pPr>
        <w:pStyle w:val="ListBullet"/>
      </w:pPr>
      <w:r>
        <w:rPr>
          <w:rFonts w:ascii="Arial" w:hAnsi="Arial" w:cs="Arial"/>
          <w:sz w:val="22"/>
        </w:rPr>
        <w:t>Interposición de recursos.</w:t>
      </w:r>
    </w:p>
    <w:p>
      <w:pPr>
        <w:jc w:val="both"/>
      </w:pPr>
      <w:r>
        <w:rPr>
          <w:rFonts w:ascii="Arial" w:hAnsi="Arial" w:cs="Arial"/>
          <w:sz w:val="22"/>
        </w:rPr>
        <w:t>Contra el acuerdo no cabe recurso separado, sin perjuicio de alegar su improcedencia al recurrir la resolución final.</w:t>
      </w:r>
    </w:p>
    <w:p>
      <w:pPr>
        <w:jc w:val="both"/>
      </w:pPr>
      <w:r>
        <w:rPr>
          <w:rFonts w:ascii="Arial" w:hAnsi="Arial" w:cs="Arial"/>
          <w:sz w:val="22"/>
        </w:rPr>
        <w:t>Urgencia no equivale a omitir trámites ni a reducir garantías fuera de lo autorizado. Solo comprime plazos y exige una razón de interés público.</w:t>
      </w:r>
    </w:p>
    <w:p>
      <w:pPr>
        <w:pStyle w:val="Heading1"/>
        <w:keepNext/>
      </w:pPr>
      <w:r>
        <w:rPr>
          <w:rFonts w:ascii="Arial" w:hAnsi="Arial" w:cs="Arial"/>
          <w:sz w:val="30"/>
        </w:rPr>
        <w:t>15. Suspensión por emergencias de protección civil</w:t>
      </w:r>
    </w:p>
    <w:p>
      <w:pPr>
        <w:jc w:val="both"/>
      </w:pPr>
      <w:r>
        <w:rPr>
          <w:rFonts w:ascii="Arial" w:hAnsi="Arial" w:cs="Arial"/>
          <w:sz w:val="22"/>
        </w:rPr>
        <w:t xml:space="preserve">La </w:t>
      </w:r>
      <w:r>
        <w:rPr>
          <w:rFonts w:ascii="Arial" w:hAnsi="Arial" w:cs="Arial"/>
          <w:b/>
          <w:sz w:val="22"/>
        </w:rPr>
        <w:t>disposición adicional novena</w:t>
      </w:r>
      <w:r>
        <w:rPr>
          <w:rFonts w:ascii="Arial" w:hAnsi="Arial" w:cs="Arial"/>
          <w:sz w:val="22"/>
        </w:rPr>
        <w:t>, añadida en 2024, permite que el acuerdo del Consejo de Ministros que declare una zona afectada gravemente por una emergencia de protección civil suspenda plazos para cumplir trámites de procedimientos del sector público.</w:t>
      </w:r>
    </w:p>
    <w:p>
      <w:pPr>
        <w:jc w:val="both"/>
      </w:pPr>
      <w:r>
        <w:rPr>
          <w:rFonts w:ascii="Arial" w:hAnsi="Arial" w:cs="Arial"/>
          <w:sz w:val="22"/>
        </w:rPr>
        <w:t>Puede alcanzar:</w:t>
      </w:r>
    </w:p>
    <w:p>
      <w:pPr>
        <w:pStyle w:val="ListBullet"/>
      </w:pPr>
      <w:r>
        <w:rPr>
          <w:rFonts w:ascii="Arial" w:hAnsi="Arial" w:cs="Arial"/>
          <w:sz w:val="22"/>
        </w:rPr>
        <w:t>A interesados residentes en municipios incluidos en el acuerdo.</w:t>
      </w:r>
    </w:p>
    <w:p>
      <w:pPr>
        <w:pStyle w:val="ListBullet"/>
      </w:pPr>
      <w:r>
        <w:rPr>
          <w:rFonts w:ascii="Arial" w:hAnsi="Arial" w:cs="Arial"/>
          <w:sz w:val="22"/>
        </w:rPr>
        <w:t>A otros interesados que acrediten que cumplir resulta imposible o gravoso por los efectos de la emergencia.</w:t>
      </w:r>
    </w:p>
    <w:p>
      <w:pPr>
        <w:jc w:val="both"/>
      </w:pPr>
      <w:r>
        <w:rPr>
          <w:rFonts w:ascii="Arial" w:hAnsi="Arial" w:cs="Arial"/>
          <w:sz w:val="22"/>
        </w:rPr>
        <w:t xml:space="preserve">La suspensión dura hasta un nuevo acuerdo del Consejo de Ministros que declare su finalización. Entonces se </w:t>
      </w:r>
      <w:r>
        <w:rPr>
          <w:rFonts w:ascii="Arial" w:hAnsi="Arial" w:cs="Arial"/>
          <w:b/>
          <w:sz w:val="22"/>
        </w:rPr>
        <w:t>reanudarán</w:t>
      </w:r>
      <w:r>
        <w:rPr>
          <w:rFonts w:ascii="Arial" w:hAnsi="Arial" w:cs="Arial"/>
          <w:sz w:val="22"/>
        </w:rPr>
        <w:t xml:space="preserve"> los plazos suspendidos: continúa el tiempo restante, no nace automáticamente un plazo entero.</w:t>
      </w:r>
    </w:p>
    <w:p>
      <w:pPr>
        <w:spacing w:after="100"/>
        <w:ind w:left="340" w:right="227"/>
        <w:shd w:fill="EAF2F8"/>
      </w:pPr>
      <w:r>
        <w:rPr>
          <w:rFonts w:ascii="Arial" w:hAnsi="Arial" w:cs="Arial"/>
          <w:b/>
          <w:sz w:val="20"/>
        </w:rPr>
        <w:t>Actualización 2026:</w:t>
      </w:r>
      <w:r>
        <w:rPr>
          <w:rFonts w:ascii="Arial" w:hAnsi="Arial" w:cs="Arial"/>
          <w:sz w:val="20"/>
        </w:rPr>
        <w:t xml:space="preserve"> esta disposición es la modificación más reciente del texto consolidado de la LPAC disponible a la fecha de corte; se publicó el 6 de noviembre de 2024 y entró en vigor el día 7.</w:t>
      </w:r>
    </w:p>
    <w:p>
      <w:pPr>
        <w:pStyle w:val="Heading1"/>
        <w:keepNext/>
      </w:pPr>
      <w:r>
        <w:rPr>
          <w:rFonts w:ascii="Arial" w:hAnsi="Arial" w:cs="Arial"/>
          <w:sz w:val="30"/>
        </w:rPr>
        <w:t>16. Cuadros integrados de repaso</w:t>
      </w:r>
    </w:p>
    <w:p>
      <w:pPr>
        <w:pStyle w:val="Heading2"/>
        <w:keepNext/>
      </w:pPr>
      <w:r>
        <w:rPr>
          <w:rFonts w:ascii="Arial" w:hAnsi="Arial" w:cs="Arial"/>
          <w:sz w:val="25"/>
        </w:rPr>
        <w:t>16.1. Capacidad, interés y representación</w:t>
      </w:r>
    </w:p>
    <w:tbl>
      <w:tblPr>
        <w:tblStyle w:val="TableGrid"/>
        <w:tblW w:type="dxa" w:w="9026"/>
        <w:jc w:val="left"/>
        <w:tblLayout w:type="fixed"/>
        <w:tblLook w:firstColumn="1" w:firstRow="1" w:lastColumn="0" w:lastRow="0" w:noHBand="0" w:noVBand="1" w:val="04A0"/>
        <w:tblInd w:w="120" w:type="dxa"/>
      </w:tblPr>
      <w:tblGrid>
        <w:gridCol w:w="2106"/>
        <w:gridCol w:w="6920"/>
      </w:tblGrid>
      <w:tr>
        <w:trPr>
          <w:tblHeader w:val="true"/>
        </w:trPr>
        <w:tc>
          <w:tcPr>
            <w:tcW w:type="dxa" w:w="210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w:t>
            </w:r>
          </w:p>
        </w:tc>
        <w:tc>
          <w:tcPr>
            <w:tcW w:type="dxa" w:w="692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 que responde</w:t>
            </w:r>
          </w:p>
        </w:tc>
      </w:tr>
      <w:tr>
        <w:tc>
          <w:tcPr>
            <w:tcW w:type="dxa" w:w="2106"/>
            <w:tcMar>
              <w:top w:w="80" w:type="dxa"/>
              <w:start w:w="120" w:type="dxa"/>
              <w:bottom w:w="80" w:type="dxa"/>
              <w:end w:w="120" w:type="dxa"/>
            </w:tcMar>
            <w:vAlign w:val="center"/>
          </w:tcPr>
          <w:p>
            <w:pPr>
              <w:spacing w:before="0" w:after="0" w:line="240" w:lineRule="auto"/>
              <w:jc w:val="left"/>
            </w:pPr>
            <w:r/>
            <w:r>
              <w:rPr>
                <w:rFonts w:ascii="Arial" w:hAnsi="Arial" w:cs="Arial"/>
                <w:sz w:val="18"/>
              </w:rPr>
              <w:t>Capacidad</w:t>
            </w:r>
          </w:p>
        </w:tc>
        <w:tc>
          <w:tcPr>
            <w:tcW w:type="dxa" w:w="6920"/>
            <w:tcMar>
              <w:top w:w="80" w:type="dxa"/>
              <w:start w:w="120" w:type="dxa"/>
              <w:bottom w:w="80" w:type="dxa"/>
              <w:end w:w="120" w:type="dxa"/>
            </w:tcMar>
            <w:vAlign w:val="center"/>
          </w:tcPr>
          <w:p>
            <w:pPr>
              <w:spacing w:before="0" w:after="0" w:line="240" w:lineRule="auto"/>
              <w:jc w:val="left"/>
            </w:pPr>
            <w:r/>
            <w:r>
              <w:rPr>
                <w:rFonts w:ascii="Arial" w:hAnsi="Arial" w:cs="Arial"/>
                <w:sz w:val="18"/>
              </w:rPr>
              <w:t>¿Puede actuar válidamente ante la Administración?</w:t>
            </w:r>
          </w:p>
        </w:tc>
      </w:tr>
      <w:tr>
        <w:tc>
          <w:tcPr>
            <w:tcW w:type="dxa" w:w="2106"/>
            <w:tcMar>
              <w:top w:w="80" w:type="dxa"/>
              <w:start w:w="120" w:type="dxa"/>
              <w:bottom w:w="80" w:type="dxa"/>
              <w:end w:w="120" w:type="dxa"/>
            </w:tcMar>
            <w:vAlign w:val="center"/>
          </w:tcPr>
          <w:p>
            <w:pPr>
              <w:spacing w:before="0" w:after="0" w:line="240" w:lineRule="auto"/>
              <w:jc w:val="left"/>
            </w:pPr>
            <w:r/>
            <w:r>
              <w:rPr>
                <w:rFonts w:ascii="Arial" w:hAnsi="Arial" w:cs="Arial"/>
                <w:sz w:val="18"/>
              </w:rPr>
              <w:t>Interesado</w:t>
            </w:r>
          </w:p>
        </w:tc>
        <w:tc>
          <w:tcPr>
            <w:tcW w:type="dxa" w:w="6920"/>
            <w:tcMar>
              <w:top w:w="80" w:type="dxa"/>
              <w:start w:w="120" w:type="dxa"/>
              <w:bottom w:w="80" w:type="dxa"/>
              <w:end w:w="120" w:type="dxa"/>
            </w:tcMar>
            <w:vAlign w:val="center"/>
          </w:tcPr>
          <w:p>
            <w:pPr>
              <w:spacing w:before="0" w:after="0" w:line="240" w:lineRule="auto"/>
              <w:jc w:val="left"/>
            </w:pPr>
            <w:r/>
            <w:r>
              <w:rPr>
                <w:rFonts w:ascii="Arial" w:hAnsi="Arial" w:cs="Arial"/>
                <w:sz w:val="18"/>
              </w:rPr>
              <w:t>¿Tiene conexión jurídica concreta con este expediente?</w:t>
            </w:r>
          </w:p>
        </w:tc>
      </w:tr>
      <w:tr>
        <w:tc>
          <w:tcPr>
            <w:tcW w:type="dxa" w:w="2106"/>
            <w:tcMar>
              <w:top w:w="80" w:type="dxa"/>
              <w:start w:w="120" w:type="dxa"/>
              <w:bottom w:w="80" w:type="dxa"/>
              <w:end w:w="120" w:type="dxa"/>
            </w:tcMar>
            <w:vAlign w:val="center"/>
          </w:tcPr>
          <w:p>
            <w:pPr>
              <w:spacing w:before="0" w:after="0" w:line="240" w:lineRule="auto"/>
              <w:jc w:val="left"/>
            </w:pPr>
            <w:r/>
            <w:r>
              <w:rPr>
                <w:rFonts w:ascii="Arial" w:hAnsi="Arial" w:cs="Arial"/>
                <w:sz w:val="18"/>
              </w:rPr>
              <w:t>Representación</w:t>
            </w:r>
          </w:p>
        </w:tc>
        <w:tc>
          <w:tcPr>
            <w:tcW w:type="dxa" w:w="6920"/>
            <w:tcMar>
              <w:top w:w="80" w:type="dxa"/>
              <w:start w:w="120" w:type="dxa"/>
              <w:bottom w:w="80" w:type="dxa"/>
              <w:end w:w="120" w:type="dxa"/>
            </w:tcMar>
            <w:vAlign w:val="center"/>
          </w:tcPr>
          <w:p>
            <w:pPr>
              <w:spacing w:before="0" w:after="0" w:line="240" w:lineRule="auto"/>
              <w:jc w:val="left"/>
            </w:pPr>
            <w:r/>
            <w:r>
              <w:rPr>
                <w:rFonts w:ascii="Arial" w:hAnsi="Arial" w:cs="Arial"/>
                <w:sz w:val="18"/>
              </w:rPr>
              <w:t>¿Actúa por sí o mediante otra persona?</w:t>
            </w:r>
          </w:p>
        </w:tc>
      </w:tr>
      <w:tr>
        <w:tc>
          <w:tcPr>
            <w:tcW w:type="dxa" w:w="2106"/>
            <w:tcMar>
              <w:top w:w="80" w:type="dxa"/>
              <w:start w:w="120" w:type="dxa"/>
              <w:bottom w:w="80" w:type="dxa"/>
              <w:end w:w="120" w:type="dxa"/>
            </w:tcMar>
            <w:vAlign w:val="center"/>
          </w:tcPr>
          <w:p>
            <w:pPr>
              <w:spacing w:before="0" w:after="0" w:line="240" w:lineRule="auto"/>
              <w:jc w:val="left"/>
            </w:pPr>
            <w:r/>
            <w:r>
              <w:rPr>
                <w:rFonts w:ascii="Arial" w:hAnsi="Arial" w:cs="Arial"/>
                <w:sz w:val="18"/>
              </w:rPr>
              <w:t>Identificación</w:t>
            </w:r>
          </w:p>
        </w:tc>
        <w:tc>
          <w:tcPr>
            <w:tcW w:type="dxa" w:w="6920"/>
            <w:tcMar>
              <w:top w:w="80" w:type="dxa"/>
              <w:start w:w="120" w:type="dxa"/>
              <w:bottom w:w="80" w:type="dxa"/>
              <w:end w:w="120" w:type="dxa"/>
            </w:tcMar>
            <w:vAlign w:val="center"/>
          </w:tcPr>
          <w:p>
            <w:pPr>
              <w:spacing w:before="0" w:after="0" w:line="240" w:lineRule="auto"/>
              <w:jc w:val="left"/>
            </w:pPr>
            <w:r/>
            <w:r>
              <w:rPr>
                <w:rFonts w:ascii="Arial" w:hAnsi="Arial" w:cs="Arial"/>
                <w:sz w:val="18"/>
              </w:rPr>
              <w:t>¿Quién realiza el trámite?</w:t>
            </w:r>
          </w:p>
        </w:tc>
      </w:tr>
      <w:tr>
        <w:tc>
          <w:tcPr>
            <w:tcW w:type="dxa" w:w="2106"/>
            <w:tcMar>
              <w:top w:w="80" w:type="dxa"/>
              <w:start w:w="120" w:type="dxa"/>
              <w:bottom w:w="80" w:type="dxa"/>
              <w:end w:w="120" w:type="dxa"/>
            </w:tcMar>
            <w:vAlign w:val="center"/>
          </w:tcPr>
          <w:p>
            <w:pPr>
              <w:spacing w:before="0" w:after="0" w:line="240" w:lineRule="auto"/>
              <w:jc w:val="left"/>
            </w:pPr>
            <w:r/>
            <w:r>
              <w:rPr>
                <w:rFonts w:ascii="Arial" w:hAnsi="Arial" w:cs="Arial"/>
                <w:sz w:val="18"/>
              </w:rPr>
              <w:t>Firma</w:t>
            </w:r>
          </w:p>
        </w:tc>
        <w:tc>
          <w:tcPr>
            <w:tcW w:type="dxa" w:w="6920"/>
            <w:tcMar>
              <w:top w:w="80" w:type="dxa"/>
              <w:start w:w="120" w:type="dxa"/>
              <w:bottom w:w="80" w:type="dxa"/>
              <w:end w:w="120" w:type="dxa"/>
            </w:tcMar>
            <w:vAlign w:val="center"/>
          </w:tcPr>
          <w:p>
            <w:pPr>
              <w:spacing w:before="0" w:after="0" w:line="240" w:lineRule="auto"/>
              <w:jc w:val="left"/>
            </w:pPr>
            <w:r/>
            <w:r>
              <w:rPr>
                <w:rFonts w:ascii="Arial" w:hAnsi="Arial" w:cs="Arial"/>
                <w:sz w:val="18"/>
              </w:rPr>
              <w:t>¿Constan voluntad, consentimiento e integridad?</w:t>
            </w:r>
          </w:p>
        </w:tc>
      </w:tr>
    </w:tbl>
    <w:p>
      <w:pPr>
        <w:spacing w:after="40"/>
      </w:pPr>
    </w:p>
    <w:p>
      <w:pPr>
        <w:pStyle w:val="Heading2"/>
        <w:keepNext/>
      </w:pPr>
      <w:r>
        <w:rPr>
          <w:rFonts w:ascii="Arial" w:hAnsi="Arial" w:cs="Arial"/>
          <w:sz w:val="25"/>
        </w:rPr>
        <w:t>16.2. Cifras esenciales</w:t>
      </w:r>
    </w:p>
    <w:tbl>
      <w:tblPr>
        <w:tblStyle w:val="TableGrid"/>
        <w:tblW w:type="dxa" w:w="9026"/>
        <w:jc w:val="left"/>
        <w:tblLayout w:type="fixed"/>
        <w:tblLook w:firstColumn="1" w:firstRow="1" w:lastColumn="0" w:lastRow="0" w:noHBand="0" w:noVBand="1" w:val="04A0"/>
        <w:tblInd w:w="120" w:type="dxa"/>
      </w:tblPr>
      <w:tblGrid>
        <w:gridCol w:w="4441"/>
        <w:gridCol w:w="4585"/>
      </w:tblGrid>
      <w:tr>
        <w:trPr>
          <w:tblHeader w:val="true"/>
        </w:trPr>
        <w:tc>
          <w:tcPr>
            <w:tcW w:type="dxa" w:w="44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Regla</w:t>
            </w:r>
          </w:p>
        </w:tc>
        <w:tc>
          <w:tcPr>
            <w:tcW w:type="dxa" w:w="458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Cifra</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Subsanar representación</w:t>
            </w:r>
          </w:p>
        </w:tc>
        <w:tc>
          <w:tcPr>
            <w:tcW w:type="dxa" w:w="4585"/>
            <w:tcMar>
              <w:top w:w="80" w:type="dxa"/>
              <w:start w:w="120" w:type="dxa"/>
              <w:bottom w:w="80" w:type="dxa"/>
              <w:end w:w="120" w:type="dxa"/>
            </w:tcMar>
            <w:vAlign w:val="center"/>
          </w:tcPr>
          <w:p>
            <w:pPr>
              <w:spacing w:before="0" w:after="0" w:line="240" w:lineRule="auto"/>
              <w:jc w:val="left"/>
            </w:pPr>
            <w:r/>
            <w:r>
              <w:rPr>
                <w:rFonts w:ascii="Arial" w:hAnsi="Arial" w:cs="Arial"/>
                <w:sz w:val="18"/>
              </w:rPr>
              <w:t>10 días, ampliable por circunstancias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Vigencia máxima de poder inscrito</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5 años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Prórroga máxima de poder</w:t>
            </w:r>
          </w:p>
        </w:tc>
        <w:tc>
          <w:tcPr>
            <w:tcW w:type="dxa" w:w="4585"/>
            <w:tcMar>
              <w:top w:w="80" w:type="dxa"/>
              <w:start w:w="120" w:type="dxa"/>
              <w:bottom w:w="80" w:type="dxa"/>
              <w:end w:w="120" w:type="dxa"/>
            </w:tcMar>
            <w:vAlign w:val="center"/>
          </w:tcPr>
          <w:p>
            <w:pPr>
              <w:spacing w:before="0" w:after="0" w:line="240" w:lineRule="auto"/>
              <w:jc w:val="left"/>
            </w:pPr>
            <w:r/>
            <w:r>
              <w:rPr>
                <w:rFonts w:ascii="Arial" w:hAnsi="Arial" w:cs="Arial"/>
                <w:sz w:val="18"/>
              </w:rPr>
              <w:t>5 años desde inscripción</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Plazo máximo de procedimiento, regla</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Hasta 6 meses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Plazo supletorio sin norma</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Comunicación informativa art. 21.4</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por informe preceptivo</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Máximo 3 meses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Certificado de silencio</w:t>
            </w:r>
          </w:p>
        </w:tc>
        <w:tc>
          <w:tcPr>
            <w:tcW w:type="dxa" w:w="4585"/>
            <w:tcMar>
              <w:top w:w="80" w:type="dxa"/>
              <w:start w:w="120" w:type="dxa"/>
              <w:bottom w:w="80" w:type="dxa"/>
              <w:end w:w="120" w:type="dxa"/>
            </w:tcMar>
            <w:vAlign w:val="center"/>
          </w:tcPr>
          <w:p>
            <w:pPr>
              <w:spacing w:before="0" w:after="0" w:line="240" w:lineRule="auto"/>
              <w:jc w:val="center"/>
            </w:pPr>
            <w:r/>
            <w:r>
              <w:rPr>
                <w:rFonts w:ascii="Arial" w:hAnsi="Arial" w:cs="Arial"/>
                <w:sz w:val="18"/>
              </w:rPr>
              <w:t>15 días</w:t>
            </w:r>
          </w:p>
        </w:tc>
      </w:tr>
      <w:tr>
        <w:tc>
          <w:tcPr>
            <w:tcW w:type="dxa" w:w="4441"/>
            <w:tcMar>
              <w:top w:w="80" w:type="dxa"/>
              <w:start w:w="120" w:type="dxa"/>
              <w:bottom w:w="80" w:type="dxa"/>
              <w:end w:w="120" w:type="dxa"/>
            </w:tcMar>
            <w:vAlign w:val="center"/>
          </w:tcPr>
          <w:p>
            <w:pPr>
              <w:spacing w:before="0" w:after="0" w:line="240" w:lineRule="auto"/>
              <w:jc w:val="left"/>
            </w:pPr>
            <w:r/>
            <w:r>
              <w:rPr>
                <w:rFonts w:ascii="Arial" w:hAnsi="Arial" w:cs="Arial"/>
                <w:sz w:val="18"/>
              </w:rPr>
              <w:t>Ampliación ordinaria de trámite</w:t>
            </w:r>
          </w:p>
        </w:tc>
        <w:tc>
          <w:tcPr>
            <w:tcW w:type="dxa" w:w="4585"/>
            <w:tcMar>
              <w:top w:w="80" w:type="dxa"/>
              <w:start w:w="120" w:type="dxa"/>
              <w:bottom w:w="80" w:type="dxa"/>
              <w:end w:w="120" w:type="dxa"/>
            </w:tcMar>
            <w:vAlign w:val="center"/>
          </w:tcPr>
          <w:p>
            <w:pPr>
              <w:spacing w:before="0" w:after="0" w:line="240" w:lineRule="auto"/>
              <w:jc w:val="left"/>
            </w:pPr>
            <w:r/>
            <w:r>
              <w:rPr>
                <w:rFonts w:ascii="Arial" w:hAnsi="Arial" w:cs="Arial"/>
                <w:sz w:val="18"/>
              </w:rPr>
              <w:t>Máximo mitad del plazo</w:t>
            </w:r>
          </w:p>
        </w:tc>
      </w:tr>
    </w:tbl>
    <w:p>
      <w:pPr>
        <w:spacing w:after="40"/>
      </w:pPr>
    </w:p>
    <w:p>
      <w:pPr>
        <w:pStyle w:val="Heading2"/>
        <w:keepNext/>
      </w:pPr>
      <w:r>
        <w:rPr>
          <w:rFonts w:ascii="Arial" w:hAnsi="Arial" w:cs="Arial"/>
          <w:sz w:val="25"/>
        </w:rPr>
        <w:t>16.3. Falta de resolución</w:t>
      </w:r>
    </w:p>
    <w:tbl>
      <w:tblPr>
        <w:tblStyle w:val="TableGrid"/>
        <w:tblW w:type="dxa" w:w="9026"/>
        <w:jc w:val="left"/>
        <w:tblLayout w:type="fixed"/>
        <w:tblLook w:firstColumn="1" w:firstRow="1" w:lastColumn="0" w:lastRow="0" w:noHBand="0" w:noVBand="1" w:val="04A0"/>
        <w:tblInd w:w="120" w:type="dxa"/>
      </w:tblPr>
      <w:tblGrid>
        <w:gridCol w:w="4132"/>
        <w:gridCol w:w="4894"/>
      </w:tblGrid>
      <w:tr>
        <w:trPr>
          <w:tblHeader w:val="true"/>
        </w:trPr>
        <w:tc>
          <w:tcPr>
            <w:tcW w:type="dxa" w:w="41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Iniciación y contenido</w:t>
            </w:r>
          </w:p>
        </w:tc>
        <w:tc>
          <w:tcPr>
            <w:tcW w:type="dxa" w:w="489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w:t>
            </w:r>
          </w:p>
        </w:tc>
      </w:tr>
      <w:tr>
        <w:tc>
          <w:tcPr>
            <w:tcW w:type="dxa" w:w="4132"/>
            <w:tcMar>
              <w:top w:w="80" w:type="dxa"/>
              <w:start w:w="120" w:type="dxa"/>
              <w:bottom w:w="80" w:type="dxa"/>
              <w:end w:w="120" w:type="dxa"/>
            </w:tcMar>
            <w:vAlign w:val="center"/>
          </w:tcPr>
          <w:p>
            <w:pPr>
              <w:spacing w:before="0" w:after="0" w:line="240" w:lineRule="auto"/>
              <w:jc w:val="left"/>
            </w:pPr>
            <w:r/>
            <w:r>
              <w:rPr>
                <w:rFonts w:ascii="Arial" w:hAnsi="Arial" w:cs="Arial"/>
                <w:sz w:val="18"/>
              </w:rPr>
              <w:t>Solicitud, regla general</w:t>
            </w:r>
          </w:p>
        </w:tc>
        <w:tc>
          <w:tcPr>
            <w:tcW w:type="dxa" w:w="4894"/>
            <w:tcMar>
              <w:top w:w="80" w:type="dxa"/>
              <w:start w:w="120" w:type="dxa"/>
              <w:bottom w:w="80" w:type="dxa"/>
              <w:end w:w="120" w:type="dxa"/>
            </w:tcMar>
            <w:vAlign w:val="center"/>
          </w:tcPr>
          <w:p>
            <w:pPr>
              <w:spacing w:before="0" w:after="0" w:line="240" w:lineRule="auto"/>
              <w:jc w:val="left"/>
            </w:pPr>
            <w:r/>
            <w:r>
              <w:rPr>
                <w:rFonts w:ascii="Arial" w:hAnsi="Arial" w:cs="Arial"/>
                <w:sz w:val="18"/>
              </w:rPr>
              <w:t>Silencio positivo</w:t>
            </w:r>
          </w:p>
        </w:tc>
      </w:tr>
      <w:tr>
        <w:tc>
          <w:tcPr>
            <w:tcW w:type="dxa" w:w="4132"/>
            <w:tcMar>
              <w:top w:w="80" w:type="dxa"/>
              <w:start w:w="120" w:type="dxa"/>
              <w:bottom w:w="80" w:type="dxa"/>
              <w:end w:w="120" w:type="dxa"/>
            </w:tcMar>
            <w:vAlign w:val="center"/>
          </w:tcPr>
          <w:p>
            <w:pPr>
              <w:spacing w:before="0" w:after="0" w:line="240" w:lineRule="auto"/>
              <w:jc w:val="left"/>
            </w:pPr>
            <w:r/>
            <w:r>
              <w:rPr>
                <w:rFonts w:ascii="Arial" w:hAnsi="Arial" w:cs="Arial"/>
                <w:sz w:val="18"/>
              </w:rPr>
              <w:t>Solicitud, excepción legal/UE/internacional</w:t>
            </w:r>
          </w:p>
        </w:tc>
        <w:tc>
          <w:tcPr>
            <w:tcW w:type="dxa" w:w="4894"/>
            <w:tcMar>
              <w:top w:w="80" w:type="dxa"/>
              <w:start w:w="120" w:type="dxa"/>
              <w:bottom w:w="80" w:type="dxa"/>
              <w:end w:w="120" w:type="dxa"/>
            </w:tcMar>
            <w:vAlign w:val="center"/>
          </w:tcPr>
          <w:p>
            <w:pPr>
              <w:spacing w:before="0" w:after="0" w:line="240" w:lineRule="auto"/>
              <w:jc w:val="left"/>
            </w:pPr>
            <w:r/>
            <w:r>
              <w:rPr>
                <w:rFonts w:ascii="Arial" w:hAnsi="Arial" w:cs="Arial"/>
                <w:sz w:val="18"/>
              </w:rPr>
              <w:t>Silencio negativo</w:t>
            </w:r>
          </w:p>
        </w:tc>
      </w:tr>
      <w:tr>
        <w:tc>
          <w:tcPr>
            <w:tcW w:type="dxa" w:w="4132"/>
            <w:tcMar>
              <w:top w:w="80" w:type="dxa"/>
              <w:start w:w="120" w:type="dxa"/>
              <w:bottom w:w="80" w:type="dxa"/>
              <w:end w:w="120" w:type="dxa"/>
            </w:tcMar>
            <w:vAlign w:val="center"/>
          </w:tcPr>
          <w:p>
            <w:pPr>
              <w:spacing w:before="0" w:after="0" w:line="240" w:lineRule="auto"/>
              <w:jc w:val="left"/>
            </w:pPr>
            <w:r/>
            <w:r>
              <w:rPr>
                <w:rFonts w:ascii="Arial" w:hAnsi="Arial" w:cs="Arial"/>
                <w:sz w:val="18"/>
              </w:rPr>
              <w:t>De oficio, posible efecto favorable</w:t>
            </w:r>
          </w:p>
        </w:tc>
        <w:tc>
          <w:tcPr>
            <w:tcW w:type="dxa" w:w="4894"/>
            <w:tcMar>
              <w:top w:w="80" w:type="dxa"/>
              <w:start w:w="120" w:type="dxa"/>
              <w:bottom w:w="80" w:type="dxa"/>
              <w:end w:w="120" w:type="dxa"/>
            </w:tcMar>
            <w:vAlign w:val="center"/>
          </w:tcPr>
          <w:p>
            <w:pPr>
              <w:spacing w:before="0" w:after="0" w:line="240" w:lineRule="auto"/>
              <w:jc w:val="left"/>
            </w:pPr>
            <w:r/>
            <w:r>
              <w:rPr>
                <w:rFonts w:ascii="Arial" w:hAnsi="Arial" w:cs="Arial"/>
                <w:sz w:val="18"/>
              </w:rPr>
              <w:t>Comparecidos entienden desestimadas pretensiones</w:t>
            </w:r>
          </w:p>
        </w:tc>
      </w:tr>
      <w:tr>
        <w:tc>
          <w:tcPr>
            <w:tcW w:type="dxa" w:w="4132"/>
            <w:tcMar>
              <w:top w:w="80" w:type="dxa"/>
              <w:start w:w="120" w:type="dxa"/>
              <w:bottom w:w="80" w:type="dxa"/>
              <w:end w:w="120" w:type="dxa"/>
            </w:tcMar>
            <w:vAlign w:val="center"/>
          </w:tcPr>
          <w:p>
            <w:pPr>
              <w:spacing w:before="0" w:after="0" w:line="240" w:lineRule="auto"/>
              <w:jc w:val="left"/>
            </w:pPr>
            <w:r/>
            <w:r>
              <w:rPr>
                <w:rFonts w:ascii="Arial" w:hAnsi="Arial" w:cs="Arial"/>
                <w:sz w:val="18"/>
              </w:rPr>
              <w:t>De oficio, sanción o gravamen</w:t>
            </w:r>
          </w:p>
        </w:tc>
        <w:tc>
          <w:tcPr>
            <w:tcW w:type="dxa" w:w="4894"/>
            <w:tcMar>
              <w:top w:w="80" w:type="dxa"/>
              <w:start w:w="120" w:type="dxa"/>
              <w:bottom w:w="80" w:type="dxa"/>
              <w:end w:w="120" w:type="dxa"/>
            </w:tcMar>
            <w:vAlign w:val="center"/>
          </w:tcPr>
          <w:p>
            <w:pPr>
              <w:spacing w:before="0" w:after="0" w:line="240" w:lineRule="auto"/>
              <w:jc w:val="left"/>
            </w:pPr>
            <w:r/>
            <w:r>
              <w:rPr>
                <w:rFonts w:ascii="Arial" w:hAnsi="Arial" w:cs="Arial"/>
                <w:sz w:val="18"/>
              </w:rPr>
              <w:t>Caducidad y archivo</w:t>
            </w:r>
          </w:p>
        </w:tc>
      </w:tr>
    </w:tbl>
    <w:p>
      <w:pPr>
        <w:spacing w:after="40"/>
      </w:pPr>
    </w:p>
    <w:p>
      <w:pPr>
        <w:pStyle w:val="Heading1"/>
        <w:keepNext/>
      </w:pPr>
      <w:r>
        <w:rPr>
          <w:rFonts w:ascii="Arial" w:hAnsi="Arial" w:cs="Arial"/>
          <w:sz w:val="30"/>
        </w:rPr>
        <w:t>17. Trampas frecuentes</w:t>
      </w:r>
    </w:p>
    <w:p>
      <w:pPr>
        <w:spacing w:after="40"/>
        <w:ind w:left="369" w:hanging="227"/>
      </w:pPr>
      <w:r>
        <w:rPr>
          <w:rFonts w:ascii="Arial" w:hAnsi="Arial" w:cs="Arial"/>
          <w:sz w:val="22"/>
        </w:rPr>
        <w:t xml:space="preserve">1. </w:t>
      </w:r>
      <w:r>
        <w:rPr>
          <w:rFonts w:ascii="Arial" w:hAnsi="Arial" w:cs="Arial"/>
          <w:b/>
          <w:sz w:val="22"/>
        </w:rPr>
        <w:t>Capacidad no equivale a condición de interesado.</w:t>
      </w:r>
    </w:p>
    <w:p>
      <w:pPr>
        <w:spacing w:after="40"/>
        <w:ind w:left="369" w:hanging="227"/>
      </w:pPr>
      <w:r>
        <w:rPr>
          <w:rFonts w:ascii="Arial" w:hAnsi="Arial" w:cs="Arial"/>
          <w:sz w:val="22"/>
        </w:rPr>
        <w:t xml:space="preserve">2. </w:t>
      </w:r>
      <w:r>
        <w:rPr>
          <w:rFonts w:ascii="Arial" w:hAnsi="Arial" w:cs="Arial"/>
          <w:b/>
          <w:sz w:val="22"/>
        </w:rPr>
        <w:t>Derecho afectado e interés legítimo tienen distinta personación:</w:t>
      </w:r>
      <w:r>
        <w:rPr>
          <w:rFonts w:ascii="Arial" w:hAnsi="Arial" w:cs="Arial"/>
          <w:sz w:val="22"/>
        </w:rPr>
        <w:t xml:space="preserve"> el titular de interés no iniciador debe personarse.</w:t>
      </w:r>
    </w:p>
    <w:p>
      <w:pPr>
        <w:spacing w:after="40"/>
        <w:ind w:left="369" w:hanging="227"/>
      </w:pPr>
      <w:r>
        <w:rPr>
          <w:rFonts w:ascii="Arial" w:hAnsi="Arial" w:cs="Arial"/>
          <w:sz w:val="22"/>
        </w:rPr>
        <w:t xml:space="preserve">3. </w:t>
      </w:r>
      <w:r>
        <w:rPr>
          <w:rFonts w:ascii="Arial" w:hAnsi="Arial" w:cs="Arial"/>
          <w:b/>
          <w:sz w:val="22"/>
        </w:rPr>
        <w:t>Representación de mero trámite se presume;</w:t>
      </w:r>
      <w:r>
        <w:rPr>
          <w:rFonts w:ascii="Arial" w:hAnsi="Arial" w:cs="Arial"/>
          <w:sz w:val="22"/>
        </w:rPr>
        <w:t xml:space="preserve"> solicitud, declaración, recurso, desistimiento y renuncia exigen acreditación.</w:t>
      </w:r>
    </w:p>
    <w:p>
      <w:pPr>
        <w:spacing w:after="40"/>
        <w:ind w:left="369" w:hanging="227"/>
      </w:pPr>
      <w:r>
        <w:rPr>
          <w:rFonts w:ascii="Arial" w:hAnsi="Arial" w:cs="Arial"/>
          <w:sz w:val="22"/>
        </w:rPr>
        <w:t xml:space="preserve">4. </w:t>
      </w:r>
      <w:r>
        <w:rPr>
          <w:rFonts w:ascii="Arial" w:hAnsi="Arial" w:cs="Arial"/>
          <w:b/>
          <w:sz w:val="22"/>
        </w:rPr>
        <w:t>La representación defectuosa puede subsanarse</w:t>
      </w:r>
      <w:r>
        <w:rPr>
          <w:rFonts w:ascii="Arial" w:hAnsi="Arial" w:cs="Arial"/>
          <w:sz w:val="22"/>
        </w:rPr>
        <w:t xml:space="preserve"> en diez días o plazo superior concedido.</w:t>
      </w:r>
    </w:p>
    <w:p>
      <w:pPr>
        <w:spacing w:after="40"/>
        <w:ind w:left="369" w:hanging="227"/>
      </w:pPr>
      <w:r>
        <w:rPr>
          <w:rFonts w:ascii="Arial" w:hAnsi="Arial" w:cs="Arial"/>
          <w:sz w:val="22"/>
        </w:rPr>
        <w:t xml:space="preserve">5. </w:t>
      </w:r>
      <w:r>
        <w:rPr>
          <w:rFonts w:ascii="Arial" w:hAnsi="Arial" w:cs="Arial"/>
          <w:b/>
          <w:sz w:val="22"/>
        </w:rPr>
        <w:t>Identificación no equivale a firma.</w:t>
      </w:r>
      <w:r>
        <w:rPr>
          <w:rFonts w:ascii="Arial" w:hAnsi="Arial" w:cs="Arial"/>
          <w:sz w:val="22"/>
        </w:rPr>
        <w:t xml:space="preserve"> La firma solo se exige en los cinco supuestos del artículo 11.</w:t>
      </w:r>
    </w:p>
    <w:p>
      <w:pPr>
        <w:spacing w:after="40"/>
        <w:ind w:left="369" w:hanging="227"/>
      </w:pPr>
      <w:r>
        <w:rPr>
          <w:rFonts w:ascii="Arial" w:hAnsi="Arial" w:cs="Arial"/>
          <w:sz w:val="22"/>
        </w:rPr>
        <w:t xml:space="preserve">6. </w:t>
      </w:r>
      <w:r>
        <w:rPr>
          <w:rFonts w:ascii="Arial" w:hAnsi="Arial" w:cs="Arial"/>
          <w:b/>
          <w:sz w:val="22"/>
        </w:rPr>
        <w:t>Los derechos del artículo 13 son generales;</w:t>
      </w:r>
      <w:r>
        <w:rPr>
          <w:rFonts w:ascii="Arial" w:hAnsi="Arial" w:cs="Arial"/>
          <w:sz w:val="22"/>
        </w:rPr>
        <w:t xml:space="preserve"> los del 53 pertenecen al interesado en un expediente.</w:t>
      </w:r>
    </w:p>
    <w:p>
      <w:pPr>
        <w:spacing w:after="40"/>
        <w:ind w:left="369" w:hanging="227"/>
      </w:pPr>
      <w:r>
        <w:rPr>
          <w:rFonts w:ascii="Arial" w:hAnsi="Arial" w:cs="Arial"/>
          <w:sz w:val="22"/>
        </w:rPr>
        <w:t xml:space="preserve">7. </w:t>
      </w:r>
      <w:r>
        <w:rPr>
          <w:rFonts w:ascii="Arial" w:hAnsi="Arial" w:cs="Arial"/>
          <w:b/>
          <w:sz w:val="22"/>
        </w:rPr>
        <w:t>El plazo máximo es para resolver y notificar,</w:t>
      </w:r>
      <w:r>
        <w:rPr>
          <w:rFonts w:ascii="Arial" w:hAnsi="Arial" w:cs="Arial"/>
          <w:sz w:val="22"/>
        </w:rPr>
        <w:t xml:space="preserve"> no solo para firmar la resolución.</w:t>
      </w:r>
    </w:p>
    <w:p>
      <w:pPr>
        <w:spacing w:after="40"/>
        <w:ind w:left="369" w:hanging="227"/>
      </w:pPr>
      <w:r>
        <w:rPr>
          <w:rFonts w:ascii="Arial" w:hAnsi="Arial" w:cs="Arial"/>
          <w:sz w:val="22"/>
        </w:rPr>
        <w:t xml:space="preserve">8. </w:t>
      </w:r>
      <w:r>
        <w:rPr>
          <w:rFonts w:ascii="Arial" w:hAnsi="Arial" w:cs="Arial"/>
          <w:b/>
          <w:sz w:val="22"/>
        </w:rPr>
        <w:t>Seis meses no es siempre el plazo:</w:t>
      </w:r>
      <w:r>
        <w:rPr>
          <w:rFonts w:ascii="Arial" w:hAnsi="Arial" w:cs="Arial"/>
          <w:sz w:val="22"/>
        </w:rPr>
        <w:t xml:space="preserve"> es el tope general; sin plazo específico rigen tres meses.</w:t>
      </w:r>
    </w:p>
    <w:p>
      <w:pPr>
        <w:spacing w:after="40"/>
        <w:ind w:left="369" w:hanging="227"/>
      </w:pPr>
      <w:r>
        <w:rPr>
          <w:rFonts w:ascii="Arial" w:hAnsi="Arial" w:cs="Arial"/>
          <w:sz w:val="22"/>
        </w:rPr>
        <w:t xml:space="preserve">9. </w:t>
      </w:r>
      <w:r>
        <w:rPr>
          <w:rFonts w:ascii="Arial" w:hAnsi="Arial" w:cs="Arial"/>
          <w:b/>
          <w:sz w:val="22"/>
        </w:rPr>
        <w:t>Silencio no elimina obligación de resolver.</w:t>
      </w:r>
    </w:p>
    <w:p>
      <w:pPr>
        <w:spacing w:after="40"/>
        <w:ind w:left="369" w:hanging="227"/>
      </w:pPr>
      <w:r>
        <w:rPr>
          <w:rFonts w:ascii="Arial" w:hAnsi="Arial" w:cs="Arial"/>
          <w:sz w:val="22"/>
        </w:rPr>
        <w:t xml:space="preserve">10. </w:t>
      </w:r>
      <w:r>
        <w:rPr>
          <w:rFonts w:ascii="Arial" w:hAnsi="Arial" w:cs="Arial"/>
          <w:b/>
          <w:sz w:val="22"/>
        </w:rPr>
        <w:t>Silencio positivo es acto; negativo es ficción impugnatoria.</w:t>
      </w:r>
    </w:p>
    <w:p>
      <w:pPr>
        <w:spacing w:after="40"/>
        <w:ind w:left="369" w:hanging="227"/>
      </w:pPr>
      <w:r>
        <w:rPr>
          <w:rFonts w:ascii="Arial" w:hAnsi="Arial" w:cs="Arial"/>
          <w:sz w:val="22"/>
        </w:rPr>
        <w:t xml:space="preserve">11. </w:t>
      </w:r>
      <w:r>
        <w:rPr>
          <w:rFonts w:ascii="Arial" w:hAnsi="Arial" w:cs="Arial"/>
          <w:b/>
          <w:sz w:val="22"/>
        </w:rPr>
        <w:t>En positivo, la resolución tardía solo confirma;</w:t>
      </w:r>
      <w:r>
        <w:rPr>
          <w:rFonts w:ascii="Arial" w:hAnsi="Arial" w:cs="Arial"/>
          <w:sz w:val="22"/>
        </w:rPr>
        <w:t xml:space="preserve"> en negativo, no queda vinculada.</w:t>
      </w:r>
    </w:p>
    <w:p>
      <w:pPr>
        <w:spacing w:after="40"/>
        <w:ind w:left="369" w:hanging="227"/>
      </w:pPr>
      <w:r>
        <w:rPr>
          <w:rFonts w:ascii="Arial" w:hAnsi="Arial" w:cs="Arial"/>
          <w:sz w:val="22"/>
        </w:rPr>
        <w:t xml:space="preserve">12. </w:t>
      </w:r>
      <w:r>
        <w:rPr>
          <w:rFonts w:ascii="Arial" w:hAnsi="Arial" w:cs="Arial"/>
          <w:b/>
          <w:sz w:val="22"/>
        </w:rPr>
        <w:t>En procedimientos desfavorables de oficio hay caducidad,</w:t>
      </w:r>
      <w:r>
        <w:rPr>
          <w:rFonts w:ascii="Arial" w:hAnsi="Arial" w:cs="Arial"/>
          <w:sz w:val="22"/>
        </w:rPr>
        <w:t xml:space="preserve"> no silencio positivo.</w:t>
      </w:r>
    </w:p>
    <w:p>
      <w:pPr>
        <w:spacing w:after="40"/>
        <w:ind w:left="369" w:hanging="227"/>
      </w:pPr>
      <w:r>
        <w:rPr>
          <w:rFonts w:ascii="Arial" w:hAnsi="Arial" w:cs="Arial"/>
          <w:sz w:val="22"/>
        </w:rPr>
        <w:t xml:space="preserve">13. </w:t>
      </w:r>
      <w:r>
        <w:rPr>
          <w:rFonts w:ascii="Arial" w:hAnsi="Arial" w:cs="Arial"/>
          <w:b/>
          <w:sz w:val="22"/>
        </w:rPr>
        <w:t>Sábados son inhábiles</w:t>
      </w:r>
      <w:r>
        <w:rPr>
          <w:rFonts w:ascii="Arial" w:hAnsi="Arial" w:cs="Arial"/>
          <w:sz w:val="22"/>
        </w:rPr>
        <w:t xml:space="preserve"> en el cómputo administrativo por días.</w:t>
      </w:r>
    </w:p>
    <w:p>
      <w:pPr>
        <w:spacing w:after="40"/>
        <w:ind w:left="369" w:hanging="227"/>
      </w:pPr>
      <w:r>
        <w:rPr>
          <w:rFonts w:ascii="Arial" w:hAnsi="Arial" w:cs="Arial"/>
          <w:sz w:val="22"/>
        </w:rPr>
        <w:t xml:space="preserve">14. </w:t>
      </w:r>
      <w:r>
        <w:rPr>
          <w:rFonts w:ascii="Arial" w:hAnsi="Arial" w:cs="Arial"/>
          <w:b/>
          <w:sz w:val="22"/>
        </w:rPr>
        <w:t>Mes no significa treinta días.</w:t>
      </w:r>
    </w:p>
    <w:p>
      <w:pPr>
        <w:spacing w:after="40"/>
        <w:ind w:left="369" w:hanging="227"/>
      </w:pPr>
      <w:r>
        <w:rPr>
          <w:rFonts w:ascii="Arial" w:hAnsi="Arial" w:cs="Arial"/>
          <w:sz w:val="22"/>
        </w:rPr>
        <w:t xml:space="preserve">15. </w:t>
      </w:r>
      <w:r>
        <w:rPr>
          <w:rFonts w:ascii="Arial" w:hAnsi="Arial" w:cs="Arial"/>
          <w:b/>
          <w:sz w:val="22"/>
        </w:rPr>
        <w:t>Registro 24/7 no hace hábil el domingo.</w:t>
      </w:r>
    </w:p>
    <w:p>
      <w:pPr>
        <w:spacing w:after="40"/>
        <w:ind w:left="369" w:hanging="227"/>
      </w:pPr>
      <w:r>
        <w:rPr>
          <w:rFonts w:ascii="Arial" w:hAnsi="Arial" w:cs="Arial"/>
          <w:sz w:val="22"/>
        </w:rPr>
        <w:t xml:space="preserve">16. </w:t>
      </w:r>
      <w:r>
        <w:rPr>
          <w:rFonts w:ascii="Arial" w:hAnsi="Arial" w:cs="Arial"/>
          <w:b/>
          <w:sz w:val="22"/>
        </w:rPr>
        <w:t>La ampliación ordinaria no excede la mitad</w:t>
      </w:r>
      <w:r>
        <w:rPr>
          <w:rFonts w:ascii="Arial" w:hAnsi="Arial" w:cs="Arial"/>
          <w:sz w:val="22"/>
        </w:rPr>
        <w:t xml:space="preserve"> y nunca revive un plazo vencido.</w:t>
      </w:r>
    </w:p>
    <w:p>
      <w:pPr>
        <w:spacing w:after="40"/>
        <w:ind w:left="369" w:hanging="227"/>
      </w:pPr>
      <w:r>
        <w:rPr>
          <w:rFonts w:ascii="Arial" w:hAnsi="Arial" w:cs="Arial"/>
          <w:sz w:val="22"/>
        </w:rPr>
        <w:t xml:space="preserve">17. </w:t>
      </w:r>
      <w:r>
        <w:rPr>
          <w:rFonts w:ascii="Arial" w:hAnsi="Arial" w:cs="Arial"/>
          <w:b/>
          <w:sz w:val="22"/>
        </w:rPr>
        <w:t>Urgencia no reduce solicitud ni recurso.</w:t>
      </w:r>
    </w:p>
    <w:p>
      <w:pPr>
        <w:spacing w:after="40"/>
        <w:ind w:left="369" w:hanging="227"/>
      </w:pPr>
      <w:r>
        <w:rPr>
          <w:rFonts w:ascii="Arial" w:hAnsi="Arial" w:cs="Arial"/>
          <w:sz w:val="22"/>
        </w:rPr>
        <w:t xml:space="preserve">18. </w:t>
      </w:r>
      <w:r>
        <w:rPr>
          <w:rFonts w:ascii="Arial" w:hAnsi="Arial" w:cs="Arial"/>
          <w:b/>
          <w:sz w:val="22"/>
        </w:rPr>
        <w:t>Suspender conserva el tiempo restante;</w:t>
      </w:r>
      <w:r>
        <w:rPr>
          <w:rFonts w:ascii="Arial" w:hAnsi="Arial" w:cs="Arial"/>
          <w:sz w:val="22"/>
        </w:rPr>
        <w:t xml:space="preserve"> no equivale a conceder un plazo nuevo.</w:t>
      </w:r>
    </w:p>
    <w:p>
      <w:pPr>
        <w:pStyle w:val="Heading1"/>
        <w:keepNext/>
      </w:pPr>
      <w:r>
        <w:rPr>
          <w:rFonts w:ascii="Arial" w:hAnsi="Arial" w:cs="Arial"/>
          <w:sz w:val="30"/>
        </w:rPr>
        <w:t>18. Resumen final de memoria</w:t>
      </w:r>
    </w:p>
    <w:p>
      <w:pPr>
        <w:pStyle w:val="ListBullet"/>
      </w:pPr>
      <w:r>
        <w:rPr>
          <w:rFonts w:ascii="Arial" w:hAnsi="Arial" w:cs="Arial"/>
          <w:sz w:val="22"/>
        </w:rPr>
        <w:t>El procedimiento es el cauce legal para formar la voluntad administrativa con eficacia y garantías.</w:t>
      </w:r>
    </w:p>
    <w:p>
      <w:pPr>
        <w:pStyle w:val="ListBullet"/>
      </w:pPr>
      <w:r>
        <w:rPr>
          <w:rFonts w:ascii="Arial" w:hAnsi="Arial" w:cs="Arial"/>
          <w:sz w:val="22"/>
        </w:rPr>
        <w:t>La LPAC es común a todas las Administraciones, sin perjuicio de especialidades legales y de procedimientos materiales específicos.</w:t>
      </w:r>
    </w:p>
    <w:p>
      <w:pPr>
        <w:pStyle w:val="ListBullet"/>
      </w:pPr>
      <w:r>
        <w:rPr>
          <w:rFonts w:ascii="Arial" w:hAnsi="Arial" w:cs="Arial"/>
          <w:sz w:val="22"/>
        </w:rPr>
        <w:t>Capacidad es aptitud general; interesado es quien tiene derecho o interés legítimo conectado con la decisión.</w:t>
      </w:r>
    </w:p>
    <w:p>
      <w:pPr>
        <w:pStyle w:val="ListBullet"/>
      </w:pPr>
      <w:r>
        <w:rPr>
          <w:rFonts w:ascii="Arial" w:hAnsi="Arial" w:cs="Arial"/>
          <w:sz w:val="22"/>
        </w:rPr>
        <w:t>Puede actuarse por representante; la acreditación es obligatoria en solicitud, declaración/comunicación, recurso, desistimiento y renuncia.</w:t>
      </w:r>
    </w:p>
    <w:p>
      <w:pPr>
        <w:pStyle w:val="ListBullet"/>
      </w:pPr>
      <w:r>
        <w:rPr>
          <w:rFonts w:ascii="Arial" w:hAnsi="Arial" w:cs="Arial"/>
          <w:sz w:val="22"/>
        </w:rPr>
        <w:t>El poder inscrito y su prórroga no pueden superar cinco años cada uno en los términos legales.</w:t>
      </w:r>
    </w:p>
    <w:p>
      <w:pPr>
        <w:pStyle w:val="ListBullet"/>
      </w:pPr>
      <w:r>
        <w:rPr>
          <w:rFonts w:ascii="Arial" w:hAnsi="Arial" w:cs="Arial"/>
          <w:sz w:val="22"/>
        </w:rPr>
        <w:t>Identificar prueba quién actúa; firmar acredita voluntad, consentimiento e integridad.</w:t>
      </w:r>
    </w:p>
    <w:p>
      <w:pPr>
        <w:pStyle w:val="ListBullet"/>
      </w:pPr>
      <w:r>
        <w:rPr>
          <w:rFonts w:ascii="Arial" w:hAnsi="Arial" w:cs="Arial"/>
          <w:sz w:val="22"/>
        </w:rPr>
        <w:t>El artículo 13 reconoce derechos generales y el 53 derechos adicionales dentro del procedimiento.</w:t>
      </w:r>
    </w:p>
    <w:p>
      <w:pPr>
        <w:pStyle w:val="ListBullet"/>
      </w:pPr>
      <w:r>
        <w:rPr>
          <w:rFonts w:ascii="Arial" w:hAnsi="Arial" w:cs="Arial"/>
          <w:sz w:val="22"/>
        </w:rPr>
        <w:t>La Administración debe resolver y notificar; el máximo específico no excede normalmente seis meses y, si falta, es tres.</w:t>
      </w:r>
    </w:p>
    <w:p>
      <w:pPr>
        <w:pStyle w:val="ListBullet"/>
      </w:pPr>
      <w:r>
        <w:rPr>
          <w:rFonts w:ascii="Arial" w:hAnsi="Arial" w:cs="Arial"/>
          <w:sz w:val="22"/>
        </w:rPr>
        <w:t>El silencio en solicitudes es positivo como regla y negativo en excepciones tasadas.</w:t>
      </w:r>
    </w:p>
    <w:p>
      <w:pPr>
        <w:pStyle w:val="ListBullet"/>
      </w:pPr>
      <w:r>
        <w:rPr>
          <w:rFonts w:ascii="Arial" w:hAnsi="Arial" w:cs="Arial"/>
          <w:sz w:val="22"/>
        </w:rPr>
        <w:t>El positivo es acto finalizador; el negativo solo habilita para recurrir.</w:t>
      </w:r>
    </w:p>
    <w:p>
      <w:pPr>
        <w:pStyle w:val="ListBullet"/>
      </w:pPr>
      <w:r>
        <w:rPr>
          <w:rFonts w:ascii="Arial" w:hAnsi="Arial" w:cs="Arial"/>
          <w:sz w:val="22"/>
        </w:rPr>
        <w:t>En procedimientos desfavorables iniciados de oficio, la falta de resolución produce caducidad.</w:t>
      </w:r>
    </w:p>
    <w:p>
      <w:pPr>
        <w:pStyle w:val="ListBullet"/>
      </w:pPr>
      <w:r>
        <w:rPr>
          <w:rFonts w:ascii="Arial" w:hAnsi="Arial" w:cs="Arial"/>
          <w:sz w:val="22"/>
        </w:rPr>
        <w:t>Los días son hábiles salvo previsión; se excluyen sábados, domingos y festivos.</w:t>
      </w:r>
    </w:p>
    <w:p>
      <w:pPr>
        <w:pStyle w:val="ListBullet"/>
      </w:pPr>
      <w:r>
        <w:rPr>
          <w:rFonts w:ascii="Arial" w:hAnsi="Arial" w:cs="Arial"/>
          <w:sz w:val="22"/>
        </w:rPr>
        <w:t>Los meses y años se cuentan de fecha a fecha; si el último día es inhábil, pasa al siguiente hábil.</w:t>
      </w:r>
    </w:p>
    <w:p>
      <w:pPr>
        <w:pStyle w:val="ListBullet"/>
      </w:pPr>
      <w:r>
        <w:rPr>
          <w:rFonts w:ascii="Arial" w:hAnsi="Arial" w:cs="Arial"/>
          <w:sz w:val="22"/>
        </w:rPr>
        <w:t>El registro funciona 24 horas, pero aplica su calendario a efectos de imputación.</w:t>
      </w:r>
    </w:p>
    <w:p>
      <w:pPr>
        <w:pStyle w:val="ListBullet"/>
      </w:pPr>
      <w:r>
        <w:rPr>
          <w:rFonts w:ascii="Arial" w:hAnsi="Arial" w:cs="Arial"/>
          <w:sz w:val="22"/>
        </w:rPr>
        <w:t>La ampliación de trámite no excede la mitad; la urgencia reduce a la mitad salvo solicitudes y recursos.</w:t>
      </w:r>
    </w:p>
    <w:p>
      <w:pPr>
        <w:pStyle w:val="ListBullet"/>
      </w:pPr>
      <w:r>
        <w:rPr>
          <w:rFonts w:ascii="Arial" w:hAnsi="Arial" w:cs="Arial"/>
          <w:sz w:val="22"/>
        </w:rPr>
        <w:t>La disposición adicional novena permite suspensión de plazos por declaración de zona gravemente afectada por emergencia.</w:t>
      </w:r>
    </w:p>
    <w:p>
      <w:pPr>
        <w:pStyle w:val="Heading1"/>
        <w:keepNext/>
      </w:pPr>
      <w:r>
        <w:rPr>
          <w:rFonts w:ascii="Arial" w:hAnsi="Arial" w:cs="Arial"/>
          <w:sz w:val="30"/>
        </w:rPr>
        <w:t>19. Datos preguntables</w:t>
      </w:r>
    </w:p>
    <w:tbl>
      <w:tblPr>
        <w:tblStyle w:val="TableGrid"/>
        <w:tblW w:type="dxa" w:w="9026"/>
        <w:jc w:val="left"/>
        <w:tblLayout w:type="fixed"/>
        <w:tblLook w:firstColumn="1" w:firstRow="1" w:lastColumn="0" w:lastRow="0" w:noHBand="0" w:noVBand="1" w:val="04A0"/>
        <w:tblInd w:w="120" w:type="dxa"/>
      </w:tblPr>
      <w:tblGrid>
        <w:gridCol w:w="4176"/>
        <w:gridCol w:w="4850"/>
      </w:tblGrid>
      <w:tr>
        <w:trPr>
          <w:tblHeader w:val="true"/>
        </w:trPr>
        <w:tc>
          <w:tcPr>
            <w:tcW w:type="dxa" w:w="417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Dato</w:t>
            </w:r>
          </w:p>
        </w:tc>
        <w:tc>
          <w:tcPr>
            <w:tcW w:type="dxa" w:w="485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Respuesta</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Capacidad de obrar</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3</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Concepto de interesado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4</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Representación</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5</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Registro de apoderamientos</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6</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Subsanación de representación</w:t>
            </w:r>
          </w:p>
        </w:tc>
        <w:tc>
          <w:tcPr>
            <w:tcW w:type="dxa" w:w="4850"/>
            <w:tcMar>
              <w:top w:w="80" w:type="dxa"/>
              <w:start w:w="120" w:type="dxa"/>
              <w:bottom w:w="80" w:type="dxa"/>
              <w:end w:w="120" w:type="dxa"/>
            </w:tcMar>
            <w:vAlign w:val="center"/>
          </w:tcPr>
          <w:p>
            <w:pPr>
              <w:spacing w:before="0" w:after="0" w:line="240" w:lineRule="auto"/>
              <w:jc w:val="left"/>
            </w:pPr>
            <w:r/>
            <w:r>
              <w:rPr>
                <w:rFonts w:ascii="Arial" w:hAnsi="Arial" w:cs="Arial"/>
                <w:sz w:val="18"/>
              </w:rPr>
              <w:t>10 días o superior concedido</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Vigencia máxima del poder</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5 años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Identificación</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9</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Firma</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10</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Trámites con firma obligatoria</w:t>
            </w:r>
          </w:p>
        </w:tc>
        <w:tc>
          <w:tcPr>
            <w:tcW w:type="dxa" w:w="4850"/>
            <w:tcMar>
              <w:top w:w="80" w:type="dxa"/>
              <w:start w:w="120" w:type="dxa"/>
              <w:bottom w:w="80" w:type="dxa"/>
              <w:end w:w="120" w:type="dxa"/>
            </w:tcMar>
            <w:vAlign w:val="center"/>
          </w:tcPr>
          <w:p>
            <w:pPr>
              <w:spacing w:before="0" w:after="0" w:line="240" w:lineRule="auto"/>
              <w:jc w:val="left"/>
            </w:pPr>
            <w:r/>
            <w:r>
              <w:rPr>
                <w:rFonts w:ascii="Arial" w:hAnsi="Arial" w:cs="Arial"/>
                <w:sz w:val="18"/>
              </w:rPr>
              <w:t>Artículo 11, cinco supuestos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Asistencia electrónica</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12</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Derechos generales</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13</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Obligación de resolver</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21</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Tope ordinario del plazo máximo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6 meses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Plazo supletorio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Suspensión del plazo máximo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22</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Máximo de suspensión por informe</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Silencio a solicitud</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24</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Certificado de silencio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15 días</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Falta de resolución de oficio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25</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Obligatoriedad de términos y plazos</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29</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Reglas de cómputo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30</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Registro electrónico</w:t>
            </w:r>
          </w:p>
        </w:tc>
        <w:tc>
          <w:tcPr>
            <w:tcW w:type="dxa" w:w="4850"/>
            <w:tcMar>
              <w:top w:w="80" w:type="dxa"/>
              <w:start w:w="120" w:type="dxa"/>
              <w:bottom w:w="80" w:type="dxa"/>
              <w:end w:w="120" w:type="dxa"/>
            </w:tcMar>
            <w:vAlign w:val="center"/>
          </w:tcPr>
          <w:p>
            <w:pPr>
              <w:spacing w:before="0" w:after="0" w:line="240" w:lineRule="auto"/>
              <w:jc w:val="center"/>
            </w:pPr>
            <w:r/>
            <w:r>
              <w:rPr>
                <w:rFonts w:ascii="Arial" w:hAnsi="Arial" w:cs="Arial"/>
                <w:sz w:val="18"/>
              </w:rPr>
              <w:t>Artículo 31</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Ampliación ordinaria</w:t>
            </w:r>
          </w:p>
        </w:tc>
        <w:tc>
          <w:tcPr>
            <w:tcW w:type="dxa" w:w="4850"/>
            <w:tcMar>
              <w:top w:w="80" w:type="dxa"/>
              <w:start w:w="120" w:type="dxa"/>
              <w:bottom w:w="80" w:type="dxa"/>
              <w:end w:w="120" w:type="dxa"/>
            </w:tcMar>
            <w:vAlign w:val="center"/>
          </w:tcPr>
          <w:p>
            <w:pPr>
              <w:spacing w:before="0" w:after="0" w:line="240" w:lineRule="auto"/>
              <w:jc w:val="left"/>
            </w:pPr>
            <w:r/>
            <w:r>
              <w:rPr>
                <w:rFonts w:ascii="Arial" w:hAnsi="Arial" w:cs="Arial"/>
                <w:sz w:val="18"/>
              </w:rPr>
              <w:t>Artículo 32; máximo mitad</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Urgencia</w:t>
            </w:r>
          </w:p>
        </w:tc>
        <w:tc>
          <w:tcPr>
            <w:tcW w:type="dxa" w:w="4850"/>
            <w:tcMar>
              <w:top w:w="80" w:type="dxa"/>
              <w:start w:w="120" w:type="dxa"/>
              <w:bottom w:w="80" w:type="dxa"/>
              <w:end w:w="120" w:type="dxa"/>
            </w:tcMar>
            <w:vAlign w:val="center"/>
          </w:tcPr>
          <w:p>
            <w:pPr>
              <w:spacing w:before="0" w:after="0" w:line="240" w:lineRule="auto"/>
              <w:jc w:val="left"/>
            </w:pPr>
            <w:r/>
            <w:r>
              <w:rPr>
                <w:rFonts w:ascii="Arial" w:hAnsi="Arial" w:cs="Arial"/>
                <w:sz w:val="18"/>
              </w:rPr>
              <w:t>Artículo 33; mitad salvo solicitud/recurso</w:t>
            </w:r>
          </w:p>
        </w:tc>
      </w:tr>
      <w:tr>
        <w:tc>
          <w:tcPr>
            <w:tcW w:type="dxa" w:w="4176"/>
            <w:tcMar>
              <w:top w:w="80" w:type="dxa"/>
              <w:start w:w="120" w:type="dxa"/>
              <w:bottom w:w="80" w:type="dxa"/>
              <w:end w:w="120" w:type="dxa"/>
            </w:tcMar>
            <w:vAlign w:val="center"/>
          </w:tcPr>
          <w:p>
            <w:pPr>
              <w:spacing w:before="0" w:after="0" w:line="240" w:lineRule="auto"/>
              <w:jc w:val="left"/>
            </w:pPr>
            <w:r/>
            <w:r>
              <w:rPr>
                <w:rFonts w:ascii="Arial" w:hAnsi="Arial" w:cs="Arial"/>
                <w:sz w:val="18"/>
              </w:rPr>
              <w:t>Emergencias de protección civil</w:t>
            </w:r>
          </w:p>
        </w:tc>
        <w:tc>
          <w:tcPr>
            <w:tcW w:type="dxa" w:w="4850"/>
            <w:tcMar>
              <w:top w:w="80" w:type="dxa"/>
              <w:start w:w="120" w:type="dxa"/>
              <w:bottom w:w="80" w:type="dxa"/>
              <w:end w:w="120" w:type="dxa"/>
            </w:tcMar>
            <w:vAlign w:val="center"/>
          </w:tcPr>
          <w:p>
            <w:pPr>
              <w:spacing w:before="0" w:after="0" w:line="240" w:lineRule="auto"/>
              <w:jc w:val="left"/>
            </w:pPr>
            <w:r/>
            <w:r>
              <w:rPr>
                <w:rFonts w:ascii="Arial" w:hAnsi="Arial" w:cs="Arial"/>
                <w:sz w:val="18"/>
              </w:rPr>
              <w:t>Disposición adicional novena</w:t>
            </w:r>
          </w:p>
        </w:tc>
      </w:tr>
    </w:tbl>
    <w:p>
      <w:pPr>
        <w:spacing w:after="40"/>
      </w:pP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G16</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5,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7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Ley 39/2015 (6); ley 39/2015 (1).</w:t>
      </w:r>
    </w:p>
    <w:p>
      <w:pPr>
        <w:jc w:val="both"/>
      </w:pPr>
      <w:r>
        <w:rPr>
          <w:rFonts w:ascii="Arial" w:hAnsi="Arial" w:cs="Arial"/>
          <w:b/>
          <w:sz w:val="22"/>
        </w:rPr>
        <w:t>Artículos o preceptos más repetidos:</w:t>
      </w:r>
      <w:r>
        <w:rPr>
          <w:rFonts w:ascii="Arial" w:hAnsi="Arial" w:cs="Arial"/>
          <w:sz w:val="22"/>
        </w:rPr>
        <w:t xml:space="preserve"> 53 (1); 24 (1); 11 (1); 21 (1); 6 (1).</w:t>
      </w:r>
    </w:p>
    <w:p>
      <w:pPr>
        <w:jc w:val="both"/>
      </w:pPr>
      <w:r>
        <w:rPr>
          <w:rFonts w:ascii="Arial" w:hAnsi="Arial" w:cs="Arial"/>
          <w:b/>
          <w:sz w:val="22"/>
        </w:rPr>
        <w:t>Formas de pregunta predominantes:</w:t>
      </w:r>
      <w:r>
        <w:rPr>
          <w:rFonts w:ascii="Arial" w:hAnsi="Arial" w:cs="Arial"/>
          <w:sz w:val="22"/>
        </w:rPr>
        <w:t xml:space="preserve"> Procedimientos (6); Plazos (1).</w:t>
      </w:r>
    </w:p>
    <w:p>
      <w:pPr>
        <w:pStyle w:val="Heading2"/>
        <w:keepNext/>
      </w:pPr>
      <w:r>
        <w:rPr>
          <w:rFonts w:ascii="Arial" w:hAnsi="Arial" w:cs="Arial"/>
          <w:sz w:val="25"/>
        </w:rPr>
        <w:t>Patrones observados</w:t>
      </w:r>
    </w:p>
    <w:p>
      <w:pPr>
        <w:pStyle w:val="ListBullet"/>
      </w:pPr>
      <w:r>
        <w:rPr>
          <w:rFonts w:ascii="Arial" w:hAnsi="Arial" w:cs="Arial"/>
          <w:b/>
          <w:sz w:val="22"/>
        </w:rPr>
        <w:t>2025, teoría 73, reserva:</w:t>
      </w:r>
      <w:r>
        <w:rPr>
          <w:rFonts w:ascii="Arial" w:hAnsi="Arial" w:cs="Arial"/>
          <w:sz w:val="22"/>
        </w:rPr>
        <w:t xml:space="preserve"> De conformidad con el artículo 21 de la Ley 39/2015, de 1 de octubre, del Procedimiento Administrativo Común de las Administraciones Públicas, que regula la obligación de resolver, señale la respuesta correcta:</w:t>
      </w:r>
    </w:p>
    <w:p>
      <w:pPr>
        <w:pStyle w:val="ListBullet"/>
      </w:pPr>
      <w:r>
        <w:rPr>
          <w:rFonts w:ascii="Arial" w:hAnsi="Arial" w:cs="Arial"/>
          <w:b/>
          <w:sz w:val="22"/>
        </w:rPr>
        <w:t>2024, teoría 16:</w:t>
      </w:r>
      <w:r>
        <w:rPr>
          <w:rFonts w:ascii="Arial" w:hAnsi="Arial" w:cs="Arial"/>
          <w:sz w:val="22"/>
        </w:rPr>
        <w:t xml:space="preserve"> Es un derecho de los interesados en eI procedimiento administrativo común, en virtud del artículo 53 de la Ley 39/2015, de I de octubre, del Procedimiento Administrativo Común de las Administraciones Públicas:</w:t>
      </w:r>
    </w:p>
    <w:p>
      <w:pPr>
        <w:pStyle w:val="ListBullet"/>
      </w:pPr>
      <w:r>
        <w:rPr>
          <w:rFonts w:ascii="Arial" w:hAnsi="Arial" w:cs="Arial"/>
          <w:b/>
          <w:sz w:val="22"/>
        </w:rPr>
        <w:t>2025, teoría 16:</w:t>
      </w:r>
      <w:r>
        <w:rPr>
          <w:rFonts w:ascii="Arial" w:hAnsi="Arial" w:cs="Arial"/>
          <w:sz w:val="22"/>
        </w:rPr>
        <w:t xml:space="preserve"> De acuerdo con lo fijado en el art. 15, en relación con la lengua de los procedimientos, de la Ley 39/2015, de 1 de octubre, del Procedimiento Administrativo Común de las Administraciones Públicas:</w:t>
      </w:r>
    </w:p>
    <w:p>
      <w:pPr>
        <w:pStyle w:val="ListBullet"/>
      </w:pPr>
      <w:r>
        <w:rPr>
          <w:rFonts w:ascii="Arial" w:hAnsi="Arial" w:cs="Arial"/>
          <w:b/>
          <w:sz w:val="22"/>
        </w:rPr>
        <w:t>2025, teoría 16:</w:t>
      </w:r>
      <w:r>
        <w:rPr>
          <w:rFonts w:ascii="Arial" w:hAnsi="Arial" w:cs="Arial"/>
          <w:sz w:val="22"/>
        </w:rPr>
        <w:t xml:space="preserve"> De acuerdo con 10 dispuesto el artículo 24 de la Ley 39/2015, de 1 de octubre, del Procedimiento Administrativo Común de las Administraciones Públicas, que regula el silencio administrativo, señale la…</w:t>
      </w:r>
    </w:p>
    <w:p>
      <w:pPr>
        <w:pStyle w:val="ListBullet"/>
      </w:pPr>
      <w:r>
        <w:rPr>
          <w:rFonts w:ascii="Arial" w:hAnsi="Arial" w:cs="Arial"/>
          <w:b/>
          <w:sz w:val="22"/>
        </w:rPr>
        <w:t>2025, teoría 16:</w:t>
      </w:r>
      <w:r>
        <w:rPr>
          <w:rFonts w:ascii="Arial" w:hAnsi="Arial" w:cs="Arial"/>
          <w:sz w:val="22"/>
        </w:rPr>
        <w:t xml:space="preserve"> De conformidad con el artículo 11 de la Ley 39/2015, de 1 de octubre, del Procedimiento Administrativo Común de las Administraciones Públicas, señale la respuesta correcta:</w:t>
      </w:r>
    </w:p>
    <w:p>
      <w:pPr>
        <w:pStyle w:val="ListBullet"/>
      </w:pPr>
      <w:r>
        <w:rPr>
          <w:rFonts w:ascii="Arial" w:hAnsi="Arial" w:cs="Arial"/>
          <w:b/>
          <w:sz w:val="22"/>
        </w:rPr>
        <w:t>2025, teoría 17:</w:t>
      </w:r>
      <w:r>
        <w:rPr>
          <w:rFonts w:ascii="Arial" w:hAnsi="Arial" w:cs="Arial"/>
          <w:sz w:val="22"/>
        </w:rPr>
        <w:t xml:space="preserve"> De conformidad con 10 establecido en la Ley 39/2015, de I de octubre, del Procedimiento Administrativo Común de las Administraciones Públicas, en los procedimientos administrativos iniciados a solicitud del…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Fuentes oficiales utilizadas</w:t>
      </w:r>
    </w:p>
    <w:p>
      <w:pPr>
        <w:pStyle w:val="ListBullet"/>
        <w:ind w:left="397" w:hanging="198"/>
      </w:pPr>
      <w:r>
        <w:rPr>
          <w:rFonts w:ascii="Arial" w:hAnsi="Arial" w:cs="Arial"/>
          <w:sz w:val="18"/>
        </w:rPr>
        <w:t>Constitución Española, texto consolidado (https://www.boe.es/buscar/act.php?id=BOE-A-1978-31229).</w:t>
      </w:r>
    </w:p>
    <w:p>
      <w:pPr>
        <w:pStyle w:val="ListBullet"/>
        <w:ind w:left="397" w:hanging="198"/>
      </w:pPr>
      <w:r>
        <w:rPr>
          <w:rFonts w:ascii="Arial" w:hAnsi="Arial" w:cs="Arial"/>
          <w:sz w:val="18"/>
        </w:rPr>
        <w:t>Ley 39/2015, de 1 de octubre, del Procedimiento Administrativo Común de las Administraciones Públicas, texto consolidado (https://www.boe.es/buscar/act.php?id=BOE-A-2015-10565).</w:t>
      </w:r>
    </w:p>
    <w:p>
      <w:pPr>
        <w:pStyle w:val="ListBullet"/>
        <w:ind w:left="397" w:hanging="198"/>
      </w:pPr>
      <w:r>
        <w:rPr>
          <w:rFonts w:ascii="Arial" w:hAnsi="Arial" w:cs="Arial"/>
          <w:sz w:val="18"/>
        </w:rPr>
        <w:t>Ley 40/2015, de 1 de octubre, de Régimen Jurídico del Sector Público, texto consolidado (https://www.boe.es/buscar/act.php?id=BOE-A-2015-10566).</w:t>
      </w:r>
    </w:p>
    <w:p>
      <w:pPr>
        <w:pStyle w:val="ListBullet"/>
        <w:ind w:left="397" w:hanging="198"/>
      </w:pPr>
      <w:r>
        <w:rPr>
          <w:rFonts w:ascii="Arial" w:hAnsi="Arial" w:cs="Arial"/>
          <w:sz w:val="18"/>
        </w:rPr>
        <w:t>Real Decreto 203/2021, de 30 de marzo, Reglamento de actuación y funcionamiento del sector público por medios electrónicos, texto consolidado (https://www.boe.es/buscar/act.php?id=BOE-A-2021-5032).</w:t>
      </w:r>
    </w:p>
    <w:p>
      <w:pPr>
        <w:pStyle w:val="ListBullet"/>
        <w:ind w:left="397" w:hanging="198"/>
      </w:pPr>
      <w:r>
        <w:rPr>
          <w:rFonts w:ascii="Arial" w:hAnsi="Arial" w:cs="Arial"/>
          <w:sz w:val="18"/>
        </w:rPr>
        <w:t>Real Decreto-ley 6/2024, de 5 de noviembre, que añadió la disposición adicional novena (https://www.boe.es/buscar/act.php?id=BOE-A-2024-22928).</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G16 · Tema 16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16. El procedimiento administrativo común. La capacidad de obrar y el concepto de interesado. Representación. Identificación y firma de los inte…</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