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TEMARIO GENERAL</w:t>
      </w:r>
    </w:p>
    <w:p>
      <w:pPr>
        <w:spacing w:before="0" w:after="160"/>
      </w:pPr>
      <w:r>
        <w:rPr>
          <w:rFonts w:ascii="Arial" w:hAnsi="Arial" w:cs="Arial"/>
          <w:b/>
          <w:color w:val="1F4E79"/>
          <w:sz w:val="26"/>
        </w:rPr>
        <w:t>TEMA 17</w:t>
      </w:r>
    </w:p>
    <w:p>
      <w:pPr>
        <w:keepNext/>
        <w:spacing w:before="0" w:after="280"/>
        <w:pBdr>
          <w:bottom w:val="single" w:sz="12" w:space="1" w:color="2F75B5"/>
        </w:pBdr>
      </w:pPr>
      <w:r>
        <w:rPr>
          <w:rFonts w:ascii="Arial" w:hAnsi="Arial" w:cs="Arial"/>
          <w:b/>
          <w:color w:val="17365D"/>
          <w:sz w:val="40"/>
        </w:rPr>
        <w:t>Las fases del procedimiento administrativo: Iniciación, ordenación, instrucción y finalización. La ejecución de los actos y resoluciones administrativas.</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spacing w:after="100"/>
        <w:ind w:left="340" w:right="227"/>
        <w:shd w:fill="EAF2F8"/>
      </w:pPr>
      <w:r>
        <w:rPr>
          <w:rFonts w:ascii="Arial" w:hAnsi="Arial" w:cs="Arial"/>
          <w:b/>
          <w:sz w:val="20"/>
        </w:rPr>
        <w:t>Contenido actualizado y revisado a fecha de 30 de julio de 2026.</w:t>
      </w:r>
    </w:p>
    <w:p>
      <w:pPr>
        <w:jc w:val="both"/>
      </w:pPr>
      <w:r>
        <w:rPr>
          <w:rFonts w:ascii="Arial" w:hAnsi="Arial" w:cs="Arial"/>
          <w:sz w:val="22"/>
        </w:rPr>
        <w:t xml:space="preserve">El procedimiento administrativo común es el cauce jurídico mediante el cual la Administración forma su voluntad y adopta decisiones con garantías para los interesados. No es una simple sucesión de formalidades: ordena la actividad administrativa, permite comprobar los hechos, asegura la contradicción y conduce a una resolución fundada, eficaz y ejecutable. Su regulación básica se contiene en el título IV de la </w:t>
      </w:r>
      <w:r>
        <w:rPr>
          <w:rFonts w:ascii="Arial" w:hAnsi="Arial" w:cs="Arial"/>
          <w:b/>
          <w:sz w:val="22"/>
        </w:rPr>
        <w:t>Ley 39/2015, de 1 de octubre, del Procedimiento Administrativo Común de las Administraciones Públicas</w:t>
      </w:r>
      <w:r>
        <w:rPr>
          <w:rFonts w:ascii="Arial" w:hAnsi="Arial" w:cs="Arial"/>
          <w:sz w:val="22"/>
        </w:rPr>
        <w:t xml:space="preserve"> —LPAC—, especialmente en sus artículos 54 a 105. La exposición se ajusta al ordenamiento vigente a </w:t>
      </w:r>
      <w:r>
        <w:rPr>
          <w:rFonts w:ascii="Arial" w:hAnsi="Arial" w:cs="Arial"/>
          <w:b/>
          <w:sz w:val="22"/>
        </w:rPr>
        <w:t>30 de julio de 2026</w:t>
      </w:r>
      <w:r>
        <w:rPr>
          <w:rFonts w:ascii="Arial" w:hAnsi="Arial" w:cs="Arial"/>
          <w:sz w:val="22"/>
        </w:rPr>
        <w:t>.</w:t>
      </w:r>
    </w:p>
    <w:p>
      <w:pPr>
        <w:pStyle w:val="Heading1"/>
        <w:keepNext/>
      </w:pPr>
      <w:r>
        <w:rPr>
          <w:rFonts w:ascii="Arial" w:hAnsi="Arial" w:cs="Arial"/>
          <w:sz w:val="30"/>
        </w:rPr>
        <w:t>1. Concepto, función y estructura del procedimiento</w:t>
      </w:r>
    </w:p>
    <w:p>
      <w:pPr>
        <w:jc w:val="both"/>
      </w:pPr>
      <w:r>
        <w:rPr>
          <w:rFonts w:ascii="Arial" w:hAnsi="Arial" w:cs="Arial"/>
          <w:sz w:val="22"/>
        </w:rPr>
        <w:t>El procedimiento administrativo puede definirse como el conjunto ordenado de trámites y actuaciones, realizados conforme al cauce legalmente establecido, que permiten dictar un acto administrativo o expresar la voluntad de la Administración. Cumple simultáneamente varias funciones:</w:t>
      </w:r>
    </w:p>
    <w:p>
      <w:pPr>
        <w:pStyle w:val="ListBullet"/>
      </w:pPr>
      <w:r>
        <w:rPr>
          <w:rFonts w:ascii="Arial" w:hAnsi="Arial" w:cs="Arial"/>
          <w:sz w:val="22"/>
        </w:rPr>
        <w:t xml:space="preserve">una función de </w:t>
      </w:r>
      <w:r>
        <w:rPr>
          <w:rFonts w:ascii="Arial" w:hAnsi="Arial" w:cs="Arial"/>
          <w:b/>
          <w:sz w:val="22"/>
        </w:rPr>
        <w:t>garantía</w:t>
      </w:r>
      <w:r>
        <w:rPr>
          <w:rFonts w:ascii="Arial" w:hAnsi="Arial" w:cs="Arial"/>
          <w:sz w:val="22"/>
        </w:rPr>
        <w:t>, porque permite al interesado conocer la actuación, formular alegaciones, proponer prueba y ser oído antes de la decisión;</w:t>
      </w:r>
    </w:p>
    <w:p>
      <w:pPr>
        <w:pStyle w:val="ListBullet"/>
      </w:pPr>
      <w:r>
        <w:rPr>
          <w:rFonts w:ascii="Arial" w:hAnsi="Arial" w:cs="Arial"/>
          <w:sz w:val="22"/>
        </w:rPr>
        <w:t xml:space="preserve">una función de </w:t>
      </w:r>
      <w:r>
        <w:rPr>
          <w:rFonts w:ascii="Arial" w:hAnsi="Arial" w:cs="Arial"/>
          <w:b/>
          <w:sz w:val="22"/>
        </w:rPr>
        <w:t>eficacia</w:t>
      </w:r>
      <w:r>
        <w:rPr>
          <w:rFonts w:ascii="Arial" w:hAnsi="Arial" w:cs="Arial"/>
          <w:sz w:val="22"/>
        </w:rPr>
        <w:t>, porque estructura la obtención de datos, informes y pruebas necesarios para resolver correctamente;</w:t>
      </w:r>
    </w:p>
    <w:p>
      <w:pPr>
        <w:pStyle w:val="ListBullet"/>
      </w:pPr>
      <w:r>
        <w:rPr>
          <w:rFonts w:ascii="Arial" w:hAnsi="Arial" w:cs="Arial"/>
          <w:sz w:val="22"/>
        </w:rPr>
        <w:t xml:space="preserve">una función de </w:t>
      </w:r>
      <w:r>
        <w:rPr>
          <w:rFonts w:ascii="Arial" w:hAnsi="Arial" w:cs="Arial"/>
          <w:b/>
          <w:sz w:val="22"/>
        </w:rPr>
        <w:t>control</w:t>
      </w:r>
      <w:r>
        <w:rPr>
          <w:rFonts w:ascii="Arial" w:hAnsi="Arial" w:cs="Arial"/>
          <w:sz w:val="22"/>
        </w:rPr>
        <w:t>, pues deja constancia documental de la competencia, la motivación, los hechos y el respeto de los trámites;</w:t>
      </w:r>
    </w:p>
    <w:p>
      <w:pPr>
        <w:pStyle w:val="ListBullet"/>
      </w:pPr>
      <w:r>
        <w:rPr>
          <w:rFonts w:ascii="Arial" w:hAnsi="Arial" w:cs="Arial"/>
          <w:sz w:val="22"/>
        </w:rPr>
        <w:t xml:space="preserve">una función de </w:t>
      </w:r>
      <w:r>
        <w:rPr>
          <w:rFonts w:ascii="Arial" w:hAnsi="Arial" w:cs="Arial"/>
          <w:b/>
          <w:sz w:val="22"/>
        </w:rPr>
        <w:t>legitimación</w:t>
      </w:r>
      <w:r>
        <w:rPr>
          <w:rFonts w:ascii="Arial" w:hAnsi="Arial" w:cs="Arial"/>
          <w:sz w:val="22"/>
        </w:rPr>
        <w:t>, ya que una decisión administrativa resulta jurídicamente aceptable cuando se adopta por el órgano competente, mediante el procedimiento debido y con respeto de los derechos de defensa.</w:t>
      </w:r>
    </w:p>
    <w:p>
      <w:pPr>
        <w:jc w:val="both"/>
      </w:pPr>
      <w:r>
        <w:rPr>
          <w:rFonts w:ascii="Arial" w:hAnsi="Arial" w:cs="Arial"/>
          <w:sz w:val="22"/>
        </w:rPr>
        <w:t>La Constitución ofrece el fundamento del sistema. El artículo 103.1 somete plenamente la Administración a la ley y al Derecho y exige eficacia, jerarquía, descentralización, desconcentración y coordinación. El artículo 105.c ordena que la ley regule el procedimiento a través del cual deben producirse los actos administrativos, garantizando, cuando proceda, la audiencia del interesado. El artículo 149.1.18.ª reserva al Estado la competencia sobre el procedimiento administrativo común, sin perjuicio de las especialidades derivadas de la organización propia de las comunidades autónomas.</w:t>
      </w:r>
    </w:p>
    <w:p>
      <w:pPr>
        <w:jc w:val="both"/>
      </w:pPr>
      <w:r>
        <w:rPr>
          <w:rFonts w:ascii="Arial" w:hAnsi="Arial" w:cs="Arial"/>
          <w:sz w:val="22"/>
        </w:rPr>
        <w:t>La LPAC articula la tramitación ordinaria en cuatro fases clásicas:</w:t>
      </w:r>
    </w:p>
    <w:tbl>
      <w:tblPr>
        <w:tblStyle w:val="TableGrid"/>
        <w:tblW w:type="dxa" w:w="9026"/>
        <w:jc w:val="left"/>
        <w:tblLayout w:type="fixed"/>
        <w:tblLook w:firstColumn="1" w:firstRow="1" w:lastColumn="0" w:lastRow="0" w:noHBand="0" w:noVBand="1" w:val="04A0"/>
        <w:tblInd w:w="120" w:type="dxa"/>
      </w:tblPr>
      <w:tblGrid>
        <w:gridCol w:w="1389"/>
        <w:gridCol w:w="5554"/>
        <w:gridCol w:w="2083"/>
      </w:tblGrid>
      <w:tr>
        <w:trPr>
          <w:tblHeader w:val="true"/>
        </w:trPr>
        <w:tc>
          <w:tcPr>
            <w:tcW w:type="dxa" w:w="1389"/>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Fase</w:t>
            </w:r>
          </w:p>
        </w:tc>
        <w:tc>
          <w:tcPr>
            <w:tcW w:type="dxa" w:w="5554"/>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Finalidad principal</w:t>
            </w:r>
          </w:p>
        </w:tc>
        <w:tc>
          <w:tcPr>
            <w:tcW w:type="dxa" w:w="2083"/>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Artículos centrales</w:t>
            </w:r>
          </w:p>
        </w:tc>
      </w:tr>
      <w:tr>
        <w:tc>
          <w:tcPr>
            <w:tcW w:type="dxa" w:w="1389"/>
            <w:tcMar>
              <w:top w:w="80" w:type="dxa"/>
              <w:start w:w="120" w:type="dxa"/>
              <w:bottom w:w="80" w:type="dxa"/>
              <w:end w:w="120" w:type="dxa"/>
            </w:tcMar>
            <w:vAlign w:val="center"/>
          </w:tcPr>
          <w:p>
            <w:pPr>
              <w:spacing w:before="0" w:after="0" w:line="240" w:lineRule="auto"/>
              <w:jc w:val="left"/>
            </w:pPr>
            <w:r/>
            <w:r>
              <w:rPr>
                <w:rFonts w:ascii="Arial" w:hAnsi="Arial" w:cs="Arial"/>
                <w:sz w:val="18"/>
              </w:rPr>
              <w:t>Iniciación</w:t>
            </w:r>
          </w:p>
        </w:tc>
        <w:tc>
          <w:tcPr>
            <w:tcW w:type="dxa" w:w="5554"/>
            <w:tcMar>
              <w:top w:w="80" w:type="dxa"/>
              <w:start w:w="120" w:type="dxa"/>
              <w:bottom w:w="80" w:type="dxa"/>
              <w:end w:w="120" w:type="dxa"/>
            </w:tcMar>
            <w:vAlign w:val="center"/>
          </w:tcPr>
          <w:p>
            <w:pPr>
              <w:spacing w:before="0" w:after="0" w:line="240" w:lineRule="auto"/>
              <w:jc w:val="left"/>
            </w:pPr>
            <w:r/>
            <w:r>
              <w:rPr>
                <w:rFonts w:ascii="Arial" w:hAnsi="Arial" w:cs="Arial"/>
                <w:sz w:val="18"/>
              </w:rPr>
              <w:t>Abrir el procedimiento y delimitar su objeto</w:t>
            </w:r>
          </w:p>
        </w:tc>
        <w:tc>
          <w:tcPr>
            <w:tcW w:type="dxa" w:w="2083"/>
            <w:tcMar>
              <w:top w:w="80" w:type="dxa"/>
              <w:start w:w="120" w:type="dxa"/>
              <w:bottom w:w="80" w:type="dxa"/>
              <w:end w:w="120" w:type="dxa"/>
            </w:tcMar>
            <w:vAlign w:val="center"/>
          </w:tcPr>
          <w:p>
            <w:pPr>
              <w:spacing w:before="0" w:after="0" w:line="240" w:lineRule="auto"/>
              <w:jc w:val="center"/>
            </w:pPr>
            <w:r/>
            <w:r>
              <w:rPr>
                <w:rFonts w:ascii="Arial" w:hAnsi="Arial" w:cs="Arial"/>
                <w:sz w:val="18"/>
              </w:rPr>
              <w:t>54 a 69</w:t>
            </w:r>
          </w:p>
        </w:tc>
      </w:tr>
      <w:tr>
        <w:tc>
          <w:tcPr>
            <w:tcW w:type="dxa" w:w="1389"/>
            <w:tcMar>
              <w:top w:w="80" w:type="dxa"/>
              <w:start w:w="120" w:type="dxa"/>
              <w:bottom w:w="80" w:type="dxa"/>
              <w:end w:w="120" w:type="dxa"/>
            </w:tcMar>
            <w:vAlign w:val="center"/>
          </w:tcPr>
          <w:p>
            <w:pPr>
              <w:spacing w:before="0" w:after="0" w:line="240" w:lineRule="auto"/>
              <w:jc w:val="left"/>
            </w:pPr>
            <w:r/>
            <w:r>
              <w:rPr>
                <w:rFonts w:ascii="Arial" w:hAnsi="Arial" w:cs="Arial"/>
                <w:sz w:val="18"/>
              </w:rPr>
              <w:t>Ordenación</w:t>
            </w:r>
          </w:p>
        </w:tc>
        <w:tc>
          <w:tcPr>
            <w:tcW w:type="dxa" w:w="5554"/>
            <w:tcMar>
              <w:top w:w="80" w:type="dxa"/>
              <w:start w:w="120" w:type="dxa"/>
              <w:bottom w:w="80" w:type="dxa"/>
              <w:end w:w="120" w:type="dxa"/>
            </w:tcMar>
            <w:vAlign w:val="center"/>
          </w:tcPr>
          <w:p>
            <w:pPr>
              <w:spacing w:before="0" w:after="0" w:line="240" w:lineRule="auto"/>
              <w:jc w:val="left"/>
            </w:pPr>
            <w:r/>
            <w:r>
              <w:rPr>
                <w:rFonts w:ascii="Arial" w:hAnsi="Arial" w:cs="Arial"/>
                <w:sz w:val="18"/>
              </w:rPr>
              <w:t>Organizar e impulsar los trámites y el expediente</w:t>
            </w:r>
          </w:p>
        </w:tc>
        <w:tc>
          <w:tcPr>
            <w:tcW w:type="dxa" w:w="2083"/>
            <w:tcMar>
              <w:top w:w="80" w:type="dxa"/>
              <w:start w:w="120" w:type="dxa"/>
              <w:bottom w:w="80" w:type="dxa"/>
              <w:end w:w="120" w:type="dxa"/>
            </w:tcMar>
            <w:vAlign w:val="center"/>
          </w:tcPr>
          <w:p>
            <w:pPr>
              <w:spacing w:before="0" w:after="0" w:line="240" w:lineRule="auto"/>
              <w:jc w:val="center"/>
            </w:pPr>
            <w:r/>
            <w:r>
              <w:rPr>
                <w:rFonts w:ascii="Arial" w:hAnsi="Arial" w:cs="Arial"/>
                <w:sz w:val="18"/>
              </w:rPr>
              <w:t>70 a 74</w:t>
            </w:r>
          </w:p>
        </w:tc>
      </w:tr>
      <w:tr>
        <w:tc>
          <w:tcPr>
            <w:tcW w:type="dxa" w:w="1389"/>
            <w:tcMar>
              <w:top w:w="80" w:type="dxa"/>
              <w:start w:w="120" w:type="dxa"/>
              <w:bottom w:w="80" w:type="dxa"/>
              <w:end w:w="120" w:type="dxa"/>
            </w:tcMar>
            <w:vAlign w:val="center"/>
          </w:tcPr>
          <w:p>
            <w:pPr>
              <w:spacing w:before="0" w:after="0" w:line="240" w:lineRule="auto"/>
              <w:jc w:val="left"/>
            </w:pPr>
            <w:r/>
            <w:r>
              <w:rPr>
                <w:rFonts w:ascii="Arial" w:hAnsi="Arial" w:cs="Arial"/>
                <w:sz w:val="18"/>
              </w:rPr>
              <w:t>Instrucción</w:t>
            </w:r>
          </w:p>
        </w:tc>
        <w:tc>
          <w:tcPr>
            <w:tcW w:type="dxa" w:w="5554"/>
            <w:tcMar>
              <w:top w:w="80" w:type="dxa"/>
              <w:start w:w="120" w:type="dxa"/>
              <w:bottom w:w="80" w:type="dxa"/>
              <w:end w:w="120" w:type="dxa"/>
            </w:tcMar>
            <w:vAlign w:val="center"/>
          </w:tcPr>
          <w:p>
            <w:pPr>
              <w:spacing w:before="0" w:after="0" w:line="240" w:lineRule="auto"/>
              <w:jc w:val="left"/>
            </w:pPr>
            <w:r/>
            <w:r>
              <w:rPr>
                <w:rFonts w:ascii="Arial" w:hAnsi="Arial" w:cs="Arial"/>
                <w:sz w:val="18"/>
              </w:rPr>
              <w:t>Determinar, conocer y comprobar los hechos</w:t>
            </w:r>
          </w:p>
        </w:tc>
        <w:tc>
          <w:tcPr>
            <w:tcW w:type="dxa" w:w="2083"/>
            <w:tcMar>
              <w:top w:w="80" w:type="dxa"/>
              <w:start w:w="120" w:type="dxa"/>
              <w:bottom w:w="80" w:type="dxa"/>
              <w:end w:w="120" w:type="dxa"/>
            </w:tcMar>
            <w:vAlign w:val="center"/>
          </w:tcPr>
          <w:p>
            <w:pPr>
              <w:spacing w:before="0" w:after="0" w:line="240" w:lineRule="auto"/>
              <w:jc w:val="center"/>
            </w:pPr>
            <w:r/>
            <w:r>
              <w:rPr>
                <w:rFonts w:ascii="Arial" w:hAnsi="Arial" w:cs="Arial"/>
                <w:sz w:val="18"/>
              </w:rPr>
              <w:t>75 a 83</w:t>
            </w:r>
          </w:p>
        </w:tc>
      </w:tr>
      <w:tr>
        <w:tc>
          <w:tcPr>
            <w:tcW w:type="dxa" w:w="1389"/>
            <w:tcMar>
              <w:top w:w="80" w:type="dxa"/>
              <w:start w:w="120" w:type="dxa"/>
              <w:bottom w:w="80" w:type="dxa"/>
              <w:end w:w="120" w:type="dxa"/>
            </w:tcMar>
            <w:vAlign w:val="center"/>
          </w:tcPr>
          <w:p>
            <w:pPr>
              <w:spacing w:before="0" w:after="0" w:line="240" w:lineRule="auto"/>
              <w:jc w:val="left"/>
            </w:pPr>
            <w:r/>
            <w:r>
              <w:rPr>
                <w:rFonts w:ascii="Arial" w:hAnsi="Arial" w:cs="Arial"/>
                <w:sz w:val="18"/>
              </w:rPr>
              <w:t>Finalización</w:t>
            </w:r>
          </w:p>
        </w:tc>
        <w:tc>
          <w:tcPr>
            <w:tcW w:type="dxa" w:w="5554"/>
            <w:tcMar>
              <w:top w:w="80" w:type="dxa"/>
              <w:start w:w="120" w:type="dxa"/>
              <w:bottom w:w="80" w:type="dxa"/>
              <w:end w:w="120" w:type="dxa"/>
            </w:tcMar>
            <w:vAlign w:val="center"/>
          </w:tcPr>
          <w:p>
            <w:pPr>
              <w:spacing w:before="0" w:after="0" w:line="240" w:lineRule="auto"/>
              <w:jc w:val="left"/>
            </w:pPr>
            <w:r/>
            <w:r>
              <w:rPr>
                <w:rFonts w:ascii="Arial" w:hAnsi="Arial" w:cs="Arial"/>
                <w:sz w:val="18"/>
              </w:rPr>
              <w:t>Adoptar una resolución u otra forma legal de terminación</w:t>
            </w:r>
          </w:p>
        </w:tc>
        <w:tc>
          <w:tcPr>
            <w:tcW w:type="dxa" w:w="2083"/>
            <w:tcMar>
              <w:top w:w="80" w:type="dxa"/>
              <w:start w:w="120" w:type="dxa"/>
              <w:bottom w:w="80" w:type="dxa"/>
              <w:end w:w="120" w:type="dxa"/>
            </w:tcMar>
            <w:vAlign w:val="center"/>
          </w:tcPr>
          <w:p>
            <w:pPr>
              <w:spacing w:before="0" w:after="0" w:line="240" w:lineRule="auto"/>
              <w:jc w:val="center"/>
            </w:pPr>
            <w:r/>
            <w:r>
              <w:rPr>
                <w:rFonts w:ascii="Arial" w:hAnsi="Arial" w:cs="Arial"/>
                <w:sz w:val="18"/>
              </w:rPr>
              <w:t>84 a 95</w:t>
            </w:r>
          </w:p>
        </w:tc>
      </w:tr>
    </w:tbl>
    <w:p>
      <w:pPr>
        <w:spacing w:after="40"/>
      </w:pPr>
    </w:p>
    <w:p>
      <w:pPr>
        <w:jc w:val="both"/>
      </w:pPr>
      <w:r>
        <w:rPr>
          <w:rFonts w:ascii="Arial" w:hAnsi="Arial" w:cs="Arial"/>
          <w:sz w:val="22"/>
        </w:rPr>
        <w:t>La tramitación simplificada del artículo 96 no constituye un procedimiento materialmente distinto, sino una modalidad abreviada del procedimiento común. La ejecución, regulada en los artículos 97 a 105, se sitúa después de la decisión y permite convertir el mandato jurídico en una realidad efectiva.</w:t>
      </w:r>
    </w:p>
    <w:p>
      <w:pPr>
        <w:jc w:val="both"/>
      </w:pPr>
      <w:r>
        <w:rPr>
          <w:rFonts w:ascii="Arial" w:hAnsi="Arial" w:cs="Arial"/>
          <w:sz w:val="22"/>
        </w:rPr>
        <w:t>Durante toda la tramitación rigen la legalidad, la oficialidad, la celeridad, la economía procedimental, la simplificación, la transparencia, la contradicción, la igualdad de los interesados y el funcionamiento electrónico.</w:t>
      </w:r>
    </w:p>
    <w:p>
      <w:pPr>
        <w:pStyle w:val="Heading1"/>
        <w:keepNext/>
      </w:pPr>
      <w:r>
        <w:rPr>
          <w:rFonts w:ascii="Arial" w:hAnsi="Arial" w:cs="Arial"/>
          <w:sz w:val="30"/>
        </w:rPr>
        <w:t>2. Iniciación: reglas comunes</w:t>
      </w:r>
    </w:p>
    <w:p>
      <w:pPr>
        <w:pStyle w:val="Heading2"/>
        <w:keepNext/>
      </w:pPr>
      <w:r>
        <w:rPr>
          <w:rFonts w:ascii="Arial" w:hAnsi="Arial" w:cs="Arial"/>
          <w:sz w:val="25"/>
        </w:rPr>
        <w:t>2.1. Clases de iniciación</w:t>
      </w:r>
    </w:p>
    <w:p>
      <w:pPr>
        <w:jc w:val="both"/>
      </w:pPr>
      <w:r>
        <w:rPr>
          <w:rFonts w:ascii="Arial" w:hAnsi="Arial" w:cs="Arial"/>
          <w:sz w:val="22"/>
        </w:rPr>
        <w:t xml:space="preserve">El artículo 54 LPAC establece una división exhaustiva: los procedimientos se inician </w:t>
      </w:r>
      <w:r>
        <w:rPr>
          <w:rFonts w:ascii="Arial" w:hAnsi="Arial" w:cs="Arial"/>
          <w:b/>
          <w:sz w:val="22"/>
        </w:rPr>
        <w:t>de oficio</w:t>
      </w:r>
      <w:r>
        <w:rPr>
          <w:rFonts w:ascii="Arial" w:hAnsi="Arial" w:cs="Arial"/>
          <w:sz w:val="22"/>
        </w:rPr>
        <w:t xml:space="preserve"> o </w:t>
      </w:r>
      <w:r>
        <w:rPr>
          <w:rFonts w:ascii="Arial" w:hAnsi="Arial" w:cs="Arial"/>
          <w:b/>
          <w:sz w:val="22"/>
        </w:rPr>
        <w:t>a solicitud del interesado</w:t>
      </w:r>
      <w:r>
        <w:rPr>
          <w:rFonts w:ascii="Arial" w:hAnsi="Arial" w:cs="Arial"/>
          <w:sz w:val="22"/>
        </w:rPr>
        <w:t>. La forma de inicio condiciona cuestiones posteriores, como el cómputo del plazo máximo para resolver, los efectos de la falta de resolución y algunas modalidades de terminación.</w:t>
      </w:r>
    </w:p>
    <w:p>
      <w:pPr>
        <w:jc w:val="both"/>
      </w:pPr>
      <w:r>
        <w:rPr>
          <w:rFonts w:ascii="Arial" w:hAnsi="Arial" w:cs="Arial"/>
          <w:sz w:val="22"/>
        </w:rPr>
        <w:t>En los iniciados de oficio, el plazo máximo para resolver se cuenta desde la fecha del acuerdo de iniciación. En los iniciados a solicitud, comienza desde la fecha en que la solicitud entra en el registro electrónico de la Administración u organismo competente para tramitarla. Que una persona denuncie unos hechos no convierte el procedimiento en iniciado a solicitud: la denuncia puede provocar una iniciación de oficio, pero no es por sí misma solicitud de una resolución favorable al denunciante.</w:t>
      </w:r>
    </w:p>
    <w:p>
      <w:pPr>
        <w:pStyle w:val="Heading2"/>
        <w:keepNext/>
      </w:pPr>
      <w:r>
        <w:rPr>
          <w:rFonts w:ascii="Arial" w:hAnsi="Arial" w:cs="Arial"/>
          <w:sz w:val="25"/>
        </w:rPr>
        <w:t>2.2. Información y actuaciones previas</w:t>
      </w:r>
    </w:p>
    <w:p>
      <w:pPr>
        <w:jc w:val="both"/>
      </w:pPr>
      <w:r>
        <w:rPr>
          <w:rFonts w:ascii="Arial" w:hAnsi="Arial" w:cs="Arial"/>
          <w:sz w:val="22"/>
        </w:rPr>
        <w:t>Antes del inicio formal, el órgano competente puede abrir un período de información o actuaciones previas para conocer las circunstancias del caso y decidir si conviene iniciar. Es una potestad facultativa: la ley dice «podrá». Esta fase previa no equivale todavía a la incoación y no debe prolongarse artificialmente para eludir los plazos del procedimiento.</w:t>
      </w:r>
    </w:p>
    <w:p>
      <w:pPr>
        <w:jc w:val="both"/>
      </w:pPr>
      <w:r>
        <w:rPr>
          <w:rFonts w:ascii="Arial" w:hAnsi="Arial" w:cs="Arial"/>
          <w:sz w:val="22"/>
        </w:rPr>
        <w:t>En materia sancionadora, las actuaciones previas buscan determinar con la mayor precisión posible:</w:t>
      </w:r>
    </w:p>
    <w:p>
      <w:pPr>
        <w:spacing w:after="40"/>
        <w:ind w:left="369" w:hanging="227"/>
      </w:pPr>
      <w:r>
        <w:rPr>
          <w:rFonts w:ascii="Arial" w:hAnsi="Arial" w:cs="Arial"/>
          <w:sz w:val="22"/>
        </w:rPr>
        <w:t>1. los hechos susceptibles de constituir infracción;</w:t>
      </w:r>
    </w:p>
    <w:p>
      <w:pPr>
        <w:spacing w:after="40"/>
        <w:ind w:left="369" w:hanging="227"/>
      </w:pPr>
      <w:r>
        <w:rPr>
          <w:rFonts w:ascii="Arial" w:hAnsi="Arial" w:cs="Arial"/>
          <w:sz w:val="22"/>
        </w:rPr>
        <w:t>2. la persona o personas que pudieran resultar responsables;</w:t>
      </w:r>
    </w:p>
    <w:p>
      <w:pPr>
        <w:spacing w:after="40"/>
        <w:ind w:left="369" w:hanging="227"/>
      </w:pPr>
      <w:r>
        <w:rPr>
          <w:rFonts w:ascii="Arial" w:hAnsi="Arial" w:cs="Arial"/>
          <w:sz w:val="22"/>
        </w:rPr>
        <w:t>3. las circunstancias relevantes concurrentes.</w:t>
      </w:r>
    </w:p>
    <w:p>
      <w:pPr>
        <w:jc w:val="both"/>
      </w:pPr>
      <w:r>
        <w:rPr>
          <w:rFonts w:ascii="Arial" w:hAnsi="Arial" w:cs="Arial"/>
          <w:sz w:val="22"/>
        </w:rPr>
        <w:t>Las realizan los órganos con funciones de investigación, averiguación e inspección y, en su defecto, la persona u órgano designado por quien sea competente para iniciar o resolver. Su resultado puede conducir a la incoación o al archivo sin inicio, pero por sí solo no permite imponer sanción.</w:t>
      </w:r>
    </w:p>
    <w:p>
      <w:pPr>
        <w:pStyle w:val="Heading2"/>
        <w:keepNext/>
      </w:pPr>
      <w:r>
        <w:rPr>
          <w:rFonts w:ascii="Arial" w:hAnsi="Arial" w:cs="Arial"/>
          <w:sz w:val="25"/>
        </w:rPr>
        <w:t>2.3. Medidas provisionales</w:t>
      </w:r>
    </w:p>
    <w:p>
      <w:pPr>
        <w:jc w:val="both"/>
      </w:pPr>
      <w:r>
        <w:rPr>
          <w:rFonts w:ascii="Arial" w:hAnsi="Arial" w:cs="Arial"/>
          <w:sz w:val="22"/>
        </w:rPr>
        <w:t>Las medidas provisionales protegen la eficacia de la futura resolución. Una vez iniciado el procedimiento, el órgano competente para resolver puede adoptarlas, de oficio o a instancia de parte, mediante decisión motivada, si existen elementos de juicio suficientes. Deben respetar tres principios expresos:</w:t>
      </w:r>
    </w:p>
    <w:p>
      <w:pPr>
        <w:pStyle w:val="ListBullet"/>
      </w:pPr>
      <w:r>
        <w:rPr>
          <w:rFonts w:ascii="Arial" w:hAnsi="Arial" w:cs="Arial"/>
          <w:b/>
          <w:sz w:val="22"/>
        </w:rPr>
        <w:t>proporcionalidad</w:t>
      </w:r>
      <w:r>
        <w:rPr>
          <w:rFonts w:ascii="Arial" w:hAnsi="Arial" w:cs="Arial"/>
          <w:sz w:val="22"/>
        </w:rPr>
        <w:t>: adecuación y equilibrio entre la medida y el fin;</w:t>
      </w:r>
    </w:p>
    <w:p>
      <w:pPr>
        <w:pStyle w:val="ListBullet"/>
      </w:pPr>
      <w:r>
        <w:rPr>
          <w:rFonts w:ascii="Arial" w:hAnsi="Arial" w:cs="Arial"/>
          <w:b/>
          <w:sz w:val="22"/>
        </w:rPr>
        <w:t>efectividad</w:t>
      </w:r>
      <w:r>
        <w:rPr>
          <w:rFonts w:ascii="Arial" w:hAnsi="Arial" w:cs="Arial"/>
          <w:sz w:val="22"/>
        </w:rPr>
        <w:t>: aptitud real para preservar el resultado;</w:t>
      </w:r>
    </w:p>
    <w:p>
      <w:pPr>
        <w:pStyle w:val="ListBullet"/>
      </w:pPr>
      <w:r>
        <w:rPr>
          <w:rFonts w:ascii="Arial" w:hAnsi="Arial" w:cs="Arial"/>
          <w:b/>
          <w:sz w:val="22"/>
        </w:rPr>
        <w:t>menor onerosidad</w:t>
      </w:r>
      <w:r>
        <w:rPr>
          <w:rFonts w:ascii="Arial" w:hAnsi="Arial" w:cs="Arial"/>
          <w:sz w:val="22"/>
        </w:rPr>
        <w:t>: elección de la alternativa menos gravosa que resulte eficaz.</w:t>
      </w:r>
    </w:p>
    <w:p>
      <w:pPr>
        <w:jc w:val="both"/>
      </w:pPr>
      <w:r>
        <w:rPr>
          <w:rFonts w:ascii="Arial" w:hAnsi="Arial" w:cs="Arial"/>
          <w:sz w:val="22"/>
        </w:rPr>
        <w:t xml:space="preserve">Antes de la iniciación también caben medidas provisionales, pero solo en casos de </w:t>
      </w:r>
      <w:r>
        <w:rPr>
          <w:rFonts w:ascii="Arial" w:hAnsi="Arial" w:cs="Arial"/>
          <w:b/>
          <w:sz w:val="22"/>
        </w:rPr>
        <w:t>urgencia inaplazable</w:t>
      </w:r>
      <w:r>
        <w:rPr>
          <w:rFonts w:ascii="Arial" w:hAnsi="Arial" w:cs="Arial"/>
          <w:sz w:val="22"/>
        </w:rPr>
        <w:t xml:space="preserve"> y para la protección provisional de los intereses implicados. Puede adoptarlas el órgano competente para iniciar o instruir. Deben confirmarse, modificarse o levantarse en el acuerdo de iniciación, que habrá de dictarse dentro de los </w:t>
      </w:r>
      <w:r>
        <w:rPr>
          <w:rFonts w:ascii="Arial" w:hAnsi="Arial" w:cs="Arial"/>
          <w:b/>
          <w:sz w:val="22"/>
        </w:rPr>
        <w:t>quince días</w:t>
      </w:r>
      <w:r>
        <w:rPr>
          <w:rFonts w:ascii="Arial" w:hAnsi="Arial" w:cs="Arial"/>
          <w:sz w:val="22"/>
        </w:rPr>
        <w:t xml:space="preserve"> siguientes. Quedarán sin efecto si el procedimiento no se inicia en ese plazo o si el acuerdo de iniciación no se pronuncia expresamente sobre ellas.</w:t>
      </w:r>
    </w:p>
    <w:p>
      <w:pPr>
        <w:jc w:val="both"/>
      </w:pPr>
      <w:r>
        <w:rPr>
          <w:rFonts w:ascii="Arial" w:hAnsi="Arial" w:cs="Arial"/>
          <w:sz w:val="22"/>
        </w:rPr>
        <w:t>Entre las medidas que enumera el artículo 56 figuran la suspensión temporal de actividades, las fianzas, la retirada o intervención de bienes productivos, el cierre temporal por las causas previstas, el embargo preventivo, el depósito, retención o inmovilización de bienes muebles, la intervención de ingresos obtenidos mediante una actividad presuntamente ilícita, la consignación de cantidades y la retención de ingresos a cuenta que deba abonar una Administración.</w:t>
      </w:r>
    </w:p>
    <w:p>
      <w:pPr>
        <w:jc w:val="both"/>
      </w:pPr>
      <w:r>
        <w:rPr>
          <w:rFonts w:ascii="Arial" w:hAnsi="Arial" w:cs="Arial"/>
          <w:sz w:val="22"/>
        </w:rPr>
        <w:t>No pueden acordarse medidas que causen perjuicios de difícil o imposible reparación o vulneren derechos amparados por las leyes. Pueden alzarse o modificarse durante la tramitación por circunstancias sobrevenidas o antes desconocidas y, en todo caso, se extinguen cuando surte efectos la resolución que pone fin al procedimiento.</w:t>
      </w:r>
    </w:p>
    <w:p>
      <w:pPr>
        <w:pStyle w:val="Heading2"/>
        <w:keepNext/>
      </w:pPr>
      <w:r>
        <w:rPr>
          <w:rFonts w:ascii="Arial" w:hAnsi="Arial" w:cs="Arial"/>
          <w:sz w:val="25"/>
        </w:rPr>
        <w:t>2.4. Acumulación</w:t>
      </w:r>
    </w:p>
    <w:p>
      <w:pPr>
        <w:jc w:val="both"/>
      </w:pPr>
      <w:r>
        <w:rPr>
          <w:rFonts w:ascii="Arial" w:hAnsi="Arial" w:cs="Arial"/>
          <w:sz w:val="22"/>
        </w:rPr>
        <w:t>El órgano que inicia o tramita puede acumular un procedimiento a otros cuando concurran:</w:t>
      </w:r>
    </w:p>
    <w:p>
      <w:pPr>
        <w:spacing w:after="40"/>
        <w:ind w:left="369" w:hanging="227"/>
      </w:pPr>
      <w:r>
        <w:rPr>
          <w:rFonts w:ascii="Arial" w:hAnsi="Arial" w:cs="Arial"/>
          <w:sz w:val="22"/>
        </w:rPr>
        <w:t>1. identidad sustancial o íntima conexión entre ellos;</w:t>
      </w:r>
    </w:p>
    <w:p>
      <w:pPr>
        <w:spacing w:after="40"/>
        <w:ind w:left="369" w:hanging="227"/>
      </w:pPr>
      <w:r>
        <w:rPr>
          <w:rFonts w:ascii="Arial" w:hAnsi="Arial" w:cs="Arial"/>
          <w:sz w:val="22"/>
        </w:rPr>
        <w:t>2. competencia del mismo órgano para tramitarlos y resolverlos.</w:t>
      </w:r>
    </w:p>
    <w:p>
      <w:pPr>
        <w:jc w:val="both"/>
      </w:pPr>
      <w:r>
        <w:rPr>
          <w:rFonts w:ascii="Arial" w:hAnsi="Arial" w:cs="Arial"/>
          <w:sz w:val="22"/>
        </w:rPr>
        <w:t xml:space="preserve">La acumulación puede acordarse de oficio o a instancia de parte, cualquiera que haya sido la forma de iniciación. Contra el acuerdo de acumulación </w:t>
      </w:r>
      <w:r>
        <w:rPr>
          <w:rFonts w:ascii="Arial" w:hAnsi="Arial" w:cs="Arial"/>
          <w:b/>
          <w:sz w:val="22"/>
        </w:rPr>
        <w:t>no procede recurso alguno</w:t>
      </w:r>
      <w:r>
        <w:rPr>
          <w:rFonts w:ascii="Arial" w:hAnsi="Arial" w:cs="Arial"/>
          <w:sz w:val="22"/>
        </w:rPr>
        <w:t>. Ello no impide que una eventual irregularidad relevante pueda alegarse al impugnar la resolución final.</w:t>
      </w:r>
    </w:p>
    <w:p>
      <w:pPr>
        <w:pStyle w:val="Heading1"/>
        <w:keepNext/>
      </w:pPr>
      <w:r>
        <w:rPr>
          <w:rFonts w:ascii="Arial" w:hAnsi="Arial" w:cs="Arial"/>
          <w:sz w:val="30"/>
        </w:rPr>
        <w:t>3. Iniciación de oficio</w:t>
      </w:r>
    </w:p>
    <w:p>
      <w:pPr>
        <w:pStyle w:val="Heading2"/>
        <w:keepNext/>
      </w:pPr>
      <w:r>
        <w:rPr>
          <w:rFonts w:ascii="Arial" w:hAnsi="Arial" w:cs="Arial"/>
          <w:sz w:val="25"/>
        </w:rPr>
        <w:t>3.1. Formas de impulso</w:t>
      </w:r>
    </w:p>
    <w:p>
      <w:pPr>
        <w:jc w:val="both"/>
      </w:pPr>
      <w:r>
        <w:rPr>
          <w:rFonts w:ascii="Arial" w:hAnsi="Arial" w:cs="Arial"/>
          <w:sz w:val="22"/>
        </w:rPr>
        <w:t>Todo procedimiento de oficio se abre mediante acuerdo del órgano competente. Ese acuerdo puede obedecer a cuatro vías del artículo 58:</w:t>
      </w:r>
    </w:p>
    <w:tbl>
      <w:tblPr>
        <w:tblStyle w:val="TableGrid"/>
        <w:tblW w:type="dxa" w:w="9026"/>
        <w:jc w:val="left"/>
        <w:tblLayout w:type="fixed"/>
        <w:tblLook w:firstColumn="1" w:firstRow="1" w:lastColumn="0" w:lastRow="0" w:noHBand="0" w:noVBand="1" w:val="04A0"/>
        <w:tblInd w:w="120" w:type="dxa"/>
      </w:tblPr>
      <w:tblGrid>
        <w:gridCol w:w="1900"/>
        <w:gridCol w:w="7126"/>
      </w:tblGrid>
      <w:tr>
        <w:trPr>
          <w:tblHeader w:val="true"/>
        </w:trPr>
        <w:tc>
          <w:tcPr>
            <w:tcW w:type="dxa" w:w="1900"/>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Vía</w:t>
            </w:r>
          </w:p>
        </w:tc>
        <w:tc>
          <w:tcPr>
            <w:tcW w:type="dxa" w:w="7126"/>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Caracterización</w:t>
            </w:r>
          </w:p>
        </w:tc>
      </w:tr>
      <w:tr>
        <w:tc>
          <w:tcPr>
            <w:tcW w:type="dxa" w:w="1900"/>
            <w:tcMar>
              <w:top w:w="80" w:type="dxa"/>
              <w:start w:w="120" w:type="dxa"/>
              <w:bottom w:w="80" w:type="dxa"/>
              <w:end w:w="120" w:type="dxa"/>
            </w:tcMar>
            <w:vAlign w:val="center"/>
          </w:tcPr>
          <w:p>
            <w:pPr>
              <w:spacing w:before="0" w:after="0" w:line="240" w:lineRule="auto"/>
              <w:jc w:val="left"/>
            </w:pPr>
            <w:r/>
            <w:r>
              <w:rPr>
                <w:rFonts w:ascii="Arial" w:hAnsi="Arial" w:cs="Arial"/>
                <w:sz w:val="18"/>
              </w:rPr>
              <w:t>Propia iniciativa</w:t>
            </w:r>
          </w:p>
        </w:tc>
        <w:tc>
          <w:tcPr>
            <w:tcW w:type="dxa" w:w="7126"/>
            <w:tcMar>
              <w:top w:w="80" w:type="dxa"/>
              <w:start w:w="120" w:type="dxa"/>
              <w:bottom w:w="80" w:type="dxa"/>
              <w:end w:w="120" w:type="dxa"/>
            </w:tcMar>
            <w:vAlign w:val="center"/>
          </w:tcPr>
          <w:p>
            <w:pPr>
              <w:spacing w:before="0" w:after="0" w:line="240" w:lineRule="auto"/>
              <w:jc w:val="left"/>
            </w:pPr>
            <w:r/>
            <w:r>
              <w:rPr>
                <w:rFonts w:ascii="Arial" w:hAnsi="Arial" w:cs="Arial"/>
                <w:sz w:val="18"/>
              </w:rPr>
              <w:t>Conocimiento directo o indirecto por el órgano competente para iniciar</w:t>
            </w:r>
          </w:p>
        </w:tc>
      </w:tr>
      <w:tr>
        <w:tc>
          <w:tcPr>
            <w:tcW w:type="dxa" w:w="1900"/>
            <w:tcMar>
              <w:top w:w="80" w:type="dxa"/>
              <w:start w:w="120" w:type="dxa"/>
              <w:bottom w:w="80" w:type="dxa"/>
              <w:end w:w="120" w:type="dxa"/>
            </w:tcMar>
            <w:vAlign w:val="center"/>
          </w:tcPr>
          <w:p>
            <w:pPr>
              <w:spacing w:before="0" w:after="0" w:line="240" w:lineRule="auto"/>
              <w:jc w:val="left"/>
            </w:pPr>
            <w:r/>
            <w:r>
              <w:rPr>
                <w:rFonts w:ascii="Arial" w:hAnsi="Arial" w:cs="Arial"/>
                <w:sz w:val="18"/>
              </w:rPr>
              <w:t>Orden superior</w:t>
            </w:r>
          </w:p>
        </w:tc>
        <w:tc>
          <w:tcPr>
            <w:tcW w:type="dxa" w:w="7126"/>
            <w:tcMar>
              <w:top w:w="80" w:type="dxa"/>
              <w:start w:w="120" w:type="dxa"/>
              <w:bottom w:w="80" w:type="dxa"/>
              <w:end w:w="120" w:type="dxa"/>
            </w:tcMar>
            <w:vAlign w:val="center"/>
          </w:tcPr>
          <w:p>
            <w:pPr>
              <w:spacing w:before="0" w:after="0" w:line="240" w:lineRule="auto"/>
              <w:jc w:val="left"/>
            </w:pPr>
            <w:r/>
            <w:r>
              <w:rPr>
                <w:rFonts w:ascii="Arial" w:hAnsi="Arial" w:cs="Arial"/>
                <w:sz w:val="18"/>
              </w:rPr>
              <w:t>Mandato de un órgano jerárquicamente superior</w:t>
            </w:r>
          </w:p>
        </w:tc>
      </w:tr>
      <w:tr>
        <w:tc>
          <w:tcPr>
            <w:tcW w:type="dxa" w:w="1900"/>
            <w:tcMar>
              <w:top w:w="80" w:type="dxa"/>
              <w:start w:w="120" w:type="dxa"/>
              <w:bottom w:w="80" w:type="dxa"/>
              <w:end w:w="120" w:type="dxa"/>
            </w:tcMar>
            <w:vAlign w:val="center"/>
          </w:tcPr>
          <w:p>
            <w:pPr>
              <w:spacing w:before="0" w:after="0" w:line="240" w:lineRule="auto"/>
              <w:jc w:val="left"/>
            </w:pPr>
            <w:r/>
            <w:r>
              <w:rPr>
                <w:rFonts w:ascii="Arial" w:hAnsi="Arial" w:cs="Arial"/>
                <w:sz w:val="18"/>
              </w:rPr>
              <w:t>Petición razonada</w:t>
            </w:r>
          </w:p>
        </w:tc>
        <w:tc>
          <w:tcPr>
            <w:tcW w:type="dxa" w:w="7126"/>
            <w:tcMar>
              <w:top w:w="80" w:type="dxa"/>
              <w:start w:w="120" w:type="dxa"/>
              <w:bottom w:w="80" w:type="dxa"/>
              <w:end w:w="120" w:type="dxa"/>
            </w:tcMar>
            <w:vAlign w:val="center"/>
          </w:tcPr>
          <w:p>
            <w:pPr>
              <w:spacing w:before="0" w:after="0" w:line="240" w:lineRule="auto"/>
              <w:jc w:val="left"/>
            </w:pPr>
            <w:r/>
            <w:r>
              <w:rPr>
                <w:rFonts w:ascii="Arial" w:hAnsi="Arial" w:cs="Arial"/>
                <w:sz w:val="18"/>
              </w:rPr>
              <w:t>Propuesta de otro órgano que carece de competencia para iniciar</w:t>
            </w:r>
          </w:p>
        </w:tc>
      </w:tr>
      <w:tr>
        <w:tc>
          <w:tcPr>
            <w:tcW w:type="dxa" w:w="1900"/>
            <w:tcMar>
              <w:top w:w="80" w:type="dxa"/>
              <w:start w:w="120" w:type="dxa"/>
              <w:bottom w:w="80" w:type="dxa"/>
              <w:end w:w="120" w:type="dxa"/>
            </w:tcMar>
            <w:vAlign w:val="center"/>
          </w:tcPr>
          <w:p>
            <w:pPr>
              <w:spacing w:before="0" w:after="0" w:line="240" w:lineRule="auto"/>
              <w:jc w:val="left"/>
            </w:pPr>
            <w:r/>
            <w:r>
              <w:rPr>
                <w:rFonts w:ascii="Arial" w:hAnsi="Arial" w:cs="Arial"/>
                <w:sz w:val="18"/>
              </w:rPr>
              <w:t>Denuncia</w:t>
            </w:r>
          </w:p>
        </w:tc>
        <w:tc>
          <w:tcPr>
            <w:tcW w:type="dxa" w:w="7126"/>
            <w:tcMar>
              <w:top w:w="80" w:type="dxa"/>
              <w:start w:w="120" w:type="dxa"/>
              <w:bottom w:w="80" w:type="dxa"/>
              <w:end w:w="120" w:type="dxa"/>
            </w:tcMar>
            <w:vAlign w:val="center"/>
          </w:tcPr>
          <w:p>
            <w:pPr>
              <w:spacing w:before="0" w:after="0" w:line="240" w:lineRule="auto"/>
              <w:jc w:val="left"/>
            </w:pPr>
            <w:r/>
            <w:r>
              <w:rPr>
                <w:rFonts w:ascii="Arial" w:hAnsi="Arial" w:cs="Arial"/>
                <w:sz w:val="18"/>
              </w:rPr>
              <w:t>Puesta en conocimiento de hechos por cualquier persona</w:t>
            </w:r>
          </w:p>
        </w:tc>
      </w:tr>
    </w:tbl>
    <w:p>
      <w:pPr>
        <w:spacing w:after="40"/>
      </w:pPr>
    </w:p>
    <w:p>
      <w:pPr>
        <w:jc w:val="both"/>
      </w:pPr>
      <w:r>
        <w:rPr>
          <w:rFonts w:ascii="Arial" w:hAnsi="Arial" w:cs="Arial"/>
          <w:sz w:val="22"/>
        </w:rPr>
        <w:t>La causa impulsora y el acuerdo de iniciación no deben confundirse. La orden superior, la petición o la denuncia aportan información o instan una actuación, pero el procedimiento nace con el acuerdo del órgano legalmente competente.</w:t>
      </w:r>
    </w:p>
    <w:p>
      <w:pPr>
        <w:pStyle w:val="Heading2"/>
        <w:keepNext/>
      </w:pPr>
      <w:r>
        <w:rPr>
          <w:rFonts w:ascii="Arial" w:hAnsi="Arial" w:cs="Arial"/>
          <w:sz w:val="25"/>
        </w:rPr>
        <w:t>3.2. Propia iniciativa y orden superior</w:t>
      </w:r>
    </w:p>
    <w:p>
      <w:pPr>
        <w:jc w:val="both"/>
      </w:pPr>
      <w:r>
        <w:rPr>
          <w:rFonts w:ascii="Arial" w:hAnsi="Arial" w:cs="Arial"/>
          <w:sz w:val="22"/>
        </w:rPr>
        <w:t>Existe propia iniciativa cuando el órgano con competencia de iniciación conoce, directa o indirectamente, los hechos o conductas objeto del posible procedimiento. El conocimiento puede proceder de actuaciones administrativas ordinarias, inspecciones, información pública o cualquier fuente lícita.</w:t>
      </w:r>
    </w:p>
    <w:p>
      <w:pPr>
        <w:jc w:val="both"/>
      </w:pPr>
      <w:r>
        <w:rPr>
          <w:rFonts w:ascii="Arial" w:hAnsi="Arial" w:cs="Arial"/>
          <w:sz w:val="22"/>
        </w:rPr>
        <w:t>La orden superior es la emitida por un órgano administrativo jerárquicamente superior al competente para iniciar. En los procedimientos sancionadores debe expresar, en la medida de lo posible, las personas presuntamente responsables, las conductas o hechos, su posible tipificación y el lugar y tiempo de comisión. La orden no sustituye el deber del órgano competente de formar correctamente el acuerdo de incoación.</w:t>
      </w:r>
    </w:p>
    <w:p>
      <w:pPr>
        <w:pStyle w:val="Heading2"/>
        <w:keepNext/>
      </w:pPr>
      <w:r>
        <w:rPr>
          <w:rFonts w:ascii="Arial" w:hAnsi="Arial" w:cs="Arial"/>
          <w:sz w:val="25"/>
        </w:rPr>
        <w:t>3.3. Petición razonada de otro órgano</w:t>
      </w:r>
    </w:p>
    <w:p>
      <w:pPr>
        <w:jc w:val="both"/>
      </w:pPr>
      <w:r>
        <w:rPr>
          <w:rFonts w:ascii="Arial" w:hAnsi="Arial" w:cs="Arial"/>
          <w:sz w:val="22"/>
        </w:rPr>
        <w:t xml:space="preserve">La petición razonada es la propuesta formulada por un órgano que no tiene competencia para iniciar, pero que conoce los hechos ocasionalmente o por sus funciones de inspección, averiguación o investigación. </w:t>
      </w:r>
      <w:r>
        <w:rPr>
          <w:rFonts w:ascii="Arial" w:hAnsi="Arial" w:cs="Arial"/>
          <w:b/>
          <w:sz w:val="22"/>
        </w:rPr>
        <w:t>No vincula</w:t>
      </w:r>
      <w:r>
        <w:rPr>
          <w:rFonts w:ascii="Arial" w:hAnsi="Arial" w:cs="Arial"/>
          <w:sz w:val="22"/>
        </w:rPr>
        <w:t xml:space="preserve"> al órgano competente. Si este decide no iniciar, debe comunicar al órgano peticionario los motivos.</w:t>
      </w:r>
    </w:p>
    <w:p>
      <w:pPr>
        <w:jc w:val="both"/>
      </w:pPr>
      <w:r>
        <w:rPr>
          <w:rFonts w:ascii="Arial" w:hAnsi="Arial" w:cs="Arial"/>
          <w:sz w:val="22"/>
        </w:rPr>
        <w:t>En materia sancionadora, la petición concretará, en la medida de lo posible, responsables, hechos, tipificación, lugar y fecha o período de comisión. En responsabilidad patrimonial, individualizará la lesión, la relación causal con el servicio público, su evaluación económica si fuera posible y el momento en que se produjo.</w:t>
      </w:r>
    </w:p>
    <w:p>
      <w:pPr>
        <w:pStyle w:val="Heading2"/>
        <w:keepNext/>
      </w:pPr>
      <w:r>
        <w:rPr>
          <w:rFonts w:ascii="Arial" w:hAnsi="Arial" w:cs="Arial"/>
          <w:sz w:val="25"/>
        </w:rPr>
        <w:t>3.4. Denuncia</w:t>
      </w:r>
    </w:p>
    <w:p>
      <w:pPr>
        <w:jc w:val="both"/>
      </w:pPr>
      <w:r>
        <w:rPr>
          <w:rFonts w:ascii="Arial" w:hAnsi="Arial" w:cs="Arial"/>
          <w:sz w:val="22"/>
        </w:rPr>
        <w:t>La denuncia es el acto por el que cualquier persona, cumpliendo o no una obligación legal, comunica hechos que podrían justificar un procedimiento de oficio. Debe incluir identidad del denunciante y relato de hechos; si pudieran constituir infracción, también fecha y, cuando sea posible, responsables.</w:t>
      </w:r>
    </w:p>
    <w:p>
      <w:pPr>
        <w:jc w:val="both"/>
      </w:pPr>
      <w:r>
        <w:rPr>
          <w:rFonts w:ascii="Arial" w:hAnsi="Arial" w:cs="Arial"/>
          <w:sz w:val="22"/>
        </w:rPr>
        <w:t>Cuando se denuncie un perjuicio al patrimonio público, la decisión de no iniciar debe motivarse y notificarse al denunciante. En los demás supuestos, la comunicación de la decisión dependerá de la regulación aplicable.</w:t>
      </w:r>
    </w:p>
    <w:p>
      <w:pPr>
        <w:jc w:val="both"/>
      </w:pPr>
      <w:r>
        <w:rPr>
          <w:rFonts w:ascii="Arial" w:hAnsi="Arial" w:cs="Arial"/>
          <w:sz w:val="22"/>
        </w:rPr>
        <w:t>La LPAC prevé un mecanismo de clemencia para quien participó en una infracción que perjudica el patrimonio público:</w:t>
      </w:r>
    </w:p>
    <w:p>
      <w:pPr>
        <w:pStyle w:val="ListBullet"/>
      </w:pPr>
      <w:r>
        <w:rPr>
          <w:rFonts w:ascii="Arial" w:hAnsi="Arial" w:cs="Arial"/>
          <w:sz w:val="22"/>
        </w:rPr>
        <w:t xml:space="preserve">el órgano competente </w:t>
      </w:r>
      <w:r>
        <w:rPr>
          <w:rFonts w:ascii="Arial" w:hAnsi="Arial" w:cs="Arial"/>
          <w:b/>
          <w:sz w:val="22"/>
        </w:rPr>
        <w:t>deberá eximir</w:t>
      </w:r>
      <w:r>
        <w:rPr>
          <w:rFonts w:ascii="Arial" w:hAnsi="Arial" w:cs="Arial"/>
          <w:sz w:val="22"/>
        </w:rPr>
        <w:t xml:space="preserve"> de multa o sanción no pecuniaria al primer denunciante que aporte elementos que permitan iniciar o comprobar la infracción, si la Administración aún no tenía prueba suficiente, repara el perjuicio, cesa en la participación y no destruye pruebas;</w:t>
      </w:r>
    </w:p>
    <w:p>
      <w:pPr>
        <w:pStyle w:val="ListBullet"/>
      </w:pPr>
      <w:r>
        <w:rPr>
          <w:rFonts w:ascii="Arial" w:hAnsi="Arial" w:cs="Arial"/>
          <w:sz w:val="22"/>
        </w:rPr>
        <w:t xml:space="preserve">si no reúne todos los requisitos para la exención, pero aporta prueba con valor añadido significativo, </w:t>
      </w:r>
      <w:r>
        <w:rPr>
          <w:rFonts w:ascii="Arial" w:hAnsi="Arial" w:cs="Arial"/>
          <w:b/>
          <w:sz w:val="22"/>
        </w:rPr>
        <w:t>deberá reducirse</w:t>
      </w:r>
      <w:r>
        <w:rPr>
          <w:rFonts w:ascii="Arial" w:hAnsi="Arial" w:cs="Arial"/>
          <w:sz w:val="22"/>
        </w:rPr>
        <w:t xml:space="preserve"> la sanción correspondiente.</w:t>
      </w:r>
    </w:p>
    <w:p>
      <w:pPr>
        <w:jc w:val="both"/>
      </w:pPr>
      <w:r>
        <w:rPr>
          <w:rFonts w:ascii="Arial" w:hAnsi="Arial" w:cs="Arial"/>
          <w:sz w:val="22"/>
        </w:rPr>
        <w:t xml:space="preserve">La presentación de denuncia </w:t>
      </w:r>
      <w:r>
        <w:rPr>
          <w:rFonts w:ascii="Arial" w:hAnsi="Arial" w:cs="Arial"/>
          <w:b/>
          <w:sz w:val="22"/>
        </w:rPr>
        <w:t>no confiere por sí sola condición de interesado</w:t>
      </w:r>
      <w:r>
        <w:rPr>
          <w:rFonts w:ascii="Arial" w:hAnsi="Arial" w:cs="Arial"/>
          <w:sz w:val="22"/>
        </w:rPr>
        <w:t>. Será interesado quien cumpla los requisitos del artículo 4 LPAC, por ejemplo porque la decisión pueda afectar a un derecho o interés legítimo propio.</w:t>
      </w:r>
    </w:p>
    <w:p>
      <w:pPr>
        <w:pStyle w:val="Heading2"/>
        <w:keepNext/>
      </w:pPr>
      <w:r>
        <w:rPr>
          <w:rFonts w:ascii="Arial" w:hAnsi="Arial" w:cs="Arial"/>
          <w:sz w:val="25"/>
        </w:rPr>
        <w:t>3.5. Especialidades sancionadoras</w:t>
      </w:r>
    </w:p>
    <w:p>
      <w:pPr>
        <w:jc w:val="both"/>
      </w:pPr>
      <w:r>
        <w:rPr>
          <w:rFonts w:ascii="Arial" w:hAnsi="Arial" w:cs="Arial"/>
          <w:sz w:val="22"/>
        </w:rPr>
        <w:t>Los procedimientos sancionadores se inician siempre de oficio. Debe existir separación entre fase instructora y sancionadora, atribuidas a órganos distintos. No cabe sanción sin procedimiento y no pueden incoarse nuevos procedimientos por una infracción continuada persistente mientras no exista una primera resolución sancionadora ejecutiva.</w:t>
      </w:r>
    </w:p>
    <w:p>
      <w:pPr>
        <w:jc w:val="both"/>
      </w:pPr>
      <w:r>
        <w:rPr>
          <w:rFonts w:ascii="Arial" w:hAnsi="Arial" w:cs="Arial"/>
          <w:sz w:val="22"/>
        </w:rPr>
        <w:t>El acuerdo de iniciación se comunica al instructor, con las actuaciones existentes, y se notifica a los interesados, considerando siempre interesado al inculpado. Debe contener, al menos:</w:t>
      </w:r>
    </w:p>
    <w:p>
      <w:pPr>
        <w:spacing w:after="40"/>
        <w:ind w:left="369" w:hanging="227"/>
      </w:pPr>
      <w:r>
        <w:rPr>
          <w:rFonts w:ascii="Arial" w:hAnsi="Arial" w:cs="Arial"/>
          <w:sz w:val="22"/>
        </w:rPr>
        <w:t>1. identificación de los presuntos responsables;</w:t>
      </w:r>
    </w:p>
    <w:p>
      <w:pPr>
        <w:spacing w:after="40"/>
        <w:ind w:left="369" w:hanging="227"/>
      </w:pPr>
      <w:r>
        <w:rPr>
          <w:rFonts w:ascii="Arial" w:hAnsi="Arial" w:cs="Arial"/>
          <w:sz w:val="22"/>
        </w:rPr>
        <w:t>2. hechos, posible calificación y sanciones posibles;</w:t>
      </w:r>
    </w:p>
    <w:p>
      <w:pPr>
        <w:spacing w:after="40"/>
        <w:ind w:left="369" w:hanging="227"/>
      </w:pPr>
      <w:r>
        <w:rPr>
          <w:rFonts w:ascii="Arial" w:hAnsi="Arial" w:cs="Arial"/>
          <w:sz w:val="22"/>
        </w:rPr>
        <w:t>3. instructor y, en su caso, secretario, con su régimen de recusación;</w:t>
      </w:r>
    </w:p>
    <w:p>
      <w:pPr>
        <w:spacing w:after="40"/>
        <w:ind w:left="369" w:hanging="227"/>
      </w:pPr>
      <w:r>
        <w:rPr>
          <w:rFonts w:ascii="Arial" w:hAnsi="Arial" w:cs="Arial"/>
          <w:sz w:val="22"/>
        </w:rPr>
        <w:t>4. órgano competente para resolver y norma atributiva;</w:t>
      </w:r>
    </w:p>
    <w:p>
      <w:pPr>
        <w:spacing w:after="40"/>
        <w:ind w:left="369" w:hanging="227"/>
      </w:pPr>
      <w:r>
        <w:rPr>
          <w:rFonts w:ascii="Arial" w:hAnsi="Arial" w:cs="Arial"/>
          <w:sz w:val="22"/>
        </w:rPr>
        <w:t>5. posibilidad de reconocimiento voluntario de responsabilidad;</w:t>
      </w:r>
    </w:p>
    <w:p>
      <w:pPr>
        <w:spacing w:after="40"/>
        <w:ind w:left="369" w:hanging="227"/>
      </w:pPr>
      <w:r>
        <w:rPr>
          <w:rFonts w:ascii="Arial" w:hAnsi="Arial" w:cs="Arial"/>
          <w:sz w:val="22"/>
        </w:rPr>
        <w:t>6. medidas provisionales ya adoptadas;</w:t>
      </w:r>
    </w:p>
    <w:p>
      <w:pPr>
        <w:spacing w:after="40"/>
        <w:ind w:left="369" w:hanging="227"/>
      </w:pPr>
      <w:r>
        <w:rPr>
          <w:rFonts w:ascii="Arial" w:hAnsi="Arial" w:cs="Arial"/>
          <w:sz w:val="22"/>
        </w:rPr>
        <w:t>7. derecho y plazo de alegaciones y audiencia;</w:t>
      </w:r>
    </w:p>
    <w:p>
      <w:pPr>
        <w:spacing w:after="40"/>
        <w:ind w:left="369" w:hanging="227"/>
      </w:pPr>
      <w:r>
        <w:rPr>
          <w:rFonts w:ascii="Arial" w:hAnsi="Arial" w:cs="Arial"/>
          <w:sz w:val="22"/>
        </w:rPr>
        <w:t>8. advertencia de que, si no se alegara y existe un pronunciamiento preciso de responsabilidad, el acuerdo podrá considerarse propuesta de resolución.</w:t>
      </w:r>
    </w:p>
    <w:p>
      <w:pPr>
        <w:jc w:val="both"/>
      </w:pPr>
      <w:r>
        <w:rPr>
          <w:rFonts w:ascii="Arial" w:hAnsi="Arial" w:cs="Arial"/>
          <w:sz w:val="22"/>
        </w:rPr>
        <w:t>Si todavía faltan elementos para calificar inicialmente los hechos, la calificación puede efectuarse después mediante pliego de cargos notificado al interesado.</w:t>
      </w:r>
    </w:p>
    <w:p>
      <w:pPr>
        <w:pStyle w:val="Heading2"/>
        <w:keepNext/>
      </w:pPr>
      <w:r>
        <w:rPr>
          <w:rFonts w:ascii="Arial" w:hAnsi="Arial" w:cs="Arial"/>
          <w:sz w:val="25"/>
        </w:rPr>
        <w:t>3.6. Inicio de oficio de responsabilidad patrimonial</w:t>
      </w:r>
    </w:p>
    <w:p>
      <w:pPr>
        <w:jc w:val="both"/>
      </w:pPr>
      <w:r>
        <w:rPr>
          <w:rFonts w:ascii="Arial" w:hAnsi="Arial" w:cs="Arial"/>
          <w:sz w:val="22"/>
        </w:rPr>
        <w:t xml:space="preserve">La Administración solo puede iniciar de oficio responsabilidad patrimonial mientras no haya prescrito el derecho del perjudicado a reclamar. El acuerdo se notifica a los particulares presuntamente lesionados y les concede </w:t>
      </w:r>
      <w:r>
        <w:rPr>
          <w:rFonts w:ascii="Arial" w:hAnsi="Arial" w:cs="Arial"/>
          <w:b/>
          <w:sz w:val="22"/>
        </w:rPr>
        <w:t>diez días</w:t>
      </w:r>
      <w:r>
        <w:rPr>
          <w:rFonts w:ascii="Arial" w:hAnsi="Arial" w:cs="Arial"/>
          <w:sz w:val="22"/>
        </w:rPr>
        <w:t xml:space="preserve"> para alegar, aportar documentos o información y proponer prueba. Aunque no comparezcan, la Administración instruirá el procedimiento.</w:t>
      </w:r>
    </w:p>
    <w:p>
      <w:pPr>
        <w:pStyle w:val="Heading1"/>
        <w:keepNext/>
      </w:pPr>
      <w:r>
        <w:rPr>
          <w:rFonts w:ascii="Arial" w:hAnsi="Arial" w:cs="Arial"/>
          <w:sz w:val="30"/>
        </w:rPr>
        <w:t>4. Iniciación a solicitud del interesado</w:t>
      </w:r>
    </w:p>
    <w:p>
      <w:pPr>
        <w:pStyle w:val="Heading2"/>
        <w:keepNext/>
      </w:pPr>
      <w:r>
        <w:rPr>
          <w:rFonts w:ascii="Arial" w:hAnsi="Arial" w:cs="Arial"/>
          <w:sz w:val="25"/>
        </w:rPr>
        <w:t>4.1. Contenido de la solicitud</w:t>
      </w:r>
    </w:p>
    <w:p>
      <w:pPr>
        <w:jc w:val="both"/>
      </w:pPr>
      <w:r>
        <w:rPr>
          <w:rFonts w:ascii="Arial" w:hAnsi="Arial" w:cs="Arial"/>
          <w:sz w:val="22"/>
        </w:rPr>
        <w:t>Según el artículo 66, toda solicitud debe expresar:</w:t>
      </w:r>
    </w:p>
    <w:p>
      <w:pPr>
        <w:pStyle w:val="ListBullet"/>
      </w:pPr>
      <w:r>
        <w:rPr>
          <w:rFonts w:ascii="Arial" w:hAnsi="Arial" w:cs="Arial"/>
          <w:sz w:val="22"/>
        </w:rPr>
        <w:t>nombre y apellidos del interesado y, en su caso, de su representante;</w:t>
      </w:r>
    </w:p>
    <w:p>
      <w:pPr>
        <w:pStyle w:val="ListBullet"/>
      </w:pPr>
      <w:r>
        <w:rPr>
          <w:rFonts w:ascii="Arial" w:hAnsi="Arial" w:cs="Arial"/>
          <w:sz w:val="22"/>
        </w:rPr>
        <w:t>medio electrónico o, si procede, lugar físico para la notificación; adicionalmente puede facilitar correo electrónico o dispositivo para recibir avisos;</w:t>
      </w:r>
    </w:p>
    <w:p>
      <w:pPr>
        <w:pStyle w:val="ListBullet"/>
      </w:pPr>
      <w:r>
        <w:rPr>
          <w:rFonts w:ascii="Arial" w:hAnsi="Arial" w:cs="Arial"/>
          <w:sz w:val="22"/>
        </w:rPr>
        <w:t>hechos, razones y petición formulados con claridad;</w:t>
      </w:r>
    </w:p>
    <w:p>
      <w:pPr>
        <w:pStyle w:val="ListBullet"/>
      </w:pPr>
      <w:r>
        <w:rPr>
          <w:rFonts w:ascii="Arial" w:hAnsi="Arial" w:cs="Arial"/>
          <w:sz w:val="22"/>
        </w:rPr>
        <w:t>lugar y fecha;</w:t>
      </w:r>
    </w:p>
    <w:p>
      <w:pPr>
        <w:pStyle w:val="ListBullet"/>
      </w:pPr>
      <w:r>
        <w:rPr>
          <w:rFonts w:ascii="Arial" w:hAnsi="Arial" w:cs="Arial"/>
          <w:sz w:val="22"/>
        </w:rPr>
        <w:t>firma o acreditación de autenticidad de la voluntad;</w:t>
      </w:r>
    </w:p>
    <w:p>
      <w:pPr>
        <w:pStyle w:val="ListBullet"/>
      </w:pPr>
      <w:r>
        <w:rPr>
          <w:rFonts w:ascii="Arial" w:hAnsi="Arial" w:cs="Arial"/>
          <w:sz w:val="22"/>
        </w:rPr>
        <w:t>órgano, centro o unidad destinataria y su código de identificación.</w:t>
      </w:r>
    </w:p>
    <w:p>
      <w:pPr>
        <w:jc w:val="both"/>
      </w:pPr>
      <w:r>
        <w:rPr>
          <w:rFonts w:ascii="Arial" w:hAnsi="Arial" w:cs="Arial"/>
          <w:sz w:val="22"/>
        </w:rPr>
        <w:t>Las oficinas de asistencia en materia de registros facilitarán el código si el interesado lo desconoce. Cuando varias personas formulen pretensiones con contenido y fundamento idéntico o sustancialmente similar, pueden presentar una solicitud conjunta, salvo regla específica en contrario.</w:t>
      </w:r>
    </w:p>
    <w:p>
      <w:pPr>
        <w:jc w:val="both"/>
      </w:pPr>
      <w:r>
        <w:rPr>
          <w:rFonts w:ascii="Arial" w:hAnsi="Arial" w:cs="Arial"/>
          <w:sz w:val="22"/>
        </w:rPr>
        <w:t>El interesado puede exigir recibo de presentación con fecha y hora. Las Administraciones deben ofrecer modelos y sistemas de presentación masiva; los modelos generales son voluntarios, pero un modelo específico establecido expresamente para un procedimiento concreto es obligatorio. El solicitante puede añadir datos que completen o precisen el modelo, y la Administración debe admitirlos y tenerlos en cuenta.</w:t>
      </w:r>
    </w:p>
    <w:p>
      <w:pPr>
        <w:pStyle w:val="Heading2"/>
        <w:keepNext/>
      </w:pPr>
      <w:r>
        <w:rPr>
          <w:rFonts w:ascii="Arial" w:hAnsi="Arial" w:cs="Arial"/>
          <w:sz w:val="25"/>
        </w:rPr>
        <w:t>4.2. Solicitud de responsabilidad patrimonial</w:t>
      </w:r>
    </w:p>
    <w:p>
      <w:pPr>
        <w:jc w:val="both"/>
      </w:pPr>
      <w:r>
        <w:rPr>
          <w:rFonts w:ascii="Arial" w:hAnsi="Arial" w:cs="Arial"/>
          <w:sz w:val="22"/>
        </w:rPr>
        <w:t xml:space="preserve">El derecho a reclamar prescribe, como regla, al </w:t>
      </w:r>
      <w:r>
        <w:rPr>
          <w:rFonts w:ascii="Arial" w:hAnsi="Arial" w:cs="Arial"/>
          <w:b/>
          <w:sz w:val="22"/>
        </w:rPr>
        <w:t>año</w:t>
      </w:r>
      <w:r>
        <w:rPr>
          <w:rFonts w:ascii="Arial" w:hAnsi="Arial" w:cs="Arial"/>
          <w:sz w:val="22"/>
        </w:rPr>
        <w:t xml:space="preserve"> desde el hecho o acto causante o desde la manifestación de su efecto lesivo. En daños físicos o psíquicos, el cómputo empieza con la curación o la determinación del alcance de las secuelas. Cuando el daño se vincule a la anulación administrativa o judicial de un acto o disposición, el año se cuenta desde la notificación de la resolución administrativa o sentencia definitiva. Para los supuestos legales de responsabilidad del Estado legislador por norma inconstitucional o contraria al Derecho de la Unión, se cuenta desde la publicación de la sentencia correspondiente en el BOE o en el Diario Oficial de la Unión Europea.</w:t>
      </w:r>
    </w:p>
    <w:p>
      <w:pPr>
        <w:jc w:val="both"/>
      </w:pPr>
      <w:r>
        <w:rPr>
          <w:rFonts w:ascii="Arial" w:hAnsi="Arial" w:cs="Arial"/>
          <w:sz w:val="22"/>
        </w:rPr>
        <w:t>La solicitud debe concretar la lesión, la relación causal, la evaluación económica si es posible, el momento de producción, las alegaciones y documentos y los medios de prueba propuestos.</w:t>
      </w:r>
    </w:p>
    <w:p>
      <w:pPr>
        <w:pStyle w:val="Heading2"/>
        <w:keepNext/>
      </w:pPr>
      <w:r>
        <w:rPr>
          <w:rFonts w:ascii="Arial" w:hAnsi="Arial" w:cs="Arial"/>
          <w:sz w:val="25"/>
        </w:rPr>
        <w:t>4.3. Subsanación y mejora</w:t>
      </w:r>
    </w:p>
    <w:p>
      <w:pPr>
        <w:jc w:val="both"/>
      </w:pPr>
      <w:r>
        <w:rPr>
          <w:rFonts w:ascii="Arial" w:hAnsi="Arial" w:cs="Arial"/>
          <w:sz w:val="22"/>
        </w:rPr>
        <w:t xml:space="preserve">Si la solicitud no reúne los requisitos exigibles, se requiere subsanación en </w:t>
      </w:r>
      <w:r>
        <w:rPr>
          <w:rFonts w:ascii="Arial" w:hAnsi="Arial" w:cs="Arial"/>
          <w:b/>
          <w:sz w:val="22"/>
        </w:rPr>
        <w:t>diez días</w:t>
      </w:r>
      <w:r>
        <w:rPr>
          <w:rFonts w:ascii="Arial" w:hAnsi="Arial" w:cs="Arial"/>
          <w:sz w:val="22"/>
        </w:rPr>
        <w:t xml:space="preserve">, con advertencia de que, de no atenderse, se tendrá al interesado por desistido mediante resolución expresa. Fuera de procedimientos selectivos o de concurrencia competitiva, el plazo puede ampliarse prudencialmente hasta </w:t>
      </w:r>
      <w:r>
        <w:rPr>
          <w:rFonts w:ascii="Arial" w:hAnsi="Arial" w:cs="Arial"/>
          <w:b/>
          <w:sz w:val="22"/>
        </w:rPr>
        <w:t>cinco días</w:t>
      </w:r>
      <w:r>
        <w:rPr>
          <w:rFonts w:ascii="Arial" w:hAnsi="Arial" w:cs="Arial"/>
          <w:sz w:val="22"/>
        </w:rPr>
        <w:t xml:space="preserve"> cuando aportar los documentos presente dificultades especiales.</w:t>
      </w:r>
    </w:p>
    <w:p>
      <w:pPr>
        <w:jc w:val="both"/>
      </w:pPr>
      <w:r>
        <w:rPr>
          <w:rFonts w:ascii="Arial" w:hAnsi="Arial" w:cs="Arial"/>
          <w:sz w:val="22"/>
        </w:rPr>
        <w:t xml:space="preserve">La mejora es distinta de la subsanación. El órgano puede recabar una modificación o mejora </w:t>
      </w:r>
      <w:r>
        <w:rPr>
          <w:rFonts w:ascii="Arial" w:hAnsi="Arial" w:cs="Arial"/>
          <w:b/>
          <w:sz w:val="22"/>
        </w:rPr>
        <w:t>voluntaria</w:t>
      </w:r>
      <w:r>
        <w:rPr>
          <w:rFonts w:ascii="Arial" w:hAnsi="Arial" w:cs="Arial"/>
          <w:sz w:val="22"/>
        </w:rPr>
        <w:t xml:space="preserve"> de los términos de la solicitud, levantando acta sucinta. No puede emplearse para imponer una alteración sustancial de la pretensión.</w:t>
      </w:r>
    </w:p>
    <w:p>
      <w:pPr>
        <w:jc w:val="both"/>
      </w:pPr>
      <w:r>
        <w:rPr>
          <w:rFonts w:ascii="Arial" w:hAnsi="Arial" w:cs="Arial"/>
          <w:sz w:val="22"/>
        </w:rPr>
        <w:t>Si una persona obligada a relacionarse electrónicamente presenta la solicitud en papel, debe subsanarla electrónicamente. La fecha válida de presentación será la de la subsanación electrónica, no la del escrito presencial. Esta regla es especialmente preguntable porque difiere de la subsanación ordinaria de defectos.</w:t>
      </w:r>
    </w:p>
    <w:p>
      <w:pPr>
        <w:pStyle w:val="Heading2"/>
        <w:keepNext/>
      </w:pPr>
      <w:r>
        <w:rPr>
          <w:rFonts w:ascii="Arial" w:hAnsi="Arial" w:cs="Arial"/>
          <w:sz w:val="25"/>
        </w:rPr>
        <w:t>4.4. Declaración responsable y comunicación</w:t>
      </w:r>
    </w:p>
    <w:p>
      <w:pPr>
        <w:jc w:val="both"/>
      </w:pPr>
      <w:r>
        <w:rPr>
          <w:rFonts w:ascii="Arial" w:hAnsi="Arial" w:cs="Arial"/>
          <w:sz w:val="22"/>
        </w:rPr>
        <w:t>La declaración responsable es el documento en el que el interesado afirma, bajo su responsabilidad, que:</w:t>
      </w:r>
    </w:p>
    <w:p>
      <w:pPr>
        <w:spacing w:after="40"/>
        <w:ind w:left="369" w:hanging="227"/>
      </w:pPr>
      <w:r>
        <w:rPr>
          <w:rFonts w:ascii="Arial" w:hAnsi="Arial" w:cs="Arial"/>
          <w:sz w:val="22"/>
        </w:rPr>
        <w:t>1. cumple los requisitos para obtener o ejercer un derecho o facultad;</w:t>
      </w:r>
    </w:p>
    <w:p>
      <w:pPr>
        <w:spacing w:after="40"/>
        <w:ind w:left="369" w:hanging="227"/>
      </w:pPr>
      <w:r>
        <w:rPr>
          <w:rFonts w:ascii="Arial" w:hAnsi="Arial" w:cs="Arial"/>
          <w:sz w:val="22"/>
        </w:rPr>
        <w:t>2. dispone de la documentación acreditativa;</w:t>
      </w:r>
    </w:p>
    <w:p>
      <w:pPr>
        <w:spacing w:after="40"/>
        <w:ind w:left="369" w:hanging="227"/>
      </w:pPr>
      <w:r>
        <w:rPr>
          <w:rFonts w:ascii="Arial" w:hAnsi="Arial" w:cs="Arial"/>
          <w:sz w:val="22"/>
        </w:rPr>
        <w:t>3. la pondrá a disposición de la Administración cuando se le requiera;</w:t>
      </w:r>
    </w:p>
    <w:p>
      <w:pPr>
        <w:spacing w:after="40"/>
        <w:ind w:left="369" w:hanging="227"/>
      </w:pPr>
      <w:r>
        <w:rPr>
          <w:rFonts w:ascii="Arial" w:hAnsi="Arial" w:cs="Arial"/>
          <w:sz w:val="22"/>
        </w:rPr>
        <w:t>4. mantendrá el cumplimiento durante el período correspondiente.</w:t>
      </w:r>
    </w:p>
    <w:p>
      <w:pPr>
        <w:jc w:val="both"/>
      </w:pPr>
      <w:r>
        <w:rPr>
          <w:rFonts w:ascii="Arial" w:hAnsi="Arial" w:cs="Arial"/>
          <w:sz w:val="22"/>
        </w:rPr>
        <w:t>La comunicación se limita a poner en conocimiento de la Administración datos identificativos u otros relevantes para iniciar una actividad o ejercer un derecho. Ambas permiten, como regla, el reconocimiento o ejercicio del derecho o el inicio de la actividad desde el día de presentación, sin perjuicio de comprobación, control e inspección. Una ley sectorial puede permitir que la comunicación se presente después del inicio.</w:t>
      </w:r>
    </w:p>
    <w:p>
      <w:pPr>
        <w:jc w:val="both"/>
      </w:pPr>
      <w:r>
        <w:rPr>
          <w:rFonts w:ascii="Arial" w:hAnsi="Arial" w:cs="Arial"/>
          <w:sz w:val="22"/>
        </w:rPr>
        <w:t xml:space="preserve">La falsedad, inexactitud u omisión </w:t>
      </w:r>
      <w:r>
        <w:rPr>
          <w:rFonts w:ascii="Arial" w:hAnsi="Arial" w:cs="Arial"/>
          <w:b/>
          <w:sz w:val="22"/>
        </w:rPr>
        <w:t>esencial</w:t>
      </w:r>
      <w:r>
        <w:rPr>
          <w:rFonts w:ascii="Arial" w:hAnsi="Arial" w:cs="Arial"/>
          <w:sz w:val="22"/>
        </w:rPr>
        <w:t>, la falta de presentación de la declaración o comunicación o la falta de documentación requerida impiden continuar el derecho o actividad desde que la Administración constata los hechos, sin perjuicio de responsabilidades. La resolución puede imponer la restitución de la situación anterior y, si una ley lo permite, impedir durante cierto tiempo un nuevo procedimiento con el mismo objeto.</w:t>
      </w:r>
    </w:p>
    <w:p>
      <w:pPr>
        <w:jc w:val="both"/>
      </w:pPr>
      <w:r>
        <w:rPr>
          <w:rFonts w:ascii="Arial" w:hAnsi="Arial" w:cs="Arial"/>
          <w:sz w:val="22"/>
        </w:rPr>
        <w:t xml:space="preserve">Para una misma actividad o derecho solo puede exigirse </w:t>
      </w:r>
      <w:r>
        <w:rPr>
          <w:rFonts w:ascii="Arial" w:hAnsi="Arial" w:cs="Arial"/>
          <w:b/>
          <w:sz w:val="22"/>
        </w:rPr>
        <w:t>declaración responsable o comunicación</w:t>
      </w:r>
      <w:r>
        <w:rPr>
          <w:rFonts w:ascii="Arial" w:hAnsi="Arial" w:cs="Arial"/>
          <w:sz w:val="22"/>
        </w:rPr>
        <w:t>, no ambas acumulativamente. Los modelos deben permanecer publicados, actualizados y accesibles.</w:t>
      </w:r>
    </w:p>
    <w:p>
      <w:pPr>
        <w:pStyle w:val="Heading1"/>
        <w:keepNext/>
      </w:pPr>
      <w:r>
        <w:rPr>
          <w:rFonts w:ascii="Arial" w:hAnsi="Arial" w:cs="Arial"/>
          <w:sz w:val="30"/>
        </w:rPr>
        <w:t>5. Ordenación del procedimiento</w:t>
      </w:r>
    </w:p>
    <w:p>
      <w:pPr>
        <w:pStyle w:val="Heading2"/>
        <w:keepNext/>
      </w:pPr>
      <w:r>
        <w:rPr>
          <w:rFonts w:ascii="Arial" w:hAnsi="Arial" w:cs="Arial"/>
          <w:sz w:val="25"/>
        </w:rPr>
        <w:t>5.1. Expediente administrativo electrónico</w:t>
      </w:r>
    </w:p>
    <w:p>
      <w:pPr>
        <w:jc w:val="both"/>
      </w:pPr>
      <w:r>
        <w:rPr>
          <w:rFonts w:ascii="Arial" w:hAnsi="Arial" w:cs="Arial"/>
          <w:sz w:val="22"/>
        </w:rPr>
        <w:t>El expediente es el conjunto ordenado de documentos y actuaciones que sirven de antecedente y fundamento a la resolución, más las diligencias dirigidas a ejecutarla. Tiene formato electrónico y se forma agregando ordenadamente documentos, pruebas, dictámenes, informes, acuerdos, notificaciones y diligencias. Cuando se remite, incorpora índice numerado; también debe contener copia electrónica certificada de la resolución.</w:t>
      </w:r>
    </w:p>
    <w:p>
      <w:pPr>
        <w:jc w:val="both"/>
      </w:pPr>
      <w:r>
        <w:rPr>
          <w:rFonts w:ascii="Arial" w:hAnsi="Arial" w:cs="Arial"/>
          <w:sz w:val="22"/>
        </w:rPr>
        <w:t>La remisión electrónica se ajusta al Esquema Nacional de Interoperabilidad y a sus normas técnicas. El expediente se enviará completo, foliado, autentificado y acompañado de índice autentificado. La autenticación del índice asegura integridad e inmutabilidad desde su firma y permite recuperar el expediente. Un documento puede formar parte de varios expedientes.</w:t>
      </w:r>
    </w:p>
    <w:p>
      <w:pPr>
        <w:jc w:val="both"/>
      </w:pPr>
      <w:r>
        <w:rPr>
          <w:rFonts w:ascii="Arial" w:hAnsi="Arial" w:cs="Arial"/>
          <w:sz w:val="22"/>
        </w:rPr>
        <w:t>No integran el expediente las informaciones auxiliares o de apoyo: notas, borradores, opiniones, resúmenes, información de aplicaciones y bases de datos, comunicaciones internas e informes internos, ni juicios de valor. Sí se incluyen los informes preceptivos o facultativos formalmente solicitados antes de resolver. La exclusión no autoriza a ocultar documentos relevantes ni informes que hayan sustentado realmente la decisión.</w:t>
      </w:r>
    </w:p>
    <w:p>
      <w:pPr>
        <w:pStyle w:val="Heading2"/>
        <w:keepNext/>
      </w:pPr>
      <w:r>
        <w:rPr>
          <w:rFonts w:ascii="Arial" w:hAnsi="Arial" w:cs="Arial"/>
          <w:sz w:val="25"/>
        </w:rPr>
        <w:t>5.2. Impulso y orden de despacho</w:t>
      </w:r>
    </w:p>
    <w:p>
      <w:pPr>
        <w:jc w:val="both"/>
      </w:pPr>
      <w:r>
        <w:rPr>
          <w:rFonts w:ascii="Arial" w:hAnsi="Arial" w:cs="Arial"/>
          <w:sz w:val="22"/>
        </w:rPr>
        <w:t xml:space="preserve">El procedimiento se impulsa </w:t>
      </w:r>
      <w:r>
        <w:rPr>
          <w:rFonts w:ascii="Arial" w:hAnsi="Arial" w:cs="Arial"/>
          <w:b/>
          <w:sz w:val="22"/>
        </w:rPr>
        <w:t>de oficio</w:t>
      </w:r>
      <w:r>
        <w:rPr>
          <w:rFonts w:ascii="Arial" w:hAnsi="Arial" w:cs="Arial"/>
          <w:sz w:val="22"/>
        </w:rPr>
        <w:t>, en todos sus trámites y por medios electrónicos, bajo los principios de celeridad, transparencia y publicidad. En asuntos homogéneos debe respetarse el orden riguroso de incoación, salvo orden motivada del titular de la unidad, de la que quede constancia.</w:t>
      </w:r>
    </w:p>
    <w:p>
      <w:pPr>
        <w:jc w:val="both"/>
      </w:pPr>
      <w:r>
        <w:rPr>
          <w:rFonts w:ascii="Arial" w:hAnsi="Arial" w:cs="Arial"/>
          <w:sz w:val="22"/>
        </w:rPr>
        <w:t>Incumplir injustificadamente el orden puede generar responsabilidad disciplinaria e incluso remoción del puesto. El instructor o titular de la unidad responsable responde directamente de la tramitación y del cumplimiento de plazos. La carga de impulsar no elimina la colaboración que corresponde al interesado ni impide las consecuencias de su inactividad.</w:t>
      </w:r>
    </w:p>
    <w:p>
      <w:pPr>
        <w:pStyle w:val="Heading2"/>
        <w:keepNext/>
      </w:pPr>
      <w:r>
        <w:rPr>
          <w:rFonts w:ascii="Arial" w:hAnsi="Arial" w:cs="Arial"/>
          <w:sz w:val="25"/>
        </w:rPr>
        <w:t>5.3. Concentración y cumplimiento de trámites</w:t>
      </w:r>
    </w:p>
    <w:p>
      <w:pPr>
        <w:jc w:val="both"/>
      </w:pPr>
      <w:r>
        <w:rPr>
          <w:rFonts w:ascii="Arial" w:hAnsi="Arial" w:cs="Arial"/>
          <w:sz w:val="22"/>
        </w:rPr>
        <w:t>Se reunirán en un solo acto los trámites que admitan impulso simultáneo y no exijan cumplimiento sucesivo. Cuando un trámite deba realizarlo otro órgano, la comunicación indicará el plazo legal aplicable.</w:t>
      </w:r>
    </w:p>
    <w:p>
      <w:pPr>
        <w:jc w:val="both"/>
      </w:pPr>
      <w:r>
        <w:rPr>
          <w:rFonts w:ascii="Arial" w:hAnsi="Arial" w:cs="Arial"/>
          <w:sz w:val="22"/>
        </w:rPr>
        <w:t xml:space="preserve">Los trámites que correspondan al interesado se cumplimentan, como regla, en </w:t>
      </w:r>
      <w:r>
        <w:rPr>
          <w:rFonts w:ascii="Arial" w:hAnsi="Arial" w:cs="Arial"/>
          <w:b/>
          <w:sz w:val="22"/>
        </w:rPr>
        <w:t>diez días</w:t>
      </w:r>
      <w:r>
        <w:rPr>
          <w:rFonts w:ascii="Arial" w:hAnsi="Arial" w:cs="Arial"/>
          <w:sz w:val="22"/>
        </w:rPr>
        <w:t xml:space="preserve"> desde el siguiente a la notificación, salvo plazo diferente. Si su actuación presenta defectos, se le conceden otros diez días para completarla.</w:t>
      </w:r>
    </w:p>
    <w:p>
      <w:pPr>
        <w:jc w:val="both"/>
      </w:pPr>
      <w:r>
        <w:rPr>
          <w:rFonts w:ascii="Arial" w:hAnsi="Arial" w:cs="Arial"/>
          <w:sz w:val="22"/>
        </w:rPr>
        <w:t xml:space="preserve">El incumplimiento permite declarar al interesado </w:t>
      </w:r>
      <w:r>
        <w:rPr>
          <w:rFonts w:ascii="Arial" w:hAnsi="Arial" w:cs="Arial"/>
          <w:b/>
          <w:sz w:val="22"/>
        </w:rPr>
        <w:t>decaído en su derecho al trámite</w:t>
      </w:r>
      <w:r>
        <w:rPr>
          <w:rFonts w:ascii="Arial" w:hAnsi="Arial" w:cs="Arial"/>
          <w:sz w:val="22"/>
        </w:rPr>
        <w:t>, no necesariamente del procedimiento completo. Aun así, la actuación tardía se admite y produce efectos si se presenta antes o dentro del día en que se notifique la resolución que tenga por transcurrido el plazo. Esta posibilidad no se aplica del mismo modo a cualquier plazo sustantivo o de recurso; se refiere al régimen del artículo 73.</w:t>
      </w:r>
    </w:p>
    <w:p>
      <w:pPr>
        <w:pStyle w:val="Heading2"/>
        <w:keepNext/>
      </w:pPr>
      <w:r>
        <w:rPr>
          <w:rFonts w:ascii="Arial" w:hAnsi="Arial" w:cs="Arial"/>
          <w:sz w:val="25"/>
        </w:rPr>
        <w:t>5.4. Cuestiones incidentales</w:t>
      </w:r>
    </w:p>
    <w:p>
      <w:pPr>
        <w:jc w:val="both"/>
      </w:pPr>
      <w:r>
        <w:rPr>
          <w:rFonts w:ascii="Arial" w:hAnsi="Arial" w:cs="Arial"/>
          <w:sz w:val="22"/>
        </w:rPr>
        <w:t xml:space="preserve">Las cuestiones incidentales, incluso las relativas a nulidad de actuaciones, no suspenden el procedimiento. La única excepción expresa es la </w:t>
      </w:r>
      <w:r>
        <w:rPr>
          <w:rFonts w:ascii="Arial" w:hAnsi="Arial" w:cs="Arial"/>
          <w:b/>
          <w:sz w:val="22"/>
        </w:rPr>
        <w:t>recusación</w:t>
      </w:r>
      <w:r>
        <w:rPr>
          <w:rFonts w:ascii="Arial" w:hAnsi="Arial" w:cs="Arial"/>
          <w:sz w:val="22"/>
        </w:rPr>
        <w:t>. La regla evita que cuestiones accesorias paralicen automáticamente el asunto principal, sin impedir que deban resolverse con las garantías correspondientes.</w:t>
      </w:r>
    </w:p>
    <w:p>
      <w:pPr>
        <w:pStyle w:val="Heading1"/>
        <w:keepNext/>
      </w:pPr>
      <w:r>
        <w:rPr>
          <w:rFonts w:ascii="Arial" w:hAnsi="Arial" w:cs="Arial"/>
          <w:sz w:val="30"/>
        </w:rPr>
        <w:t>6. Instrucción: principios y alegaciones</w:t>
      </w:r>
    </w:p>
    <w:p>
      <w:pPr>
        <w:jc w:val="both"/>
      </w:pPr>
      <w:r>
        <w:rPr>
          <w:rFonts w:ascii="Arial" w:hAnsi="Arial" w:cs="Arial"/>
          <w:sz w:val="22"/>
        </w:rPr>
        <w:t>La instrucción reúne los actos necesarios para determinar, conocer y comprobar los hechos sobre los que recaerá la decisión. Se practica de oficio y por medios electrónicos por el órgano tramitador. Los interesados conservan el derecho a proponer actuaciones que requieran su intervención o constituyan trámites legal o reglamentariamente establecidos.</w:t>
      </w:r>
    </w:p>
    <w:p>
      <w:pPr>
        <w:jc w:val="both"/>
      </w:pPr>
      <w:r>
        <w:rPr>
          <w:rFonts w:ascii="Arial" w:hAnsi="Arial" w:cs="Arial"/>
          <w:sz w:val="22"/>
        </w:rPr>
        <w:t>Los sistemas de información deben controlar tiempos y plazos, identificar órganos responsables, ordenar la tramitación y facilitar simplificación y publicidad. Cuando una actuación exija presencia o intervención del interesado, se practicará del modo más conveniente para él y compatible, en lo posible, con sus obligaciones laborales o profesionales.</w:t>
      </w:r>
    </w:p>
    <w:p>
      <w:pPr>
        <w:jc w:val="both"/>
      </w:pPr>
      <w:r>
        <w:rPr>
          <w:rFonts w:ascii="Arial" w:hAnsi="Arial" w:cs="Arial"/>
          <w:sz w:val="22"/>
        </w:rPr>
        <w:t xml:space="preserve">El instructor debe garantizar </w:t>
      </w:r>
      <w:r>
        <w:rPr>
          <w:rFonts w:ascii="Arial" w:hAnsi="Arial" w:cs="Arial"/>
          <w:b/>
          <w:sz w:val="22"/>
        </w:rPr>
        <w:t>contradicción e igualdad</w:t>
      </w:r>
      <w:r>
        <w:rPr>
          <w:rFonts w:ascii="Arial" w:hAnsi="Arial" w:cs="Arial"/>
          <w:sz w:val="22"/>
        </w:rPr>
        <w:t>. No puede favorecer a una parte, ocultar pruebas decisivas ni construir la resolución sobre hechos frente a los que no se permitió defensa.</w:t>
      </w:r>
    </w:p>
    <w:p>
      <w:pPr>
        <w:jc w:val="both"/>
      </w:pPr>
      <w:r>
        <w:rPr>
          <w:rFonts w:ascii="Arial" w:hAnsi="Arial" w:cs="Arial"/>
          <w:sz w:val="22"/>
        </w:rPr>
        <w:t>Hasta antes del trámite de audiencia, el interesado puede formular alegaciones y aportar documentos u otros elementos de juicio. Deben ser considerados al redactar la propuesta. Además, en cualquier momento puede denunciar defectos de tramitación, en particular paralización, incumplimiento de plazos u omisión de trámites subsanables antes de la decisión. Si procede, esas alegaciones pueden originar responsabilidad disciplinaria.</w:t>
      </w:r>
    </w:p>
    <w:p>
      <w:pPr>
        <w:pStyle w:val="Heading1"/>
        <w:keepNext/>
      </w:pPr>
      <w:r>
        <w:rPr>
          <w:rFonts w:ascii="Arial" w:hAnsi="Arial" w:cs="Arial"/>
          <w:sz w:val="30"/>
        </w:rPr>
        <w:t>7. Prueba</w:t>
      </w:r>
    </w:p>
    <w:p>
      <w:pPr>
        <w:pStyle w:val="Heading2"/>
        <w:keepNext/>
      </w:pPr>
      <w:r>
        <w:rPr>
          <w:rFonts w:ascii="Arial" w:hAnsi="Arial" w:cs="Arial"/>
          <w:sz w:val="25"/>
        </w:rPr>
        <w:t>7.1. Medios y apertura del período</w:t>
      </w:r>
    </w:p>
    <w:p>
      <w:pPr>
        <w:jc w:val="both"/>
      </w:pPr>
      <w:r>
        <w:rPr>
          <w:rFonts w:ascii="Arial" w:hAnsi="Arial" w:cs="Arial"/>
          <w:sz w:val="22"/>
        </w:rPr>
        <w:t xml:space="preserve">Los hechos relevantes pueden acreditarse por cualquier medio admisible en Derecho y se valoran conforme a los criterios de la Ley de Enjuiciamiento Civil. Cuando la Administración no tenga por ciertos los hechos alegados o la naturaleza del procedimiento lo exija, el instructor abre prueba por un plazo </w:t>
      </w:r>
      <w:r>
        <w:rPr>
          <w:rFonts w:ascii="Arial" w:hAnsi="Arial" w:cs="Arial"/>
          <w:b/>
          <w:sz w:val="22"/>
        </w:rPr>
        <w:t>no inferior a diez ni superior a treinta días</w:t>
      </w:r>
      <w:r>
        <w:rPr>
          <w:rFonts w:ascii="Arial" w:hAnsi="Arial" w:cs="Arial"/>
          <w:sz w:val="22"/>
        </w:rPr>
        <w:t>.</w:t>
      </w:r>
    </w:p>
    <w:p>
      <w:pPr>
        <w:jc w:val="both"/>
      </w:pPr>
      <w:r>
        <w:rPr>
          <w:rFonts w:ascii="Arial" w:hAnsi="Arial" w:cs="Arial"/>
          <w:sz w:val="22"/>
        </w:rPr>
        <w:t xml:space="preserve">A petición del interesado, si lo considera necesario, puede abrir un período extraordinario de prueba de hasta </w:t>
      </w:r>
      <w:r>
        <w:rPr>
          <w:rFonts w:ascii="Arial" w:hAnsi="Arial" w:cs="Arial"/>
          <w:b/>
          <w:sz w:val="22"/>
        </w:rPr>
        <w:t>diez días</w:t>
      </w:r>
      <w:r>
        <w:rPr>
          <w:rFonts w:ascii="Arial" w:hAnsi="Arial" w:cs="Arial"/>
          <w:sz w:val="22"/>
        </w:rPr>
        <w:t>. La apertura ordinaria y la extraordinaria no deben confundirse.</w:t>
      </w:r>
    </w:p>
    <w:p>
      <w:pPr>
        <w:jc w:val="both"/>
      </w:pPr>
      <w:r>
        <w:rPr>
          <w:rFonts w:ascii="Arial" w:hAnsi="Arial" w:cs="Arial"/>
          <w:sz w:val="22"/>
        </w:rPr>
        <w:t>Solo pueden rechazarse pruebas manifiestamente improcedentes o innecesarias y siempre mediante resolución motivada. No basta afirmar genéricamente que «no son relevantes» cuando podrían alterar la decisión.</w:t>
      </w:r>
    </w:p>
    <w:p>
      <w:pPr>
        <w:jc w:val="both"/>
      </w:pPr>
      <w:r>
        <w:rPr>
          <w:rFonts w:ascii="Arial" w:hAnsi="Arial" w:cs="Arial"/>
          <w:sz w:val="22"/>
        </w:rPr>
        <w:t>Cuando el interesado alegue discriminación y aporte indicios fundados, corresponde a quien se impute la situación aportar una justificación objetiva, razonable, suficientemente probada y proporcionada. El órgano puede pedir informe a organismos de igualdad. Esta regla no elimina la necesidad de indicios iniciales.</w:t>
      </w:r>
    </w:p>
    <w:p>
      <w:pPr>
        <w:pStyle w:val="Heading2"/>
        <w:keepNext/>
      </w:pPr>
      <w:r>
        <w:rPr>
          <w:rFonts w:ascii="Arial" w:hAnsi="Arial" w:cs="Arial"/>
          <w:sz w:val="25"/>
        </w:rPr>
        <w:t>7.2. Valor probatorio y práctica</w:t>
      </w:r>
    </w:p>
    <w:p>
      <w:pPr>
        <w:jc w:val="both"/>
      </w:pPr>
      <w:r>
        <w:rPr>
          <w:rFonts w:ascii="Arial" w:hAnsi="Arial" w:cs="Arial"/>
          <w:sz w:val="22"/>
        </w:rPr>
        <w:t>En procedimientos sancionadores, los hechos declarados probados por sentencia penal firme vinculan a la Administración. Los documentos formalizados por funcionarios con condición de autoridad hacen prueba de los hechos constatados, si cumplen los requisitos legales, salvo prueba en contrario. No existe una presunción absoluta e irrebatible.</w:t>
      </w:r>
    </w:p>
    <w:p>
      <w:pPr>
        <w:jc w:val="both"/>
      </w:pPr>
      <w:r>
        <w:rPr>
          <w:rFonts w:ascii="Arial" w:hAnsi="Arial" w:cs="Arial"/>
          <w:sz w:val="22"/>
        </w:rPr>
        <w:t>Cuando la prueba consista en un informe de un órgano administrativo, organismo público o entidad de Derecho público, el informe se considera preceptivo. Si la valoración probatoria es fundamento básico de la decisión, debe incorporarse a la propuesta de resolución.</w:t>
      </w:r>
    </w:p>
    <w:p>
      <w:pPr>
        <w:jc w:val="both"/>
      </w:pPr>
      <w:r>
        <w:rPr>
          <w:rFonts w:ascii="Arial" w:hAnsi="Arial" w:cs="Arial"/>
          <w:sz w:val="22"/>
        </w:rPr>
        <w:t>La Administración comunica con antelación suficiente el inicio de las pruebas admitidas. La notificación indica lugar, fecha y hora y la posibilidad de asistencia técnica. Si una prueba solicitada por el interesado genera gastos que la Administración no deba soportar, puede exigir anticipo, con liquidación definitiva y justificantes.</w:t>
      </w:r>
    </w:p>
    <w:p>
      <w:pPr>
        <w:pStyle w:val="Heading1"/>
        <w:keepNext/>
      </w:pPr>
      <w:r>
        <w:rPr>
          <w:rFonts w:ascii="Arial" w:hAnsi="Arial" w:cs="Arial"/>
          <w:sz w:val="30"/>
        </w:rPr>
        <w:t>8. Informes</w:t>
      </w:r>
    </w:p>
    <w:p>
      <w:pPr>
        <w:jc w:val="both"/>
      </w:pPr>
      <w:r>
        <w:rPr>
          <w:rFonts w:ascii="Arial" w:hAnsi="Arial" w:cs="Arial"/>
          <w:sz w:val="22"/>
        </w:rPr>
        <w:t>Se solicitan los informes preceptivos establecidos por norma y los que se juzguen necesarios. La petición citará el precepto que obliga o justificará la conveniencia y concretará los extremos sobre los que se informa.</w:t>
      </w:r>
    </w:p>
    <w:p>
      <w:pPr>
        <w:jc w:val="both"/>
      </w:pPr>
      <w:r>
        <w:rPr>
          <w:rFonts w:ascii="Arial" w:hAnsi="Arial" w:cs="Arial"/>
          <w:sz w:val="22"/>
        </w:rPr>
        <w:t xml:space="preserve">Salvo disposición expresa, los informes son </w:t>
      </w:r>
      <w:r>
        <w:rPr>
          <w:rFonts w:ascii="Arial" w:hAnsi="Arial" w:cs="Arial"/>
          <w:b/>
          <w:sz w:val="22"/>
        </w:rPr>
        <w:t>facultativos y no vinculantes</w:t>
      </w:r>
      <w:r>
        <w:rPr>
          <w:rFonts w:ascii="Arial" w:hAnsi="Arial" w:cs="Arial"/>
          <w:sz w:val="22"/>
        </w:rPr>
        <w:t xml:space="preserve">. Se emiten electrónicamente y, como regla, en </w:t>
      </w:r>
      <w:r>
        <w:rPr>
          <w:rFonts w:ascii="Arial" w:hAnsi="Arial" w:cs="Arial"/>
          <w:b/>
          <w:sz w:val="22"/>
        </w:rPr>
        <w:t>diez días</w:t>
      </w:r>
      <w:r>
        <w:rPr>
          <w:rFonts w:ascii="Arial" w:hAnsi="Arial" w:cs="Arial"/>
          <w:sz w:val="22"/>
        </w:rPr>
        <w:t>. Si no llegan en plazo, el procedimiento puede continuar, sin perjuicio de responsabilidad. Cuando el informe sea preceptivo, puede suspenderse el plazo máximo para resolver conforme al artículo 22.1.d. Si debía emitirlo otra Administración para expresar su perspectiva competencial, la tramitación puede seguir; el informe tardío puede no tomarse en consideración.</w:t>
      </w:r>
    </w:p>
    <w:p>
      <w:pPr>
        <w:jc w:val="both"/>
      </w:pPr>
      <w:r>
        <w:rPr>
          <w:rFonts w:ascii="Arial" w:hAnsi="Arial" w:cs="Arial"/>
          <w:sz w:val="22"/>
        </w:rPr>
        <w:t>En responsabilidad patrimonial:</w:t>
      </w:r>
    </w:p>
    <w:p>
      <w:pPr>
        <w:pStyle w:val="ListBullet"/>
      </w:pPr>
      <w:r>
        <w:rPr>
          <w:rFonts w:ascii="Arial" w:hAnsi="Arial" w:cs="Arial"/>
          <w:sz w:val="22"/>
        </w:rPr>
        <w:t>es preceptivo el informe del servicio cuyo funcionamiento causó la presunta lesión, con plazo máximo de diez días;</w:t>
      </w:r>
    </w:p>
    <w:p>
      <w:pPr>
        <w:pStyle w:val="ListBullet"/>
      </w:pPr>
      <w:r>
        <w:rPr>
          <w:rFonts w:ascii="Arial" w:hAnsi="Arial" w:cs="Arial"/>
          <w:sz w:val="22"/>
        </w:rPr>
        <w:t xml:space="preserve">si la reclamación alcanza </w:t>
      </w:r>
      <w:r>
        <w:rPr>
          <w:rFonts w:ascii="Arial" w:hAnsi="Arial" w:cs="Arial"/>
          <w:b/>
          <w:sz w:val="22"/>
        </w:rPr>
        <w:t>50.000 euros</w:t>
      </w:r>
      <w:r>
        <w:rPr>
          <w:rFonts w:ascii="Arial" w:hAnsi="Arial" w:cs="Arial"/>
          <w:sz w:val="22"/>
        </w:rPr>
        <w:t xml:space="preserve"> o la cuantía autonómica aplicable, o en los casos previstos por la Ley Orgánica del Consejo de Estado, se solicita dictamen del Consejo de Estado u órgano consultivo autonómico;</w:t>
      </w:r>
    </w:p>
    <w:p>
      <w:pPr>
        <w:pStyle w:val="ListBullet"/>
      </w:pPr>
      <w:r>
        <w:rPr>
          <w:rFonts w:ascii="Arial" w:hAnsi="Arial" w:cs="Arial"/>
          <w:sz w:val="22"/>
        </w:rPr>
        <w:t>el instructor remite la propuesta dentro de los diez días siguientes al final de la audiencia;</w:t>
      </w:r>
    </w:p>
    <w:p>
      <w:pPr>
        <w:pStyle w:val="ListBullet"/>
      </w:pPr>
      <w:r>
        <w:rPr>
          <w:rFonts w:ascii="Arial" w:hAnsi="Arial" w:cs="Arial"/>
          <w:sz w:val="22"/>
        </w:rPr>
        <w:t>el dictamen se emite en dos meses;</w:t>
      </w:r>
    </w:p>
    <w:p>
      <w:pPr>
        <w:pStyle w:val="ListBullet"/>
      </w:pPr>
      <w:r>
        <w:rPr>
          <w:rFonts w:ascii="Arial" w:hAnsi="Arial" w:cs="Arial"/>
          <w:sz w:val="22"/>
        </w:rPr>
        <w:t>en responsabilidad por funcionamiento anormal de la Administración de Justicia es preceptivo informe del Consejo General del Poder Judicial, también con máximo de dos meses, durante el cual se suspende el plazo para resolver.</w:t>
      </w:r>
    </w:p>
    <w:p>
      <w:pPr>
        <w:pStyle w:val="Heading1"/>
        <w:keepNext/>
      </w:pPr>
      <w:r>
        <w:rPr>
          <w:rFonts w:ascii="Arial" w:hAnsi="Arial" w:cs="Arial"/>
          <w:sz w:val="30"/>
        </w:rPr>
        <w:t>9. Participación de los interesados</w:t>
      </w:r>
    </w:p>
    <w:p>
      <w:pPr>
        <w:pStyle w:val="Heading2"/>
        <w:keepNext/>
      </w:pPr>
      <w:r>
        <w:rPr>
          <w:rFonts w:ascii="Arial" w:hAnsi="Arial" w:cs="Arial"/>
          <w:sz w:val="25"/>
        </w:rPr>
        <w:t>9.1. Trámite de audiencia</w:t>
      </w:r>
    </w:p>
    <w:p>
      <w:pPr>
        <w:jc w:val="both"/>
      </w:pPr>
      <w:r>
        <w:rPr>
          <w:rFonts w:ascii="Arial" w:hAnsi="Arial" w:cs="Arial"/>
          <w:sz w:val="22"/>
        </w:rPr>
        <w:t>Concluida la instrucción e inmediatamente antes de la propuesta de resolución, el expediente se pone de manifiesto a los interesados o representantes, con los límites de acceso legales. La audiencia precede al informe de asesoramiento jurídico y al dictamen del Consejo de Estado u órgano consultivo, si forman parte del procedimiento.</w:t>
      </w:r>
    </w:p>
    <w:p>
      <w:pPr>
        <w:jc w:val="both"/>
      </w:pPr>
      <w:r>
        <w:rPr>
          <w:rFonts w:ascii="Arial" w:hAnsi="Arial" w:cs="Arial"/>
          <w:sz w:val="22"/>
        </w:rPr>
        <w:t xml:space="preserve">El plazo para alegar y aportar documentos es </w:t>
      </w:r>
      <w:r>
        <w:rPr>
          <w:rFonts w:ascii="Arial" w:hAnsi="Arial" w:cs="Arial"/>
          <w:b/>
          <w:sz w:val="22"/>
        </w:rPr>
        <w:t>no inferior a diez ni superior a quince días</w:t>
      </w:r>
      <w:r>
        <w:rPr>
          <w:rFonts w:ascii="Arial" w:hAnsi="Arial" w:cs="Arial"/>
          <w:sz w:val="22"/>
        </w:rPr>
        <w:t>. Si antes de vencer el interesado manifiesta que no alegará ni aportará documentos, el trámite se tiene por realizado.</w:t>
      </w:r>
    </w:p>
    <w:p>
      <w:pPr>
        <w:jc w:val="both"/>
      </w:pPr>
      <w:r>
        <w:rPr>
          <w:rFonts w:ascii="Arial" w:hAnsi="Arial" w:cs="Arial"/>
          <w:sz w:val="22"/>
        </w:rPr>
        <w:t>Puede prescindirse de la audiencia cuando en el expediente no figuren ni vayan a considerarse otros hechos, alegaciones o pruebas distintos de los aducidos por el propio interesado. No basta que el órgano crea innecesaria la audiencia: debe cumplirse exactamente ese presupuesto.</w:t>
      </w:r>
    </w:p>
    <w:p>
      <w:pPr>
        <w:pStyle w:val="Heading2"/>
        <w:keepNext/>
      </w:pPr>
      <w:r>
        <w:rPr>
          <w:rFonts w:ascii="Arial" w:hAnsi="Arial" w:cs="Arial"/>
          <w:sz w:val="25"/>
        </w:rPr>
        <w:t>9.2. Información pública</w:t>
      </w:r>
    </w:p>
    <w:p>
      <w:pPr>
        <w:jc w:val="both"/>
      </w:pPr>
      <w:r>
        <w:rPr>
          <w:rFonts w:ascii="Arial" w:hAnsi="Arial" w:cs="Arial"/>
          <w:sz w:val="22"/>
        </w:rPr>
        <w:t xml:space="preserve">Cuando la naturaleza del procedimiento lo requiera, el órgano competente para resolver puede abrir información pública. Se anuncia en el diario oficial y el expediente debe quedar disponible también por medios electrónicos en la sede. El plazo de alegaciones nunca puede ser inferior a </w:t>
      </w:r>
      <w:r>
        <w:rPr>
          <w:rFonts w:ascii="Arial" w:hAnsi="Arial" w:cs="Arial"/>
          <w:b/>
          <w:sz w:val="22"/>
        </w:rPr>
        <w:t>veinte días</w:t>
      </w:r>
      <w:r>
        <w:rPr>
          <w:rFonts w:ascii="Arial" w:hAnsi="Arial" w:cs="Arial"/>
          <w:sz w:val="22"/>
        </w:rPr>
        <w:t>.</w:t>
      </w:r>
    </w:p>
    <w:p>
      <w:pPr>
        <w:jc w:val="both"/>
      </w:pPr>
      <w:r>
        <w:rPr>
          <w:rFonts w:ascii="Arial" w:hAnsi="Arial" w:cs="Arial"/>
          <w:sz w:val="22"/>
        </w:rPr>
        <w:t>No comparecer no impide al interesado recurrir la resolución definitiva. Comparecer y formular observaciones tampoco otorga, por sí solo, condición de interesado, aunque sí derecho a recibir respuesta razonada, que puede ser común para alegaciones sustancialmente iguales.</w:t>
      </w:r>
    </w:p>
    <w:p>
      <w:pPr>
        <w:jc w:val="both"/>
      </w:pPr>
      <w:r>
        <w:rPr>
          <w:rFonts w:ascii="Arial" w:hAnsi="Arial" w:cs="Arial"/>
          <w:sz w:val="22"/>
        </w:rPr>
        <w:t>Audiencia e información pública no son sinónimos. La audiencia se dirige a quienes ya son interesados y normalmente se produce al final de la instrucción; la información pública abre participación a cualquier persona física o jurídica cuando la naturaleza del asunto lo aconseja.</w:t>
      </w:r>
    </w:p>
    <w:p>
      <w:pPr>
        <w:pStyle w:val="Heading1"/>
        <w:keepNext/>
      </w:pPr>
      <w:r>
        <w:rPr>
          <w:rFonts w:ascii="Arial" w:hAnsi="Arial" w:cs="Arial"/>
          <w:sz w:val="30"/>
        </w:rPr>
        <w:t>10. Finalización: formas y terminación convencional</w:t>
      </w:r>
    </w:p>
    <w:p>
      <w:pPr>
        <w:jc w:val="both"/>
      </w:pPr>
      <w:r>
        <w:rPr>
          <w:rFonts w:ascii="Arial" w:hAnsi="Arial" w:cs="Arial"/>
          <w:sz w:val="22"/>
        </w:rPr>
        <w:t>El artículo 84 enumera las formas ordinarias de terminación:</w:t>
      </w:r>
    </w:p>
    <w:p>
      <w:pPr>
        <w:spacing w:after="40"/>
        <w:ind w:left="369" w:hanging="227"/>
      </w:pPr>
      <w:r>
        <w:rPr>
          <w:rFonts w:ascii="Arial" w:hAnsi="Arial" w:cs="Arial"/>
          <w:sz w:val="22"/>
        </w:rPr>
        <w:t>1. resolución;</w:t>
      </w:r>
    </w:p>
    <w:p>
      <w:pPr>
        <w:spacing w:after="40"/>
        <w:ind w:left="369" w:hanging="227"/>
      </w:pPr>
      <w:r>
        <w:rPr>
          <w:rFonts w:ascii="Arial" w:hAnsi="Arial" w:cs="Arial"/>
          <w:sz w:val="22"/>
        </w:rPr>
        <w:t>2. desistimiento;</w:t>
      </w:r>
    </w:p>
    <w:p>
      <w:pPr>
        <w:spacing w:after="40"/>
        <w:ind w:left="369" w:hanging="227"/>
      </w:pPr>
      <w:r>
        <w:rPr>
          <w:rFonts w:ascii="Arial" w:hAnsi="Arial" w:cs="Arial"/>
          <w:sz w:val="22"/>
        </w:rPr>
        <w:t>3. renuncia al derecho, si no está prohibida;</w:t>
      </w:r>
    </w:p>
    <w:p>
      <w:pPr>
        <w:spacing w:after="40"/>
        <w:ind w:left="369" w:hanging="227"/>
      </w:pPr>
      <w:r>
        <w:rPr>
          <w:rFonts w:ascii="Arial" w:hAnsi="Arial" w:cs="Arial"/>
          <w:sz w:val="22"/>
        </w:rPr>
        <w:t>4. declaración de caducidad.</w:t>
      </w:r>
    </w:p>
    <w:p>
      <w:pPr>
        <w:jc w:val="both"/>
      </w:pPr>
      <w:r>
        <w:rPr>
          <w:rFonts w:ascii="Arial" w:hAnsi="Arial" w:cs="Arial"/>
          <w:sz w:val="22"/>
        </w:rPr>
        <w:t>También termina el procedimiento por imposibilidad material sobrevenida de continuarlo. La resolución que la declare debe motivarse siempre. No es imposibilidad material una mera dificultad organizativa o la pérdida de interés administrativo.</w:t>
      </w:r>
    </w:p>
    <w:p>
      <w:pPr>
        <w:jc w:val="both"/>
      </w:pPr>
      <w:r>
        <w:rPr>
          <w:rFonts w:ascii="Arial" w:hAnsi="Arial" w:cs="Arial"/>
          <w:sz w:val="22"/>
        </w:rPr>
        <w:t>La terminación convencional permite acuerdos, pactos, convenios o contratos con sujetos públicos o privados cuando no sean contrarios al ordenamiento, no recaigan sobre materias indisponibles y satisfagan el interés público. Pueden cerrar el procedimiento o insertarse antes de la resolución, con carácter vinculante o no.</w:t>
      </w:r>
    </w:p>
    <w:p>
      <w:pPr>
        <w:jc w:val="both"/>
      </w:pPr>
      <w:r>
        <w:rPr>
          <w:rFonts w:ascii="Arial" w:hAnsi="Arial" w:cs="Arial"/>
          <w:sz w:val="22"/>
        </w:rPr>
        <w:t>Su contenido mínimo comprende partes, ámbito personal, funcional y territorial y plazo de vigencia. Si versa sobre competencia directa del Consejo de Ministros o equivalente autonómico, requiere su aprobación expresa. Nunca altera las competencias ni las responsabilidades de autoridades y funcionarios. En responsabilidad patrimonial, el acuerdo fija cuantía y modo de indemnización conforme a los criterios legales.</w:t>
      </w:r>
    </w:p>
    <w:p>
      <w:pPr>
        <w:pStyle w:val="Heading1"/>
        <w:keepNext/>
      </w:pPr>
      <w:r>
        <w:rPr>
          <w:rFonts w:ascii="Arial" w:hAnsi="Arial" w:cs="Arial"/>
          <w:sz w:val="30"/>
        </w:rPr>
        <w:t>11. Resolución y especialidades</w:t>
      </w:r>
    </w:p>
    <w:p>
      <w:pPr>
        <w:pStyle w:val="Heading2"/>
        <w:keepNext/>
      </w:pPr>
      <w:r>
        <w:rPr>
          <w:rFonts w:ascii="Arial" w:hAnsi="Arial" w:cs="Arial"/>
          <w:sz w:val="25"/>
        </w:rPr>
        <w:t>11.1. Actuaciones complementarias</w:t>
      </w:r>
    </w:p>
    <w:p>
      <w:pPr>
        <w:jc w:val="both"/>
      </w:pPr>
      <w:r>
        <w:rPr>
          <w:rFonts w:ascii="Arial" w:hAnsi="Arial" w:cs="Arial"/>
          <w:sz w:val="22"/>
        </w:rPr>
        <w:t xml:space="preserve">Antes de resolver, el órgano competente puede acordar motivadamente actuaciones complementarias </w:t>
      </w:r>
      <w:r>
        <w:rPr>
          <w:rFonts w:ascii="Arial" w:hAnsi="Arial" w:cs="Arial"/>
          <w:b/>
          <w:sz w:val="22"/>
        </w:rPr>
        <w:t>indispensables</w:t>
      </w:r>
      <w:r>
        <w:rPr>
          <w:rFonts w:ascii="Arial" w:hAnsi="Arial" w:cs="Arial"/>
          <w:sz w:val="22"/>
        </w:rPr>
        <w:t xml:space="preserve">. No lo son los informes que preceden inmediatamente a la decisión final. El acuerdo se notifica; una vez concluidas, los interesados disponen de </w:t>
      </w:r>
      <w:r>
        <w:rPr>
          <w:rFonts w:ascii="Arial" w:hAnsi="Arial" w:cs="Arial"/>
          <w:b/>
          <w:sz w:val="22"/>
        </w:rPr>
        <w:t>siete días</w:t>
      </w:r>
      <w:r>
        <w:rPr>
          <w:rFonts w:ascii="Arial" w:hAnsi="Arial" w:cs="Arial"/>
          <w:sz w:val="22"/>
        </w:rPr>
        <w:t xml:space="preserve"> para alegar. Las actuaciones se practican en un máximo de </w:t>
      </w:r>
      <w:r>
        <w:rPr>
          <w:rFonts w:ascii="Arial" w:hAnsi="Arial" w:cs="Arial"/>
          <w:b/>
          <w:sz w:val="22"/>
        </w:rPr>
        <w:t>quince días</w:t>
      </w:r>
      <w:r>
        <w:rPr>
          <w:rFonts w:ascii="Arial" w:hAnsi="Arial" w:cs="Arial"/>
          <w:sz w:val="22"/>
        </w:rPr>
        <w:t xml:space="preserve"> y el plazo para resolver queda suspendido hasta su terminación.</w:t>
      </w:r>
    </w:p>
    <w:p>
      <w:pPr>
        <w:pStyle w:val="Heading2"/>
        <w:keepNext/>
      </w:pPr>
      <w:r>
        <w:rPr>
          <w:rFonts w:ascii="Arial" w:hAnsi="Arial" w:cs="Arial"/>
          <w:sz w:val="25"/>
        </w:rPr>
        <w:t>11.2. Contenido de la resolución</w:t>
      </w:r>
    </w:p>
    <w:p>
      <w:pPr>
        <w:jc w:val="both"/>
      </w:pPr>
      <w:r>
        <w:rPr>
          <w:rFonts w:ascii="Arial" w:hAnsi="Arial" w:cs="Arial"/>
          <w:sz w:val="22"/>
        </w:rPr>
        <w:t>La resolución decide todas las cuestiones planteadas y las derivadas del procedimiento. Si pretende resolver cuestiones conexas no planteadas, debe ponerlas de manifiesto por un plazo no superior a quince días para alegaciones y prueba.</w:t>
      </w:r>
    </w:p>
    <w:p>
      <w:pPr>
        <w:jc w:val="both"/>
      </w:pPr>
      <w:r>
        <w:rPr>
          <w:rFonts w:ascii="Arial" w:hAnsi="Arial" w:cs="Arial"/>
          <w:sz w:val="22"/>
        </w:rPr>
        <w:t>En procedimientos a solicitud:</w:t>
      </w:r>
    </w:p>
    <w:p>
      <w:pPr>
        <w:pStyle w:val="ListBullet"/>
      </w:pPr>
      <w:r>
        <w:rPr>
          <w:rFonts w:ascii="Arial" w:hAnsi="Arial" w:cs="Arial"/>
          <w:sz w:val="22"/>
        </w:rPr>
        <w:t>la decisión será congruente con la petición;</w:t>
      </w:r>
    </w:p>
    <w:p>
      <w:pPr>
        <w:pStyle w:val="ListBullet"/>
      </w:pPr>
      <w:r>
        <w:rPr>
          <w:rFonts w:ascii="Arial" w:hAnsi="Arial" w:cs="Arial"/>
          <w:sz w:val="22"/>
        </w:rPr>
        <w:t>no podrá agravar la situación inicial del solicitante;</w:t>
      </w:r>
    </w:p>
    <w:p>
      <w:pPr>
        <w:pStyle w:val="ListBullet"/>
      </w:pPr>
      <w:r>
        <w:rPr>
          <w:rFonts w:ascii="Arial" w:hAnsi="Arial" w:cs="Arial"/>
          <w:sz w:val="22"/>
        </w:rPr>
        <w:t>la Administración conserva la posibilidad de iniciar de oficio un nuevo procedimiento si procede.</w:t>
      </w:r>
    </w:p>
    <w:p>
      <w:pPr>
        <w:jc w:val="both"/>
      </w:pPr>
      <w:r>
        <w:rPr>
          <w:rFonts w:ascii="Arial" w:hAnsi="Arial" w:cs="Arial"/>
          <w:sz w:val="22"/>
        </w:rPr>
        <w:t>La resolución contiene decisión, motivación cuando sea exigible, recursos procedentes, órgano administrativo o judicial competente y plazo. Se dicta electrónicamente y garantiza identidad del órgano, autenticidad e integridad. La Administración no puede abstenerse de resolver alegando oscuridad, silencio o insuficiencia normativa; puede inadmitir motivadamente solicitudes de derechos inexistentes o manifiestamente infundadas.</w:t>
      </w:r>
    </w:p>
    <w:p>
      <w:pPr>
        <w:jc w:val="both"/>
      </w:pPr>
      <w:r>
        <w:rPr>
          <w:rFonts w:ascii="Arial" w:hAnsi="Arial" w:cs="Arial"/>
          <w:sz w:val="22"/>
        </w:rPr>
        <w:t>La aceptación de un informe o dictamen sirve de motivación si se incorpora al texto. Cuando instrucción y resolución correspondan a órganos distintos, el instructor elevará propuesta.</w:t>
      </w:r>
    </w:p>
    <w:p>
      <w:pPr>
        <w:pStyle w:val="Heading2"/>
        <w:keepNext/>
      </w:pPr>
      <w:r>
        <w:rPr>
          <w:rFonts w:ascii="Arial" w:hAnsi="Arial" w:cs="Arial"/>
          <w:sz w:val="25"/>
        </w:rPr>
        <w:t>11.3. Terminación sancionadora</w:t>
      </w:r>
    </w:p>
    <w:p>
      <w:pPr>
        <w:jc w:val="both"/>
      </w:pPr>
      <w:r>
        <w:rPr>
          <w:rFonts w:ascii="Arial" w:hAnsi="Arial" w:cs="Arial"/>
          <w:sz w:val="22"/>
        </w:rPr>
        <w:t>El reconocimiento de responsabilidad permite resolver e imponer la sanción. Si la sanción es solo pecuniaria, o se ha justificado que no procede la no pecuniaria, el pago voluntario anterior a la resolución termina el procedimiento respecto de la sanción, pero no necesariamente respecto de la reposición de la situación alterada ni de la indemnización.</w:t>
      </w:r>
    </w:p>
    <w:p>
      <w:pPr>
        <w:jc w:val="both"/>
      </w:pPr>
      <w:r>
        <w:rPr>
          <w:rFonts w:ascii="Arial" w:hAnsi="Arial" w:cs="Arial"/>
          <w:sz w:val="22"/>
        </w:rPr>
        <w:t xml:space="preserve">Cuando la sanción sea exclusivamente pecuniaria, el reconocimiento y el pago voluntario dan lugar a reducciones de al menos el </w:t>
      </w:r>
      <w:r>
        <w:rPr>
          <w:rFonts w:ascii="Arial" w:hAnsi="Arial" w:cs="Arial"/>
          <w:b/>
          <w:sz w:val="22"/>
        </w:rPr>
        <w:t>20 % cada una</w:t>
      </w:r>
      <w:r>
        <w:rPr>
          <w:rFonts w:ascii="Arial" w:hAnsi="Arial" w:cs="Arial"/>
          <w:sz w:val="22"/>
        </w:rPr>
        <w:t>, acumulables, condicionadas a desistir o renunciar a acciones o recursos administrativos contra la sanción. Las reducciones deben constar en la notificación de inicio y pueden incrementarse reglamentariamente.</w:t>
      </w:r>
    </w:p>
    <w:p>
      <w:pPr>
        <w:jc w:val="both"/>
      </w:pPr>
      <w:r>
        <w:rPr>
          <w:rFonts w:ascii="Arial" w:hAnsi="Arial" w:cs="Arial"/>
          <w:sz w:val="22"/>
        </w:rPr>
        <w:t>El instructor archiva sin propuesta si constata inexistencia de hechos, falta de prueba, inexistencia manifiesta de infracción, falta o exención de responsable o prescripción. En otro caso formula propuesta motivada con hechos probados, calificación, responsables, sanción, valoración de pruebas y medidas provisionales.</w:t>
      </w:r>
    </w:p>
    <w:p>
      <w:pPr>
        <w:jc w:val="both"/>
      </w:pPr>
      <w:r>
        <w:rPr>
          <w:rFonts w:ascii="Arial" w:hAnsi="Arial" w:cs="Arial"/>
          <w:sz w:val="22"/>
        </w:rPr>
        <w:t xml:space="preserve">La resolución sancionadora no puede aceptar hechos distintos de los determinados durante el procedimiento, aunque puede darles otra valoración jurídica. Si el órgano resolutor aprecia infracción o sanción más grave que la propuesta, debe conceder al inculpado </w:t>
      </w:r>
      <w:r>
        <w:rPr>
          <w:rFonts w:ascii="Arial" w:hAnsi="Arial" w:cs="Arial"/>
          <w:b/>
          <w:sz w:val="22"/>
        </w:rPr>
        <w:t>quince días</w:t>
      </w:r>
      <w:r>
        <w:rPr>
          <w:rFonts w:ascii="Arial" w:hAnsi="Arial" w:cs="Arial"/>
          <w:sz w:val="22"/>
        </w:rPr>
        <w:t xml:space="preserve"> de alegaciones.</w:t>
      </w:r>
    </w:p>
    <w:p>
      <w:pPr>
        <w:jc w:val="both"/>
      </w:pPr>
      <w:r>
        <w:rPr>
          <w:rFonts w:ascii="Arial" w:hAnsi="Arial" w:cs="Arial"/>
          <w:sz w:val="22"/>
        </w:rPr>
        <w:t>La sanción es ejecutiva cuando ya no cabe recurso ordinario administrativo, incluido el potestativo de reposición. Si el interesado manifiesta intención de recurrir judicialmente, cabe suspensión cautelar en los términos del artículo 90 hasta que venza el plazo sin demanda, no se solicite medida judicial o el órgano judicial se pronuncie.</w:t>
      </w:r>
    </w:p>
    <w:p>
      <w:pPr>
        <w:pStyle w:val="Heading2"/>
        <w:keepNext/>
      </w:pPr>
      <w:r>
        <w:rPr>
          <w:rFonts w:ascii="Arial" w:hAnsi="Arial" w:cs="Arial"/>
          <w:sz w:val="25"/>
        </w:rPr>
        <w:t>11.4. Responsabilidad patrimonial</w:t>
      </w:r>
    </w:p>
    <w:p>
      <w:pPr>
        <w:jc w:val="both"/>
      </w:pPr>
      <w:r>
        <w:rPr>
          <w:rFonts w:ascii="Arial" w:hAnsi="Arial" w:cs="Arial"/>
          <w:sz w:val="22"/>
        </w:rPr>
        <w:t xml:space="preserve">La resolución debe pronunciarse sobre relación causal, daño, valoración, cuantía y modo de indemnización. Transcurridos </w:t>
      </w:r>
      <w:r>
        <w:rPr>
          <w:rFonts w:ascii="Arial" w:hAnsi="Arial" w:cs="Arial"/>
          <w:b/>
          <w:sz w:val="22"/>
        </w:rPr>
        <w:t>seis meses</w:t>
      </w:r>
      <w:r>
        <w:rPr>
          <w:rFonts w:ascii="Arial" w:hAnsi="Arial" w:cs="Arial"/>
          <w:sz w:val="22"/>
        </w:rPr>
        <w:t xml:space="preserve"> sin resolución notificada ni acuerdo formalizado, puede entenderse desestimada la indemnización.</w:t>
      </w:r>
    </w:p>
    <w:p>
      <w:pPr>
        <w:jc w:val="both"/>
      </w:pPr>
      <w:r>
        <w:rPr>
          <w:rFonts w:ascii="Arial" w:hAnsi="Arial" w:cs="Arial"/>
          <w:sz w:val="22"/>
        </w:rPr>
        <w:t>En la Administración General del Estado resuelve el ministro competente o el Consejo de Ministros en los supuestos legalmente previstos. En comunidades autónomas, entidades locales y entidades de Derecho público decide el órgano determinado por su normativa.</w:t>
      </w:r>
    </w:p>
    <w:p>
      <w:pPr>
        <w:pStyle w:val="Heading1"/>
        <w:keepNext/>
      </w:pPr>
      <w:r>
        <w:rPr>
          <w:rFonts w:ascii="Arial" w:hAnsi="Arial" w:cs="Arial"/>
          <w:sz w:val="30"/>
        </w:rPr>
        <w:t>12. Desistimiento, renuncia y caducidad</w:t>
      </w:r>
    </w:p>
    <w:p>
      <w:pPr>
        <w:pStyle w:val="Heading2"/>
        <w:keepNext/>
      </w:pPr>
      <w:r>
        <w:rPr>
          <w:rFonts w:ascii="Arial" w:hAnsi="Arial" w:cs="Arial"/>
          <w:sz w:val="25"/>
        </w:rPr>
        <w:t>12.1. Desistimiento y renuncia</w:t>
      </w:r>
    </w:p>
    <w:p>
      <w:pPr>
        <w:jc w:val="both"/>
      </w:pPr>
      <w:r>
        <w:rPr>
          <w:rFonts w:ascii="Arial" w:hAnsi="Arial" w:cs="Arial"/>
          <w:sz w:val="22"/>
        </w:rPr>
        <w:t xml:space="preserve">El desistimiento abandona la </w:t>
      </w:r>
      <w:r>
        <w:rPr>
          <w:rFonts w:ascii="Arial" w:hAnsi="Arial" w:cs="Arial"/>
          <w:b/>
          <w:sz w:val="22"/>
        </w:rPr>
        <w:t>solicitud o procedimiento promovido</w:t>
      </w:r>
      <w:r>
        <w:rPr>
          <w:rFonts w:ascii="Arial" w:hAnsi="Arial" w:cs="Arial"/>
          <w:sz w:val="22"/>
        </w:rPr>
        <w:t xml:space="preserve">, mientras la renuncia abandona el </w:t>
      </w:r>
      <w:r>
        <w:rPr>
          <w:rFonts w:ascii="Arial" w:hAnsi="Arial" w:cs="Arial"/>
          <w:b/>
          <w:sz w:val="22"/>
        </w:rPr>
        <w:t>derecho</w:t>
      </w:r>
      <w:r>
        <w:rPr>
          <w:rFonts w:ascii="Arial" w:hAnsi="Arial" w:cs="Arial"/>
          <w:sz w:val="22"/>
        </w:rPr>
        <w:t xml:space="preserve"> en que se fundaba la pretensión. Por eso puede formularse siempre desistimiento, pero solo cabe renuncia cuando el ordenamiento no la prohíbe.</w:t>
      </w:r>
    </w:p>
    <w:p>
      <w:pPr>
        <w:jc w:val="both"/>
      </w:pPr>
      <w:r>
        <w:rPr>
          <w:rFonts w:ascii="Arial" w:hAnsi="Arial" w:cs="Arial"/>
          <w:sz w:val="22"/>
        </w:rPr>
        <w:t>En procedimientos de oficio, la Administración únicamente puede desistir motivadamente cuando una ley prevea el supuesto y los requisitos. Los interesados pueden desistir o renunciar por cualquier medio que deje constancia y contenga las firmas exigidas. Si había varios solicitantes, solo afecta a quienes lo formulen.</w:t>
      </w:r>
    </w:p>
    <w:p>
      <w:pPr>
        <w:jc w:val="both"/>
      </w:pPr>
      <w:r>
        <w:rPr>
          <w:rFonts w:ascii="Arial" w:hAnsi="Arial" w:cs="Arial"/>
          <w:sz w:val="22"/>
        </w:rPr>
        <w:t xml:space="preserve">La Administración acepta de plano y declara concluso el procedimiento, salvo que terceros interesados personados pidan continuarlo dentro de los </w:t>
      </w:r>
      <w:r>
        <w:rPr>
          <w:rFonts w:ascii="Arial" w:hAnsi="Arial" w:cs="Arial"/>
          <w:b/>
          <w:sz w:val="22"/>
        </w:rPr>
        <w:t>diez días</w:t>
      </w:r>
      <w:r>
        <w:rPr>
          <w:rFonts w:ascii="Arial" w:hAnsi="Arial" w:cs="Arial"/>
          <w:sz w:val="22"/>
        </w:rPr>
        <w:t xml:space="preserve"> siguientes a su notificación. Si existe interés general o conviene esclarecer la cuestión, puede limitar los efectos al desistente o renunciante y seguir.</w:t>
      </w:r>
    </w:p>
    <w:p>
      <w:pPr>
        <w:pStyle w:val="Heading2"/>
        <w:keepNext/>
      </w:pPr>
      <w:r>
        <w:rPr>
          <w:rFonts w:ascii="Arial" w:hAnsi="Arial" w:cs="Arial"/>
          <w:sz w:val="25"/>
        </w:rPr>
        <w:t>12.2. Caducidad por paralización imputable</w:t>
      </w:r>
    </w:p>
    <w:p>
      <w:pPr>
        <w:jc w:val="both"/>
      </w:pPr>
      <w:r>
        <w:rPr>
          <w:rFonts w:ascii="Arial" w:hAnsi="Arial" w:cs="Arial"/>
          <w:sz w:val="22"/>
        </w:rPr>
        <w:t xml:space="preserve">En procedimientos iniciados a solicitud, si la tramitación se paraliza por causa imputable al interesado, la Administración debe advertir que se producirá caducidad al transcurrir </w:t>
      </w:r>
      <w:r>
        <w:rPr>
          <w:rFonts w:ascii="Arial" w:hAnsi="Arial" w:cs="Arial"/>
          <w:b/>
          <w:sz w:val="22"/>
        </w:rPr>
        <w:t>tres meses</w:t>
      </w:r>
      <w:r>
        <w:rPr>
          <w:rFonts w:ascii="Arial" w:hAnsi="Arial" w:cs="Arial"/>
          <w:sz w:val="22"/>
        </w:rPr>
        <w:t>. Si el interesado no realiza la actividad indispensable, se acuerda archivo mediante resolución recurrible.</w:t>
      </w:r>
    </w:p>
    <w:p>
      <w:pPr>
        <w:jc w:val="both"/>
      </w:pPr>
      <w:r>
        <w:rPr>
          <w:rFonts w:ascii="Arial" w:hAnsi="Arial" w:cs="Arial"/>
          <w:sz w:val="22"/>
        </w:rPr>
        <w:t>No cabe caducidad por simple inactividad en trámites no indispensables: solo se pierde el derecho a ese trámite. La caducidad no produce por sí sola prescripción, pero el procedimiento caducado no interrumpe el plazo prescriptivo.</w:t>
      </w:r>
    </w:p>
    <w:p>
      <w:pPr>
        <w:jc w:val="both"/>
      </w:pPr>
      <w:r>
        <w:rPr>
          <w:rFonts w:ascii="Arial" w:hAnsi="Arial" w:cs="Arial"/>
          <w:sz w:val="22"/>
        </w:rPr>
        <w:t>Si puede iniciarse otro procedimiento porque la acción no prescribió, pueden conservarse actos y trámites cuyo contenido hubiera sido idéntico. Sin embargo, en el nuevo expediente deben repetirse siempre alegaciones, proposición de prueba y audiencia. La caducidad puede no aplicarse cuando esté afectado el interés general o convenga definir y esclarecer la cuestión.</w:t>
      </w:r>
    </w:p>
    <w:p>
      <w:pPr>
        <w:jc w:val="both"/>
      </w:pPr>
      <w:r>
        <w:rPr>
          <w:rFonts w:ascii="Arial" w:hAnsi="Arial" w:cs="Arial"/>
          <w:sz w:val="22"/>
        </w:rPr>
        <w:t>Debe distinguirse esta caducidad del artículo 95 de la caducidad de procedimientos de oficio susceptibles de producir efectos desfavorables por vencimiento del plazo máximo para resolver, regulada con carácter general en el artículo 25.</w:t>
      </w:r>
    </w:p>
    <w:p>
      <w:pPr>
        <w:pStyle w:val="Heading1"/>
        <w:keepNext/>
      </w:pPr>
      <w:r>
        <w:rPr>
          <w:rFonts w:ascii="Arial" w:hAnsi="Arial" w:cs="Arial"/>
          <w:sz w:val="30"/>
        </w:rPr>
        <w:t>13. Tramitación simplificada</w:t>
      </w:r>
    </w:p>
    <w:p>
      <w:pPr>
        <w:jc w:val="both"/>
      </w:pPr>
      <w:r>
        <w:rPr>
          <w:rFonts w:ascii="Arial" w:hAnsi="Arial" w:cs="Arial"/>
          <w:sz w:val="22"/>
        </w:rPr>
        <w:t>Puede acordarse por interés público o falta de complejidad, de oficio o a solicitud. Antes de resolver, el órgano puede volver al procedimiento ordinario.</w:t>
      </w:r>
    </w:p>
    <w:p>
      <w:pPr>
        <w:jc w:val="both"/>
      </w:pPr>
      <w:r>
        <w:rPr>
          <w:rFonts w:ascii="Arial" w:hAnsi="Arial" w:cs="Arial"/>
          <w:sz w:val="22"/>
        </w:rPr>
        <w:t xml:space="preserve">Si se acuerda de oficio, se notifica y, como regla, la oposición expresa de un interesado obliga a continuar ordinariamente. En procedimientos sancionadores por infracciones calificables como leves no cabe esa oposición. Si el interesado solicita simplificación, el órgano dispone de </w:t>
      </w:r>
      <w:r>
        <w:rPr>
          <w:rFonts w:ascii="Arial" w:hAnsi="Arial" w:cs="Arial"/>
          <w:b/>
          <w:sz w:val="22"/>
        </w:rPr>
        <w:t>cinco días</w:t>
      </w:r>
      <w:r>
        <w:rPr>
          <w:rFonts w:ascii="Arial" w:hAnsi="Arial" w:cs="Arial"/>
          <w:sz w:val="22"/>
        </w:rPr>
        <w:t xml:space="preserve"> para desestimarla; el silencio es desestimatorio y no cabe recurso contra esa decisión.</w:t>
      </w:r>
    </w:p>
    <w:p>
      <w:pPr>
        <w:jc w:val="both"/>
      </w:pPr>
      <w:r>
        <w:rPr>
          <w:rFonts w:ascii="Arial" w:hAnsi="Arial" w:cs="Arial"/>
          <w:sz w:val="22"/>
        </w:rPr>
        <w:t xml:space="preserve">Salvo que reste menos para concluir la tramitación ordinaria, el procedimiento simplificado se resuelve en </w:t>
      </w:r>
      <w:r>
        <w:rPr>
          <w:rFonts w:ascii="Arial" w:hAnsi="Arial" w:cs="Arial"/>
          <w:b/>
          <w:sz w:val="22"/>
        </w:rPr>
        <w:t>treinta días</w:t>
      </w:r>
      <w:r>
        <w:rPr>
          <w:rFonts w:ascii="Arial" w:hAnsi="Arial" w:cs="Arial"/>
          <w:sz w:val="22"/>
        </w:rPr>
        <w:t xml:space="preserve"> desde el siguiente a la notificación del acuerdo. Solo incluye:</w:t>
      </w:r>
    </w:p>
    <w:p>
      <w:pPr>
        <w:pStyle w:val="ListBullet"/>
      </w:pPr>
      <w:r>
        <w:rPr>
          <w:rFonts w:ascii="Arial" w:hAnsi="Arial" w:cs="Arial"/>
          <w:sz w:val="22"/>
        </w:rPr>
        <w:t>inicio;</w:t>
      </w:r>
    </w:p>
    <w:p>
      <w:pPr>
        <w:pStyle w:val="ListBullet"/>
      </w:pPr>
      <w:r>
        <w:rPr>
          <w:rFonts w:ascii="Arial" w:hAnsi="Arial" w:cs="Arial"/>
          <w:sz w:val="22"/>
        </w:rPr>
        <w:t>subsanación, en su caso;</w:t>
      </w:r>
    </w:p>
    <w:p>
      <w:pPr>
        <w:pStyle w:val="ListBullet"/>
      </w:pPr>
      <w:r>
        <w:rPr>
          <w:rFonts w:ascii="Arial" w:hAnsi="Arial" w:cs="Arial"/>
          <w:sz w:val="22"/>
        </w:rPr>
        <w:t>alegaciones iniciales durante cinco días;</w:t>
      </w:r>
    </w:p>
    <w:p>
      <w:pPr>
        <w:pStyle w:val="ListBullet"/>
      </w:pPr>
      <w:r>
        <w:rPr>
          <w:rFonts w:ascii="Arial" w:hAnsi="Arial" w:cs="Arial"/>
          <w:sz w:val="22"/>
        </w:rPr>
        <w:t>audiencia únicamente si la resolución será desfavorable;</w:t>
      </w:r>
    </w:p>
    <w:p>
      <w:pPr>
        <w:pStyle w:val="ListBullet"/>
      </w:pPr>
      <w:r>
        <w:rPr>
          <w:rFonts w:ascii="Arial" w:hAnsi="Arial" w:cs="Arial"/>
          <w:sz w:val="22"/>
        </w:rPr>
        <w:t>informes jurídicos o del Consejo General del Poder Judicial cuando sean preceptivos;</w:t>
      </w:r>
    </w:p>
    <w:p>
      <w:pPr>
        <w:pStyle w:val="ListBullet"/>
      </w:pPr>
      <w:r>
        <w:rPr>
          <w:rFonts w:ascii="Arial" w:hAnsi="Arial" w:cs="Arial"/>
          <w:sz w:val="22"/>
        </w:rPr>
        <w:t>dictamen consultivo cuando sea preceptivo;</w:t>
      </w:r>
    </w:p>
    <w:p>
      <w:pPr>
        <w:pStyle w:val="ListBullet"/>
      </w:pPr>
      <w:r>
        <w:rPr>
          <w:rFonts w:ascii="Arial" w:hAnsi="Arial" w:cs="Arial"/>
          <w:sz w:val="22"/>
        </w:rPr>
        <w:t>resolución.</w:t>
      </w:r>
    </w:p>
    <w:p>
      <w:pPr>
        <w:jc w:val="both"/>
      </w:pPr>
      <w:r>
        <w:rPr>
          <w:rFonts w:ascii="Arial" w:hAnsi="Arial" w:cs="Arial"/>
          <w:sz w:val="22"/>
        </w:rPr>
        <w:t>Si se necesita un trámite distinto, debe seguirse la vía ordinaria. El dictamen consultivo puede emitirse en quince días si se solicita; si es contrario al fondo de la propuesta, se vuelve a tramitación ordinaria. Se convalidan las actuaciones simplificadas realizadas, excepto el dictamen.</w:t>
      </w:r>
    </w:p>
    <w:p>
      <w:pPr>
        <w:pStyle w:val="Heading1"/>
        <w:keepNext/>
      </w:pPr>
      <w:r>
        <w:rPr>
          <w:rFonts w:ascii="Arial" w:hAnsi="Arial" w:cs="Arial"/>
          <w:sz w:val="30"/>
        </w:rPr>
        <w:t>14. Ejecución de actos y resoluciones</w:t>
      </w:r>
    </w:p>
    <w:p>
      <w:pPr>
        <w:pStyle w:val="Heading2"/>
        <w:keepNext/>
      </w:pPr>
      <w:r>
        <w:rPr>
          <w:rFonts w:ascii="Arial" w:hAnsi="Arial" w:cs="Arial"/>
          <w:sz w:val="25"/>
        </w:rPr>
        <w:t>14.1. Título y ejecutividad</w:t>
      </w:r>
    </w:p>
    <w:p>
      <w:pPr>
        <w:jc w:val="both"/>
      </w:pPr>
      <w:r>
        <w:rPr>
          <w:rFonts w:ascii="Arial" w:hAnsi="Arial" w:cs="Arial"/>
          <w:sz w:val="22"/>
        </w:rPr>
        <w:t>La autotutela ejecutiva permite a la Administración hacer cumplir sus actos sin obtener previamente una sentencia, dentro de los límites legales. Ninguna actuación material que limite derechos puede comenzar sin una resolución previa que constituya su fundamento jurídico. El órgano que ordena la ejecución material debe notificar esa resolución al afectado.</w:t>
      </w:r>
    </w:p>
    <w:p>
      <w:pPr>
        <w:jc w:val="both"/>
      </w:pPr>
      <w:r>
        <w:rPr>
          <w:rFonts w:ascii="Arial" w:hAnsi="Arial" w:cs="Arial"/>
          <w:sz w:val="22"/>
        </w:rPr>
        <w:t>Los actos sujetos al Derecho Administrativo son inmediatamente ejecutivos, salvo:</w:t>
      </w:r>
    </w:p>
    <w:p>
      <w:pPr>
        <w:spacing w:after="40"/>
        <w:ind w:left="369" w:hanging="227"/>
      </w:pPr>
      <w:r>
        <w:rPr>
          <w:rFonts w:ascii="Arial" w:hAnsi="Arial" w:cs="Arial"/>
          <w:sz w:val="22"/>
        </w:rPr>
        <w:t>1. suspensión de la ejecución;</w:t>
      </w:r>
    </w:p>
    <w:p>
      <w:pPr>
        <w:spacing w:after="40"/>
        <w:ind w:left="369" w:hanging="227"/>
      </w:pPr>
      <w:r>
        <w:rPr>
          <w:rFonts w:ascii="Arial" w:hAnsi="Arial" w:cs="Arial"/>
          <w:sz w:val="22"/>
        </w:rPr>
        <w:t>2. resolución sancionadora contra la que aún quepa recurso administrativo, incluida reposición;</w:t>
      </w:r>
    </w:p>
    <w:p>
      <w:pPr>
        <w:spacing w:after="40"/>
        <w:ind w:left="369" w:hanging="227"/>
      </w:pPr>
      <w:r>
        <w:rPr>
          <w:rFonts w:ascii="Arial" w:hAnsi="Arial" w:cs="Arial"/>
          <w:sz w:val="22"/>
        </w:rPr>
        <w:t>3. disposición que establezca lo contrario;</w:t>
      </w:r>
    </w:p>
    <w:p>
      <w:pPr>
        <w:spacing w:after="40"/>
        <w:ind w:left="369" w:hanging="227"/>
      </w:pPr>
      <w:r>
        <w:rPr>
          <w:rFonts w:ascii="Arial" w:hAnsi="Arial" w:cs="Arial"/>
          <w:sz w:val="22"/>
        </w:rPr>
        <w:t>4. necesidad de aprobación o autorización superior.</w:t>
      </w:r>
    </w:p>
    <w:p>
      <w:pPr>
        <w:jc w:val="both"/>
      </w:pPr>
      <w:r>
        <w:rPr>
          <w:rFonts w:ascii="Arial" w:hAnsi="Arial" w:cs="Arial"/>
          <w:sz w:val="22"/>
        </w:rPr>
        <w:t>La ejecutividad no equivale a validez definitiva ni impide impugnar. Significa que el acto despliega efectos y puede cumplirse mientras no se suspenda o concurra una excepción.</w:t>
      </w:r>
    </w:p>
    <w:p>
      <w:pPr>
        <w:jc w:val="both"/>
      </w:pPr>
      <w:r>
        <w:rPr>
          <w:rFonts w:ascii="Arial" w:hAnsi="Arial" w:cs="Arial"/>
          <w:sz w:val="22"/>
        </w:rPr>
        <w:t>Las obligaciones de pago a la Hacienda pública derivadas de sanciones, multas u otras formas de terminación se satisfacen preferentemente por tarjeta, transferencia, domiciliación u otro medio autorizado, salvo imposibilidad justificada.</w:t>
      </w:r>
    </w:p>
    <w:p>
      <w:pPr>
        <w:pStyle w:val="Heading2"/>
        <w:keepNext/>
      </w:pPr>
      <w:r>
        <w:rPr>
          <w:rFonts w:ascii="Arial" w:hAnsi="Arial" w:cs="Arial"/>
          <w:sz w:val="25"/>
        </w:rPr>
        <w:t>14.2. Presupuestos de la ejecución forzosa</w:t>
      </w:r>
    </w:p>
    <w:p>
      <w:pPr>
        <w:jc w:val="both"/>
      </w:pPr>
      <w:r>
        <w:rPr>
          <w:rFonts w:ascii="Arial" w:hAnsi="Arial" w:cs="Arial"/>
          <w:sz w:val="22"/>
        </w:rPr>
        <w:t xml:space="preserve">La Administración puede ejecutar forzosamente por sus órganos competentes y previo </w:t>
      </w:r>
      <w:r>
        <w:rPr>
          <w:rFonts w:ascii="Arial" w:hAnsi="Arial" w:cs="Arial"/>
          <w:b/>
          <w:sz w:val="22"/>
        </w:rPr>
        <w:t>apercibimiento</w:t>
      </w:r>
      <w:r>
        <w:rPr>
          <w:rFonts w:ascii="Arial" w:hAnsi="Arial" w:cs="Arial"/>
          <w:sz w:val="22"/>
        </w:rPr>
        <w:t>. No procede si la ejecución está suspendida o si la Constitución o la ley exigen intervención judicial.</w:t>
      </w:r>
    </w:p>
    <w:p>
      <w:pPr>
        <w:jc w:val="both"/>
      </w:pPr>
      <w:r>
        <w:rPr>
          <w:rFonts w:ascii="Arial" w:hAnsi="Arial" w:cs="Arial"/>
          <w:sz w:val="22"/>
        </w:rPr>
        <w:t>Toda ejecución forzosa respeta proporcionalidad. Si hay varios medios posibles, se elige el menos restrictivo de la libertad individual. Para entrar en domicilio o lugar que requiera autorización del titular se necesita consentimiento o autorización judicial. La autotutela no desplaza la inviolabilidad domiciliaria.</w:t>
      </w:r>
    </w:p>
    <w:p>
      <w:pPr>
        <w:pStyle w:val="Heading2"/>
        <w:keepNext/>
      </w:pPr>
      <w:r>
        <w:rPr>
          <w:rFonts w:ascii="Arial" w:hAnsi="Arial" w:cs="Arial"/>
          <w:sz w:val="25"/>
        </w:rPr>
        <w:t>14.3. Medios de ejecución</w:t>
      </w:r>
    </w:p>
    <w:tbl>
      <w:tblPr>
        <w:tblStyle w:val="TableGrid"/>
        <w:tblW w:type="dxa" w:w="9026"/>
        <w:jc w:val="left"/>
        <w:tblLayout w:type="fixed"/>
        <w:tblLook w:firstColumn="1" w:firstRow="1" w:lastColumn="0" w:lastRow="0" w:noHBand="0" w:noVBand="1" w:val="04A0"/>
        <w:tblInd w:w="120" w:type="dxa"/>
      </w:tblPr>
      <w:tblGrid>
        <w:gridCol w:w="1956"/>
        <w:gridCol w:w="2933"/>
        <w:gridCol w:w="4137"/>
      </w:tblGrid>
      <w:tr>
        <w:trPr>
          <w:tblHeader w:val="true"/>
        </w:trPr>
        <w:tc>
          <w:tcPr>
            <w:tcW w:type="dxa" w:w="1956"/>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Medio</w:t>
            </w:r>
          </w:p>
        </w:tc>
        <w:tc>
          <w:tcPr>
            <w:tcW w:type="dxa" w:w="2933"/>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Obligación apropiada</w:t>
            </w:r>
          </w:p>
        </w:tc>
        <w:tc>
          <w:tcPr>
            <w:tcW w:type="dxa" w:w="4137"/>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Rasgos esenciales</w:t>
            </w:r>
          </w:p>
        </w:tc>
      </w:tr>
      <w:tr>
        <w:tc>
          <w:tcPr>
            <w:tcW w:type="dxa" w:w="1956"/>
            <w:tcMar>
              <w:top w:w="80" w:type="dxa"/>
              <w:start w:w="120" w:type="dxa"/>
              <w:bottom w:w="80" w:type="dxa"/>
              <w:end w:w="120" w:type="dxa"/>
            </w:tcMar>
            <w:vAlign w:val="center"/>
          </w:tcPr>
          <w:p>
            <w:pPr>
              <w:spacing w:before="0" w:after="0" w:line="240" w:lineRule="auto"/>
              <w:jc w:val="left"/>
            </w:pPr>
            <w:r/>
            <w:r>
              <w:rPr>
                <w:rFonts w:ascii="Arial" w:hAnsi="Arial" w:cs="Arial"/>
                <w:sz w:val="18"/>
              </w:rPr>
              <w:t>Apremio sobre el patrimonio</w:t>
            </w:r>
          </w:p>
        </w:tc>
        <w:tc>
          <w:tcPr>
            <w:tcW w:type="dxa" w:w="2933"/>
            <w:tcMar>
              <w:top w:w="80" w:type="dxa"/>
              <w:start w:w="120" w:type="dxa"/>
              <w:bottom w:w="80" w:type="dxa"/>
              <w:end w:w="120" w:type="dxa"/>
            </w:tcMar>
            <w:vAlign w:val="center"/>
          </w:tcPr>
          <w:p>
            <w:pPr>
              <w:spacing w:before="0" w:after="0" w:line="240" w:lineRule="auto"/>
              <w:jc w:val="left"/>
            </w:pPr>
            <w:r/>
            <w:r>
              <w:rPr>
                <w:rFonts w:ascii="Arial" w:hAnsi="Arial" w:cs="Arial"/>
                <w:sz w:val="18"/>
              </w:rPr>
              <w:t>Pagar cantidad líquida</w:t>
            </w:r>
          </w:p>
        </w:tc>
        <w:tc>
          <w:tcPr>
            <w:tcW w:type="dxa" w:w="4137"/>
            <w:tcMar>
              <w:top w:w="80" w:type="dxa"/>
              <w:start w:w="120" w:type="dxa"/>
              <w:bottom w:w="80" w:type="dxa"/>
              <w:end w:w="120" w:type="dxa"/>
            </w:tcMar>
            <w:vAlign w:val="center"/>
          </w:tcPr>
          <w:p>
            <w:pPr>
              <w:spacing w:before="0" w:after="0" w:line="240" w:lineRule="auto"/>
              <w:jc w:val="left"/>
            </w:pPr>
            <w:r/>
            <w:r>
              <w:rPr>
                <w:rFonts w:ascii="Arial" w:hAnsi="Arial" w:cs="Arial"/>
                <w:sz w:val="18"/>
              </w:rPr>
              <w:t>Sigue el procedimiento recaudatorio de apremio</w:t>
            </w:r>
          </w:p>
        </w:tc>
      </w:tr>
      <w:tr>
        <w:tc>
          <w:tcPr>
            <w:tcW w:type="dxa" w:w="1956"/>
            <w:tcMar>
              <w:top w:w="80" w:type="dxa"/>
              <w:start w:w="120" w:type="dxa"/>
              <w:bottom w:w="80" w:type="dxa"/>
              <w:end w:w="120" w:type="dxa"/>
            </w:tcMar>
            <w:vAlign w:val="center"/>
          </w:tcPr>
          <w:p>
            <w:pPr>
              <w:spacing w:before="0" w:after="0" w:line="240" w:lineRule="auto"/>
              <w:jc w:val="left"/>
            </w:pPr>
            <w:r/>
            <w:r>
              <w:rPr>
                <w:rFonts w:ascii="Arial" w:hAnsi="Arial" w:cs="Arial"/>
                <w:sz w:val="18"/>
              </w:rPr>
              <w:t>Ejecución subsidiaria</w:t>
            </w:r>
          </w:p>
        </w:tc>
        <w:tc>
          <w:tcPr>
            <w:tcW w:type="dxa" w:w="2933"/>
            <w:tcMar>
              <w:top w:w="80" w:type="dxa"/>
              <w:start w:w="120" w:type="dxa"/>
              <w:bottom w:w="80" w:type="dxa"/>
              <w:end w:w="120" w:type="dxa"/>
            </w:tcMar>
            <w:vAlign w:val="center"/>
          </w:tcPr>
          <w:p>
            <w:pPr>
              <w:spacing w:before="0" w:after="0" w:line="240" w:lineRule="auto"/>
              <w:jc w:val="left"/>
            </w:pPr>
            <w:r/>
            <w:r>
              <w:rPr>
                <w:rFonts w:ascii="Arial" w:hAnsi="Arial" w:cs="Arial"/>
                <w:sz w:val="18"/>
              </w:rPr>
              <w:t>Hacer no personalísimo</w:t>
            </w:r>
          </w:p>
        </w:tc>
        <w:tc>
          <w:tcPr>
            <w:tcW w:type="dxa" w:w="4137"/>
            <w:tcMar>
              <w:top w:w="80" w:type="dxa"/>
              <w:start w:w="120" w:type="dxa"/>
              <w:bottom w:w="80" w:type="dxa"/>
              <w:end w:w="120" w:type="dxa"/>
            </w:tcMar>
            <w:vAlign w:val="center"/>
          </w:tcPr>
          <w:p>
            <w:pPr>
              <w:spacing w:before="0" w:after="0" w:line="240" w:lineRule="auto"/>
              <w:jc w:val="left"/>
            </w:pPr>
            <w:r/>
            <w:r>
              <w:rPr>
                <w:rFonts w:ascii="Arial" w:hAnsi="Arial" w:cs="Arial"/>
                <w:sz w:val="18"/>
              </w:rPr>
              <w:t>La Administración o un tercero actúa a costa del obligado</w:t>
            </w:r>
          </w:p>
        </w:tc>
      </w:tr>
      <w:tr>
        <w:tc>
          <w:tcPr>
            <w:tcW w:type="dxa" w:w="1956"/>
            <w:tcMar>
              <w:top w:w="80" w:type="dxa"/>
              <w:start w:w="120" w:type="dxa"/>
              <w:bottom w:w="80" w:type="dxa"/>
              <w:end w:w="120" w:type="dxa"/>
            </w:tcMar>
            <w:vAlign w:val="center"/>
          </w:tcPr>
          <w:p>
            <w:pPr>
              <w:spacing w:before="0" w:after="0" w:line="240" w:lineRule="auto"/>
              <w:jc w:val="left"/>
            </w:pPr>
            <w:r/>
            <w:r>
              <w:rPr>
                <w:rFonts w:ascii="Arial" w:hAnsi="Arial" w:cs="Arial"/>
                <w:sz w:val="18"/>
              </w:rPr>
              <w:t>Multa coercitiva</w:t>
            </w:r>
          </w:p>
        </w:tc>
        <w:tc>
          <w:tcPr>
            <w:tcW w:type="dxa" w:w="2933"/>
            <w:tcMar>
              <w:top w:w="80" w:type="dxa"/>
              <w:start w:w="120" w:type="dxa"/>
              <w:bottom w:w="80" w:type="dxa"/>
              <w:end w:w="120" w:type="dxa"/>
            </w:tcMar>
            <w:vAlign w:val="center"/>
          </w:tcPr>
          <w:p>
            <w:pPr>
              <w:spacing w:before="0" w:after="0" w:line="240" w:lineRule="auto"/>
              <w:jc w:val="left"/>
            </w:pPr>
            <w:r/>
            <w:r>
              <w:rPr>
                <w:rFonts w:ascii="Arial" w:hAnsi="Arial" w:cs="Arial"/>
                <w:sz w:val="18"/>
              </w:rPr>
              <w:t>Forzar el cumplimiento en supuestos legales</w:t>
            </w:r>
          </w:p>
        </w:tc>
        <w:tc>
          <w:tcPr>
            <w:tcW w:type="dxa" w:w="4137"/>
            <w:tcMar>
              <w:top w:w="80" w:type="dxa"/>
              <w:start w:w="120" w:type="dxa"/>
              <w:bottom w:w="80" w:type="dxa"/>
              <w:end w:w="120" w:type="dxa"/>
            </w:tcMar>
            <w:vAlign w:val="center"/>
          </w:tcPr>
          <w:p>
            <w:pPr>
              <w:spacing w:before="0" w:after="0" w:line="240" w:lineRule="auto"/>
              <w:jc w:val="left"/>
            </w:pPr>
            <w:r/>
            <w:r>
              <w:rPr>
                <w:rFonts w:ascii="Arial" w:hAnsi="Arial" w:cs="Arial"/>
                <w:sz w:val="18"/>
              </w:rPr>
              <w:t>Reiterable, independiente y compatible con sanciones</w:t>
            </w:r>
          </w:p>
        </w:tc>
      </w:tr>
      <w:tr>
        <w:tc>
          <w:tcPr>
            <w:tcW w:type="dxa" w:w="1956"/>
            <w:tcMar>
              <w:top w:w="80" w:type="dxa"/>
              <w:start w:w="120" w:type="dxa"/>
              <w:bottom w:w="80" w:type="dxa"/>
              <w:end w:w="120" w:type="dxa"/>
            </w:tcMar>
            <w:vAlign w:val="center"/>
          </w:tcPr>
          <w:p>
            <w:pPr>
              <w:spacing w:before="0" w:after="0" w:line="240" w:lineRule="auto"/>
              <w:jc w:val="left"/>
            </w:pPr>
            <w:r/>
            <w:r>
              <w:rPr>
                <w:rFonts w:ascii="Arial" w:hAnsi="Arial" w:cs="Arial"/>
                <w:sz w:val="18"/>
              </w:rPr>
              <w:t>Compulsión sobre las personas</w:t>
            </w:r>
          </w:p>
        </w:tc>
        <w:tc>
          <w:tcPr>
            <w:tcW w:type="dxa" w:w="2933"/>
            <w:tcMar>
              <w:top w:w="80" w:type="dxa"/>
              <w:start w:w="120" w:type="dxa"/>
              <w:bottom w:w="80" w:type="dxa"/>
              <w:end w:w="120" w:type="dxa"/>
            </w:tcMar>
            <w:vAlign w:val="center"/>
          </w:tcPr>
          <w:p>
            <w:pPr>
              <w:spacing w:before="0" w:after="0" w:line="240" w:lineRule="auto"/>
              <w:jc w:val="left"/>
            </w:pPr>
            <w:r/>
            <w:r>
              <w:rPr>
                <w:rFonts w:ascii="Arial" w:hAnsi="Arial" w:cs="Arial"/>
                <w:sz w:val="18"/>
              </w:rPr>
              <w:t>No hacer o soportar, de carácter personalísimo</w:t>
            </w:r>
          </w:p>
        </w:tc>
        <w:tc>
          <w:tcPr>
            <w:tcW w:type="dxa" w:w="4137"/>
            <w:tcMar>
              <w:top w:w="80" w:type="dxa"/>
              <w:start w:w="120" w:type="dxa"/>
              <w:bottom w:w="80" w:type="dxa"/>
              <w:end w:w="120" w:type="dxa"/>
            </w:tcMar>
            <w:vAlign w:val="center"/>
          </w:tcPr>
          <w:p>
            <w:pPr>
              <w:spacing w:before="0" w:after="0" w:line="240" w:lineRule="auto"/>
              <w:jc w:val="left"/>
            </w:pPr>
            <w:r/>
            <w:r>
              <w:rPr>
                <w:rFonts w:ascii="Arial" w:hAnsi="Arial" w:cs="Arial"/>
                <w:sz w:val="18"/>
              </w:rPr>
              <w:t>Exige autorización legal expresa y respeto a dignidad y derechos</w:t>
            </w:r>
          </w:p>
        </w:tc>
      </w:tr>
    </w:tbl>
    <w:p>
      <w:pPr>
        <w:spacing w:after="40"/>
      </w:pPr>
    </w:p>
    <w:p>
      <w:pPr>
        <w:jc w:val="both"/>
      </w:pPr>
      <w:r>
        <w:rPr>
          <w:rFonts w:ascii="Arial" w:hAnsi="Arial" w:cs="Arial"/>
          <w:sz w:val="22"/>
        </w:rPr>
        <w:t xml:space="preserve">El </w:t>
      </w:r>
      <w:r>
        <w:rPr>
          <w:rFonts w:ascii="Arial" w:hAnsi="Arial" w:cs="Arial"/>
          <w:b/>
          <w:sz w:val="22"/>
        </w:rPr>
        <w:t>apremio</w:t>
      </w:r>
      <w:r>
        <w:rPr>
          <w:rFonts w:ascii="Arial" w:hAnsi="Arial" w:cs="Arial"/>
          <w:sz w:val="22"/>
        </w:rPr>
        <w:t xml:space="preserve"> exige una cantidad líquida. No puede imponerse una obligación pecuniaria que no tenga cobertura en norma con rango de ley.</w:t>
      </w:r>
    </w:p>
    <w:p>
      <w:pPr>
        <w:jc w:val="both"/>
      </w:pPr>
      <w:r>
        <w:rPr>
          <w:rFonts w:ascii="Arial" w:hAnsi="Arial" w:cs="Arial"/>
          <w:sz w:val="22"/>
        </w:rPr>
        <w:t xml:space="preserve">La </w:t>
      </w:r>
      <w:r>
        <w:rPr>
          <w:rFonts w:ascii="Arial" w:hAnsi="Arial" w:cs="Arial"/>
          <w:b/>
          <w:sz w:val="22"/>
        </w:rPr>
        <w:t>ejecución subsidiaria</w:t>
      </w:r>
      <w:r>
        <w:rPr>
          <w:rFonts w:ascii="Arial" w:hAnsi="Arial" w:cs="Arial"/>
          <w:sz w:val="22"/>
        </w:rPr>
        <w:t xml:space="preserve"> se utiliza cuando la prestación no es personalísima y puede realizarla otra persona. La Administración ejecuta por sí o mediante tercero a costa del obligado. Los gastos, daños y perjuicios se exigen por apremio y pueden liquidarse provisionalmente antes de actuar, sin perjuicio de la liquidación final.</w:t>
      </w:r>
    </w:p>
    <w:p>
      <w:pPr>
        <w:jc w:val="both"/>
      </w:pPr>
      <w:r>
        <w:rPr>
          <w:rFonts w:ascii="Arial" w:hAnsi="Arial" w:cs="Arial"/>
          <w:sz w:val="22"/>
        </w:rPr>
        <w:t xml:space="preserve">La </w:t>
      </w:r>
      <w:r>
        <w:rPr>
          <w:rFonts w:ascii="Arial" w:hAnsi="Arial" w:cs="Arial"/>
          <w:b/>
          <w:sz w:val="22"/>
        </w:rPr>
        <w:t>multa coercitiva</w:t>
      </w:r>
      <w:r>
        <w:rPr>
          <w:rFonts w:ascii="Arial" w:hAnsi="Arial" w:cs="Arial"/>
          <w:sz w:val="22"/>
        </w:rPr>
        <w:t xml:space="preserve"> requiere autorización de ley, que fija forma y cuantía. Puede reiterarse por intervalos suficientes para cumplir lo ordenado en actos personalísimos donde no proceda compulsión, cuando la Administración descarte esta o cuando el obligado pueda encargar la ejecución a otro. No castiga una infracción: presiona para cumplir. Por eso es independiente y compatible con una sanción.</w:t>
      </w:r>
    </w:p>
    <w:p>
      <w:pPr>
        <w:jc w:val="both"/>
      </w:pPr>
      <w:r>
        <w:rPr>
          <w:rFonts w:ascii="Arial" w:hAnsi="Arial" w:cs="Arial"/>
          <w:sz w:val="22"/>
        </w:rPr>
        <w:t xml:space="preserve">La </w:t>
      </w:r>
      <w:r>
        <w:rPr>
          <w:rFonts w:ascii="Arial" w:hAnsi="Arial" w:cs="Arial"/>
          <w:b/>
          <w:sz w:val="22"/>
        </w:rPr>
        <w:t>compulsión</w:t>
      </w:r>
      <w:r>
        <w:rPr>
          <w:rFonts w:ascii="Arial" w:hAnsi="Arial" w:cs="Arial"/>
          <w:sz w:val="22"/>
        </w:rPr>
        <w:t xml:space="preserve"> solo sirve para obligaciones personalísimas de no hacer o soportar, cuando una ley la autorice expresamente, respetando dignidad y derechos constitucionales. Si la obligación es personalísima de hacer y se incumple, no se fuerza físicamente la prestación: se exigen daños y perjuicios en vía administrativa.</w:t>
      </w:r>
    </w:p>
    <w:p>
      <w:pPr>
        <w:jc w:val="both"/>
      </w:pPr>
      <w:r>
        <w:rPr>
          <w:rFonts w:ascii="Arial" w:hAnsi="Arial" w:cs="Arial"/>
          <w:sz w:val="22"/>
        </w:rPr>
        <w:t>El artículo 105 prohíbe admitir acciones posesorias contra actuaciones administrativas realizadas dentro de la competencia y conforme al procedimiento. Si la Administración actúa sin competencia o al margen del procedimiento, la protección jurisdiccional sigue abierta, incluida la reacción frente a una vía de hecho.</w:t>
      </w:r>
    </w:p>
    <w:p>
      <w:pPr>
        <w:pStyle w:val="Heading1"/>
        <w:keepNext/>
      </w:pPr>
      <w:r>
        <w:rPr>
          <w:rFonts w:ascii="Arial" w:hAnsi="Arial" w:cs="Arial"/>
          <w:sz w:val="30"/>
        </w:rPr>
        <w:t>15. Cuadros de integración</w:t>
      </w:r>
    </w:p>
    <w:p>
      <w:pPr>
        <w:pStyle w:val="Heading2"/>
        <w:keepNext/>
      </w:pPr>
      <w:r>
        <w:rPr>
          <w:rFonts w:ascii="Arial" w:hAnsi="Arial" w:cs="Arial"/>
          <w:sz w:val="25"/>
        </w:rPr>
        <w:t>15.1. Plazos esenciales</w:t>
      </w:r>
    </w:p>
    <w:tbl>
      <w:tblPr>
        <w:tblStyle w:val="TableGrid"/>
        <w:tblW w:type="dxa" w:w="9026"/>
        <w:jc w:val="left"/>
        <w:tblLayout w:type="fixed"/>
        <w:tblLook w:firstColumn="1" w:firstRow="1" w:lastColumn="0" w:lastRow="0" w:noHBand="0" w:noVBand="1" w:val="04A0"/>
        <w:tblInd w:w="120" w:type="dxa"/>
      </w:tblPr>
      <w:tblGrid>
        <w:gridCol w:w="7318"/>
        <w:gridCol w:w="1708"/>
      </w:tblGrid>
      <w:tr>
        <w:trPr>
          <w:tblHeader w:val="true"/>
        </w:trPr>
        <w:tc>
          <w:tcPr>
            <w:tcW w:type="dxa" w:w="731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Actuación</w:t>
            </w:r>
          </w:p>
        </w:tc>
        <w:tc>
          <w:tcPr>
            <w:tcW w:type="dxa" w:w="1708"/>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Plazo</w:t>
            </w:r>
          </w:p>
        </w:tc>
      </w:tr>
      <w:tr>
        <w:tc>
          <w:tcPr>
            <w:tcW w:type="dxa" w:w="7318"/>
            <w:tcMar>
              <w:top w:w="80" w:type="dxa"/>
              <w:start w:w="120" w:type="dxa"/>
              <w:bottom w:w="80" w:type="dxa"/>
              <w:end w:w="120" w:type="dxa"/>
            </w:tcMar>
            <w:vAlign w:val="center"/>
          </w:tcPr>
          <w:p>
            <w:pPr>
              <w:spacing w:before="0" w:after="0" w:line="240" w:lineRule="auto"/>
              <w:jc w:val="left"/>
            </w:pPr>
            <w:r/>
            <w:r>
              <w:rPr>
                <w:rFonts w:ascii="Arial" w:hAnsi="Arial" w:cs="Arial"/>
                <w:sz w:val="18"/>
              </w:rPr>
              <w:t>Confirmar, modificar o levantar medida provisional preprocedimental</w:t>
            </w:r>
          </w:p>
        </w:tc>
        <w:tc>
          <w:tcPr>
            <w:tcW w:type="dxa" w:w="1708"/>
            <w:tcMar>
              <w:top w:w="80" w:type="dxa"/>
              <w:start w:w="120" w:type="dxa"/>
              <w:bottom w:w="80" w:type="dxa"/>
              <w:end w:w="120" w:type="dxa"/>
            </w:tcMar>
            <w:vAlign w:val="center"/>
          </w:tcPr>
          <w:p>
            <w:pPr>
              <w:spacing w:before="0" w:after="0" w:line="240" w:lineRule="auto"/>
              <w:jc w:val="center"/>
            </w:pPr>
            <w:r/>
            <w:r>
              <w:rPr>
                <w:rFonts w:ascii="Arial" w:hAnsi="Arial" w:cs="Arial"/>
                <w:sz w:val="18"/>
              </w:rPr>
              <w:t>15 días</w:t>
            </w:r>
          </w:p>
        </w:tc>
      </w:tr>
      <w:tr>
        <w:tc>
          <w:tcPr>
            <w:tcW w:type="dxa" w:w="7318"/>
            <w:tcMar>
              <w:top w:w="80" w:type="dxa"/>
              <w:start w:w="120" w:type="dxa"/>
              <w:bottom w:w="80" w:type="dxa"/>
              <w:end w:w="120" w:type="dxa"/>
            </w:tcMar>
            <w:vAlign w:val="center"/>
          </w:tcPr>
          <w:p>
            <w:pPr>
              <w:spacing w:before="0" w:after="0" w:line="240" w:lineRule="auto"/>
              <w:jc w:val="left"/>
            </w:pPr>
            <w:r/>
            <w:r>
              <w:rPr>
                <w:rFonts w:ascii="Arial" w:hAnsi="Arial" w:cs="Arial"/>
                <w:sz w:val="18"/>
              </w:rPr>
              <w:t>Subsanar solicitud</w:t>
            </w:r>
          </w:p>
        </w:tc>
        <w:tc>
          <w:tcPr>
            <w:tcW w:type="dxa" w:w="1708"/>
            <w:tcMar>
              <w:top w:w="80" w:type="dxa"/>
              <w:start w:w="120" w:type="dxa"/>
              <w:bottom w:w="80" w:type="dxa"/>
              <w:end w:w="120" w:type="dxa"/>
            </w:tcMar>
            <w:vAlign w:val="center"/>
          </w:tcPr>
          <w:p>
            <w:pPr>
              <w:spacing w:before="0" w:after="0" w:line="240" w:lineRule="auto"/>
              <w:jc w:val="center"/>
            </w:pPr>
            <w:r/>
            <w:r>
              <w:rPr>
                <w:rFonts w:ascii="Arial" w:hAnsi="Arial" w:cs="Arial"/>
                <w:sz w:val="18"/>
              </w:rPr>
              <w:t>10 días</w:t>
            </w:r>
          </w:p>
        </w:tc>
      </w:tr>
      <w:tr>
        <w:tc>
          <w:tcPr>
            <w:tcW w:type="dxa" w:w="7318"/>
            <w:tcMar>
              <w:top w:w="80" w:type="dxa"/>
              <w:start w:w="120" w:type="dxa"/>
              <w:bottom w:w="80" w:type="dxa"/>
              <w:end w:w="120" w:type="dxa"/>
            </w:tcMar>
            <w:vAlign w:val="center"/>
          </w:tcPr>
          <w:p>
            <w:pPr>
              <w:spacing w:before="0" w:after="0" w:line="240" w:lineRule="auto"/>
              <w:jc w:val="left"/>
            </w:pPr>
            <w:r/>
            <w:r>
              <w:rPr>
                <w:rFonts w:ascii="Arial" w:hAnsi="Arial" w:cs="Arial"/>
                <w:sz w:val="18"/>
              </w:rPr>
              <w:t>Ampliación especial de subsanación</w:t>
            </w:r>
          </w:p>
        </w:tc>
        <w:tc>
          <w:tcPr>
            <w:tcW w:type="dxa" w:w="1708"/>
            <w:tcMar>
              <w:top w:w="80" w:type="dxa"/>
              <w:start w:w="120" w:type="dxa"/>
              <w:bottom w:w="80" w:type="dxa"/>
              <w:end w:w="120" w:type="dxa"/>
            </w:tcMar>
            <w:vAlign w:val="center"/>
          </w:tcPr>
          <w:p>
            <w:pPr>
              <w:spacing w:before="0" w:after="0" w:line="240" w:lineRule="auto"/>
              <w:jc w:val="center"/>
            </w:pPr>
            <w:r/>
            <w:r>
              <w:rPr>
                <w:rFonts w:ascii="Arial" w:hAnsi="Arial" w:cs="Arial"/>
                <w:sz w:val="18"/>
              </w:rPr>
              <w:t>Hasta 5 días</w:t>
            </w:r>
          </w:p>
        </w:tc>
      </w:tr>
      <w:tr>
        <w:tc>
          <w:tcPr>
            <w:tcW w:type="dxa" w:w="7318"/>
            <w:tcMar>
              <w:top w:w="80" w:type="dxa"/>
              <w:start w:w="120" w:type="dxa"/>
              <w:bottom w:w="80" w:type="dxa"/>
              <w:end w:w="120" w:type="dxa"/>
            </w:tcMar>
            <w:vAlign w:val="center"/>
          </w:tcPr>
          <w:p>
            <w:pPr>
              <w:spacing w:before="0" w:after="0" w:line="240" w:lineRule="auto"/>
              <w:jc w:val="left"/>
            </w:pPr>
            <w:r/>
            <w:r>
              <w:rPr>
                <w:rFonts w:ascii="Arial" w:hAnsi="Arial" w:cs="Arial"/>
                <w:sz w:val="18"/>
              </w:rPr>
              <w:t>Cumplir trámite del interesado</w:t>
            </w:r>
          </w:p>
        </w:tc>
        <w:tc>
          <w:tcPr>
            <w:tcW w:type="dxa" w:w="1708"/>
            <w:tcMar>
              <w:top w:w="80" w:type="dxa"/>
              <w:start w:w="120" w:type="dxa"/>
              <w:bottom w:w="80" w:type="dxa"/>
              <w:end w:w="120" w:type="dxa"/>
            </w:tcMar>
            <w:vAlign w:val="center"/>
          </w:tcPr>
          <w:p>
            <w:pPr>
              <w:spacing w:before="0" w:after="0" w:line="240" w:lineRule="auto"/>
              <w:jc w:val="center"/>
            </w:pPr>
            <w:r/>
            <w:r>
              <w:rPr>
                <w:rFonts w:ascii="Arial" w:hAnsi="Arial" w:cs="Arial"/>
                <w:sz w:val="18"/>
              </w:rPr>
              <w:t>10 días</w:t>
            </w:r>
          </w:p>
        </w:tc>
      </w:tr>
      <w:tr>
        <w:tc>
          <w:tcPr>
            <w:tcW w:type="dxa" w:w="7318"/>
            <w:tcMar>
              <w:top w:w="80" w:type="dxa"/>
              <w:start w:w="120" w:type="dxa"/>
              <w:bottom w:w="80" w:type="dxa"/>
              <w:end w:w="120" w:type="dxa"/>
            </w:tcMar>
            <w:vAlign w:val="center"/>
          </w:tcPr>
          <w:p>
            <w:pPr>
              <w:spacing w:before="0" w:after="0" w:line="240" w:lineRule="auto"/>
              <w:jc w:val="left"/>
            </w:pPr>
            <w:r/>
            <w:r>
              <w:rPr>
                <w:rFonts w:ascii="Arial" w:hAnsi="Arial" w:cs="Arial"/>
                <w:sz w:val="18"/>
              </w:rPr>
              <w:t>Prueba ordinaria</w:t>
            </w:r>
          </w:p>
        </w:tc>
        <w:tc>
          <w:tcPr>
            <w:tcW w:type="dxa" w:w="1708"/>
            <w:tcMar>
              <w:top w:w="80" w:type="dxa"/>
              <w:start w:w="120" w:type="dxa"/>
              <w:bottom w:w="80" w:type="dxa"/>
              <w:end w:w="120" w:type="dxa"/>
            </w:tcMar>
            <w:vAlign w:val="center"/>
          </w:tcPr>
          <w:p>
            <w:pPr>
              <w:spacing w:before="0" w:after="0" w:line="240" w:lineRule="auto"/>
              <w:jc w:val="left"/>
            </w:pPr>
            <w:r/>
            <w:r>
              <w:rPr>
                <w:rFonts w:ascii="Arial" w:hAnsi="Arial" w:cs="Arial"/>
                <w:sz w:val="18"/>
              </w:rPr>
              <w:t>Entre 10 y 30 días</w:t>
            </w:r>
          </w:p>
        </w:tc>
      </w:tr>
      <w:tr>
        <w:tc>
          <w:tcPr>
            <w:tcW w:type="dxa" w:w="7318"/>
            <w:tcMar>
              <w:top w:w="80" w:type="dxa"/>
              <w:start w:w="120" w:type="dxa"/>
              <w:bottom w:w="80" w:type="dxa"/>
              <w:end w:w="120" w:type="dxa"/>
            </w:tcMar>
            <w:vAlign w:val="center"/>
          </w:tcPr>
          <w:p>
            <w:pPr>
              <w:spacing w:before="0" w:after="0" w:line="240" w:lineRule="auto"/>
              <w:jc w:val="left"/>
            </w:pPr>
            <w:r/>
            <w:r>
              <w:rPr>
                <w:rFonts w:ascii="Arial" w:hAnsi="Arial" w:cs="Arial"/>
                <w:sz w:val="18"/>
              </w:rPr>
              <w:t>Prueba extraordinaria</w:t>
            </w:r>
          </w:p>
        </w:tc>
        <w:tc>
          <w:tcPr>
            <w:tcW w:type="dxa" w:w="1708"/>
            <w:tcMar>
              <w:top w:w="80" w:type="dxa"/>
              <w:start w:w="120" w:type="dxa"/>
              <w:bottom w:w="80" w:type="dxa"/>
              <w:end w:w="120" w:type="dxa"/>
            </w:tcMar>
            <w:vAlign w:val="center"/>
          </w:tcPr>
          <w:p>
            <w:pPr>
              <w:spacing w:before="0" w:after="0" w:line="240" w:lineRule="auto"/>
              <w:jc w:val="center"/>
            </w:pPr>
            <w:r/>
            <w:r>
              <w:rPr>
                <w:rFonts w:ascii="Arial" w:hAnsi="Arial" w:cs="Arial"/>
                <w:sz w:val="18"/>
              </w:rPr>
              <w:t>Hasta 10 días</w:t>
            </w:r>
          </w:p>
        </w:tc>
      </w:tr>
      <w:tr>
        <w:tc>
          <w:tcPr>
            <w:tcW w:type="dxa" w:w="7318"/>
            <w:tcMar>
              <w:top w:w="80" w:type="dxa"/>
              <w:start w:w="120" w:type="dxa"/>
              <w:bottom w:w="80" w:type="dxa"/>
              <w:end w:w="120" w:type="dxa"/>
            </w:tcMar>
            <w:vAlign w:val="center"/>
          </w:tcPr>
          <w:p>
            <w:pPr>
              <w:spacing w:before="0" w:after="0" w:line="240" w:lineRule="auto"/>
              <w:jc w:val="left"/>
            </w:pPr>
            <w:r/>
            <w:r>
              <w:rPr>
                <w:rFonts w:ascii="Arial" w:hAnsi="Arial" w:cs="Arial"/>
                <w:sz w:val="18"/>
              </w:rPr>
              <w:t>Emitir informe, regla general</w:t>
            </w:r>
          </w:p>
        </w:tc>
        <w:tc>
          <w:tcPr>
            <w:tcW w:type="dxa" w:w="1708"/>
            <w:tcMar>
              <w:top w:w="80" w:type="dxa"/>
              <w:start w:w="120" w:type="dxa"/>
              <w:bottom w:w="80" w:type="dxa"/>
              <w:end w:w="120" w:type="dxa"/>
            </w:tcMar>
            <w:vAlign w:val="center"/>
          </w:tcPr>
          <w:p>
            <w:pPr>
              <w:spacing w:before="0" w:after="0" w:line="240" w:lineRule="auto"/>
              <w:jc w:val="center"/>
            </w:pPr>
            <w:r/>
            <w:r>
              <w:rPr>
                <w:rFonts w:ascii="Arial" w:hAnsi="Arial" w:cs="Arial"/>
                <w:sz w:val="18"/>
              </w:rPr>
              <w:t>10 días</w:t>
            </w:r>
          </w:p>
        </w:tc>
      </w:tr>
      <w:tr>
        <w:tc>
          <w:tcPr>
            <w:tcW w:type="dxa" w:w="7318"/>
            <w:tcMar>
              <w:top w:w="80" w:type="dxa"/>
              <w:start w:w="120" w:type="dxa"/>
              <w:bottom w:w="80" w:type="dxa"/>
              <w:end w:w="120" w:type="dxa"/>
            </w:tcMar>
            <w:vAlign w:val="center"/>
          </w:tcPr>
          <w:p>
            <w:pPr>
              <w:spacing w:before="0" w:after="0" w:line="240" w:lineRule="auto"/>
              <w:jc w:val="left"/>
            </w:pPr>
            <w:r/>
            <w:r>
              <w:rPr>
                <w:rFonts w:ascii="Arial" w:hAnsi="Arial" w:cs="Arial"/>
                <w:sz w:val="18"/>
              </w:rPr>
              <w:t>Audiencia</w:t>
            </w:r>
          </w:p>
        </w:tc>
        <w:tc>
          <w:tcPr>
            <w:tcW w:type="dxa" w:w="1708"/>
            <w:tcMar>
              <w:top w:w="80" w:type="dxa"/>
              <w:start w:w="120" w:type="dxa"/>
              <w:bottom w:w="80" w:type="dxa"/>
              <w:end w:w="120" w:type="dxa"/>
            </w:tcMar>
            <w:vAlign w:val="center"/>
          </w:tcPr>
          <w:p>
            <w:pPr>
              <w:spacing w:before="0" w:after="0" w:line="240" w:lineRule="auto"/>
              <w:jc w:val="left"/>
            </w:pPr>
            <w:r/>
            <w:r>
              <w:rPr>
                <w:rFonts w:ascii="Arial" w:hAnsi="Arial" w:cs="Arial"/>
                <w:sz w:val="18"/>
              </w:rPr>
              <w:t>Entre 10 y 15 días</w:t>
            </w:r>
          </w:p>
        </w:tc>
      </w:tr>
      <w:tr>
        <w:tc>
          <w:tcPr>
            <w:tcW w:type="dxa" w:w="7318"/>
            <w:tcMar>
              <w:top w:w="80" w:type="dxa"/>
              <w:start w:w="120" w:type="dxa"/>
              <w:bottom w:w="80" w:type="dxa"/>
              <w:end w:w="120" w:type="dxa"/>
            </w:tcMar>
            <w:vAlign w:val="center"/>
          </w:tcPr>
          <w:p>
            <w:pPr>
              <w:spacing w:before="0" w:after="0" w:line="240" w:lineRule="auto"/>
              <w:jc w:val="left"/>
            </w:pPr>
            <w:r/>
            <w:r>
              <w:rPr>
                <w:rFonts w:ascii="Arial" w:hAnsi="Arial" w:cs="Arial"/>
                <w:sz w:val="18"/>
              </w:rPr>
              <w:t>Información pública</w:t>
            </w:r>
          </w:p>
        </w:tc>
        <w:tc>
          <w:tcPr>
            <w:tcW w:type="dxa" w:w="1708"/>
            <w:tcMar>
              <w:top w:w="80" w:type="dxa"/>
              <w:start w:w="120" w:type="dxa"/>
              <w:bottom w:w="80" w:type="dxa"/>
              <w:end w:w="120" w:type="dxa"/>
            </w:tcMar>
            <w:vAlign w:val="center"/>
          </w:tcPr>
          <w:p>
            <w:pPr>
              <w:spacing w:before="0" w:after="0" w:line="240" w:lineRule="auto"/>
              <w:jc w:val="center"/>
            </w:pPr>
            <w:r/>
            <w:r>
              <w:rPr>
                <w:rFonts w:ascii="Arial" w:hAnsi="Arial" w:cs="Arial"/>
                <w:sz w:val="18"/>
              </w:rPr>
              <w:t>Mínimo 20 días</w:t>
            </w:r>
          </w:p>
        </w:tc>
      </w:tr>
      <w:tr>
        <w:tc>
          <w:tcPr>
            <w:tcW w:type="dxa" w:w="7318"/>
            <w:tcMar>
              <w:top w:w="80" w:type="dxa"/>
              <w:start w:w="120" w:type="dxa"/>
              <w:bottom w:w="80" w:type="dxa"/>
              <w:end w:w="120" w:type="dxa"/>
            </w:tcMar>
            <w:vAlign w:val="center"/>
          </w:tcPr>
          <w:p>
            <w:pPr>
              <w:spacing w:before="0" w:after="0" w:line="240" w:lineRule="auto"/>
              <w:jc w:val="left"/>
            </w:pPr>
            <w:r/>
            <w:r>
              <w:rPr>
                <w:rFonts w:ascii="Arial" w:hAnsi="Arial" w:cs="Arial"/>
                <w:sz w:val="18"/>
              </w:rPr>
              <w:t>Alegar tras actuaciones complementarias</w:t>
            </w:r>
          </w:p>
        </w:tc>
        <w:tc>
          <w:tcPr>
            <w:tcW w:type="dxa" w:w="1708"/>
            <w:tcMar>
              <w:top w:w="80" w:type="dxa"/>
              <w:start w:w="120" w:type="dxa"/>
              <w:bottom w:w="80" w:type="dxa"/>
              <w:end w:w="120" w:type="dxa"/>
            </w:tcMar>
            <w:vAlign w:val="center"/>
          </w:tcPr>
          <w:p>
            <w:pPr>
              <w:spacing w:before="0" w:after="0" w:line="240" w:lineRule="auto"/>
              <w:jc w:val="center"/>
            </w:pPr>
            <w:r/>
            <w:r>
              <w:rPr>
                <w:rFonts w:ascii="Arial" w:hAnsi="Arial" w:cs="Arial"/>
                <w:sz w:val="18"/>
              </w:rPr>
              <w:t>7 días</w:t>
            </w:r>
          </w:p>
        </w:tc>
      </w:tr>
      <w:tr>
        <w:tc>
          <w:tcPr>
            <w:tcW w:type="dxa" w:w="7318"/>
            <w:tcMar>
              <w:top w:w="80" w:type="dxa"/>
              <w:start w:w="120" w:type="dxa"/>
              <w:bottom w:w="80" w:type="dxa"/>
              <w:end w:w="120" w:type="dxa"/>
            </w:tcMar>
            <w:vAlign w:val="center"/>
          </w:tcPr>
          <w:p>
            <w:pPr>
              <w:spacing w:before="0" w:after="0" w:line="240" w:lineRule="auto"/>
              <w:jc w:val="left"/>
            </w:pPr>
            <w:r/>
            <w:r>
              <w:rPr>
                <w:rFonts w:ascii="Arial" w:hAnsi="Arial" w:cs="Arial"/>
                <w:sz w:val="18"/>
              </w:rPr>
              <w:t>Realizar actuaciones complementarias</w:t>
            </w:r>
          </w:p>
        </w:tc>
        <w:tc>
          <w:tcPr>
            <w:tcW w:type="dxa" w:w="1708"/>
            <w:tcMar>
              <w:top w:w="80" w:type="dxa"/>
              <w:start w:w="120" w:type="dxa"/>
              <w:bottom w:w="80" w:type="dxa"/>
              <w:end w:w="120" w:type="dxa"/>
            </w:tcMar>
            <w:vAlign w:val="center"/>
          </w:tcPr>
          <w:p>
            <w:pPr>
              <w:spacing w:before="0" w:after="0" w:line="240" w:lineRule="auto"/>
              <w:jc w:val="center"/>
            </w:pPr>
            <w:r/>
            <w:r>
              <w:rPr>
                <w:rFonts w:ascii="Arial" w:hAnsi="Arial" w:cs="Arial"/>
                <w:sz w:val="18"/>
              </w:rPr>
              <w:t>Máximo 15 días</w:t>
            </w:r>
          </w:p>
        </w:tc>
      </w:tr>
      <w:tr>
        <w:tc>
          <w:tcPr>
            <w:tcW w:type="dxa" w:w="7318"/>
            <w:tcMar>
              <w:top w:w="80" w:type="dxa"/>
              <w:start w:w="120" w:type="dxa"/>
              <w:bottom w:w="80" w:type="dxa"/>
              <w:end w:w="120" w:type="dxa"/>
            </w:tcMar>
            <w:vAlign w:val="center"/>
          </w:tcPr>
          <w:p>
            <w:pPr>
              <w:spacing w:before="0" w:after="0" w:line="240" w:lineRule="auto"/>
              <w:jc w:val="left"/>
            </w:pPr>
            <w:r/>
            <w:r>
              <w:rPr>
                <w:rFonts w:ascii="Arial" w:hAnsi="Arial" w:cs="Arial"/>
                <w:sz w:val="18"/>
              </w:rPr>
              <w:t>Terceros para pedir continuación tras desistimiento</w:t>
            </w:r>
          </w:p>
        </w:tc>
        <w:tc>
          <w:tcPr>
            <w:tcW w:type="dxa" w:w="1708"/>
            <w:tcMar>
              <w:top w:w="80" w:type="dxa"/>
              <w:start w:w="120" w:type="dxa"/>
              <w:bottom w:w="80" w:type="dxa"/>
              <w:end w:w="120" w:type="dxa"/>
            </w:tcMar>
            <w:vAlign w:val="center"/>
          </w:tcPr>
          <w:p>
            <w:pPr>
              <w:spacing w:before="0" w:after="0" w:line="240" w:lineRule="auto"/>
              <w:jc w:val="center"/>
            </w:pPr>
            <w:r/>
            <w:r>
              <w:rPr>
                <w:rFonts w:ascii="Arial" w:hAnsi="Arial" w:cs="Arial"/>
                <w:sz w:val="18"/>
              </w:rPr>
              <w:t>10 días</w:t>
            </w:r>
          </w:p>
        </w:tc>
      </w:tr>
      <w:tr>
        <w:tc>
          <w:tcPr>
            <w:tcW w:type="dxa" w:w="7318"/>
            <w:tcMar>
              <w:top w:w="80" w:type="dxa"/>
              <w:start w:w="120" w:type="dxa"/>
              <w:bottom w:w="80" w:type="dxa"/>
              <w:end w:w="120" w:type="dxa"/>
            </w:tcMar>
            <w:vAlign w:val="center"/>
          </w:tcPr>
          <w:p>
            <w:pPr>
              <w:spacing w:before="0" w:after="0" w:line="240" w:lineRule="auto"/>
              <w:jc w:val="left"/>
            </w:pPr>
            <w:r/>
            <w:r>
              <w:rPr>
                <w:rFonts w:ascii="Arial" w:hAnsi="Arial" w:cs="Arial"/>
                <w:sz w:val="18"/>
              </w:rPr>
              <w:t>Advertencia de caducidad por paralización</w:t>
            </w:r>
          </w:p>
        </w:tc>
        <w:tc>
          <w:tcPr>
            <w:tcW w:type="dxa" w:w="1708"/>
            <w:tcMar>
              <w:top w:w="80" w:type="dxa"/>
              <w:start w:w="120" w:type="dxa"/>
              <w:bottom w:w="80" w:type="dxa"/>
              <w:end w:w="120" w:type="dxa"/>
            </w:tcMar>
            <w:vAlign w:val="center"/>
          </w:tcPr>
          <w:p>
            <w:pPr>
              <w:spacing w:before="0" w:after="0" w:line="240" w:lineRule="auto"/>
              <w:jc w:val="center"/>
            </w:pPr>
            <w:r/>
            <w:r>
              <w:rPr>
                <w:rFonts w:ascii="Arial" w:hAnsi="Arial" w:cs="Arial"/>
                <w:sz w:val="18"/>
              </w:rPr>
              <w:t>3 meses</w:t>
            </w:r>
          </w:p>
        </w:tc>
      </w:tr>
      <w:tr>
        <w:tc>
          <w:tcPr>
            <w:tcW w:type="dxa" w:w="7318"/>
            <w:tcMar>
              <w:top w:w="80" w:type="dxa"/>
              <w:start w:w="120" w:type="dxa"/>
              <w:bottom w:w="80" w:type="dxa"/>
              <w:end w:w="120" w:type="dxa"/>
            </w:tcMar>
            <w:vAlign w:val="center"/>
          </w:tcPr>
          <w:p>
            <w:pPr>
              <w:spacing w:before="0" w:after="0" w:line="240" w:lineRule="auto"/>
              <w:jc w:val="left"/>
            </w:pPr>
            <w:r/>
            <w:r>
              <w:rPr>
                <w:rFonts w:ascii="Arial" w:hAnsi="Arial" w:cs="Arial"/>
                <w:sz w:val="18"/>
              </w:rPr>
              <w:t>Solicitud de simplificación: decisión</w:t>
            </w:r>
          </w:p>
        </w:tc>
        <w:tc>
          <w:tcPr>
            <w:tcW w:type="dxa" w:w="1708"/>
            <w:tcMar>
              <w:top w:w="80" w:type="dxa"/>
              <w:start w:w="120" w:type="dxa"/>
              <w:bottom w:w="80" w:type="dxa"/>
              <w:end w:w="120" w:type="dxa"/>
            </w:tcMar>
            <w:vAlign w:val="center"/>
          </w:tcPr>
          <w:p>
            <w:pPr>
              <w:spacing w:before="0" w:after="0" w:line="240" w:lineRule="auto"/>
              <w:jc w:val="center"/>
            </w:pPr>
            <w:r/>
            <w:r>
              <w:rPr>
                <w:rFonts w:ascii="Arial" w:hAnsi="Arial" w:cs="Arial"/>
                <w:sz w:val="18"/>
              </w:rPr>
              <w:t>5 días</w:t>
            </w:r>
          </w:p>
        </w:tc>
      </w:tr>
      <w:tr>
        <w:tc>
          <w:tcPr>
            <w:tcW w:type="dxa" w:w="7318"/>
            <w:tcMar>
              <w:top w:w="80" w:type="dxa"/>
              <w:start w:w="120" w:type="dxa"/>
              <w:bottom w:w="80" w:type="dxa"/>
              <w:end w:w="120" w:type="dxa"/>
            </w:tcMar>
            <w:vAlign w:val="center"/>
          </w:tcPr>
          <w:p>
            <w:pPr>
              <w:spacing w:before="0" w:after="0" w:line="240" w:lineRule="auto"/>
              <w:jc w:val="left"/>
            </w:pPr>
            <w:r/>
            <w:r>
              <w:rPr>
                <w:rFonts w:ascii="Arial" w:hAnsi="Arial" w:cs="Arial"/>
                <w:sz w:val="18"/>
              </w:rPr>
              <w:t>Resolución simplificada</w:t>
            </w:r>
          </w:p>
        </w:tc>
        <w:tc>
          <w:tcPr>
            <w:tcW w:type="dxa" w:w="1708"/>
            <w:tcMar>
              <w:top w:w="80" w:type="dxa"/>
              <w:start w:w="120" w:type="dxa"/>
              <w:bottom w:w="80" w:type="dxa"/>
              <w:end w:w="120" w:type="dxa"/>
            </w:tcMar>
            <w:vAlign w:val="center"/>
          </w:tcPr>
          <w:p>
            <w:pPr>
              <w:spacing w:before="0" w:after="0" w:line="240" w:lineRule="auto"/>
              <w:jc w:val="center"/>
            </w:pPr>
            <w:r/>
            <w:r>
              <w:rPr>
                <w:rFonts w:ascii="Arial" w:hAnsi="Arial" w:cs="Arial"/>
                <w:sz w:val="18"/>
              </w:rPr>
              <w:t>30 días</w:t>
            </w:r>
          </w:p>
        </w:tc>
      </w:tr>
    </w:tbl>
    <w:p>
      <w:pPr>
        <w:spacing w:after="40"/>
      </w:pPr>
    </w:p>
    <w:p>
      <w:pPr>
        <w:pStyle w:val="Heading2"/>
        <w:keepNext/>
      </w:pPr>
      <w:r>
        <w:rPr>
          <w:rFonts w:ascii="Arial" w:hAnsi="Arial" w:cs="Arial"/>
          <w:sz w:val="25"/>
        </w:rPr>
        <w:t>15.2. Diferencias que deben dominarse</w:t>
      </w:r>
    </w:p>
    <w:tbl>
      <w:tblPr>
        <w:tblStyle w:val="TableGrid"/>
        <w:tblW w:type="dxa" w:w="9026"/>
        <w:jc w:val="left"/>
        <w:tblLayout w:type="fixed"/>
        <w:tblLook w:firstColumn="1" w:firstRow="1" w:lastColumn="0" w:lastRow="0" w:noHBand="0" w:noVBand="1" w:val="04A0"/>
        <w:tblInd w:w="120" w:type="dxa"/>
      </w:tblPr>
      <w:tblGrid>
        <w:gridCol w:w="3009"/>
        <w:gridCol w:w="6017"/>
      </w:tblGrid>
      <w:tr>
        <w:trPr>
          <w:tblHeader w:val="true"/>
        </w:trPr>
        <w:tc>
          <w:tcPr>
            <w:tcW w:type="dxa" w:w="3009"/>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Conceptos próximos</w:t>
            </w:r>
          </w:p>
        </w:tc>
        <w:tc>
          <w:tcPr>
            <w:tcW w:type="dxa" w:w="6017"/>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Diferencia</w:t>
            </w:r>
          </w:p>
        </w:tc>
      </w:tr>
      <w:tr>
        <w:tc>
          <w:tcPr>
            <w:tcW w:type="dxa" w:w="3009"/>
            <w:tcMar>
              <w:top w:w="80" w:type="dxa"/>
              <w:start w:w="120" w:type="dxa"/>
              <w:bottom w:w="80" w:type="dxa"/>
              <w:end w:w="120" w:type="dxa"/>
            </w:tcMar>
            <w:vAlign w:val="center"/>
          </w:tcPr>
          <w:p>
            <w:pPr>
              <w:spacing w:before="0" w:after="0" w:line="240" w:lineRule="auto"/>
              <w:jc w:val="left"/>
            </w:pPr>
            <w:r/>
            <w:r>
              <w:rPr>
                <w:rFonts w:ascii="Arial" w:hAnsi="Arial" w:cs="Arial"/>
                <w:sz w:val="18"/>
              </w:rPr>
              <w:t>Denuncia / solicitud</w:t>
            </w:r>
          </w:p>
        </w:tc>
        <w:tc>
          <w:tcPr>
            <w:tcW w:type="dxa" w:w="6017"/>
            <w:tcMar>
              <w:top w:w="80" w:type="dxa"/>
              <w:start w:w="120" w:type="dxa"/>
              <w:bottom w:w="80" w:type="dxa"/>
              <w:end w:w="120" w:type="dxa"/>
            </w:tcMar>
            <w:vAlign w:val="center"/>
          </w:tcPr>
          <w:p>
            <w:pPr>
              <w:spacing w:before="0" w:after="0" w:line="240" w:lineRule="auto"/>
              <w:jc w:val="left"/>
            </w:pPr>
            <w:r/>
            <w:r>
              <w:rPr>
                <w:rFonts w:ascii="Arial" w:hAnsi="Arial" w:cs="Arial"/>
                <w:sz w:val="18"/>
              </w:rPr>
              <w:t>La denuncia impulsa posible inicio de oficio y no otorga automáticamente interés; la solicitud pretende una decisión para el solicitante</w:t>
            </w:r>
          </w:p>
        </w:tc>
      </w:tr>
      <w:tr>
        <w:tc>
          <w:tcPr>
            <w:tcW w:type="dxa" w:w="3009"/>
            <w:tcMar>
              <w:top w:w="80" w:type="dxa"/>
              <w:start w:w="120" w:type="dxa"/>
              <w:bottom w:w="80" w:type="dxa"/>
              <w:end w:w="120" w:type="dxa"/>
            </w:tcMar>
            <w:vAlign w:val="center"/>
          </w:tcPr>
          <w:p>
            <w:pPr>
              <w:spacing w:before="0" w:after="0" w:line="240" w:lineRule="auto"/>
              <w:jc w:val="left"/>
            </w:pPr>
            <w:r/>
            <w:r>
              <w:rPr>
                <w:rFonts w:ascii="Arial" w:hAnsi="Arial" w:cs="Arial"/>
                <w:sz w:val="18"/>
              </w:rPr>
              <w:t>Información previa / instrucción</w:t>
            </w:r>
          </w:p>
        </w:tc>
        <w:tc>
          <w:tcPr>
            <w:tcW w:type="dxa" w:w="6017"/>
            <w:tcMar>
              <w:top w:w="80" w:type="dxa"/>
              <w:start w:w="120" w:type="dxa"/>
              <w:bottom w:w="80" w:type="dxa"/>
              <w:end w:w="120" w:type="dxa"/>
            </w:tcMar>
            <w:vAlign w:val="center"/>
          </w:tcPr>
          <w:p>
            <w:pPr>
              <w:spacing w:before="0" w:after="0" w:line="240" w:lineRule="auto"/>
              <w:jc w:val="left"/>
            </w:pPr>
            <w:r/>
            <w:r>
              <w:rPr>
                <w:rFonts w:ascii="Arial" w:hAnsi="Arial" w:cs="Arial"/>
                <w:sz w:val="18"/>
              </w:rPr>
              <w:t>La primera precede al inicio; la segunda pertenece al procedimiento ya incoado</w:t>
            </w:r>
          </w:p>
        </w:tc>
      </w:tr>
      <w:tr>
        <w:tc>
          <w:tcPr>
            <w:tcW w:type="dxa" w:w="3009"/>
            <w:tcMar>
              <w:top w:w="80" w:type="dxa"/>
              <w:start w:w="120" w:type="dxa"/>
              <w:bottom w:w="80" w:type="dxa"/>
              <w:end w:w="120" w:type="dxa"/>
            </w:tcMar>
            <w:vAlign w:val="center"/>
          </w:tcPr>
          <w:p>
            <w:pPr>
              <w:spacing w:before="0" w:after="0" w:line="240" w:lineRule="auto"/>
              <w:jc w:val="left"/>
            </w:pPr>
            <w:r/>
            <w:r>
              <w:rPr>
                <w:rFonts w:ascii="Arial" w:hAnsi="Arial" w:cs="Arial"/>
                <w:sz w:val="18"/>
              </w:rPr>
              <w:t>Acumulación / concentración</w:t>
            </w:r>
          </w:p>
        </w:tc>
        <w:tc>
          <w:tcPr>
            <w:tcW w:type="dxa" w:w="6017"/>
            <w:tcMar>
              <w:top w:w="80" w:type="dxa"/>
              <w:start w:w="120" w:type="dxa"/>
              <w:bottom w:w="80" w:type="dxa"/>
              <w:end w:w="120" w:type="dxa"/>
            </w:tcMar>
            <w:vAlign w:val="center"/>
          </w:tcPr>
          <w:p>
            <w:pPr>
              <w:spacing w:before="0" w:after="0" w:line="240" w:lineRule="auto"/>
              <w:jc w:val="left"/>
            </w:pPr>
            <w:r/>
            <w:r>
              <w:rPr>
                <w:rFonts w:ascii="Arial" w:hAnsi="Arial" w:cs="Arial"/>
                <w:sz w:val="18"/>
              </w:rPr>
              <w:t>La acumulación une procedimientos conectados; la concentración reúne trámites simultáneos de un procedimiento</w:t>
            </w:r>
          </w:p>
        </w:tc>
      </w:tr>
      <w:tr>
        <w:tc>
          <w:tcPr>
            <w:tcW w:type="dxa" w:w="3009"/>
            <w:tcMar>
              <w:top w:w="80" w:type="dxa"/>
              <w:start w:w="120" w:type="dxa"/>
              <w:bottom w:w="80" w:type="dxa"/>
              <w:end w:w="120" w:type="dxa"/>
            </w:tcMar>
            <w:vAlign w:val="center"/>
          </w:tcPr>
          <w:p>
            <w:pPr>
              <w:spacing w:before="0" w:after="0" w:line="240" w:lineRule="auto"/>
              <w:jc w:val="left"/>
            </w:pPr>
            <w:r/>
            <w:r>
              <w:rPr>
                <w:rFonts w:ascii="Arial" w:hAnsi="Arial" w:cs="Arial"/>
                <w:sz w:val="18"/>
              </w:rPr>
              <w:t>Alegaciones / audiencia</w:t>
            </w:r>
          </w:p>
        </w:tc>
        <w:tc>
          <w:tcPr>
            <w:tcW w:type="dxa" w:w="6017"/>
            <w:tcMar>
              <w:top w:w="80" w:type="dxa"/>
              <w:start w:w="120" w:type="dxa"/>
              <w:bottom w:w="80" w:type="dxa"/>
              <w:end w:w="120" w:type="dxa"/>
            </w:tcMar>
            <w:vAlign w:val="center"/>
          </w:tcPr>
          <w:p>
            <w:pPr>
              <w:spacing w:before="0" w:after="0" w:line="240" w:lineRule="auto"/>
              <w:jc w:val="left"/>
            </w:pPr>
            <w:r/>
            <w:r>
              <w:rPr>
                <w:rFonts w:ascii="Arial" w:hAnsi="Arial" w:cs="Arial"/>
                <w:sz w:val="18"/>
              </w:rPr>
              <w:t>Las primeras caben antes de audiencia; la audiencia abre vista final del expediente</w:t>
            </w:r>
          </w:p>
        </w:tc>
      </w:tr>
      <w:tr>
        <w:tc>
          <w:tcPr>
            <w:tcW w:type="dxa" w:w="3009"/>
            <w:tcMar>
              <w:top w:w="80" w:type="dxa"/>
              <w:start w:w="120" w:type="dxa"/>
              <w:bottom w:w="80" w:type="dxa"/>
              <w:end w:w="120" w:type="dxa"/>
            </w:tcMar>
            <w:vAlign w:val="center"/>
          </w:tcPr>
          <w:p>
            <w:pPr>
              <w:spacing w:before="0" w:after="0" w:line="240" w:lineRule="auto"/>
              <w:jc w:val="left"/>
            </w:pPr>
            <w:r/>
            <w:r>
              <w:rPr>
                <w:rFonts w:ascii="Arial" w:hAnsi="Arial" w:cs="Arial"/>
                <w:sz w:val="18"/>
              </w:rPr>
              <w:t>Audiencia / información pública</w:t>
            </w:r>
          </w:p>
        </w:tc>
        <w:tc>
          <w:tcPr>
            <w:tcW w:type="dxa" w:w="6017"/>
            <w:tcMar>
              <w:top w:w="80" w:type="dxa"/>
              <w:start w:w="120" w:type="dxa"/>
              <w:bottom w:w="80" w:type="dxa"/>
              <w:end w:w="120" w:type="dxa"/>
            </w:tcMar>
            <w:vAlign w:val="center"/>
          </w:tcPr>
          <w:p>
            <w:pPr>
              <w:spacing w:before="0" w:after="0" w:line="240" w:lineRule="auto"/>
              <w:jc w:val="left"/>
            </w:pPr>
            <w:r/>
            <w:r>
              <w:rPr>
                <w:rFonts w:ascii="Arial" w:hAnsi="Arial" w:cs="Arial"/>
                <w:sz w:val="18"/>
              </w:rPr>
              <w:t>La audiencia se dirige a interesados; la información pública abre participación general</w:t>
            </w:r>
          </w:p>
        </w:tc>
      </w:tr>
      <w:tr>
        <w:tc>
          <w:tcPr>
            <w:tcW w:type="dxa" w:w="3009"/>
            <w:tcMar>
              <w:top w:w="80" w:type="dxa"/>
              <w:start w:w="120" w:type="dxa"/>
              <w:bottom w:w="80" w:type="dxa"/>
              <w:end w:w="120" w:type="dxa"/>
            </w:tcMar>
            <w:vAlign w:val="center"/>
          </w:tcPr>
          <w:p>
            <w:pPr>
              <w:spacing w:before="0" w:after="0" w:line="240" w:lineRule="auto"/>
              <w:jc w:val="left"/>
            </w:pPr>
            <w:r/>
            <w:r>
              <w:rPr>
                <w:rFonts w:ascii="Arial" w:hAnsi="Arial" w:cs="Arial"/>
                <w:sz w:val="18"/>
              </w:rPr>
              <w:t>Desistimiento / renuncia</w:t>
            </w:r>
          </w:p>
        </w:tc>
        <w:tc>
          <w:tcPr>
            <w:tcW w:type="dxa" w:w="6017"/>
            <w:tcMar>
              <w:top w:w="80" w:type="dxa"/>
              <w:start w:w="120" w:type="dxa"/>
              <w:bottom w:w="80" w:type="dxa"/>
              <w:end w:w="120" w:type="dxa"/>
            </w:tcMar>
            <w:vAlign w:val="center"/>
          </w:tcPr>
          <w:p>
            <w:pPr>
              <w:spacing w:before="0" w:after="0" w:line="240" w:lineRule="auto"/>
              <w:jc w:val="left"/>
            </w:pPr>
            <w:r/>
            <w:r>
              <w:rPr>
                <w:rFonts w:ascii="Arial" w:hAnsi="Arial" w:cs="Arial"/>
                <w:sz w:val="18"/>
              </w:rPr>
              <w:t>Se abandona la solicitud / se abandona el derecho</w:t>
            </w:r>
          </w:p>
        </w:tc>
      </w:tr>
      <w:tr>
        <w:tc>
          <w:tcPr>
            <w:tcW w:type="dxa" w:w="3009"/>
            <w:tcMar>
              <w:top w:w="80" w:type="dxa"/>
              <w:start w:w="120" w:type="dxa"/>
              <w:bottom w:w="80" w:type="dxa"/>
              <w:end w:w="120" w:type="dxa"/>
            </w:tcMar>
            <w:vAlign w:val="center"/>
          </w:tcPr>
          <w:p>
            <w:pPr>
              <w:spacing w:before="0" w:after="0" w:line="240" w:lineRule="auto"/>
              <w:jc w:val="left"/>
            </w:pPr>
            <w:r/>
            <w:r>
              <w:rPr>
                <w:rFonts w:ascii="Arial" w:hAnsi="Arial" w:cs="Arial"/>
                <w:sz w:val="18"/>
              </w:rPr>
              <w:t>Caducidad / prescripción</w:t>
            </w:r>
          </w:p>
        </w:tc>
        <w:tc>
          <w:tcPr>
            <w:tcW w:type="dxa" w:w="6017"/>
            <w:tcMar>
              <w:top w:w="80" w:type="dxa"/>
              <w:start w:w="120" w:type="dxa"/>
              <w:bottom w:w="80" w:type="dxa"/>
              <w:end w:w="120" w:type="dxa"/>
            </w:tcMar>
            <w:vAlign w:val="center"/>
          </w:tcPr>
          <w:p>
            <w:pPr>
              <w:spacing w:before="0" w:after="0" w:line="240" w:lineRule="auto"/>
              <w:jc w:val="left"/>
            </w:pPr>
            <w:r/>
            <w:r>
              <w:rPr>
                <w:rFonts w:ascii="Arial" w:hAnsi="Arial" w:cs="Arial"/>
                <w:sz w:val="18"/>
              </w:rPr>
              <w:t>Termina el procedimiento / extingue la posibilidad de ejercer una acción o potestad por tiempo</w:t>
            </w:r>
          </w:p>
        </w:tc>
      </w:tr>
      <w:tr>
        <w:tc>
          <w:tcPr>
            <w:tcW w:type="dxa" w:w="3009"/>
            <w:tcMar>
              <w:top w:w="80" w:type="dxa"/>
              <w:start w:w="120" w:type="dxa"/>
              <w:bottom w:w="80" w:type="dxa"/>
              <w:end w:w="120" w:type="dxa"/>
            </w:tcMar>
            <w:vAlign w:val="center"/>
          </w:tcPr>
          <w:p>
            <w:pPr>
              <w:spacing w:before="0" w:after="0" w:line="240" w:lineRule="auto"/>
              <w:jc w:val="left"/>
            </w:pPr>
            <w:r/>
            <w:r>
              <w:rPr>
                <w:rFonts w:ascii="Arial" w:hAnsi="Arial" w:cs="Arial"/>
                <w:sz w:val="18"/>
              </w:rPr>
              <w:t>Multa coercitiva / sanción</w:t>
            </w:r>
          </w:p>
        </w:tc>
        <w:tc>
          <w:tcPr>
            <w:tcW w:type="dxa" w:w="6017"/>
            <w:tcMar>
              <w:top w:w="80" w:type="dxa"/>
              <w:start w:w="120" w:type="dxa"/>
              <w:bottom w:w="80" w:type="dxa"/>
              <w:end w:w="120" w:type="dxa"/>
            </w:tcMar>
            <w:vAlign w:val="center"/>
          </w:tcPr>
          <w:p>
            <w:pPr>
              <w:spacing w:before="0" w:after="0" w:line="240" w:lineRule="auto"/>
              <w:jc w:val="left"/>
            </w:pPr>
            <w:r/>
            <w:r>
              <w:rPr>
                <w:rFonts w:ascii="Arial" w:hAnsi="Arial" w:cs="Arial"/>
                <w:sz w:val="18"/>
              </w:rPr>
              <w:t>Fuerza cumplimiento / castiga una infracción</w:t>
            </w:r>
          </w:p>
        </w:tc>
      </w:tr>
      <w:tr>
        <w:tc>
          <w:tcPr>
            <w:tcW w:type="dxa" w:w="3009"/>
            <w:tcMar>
              <w:top w:w="80" w:type="dxa"/>
              <w:start w:w="120" w:type="dxa"/>
              <w:bottom w:w="80" w:type="dxa"/>
              <w:end w:w="120" w:type="dxa"/>
            </w:tcMar>
            <w:vAlign w:val="center"/>
          </w:tcPr>
          <w:p>
            <w:pPr>
              <w:spacing w:before="0" w:after="0" w:line="240" w:lineRule="auto"/>
              <w:jc w:val="left"/>
            </w:pPr>
            <w:r/>
            <w:r>
              <w:rPr>
                <w:rFonts w:ascii="Arial" w:hAnsi="Arial" w:cs="Arial"/>
                <w:sz w:val="18"/>
              </w:rPr>
              <w:t>Ejecución subsidiaria / compulsión</w:t>
            </w:r>
          </w:p>
        </w:tc>
        <w:tc>
          <w:tcPr>
            <w:tcW w:type="dxa" w:w="6017"/>
            <w:tcMar>
              <w:top w:w="80" w:type="dxa"/>
              <w:start w:w="120" w:type="dxa"/>
              <w:bottom w:w="80" w:type="dxa"/>
              <w:end w:w="120" w:type="dxa"/>
            </w:tcMar>
            <w:vAlign w:val="center"/>
          </w:tcPr>
          <w:p>
            <w:pPr>
              <w:spacing w:before="0" w:after="0" w:line="240" w:lineRule="auto"/>
              <w:jc w:val="left"/>
            </w:pPr>
            <w:r/>
            <w:r>
              <w:rPr>
                <w:rFonts w:ascii="Arial" w:hAnsi="Arial" w:cs="Arial"/>
                <w:sz w:val="18"/>
              </w:rPr>
              <w:t>Sustituye al obligado en hacer no personalísimo / actúa directamente sobre persona para no hacer o soportar</w:t>
            </w:r>
          </w:p>
        </w:tc>
      </w:tr>
    </w:tbl>
    <w:p>
      <w:pPr>
        <w:spacing w:after="40"/>
      </w:pPr>
    </w:p>
    <w:p>
      <w:pPr>
        <w:pStyle w:val="Heading1"/>
        <w:keepNext/>
      </w:pPr>
      <w:r>
        <w:rPr>
          <w:rFonts w:ascii="Arial" w:hAnsi="Arial" w:cs="Arial"/>
          <w:sz w:val="30"/>
        </w:rPr>
        <w:t>16. Errores frecuentes de examen</w:t>
      </w:r>
    </w:p>
    <w:p>
      <w:pPr>
        <w:spacing w:after="40"/>
        <w:ind w:left="369" w:hanging="227"/>
      </w:pPr>
      <w:r>
        <w:rPr>
          <w:rFonts w:ascii="Arial" w:hAnsi="Arial" w:cs="Arial"/>
          <w:sz w:val="22"/>
        </w:rPr>
        <w:t xml:space="preserve">1. La denuncia </w:t>
      </w:r>
      <w:r>
        <w:rPr>
          <w:rFonts w:ascii="Arial" w:hAnsi="Arial" w:cs="Arial"/>
          <w:b/>
          <w:sz w:val="22"/>
        </w:rPr>
        <w:t>no inicia por sí sola</w:t>
      </w:r>
      <w:r>
        <w:rPr>
          <w:rFonts w:ascii="Arial" w:hAnsi="Arial" w:cs="Arial"/>
          <w:sz w:val="22"/>
        </w:rPr>
        <w:t xml:space="preserve"> el procedimiento ni convierte automáticamente al denunciante en interesado.</w:t>
      </w:r>
    </w:p>
    <w:p>
      <w:pPr>
        <w:spacing w:after="40"/>
        <w:ind w:left="369" w:hanging="227"/>
      </w:pPr>
      <w:r>
        <w:rPr>
          <w:rFonts w:ascii="Arial" w:hAnsi="Arial" w:cs="Arial"/>
          <w:sz w:val="22"/>
        </w:rPr>
        <w:t xml:space="preserve">2. Las medidas anteriores al inicio deben confirmarse, modificarse o levantarse dentro de </w:t>
      </w:r>
      <w:r>
        <w:rPr>
          <w:rFonts w:ascii="Arial" w:hAnsi="Arial" w:cs="Arial"/>
          <w:b/>
          <w:sz w:val="22"/>
        </w:rPr>
        <w:t>quince días</w:t>
      </w:r>
      <w:r>
        <w:rPr>
          <w:rFonts w:ascii="Arial" w:hAnsi="Arial" w:cs="Arial"/>
          <w:sz w:val="22"/>
        </w:rPr>
        <w:t>.</w:t>
      </w:r>
    </w:p>
    <w:p>
      <w:pPr>
        <w:spacing w:after="40"/>
        <w:ind w:left="369" w:hanging="227"/>
      </w:pPr>
      <w:r>
        <w:rPr>
          <w:rFonts w:ascii="Arial" w:hAnsi="Arial" w:cs="Arial"/>
          <w:sz w:val="22"/>
        </w:rPr>
        <w:t xml:space="preserve">3. La acumulación exige que sea el </w:t>
      </w:r>
      <w:r>
        <w:rPr>
          <w:rFonts w:ascii="Arial" w:hAnsi="Arial" w:cs="Arial"/>
          <w:b/>
          <w:sz w:val="22"/>
        </w:rPr>
        <w:t>mismo órgano</w:t>
      </w:r>
      <w:r>
        <w:rPr>
          <w:rFonts w:ascii="Arial" w:hAnsi="Arial" w:cs="Arial"/>
          <w:sz w:val="22"/>
        </w:rPr>
        <w:t xml:space="preserve"> quien tramite y resuelva; su acuerdo no es recurrible.</w:t>
      </w:r>
    </w:p>
    <w:p>
      <w:pPr>
        <w:spacing w:after="40"/>
        <w:ind w:left="369" w:hanging="227"/>
      </w:pPr>
      <w:r>
        <w:rPr>
          <w:rFonts w:ascii="Arial" w:hAnsi="Arial" w:cs="Arial"/>
          <w:sz w:val="22"/>
        </w:rPr>
        <w:t>4. La petición razonada no vincula, aunque la negativa debe comunicarse motivadamente al órgano peticionario.</w:t>
      </w:r>
    </w:p>
    <w:p>
      <w:pPr>
        <w:spacing w:after="40"/>
        <w:ind w:left="369" w:hanging="227"/>
      </w:pPr>
      <w:r>
        <w:rPr>
          <w:rFonts w:ascii="Arial" w:hAnsi="Arial" w:cs="Arial"/>
          <w:sz w:val="22"/>
        </w:rPr>
        <w:t>5. El procedimiento sancionador siempre se inicia de oficio y separa instrucción y resolución.</w:t>
      </w:r>
    </w:p>
    <w:p>
      <w:pPr>
        <w:spacing w:after="40"/>
        <w:ind w:left="369" w:hanging="227"/>
      </w:pPr>
      <w:r>
        <w:rPr>
          <w:rFonts w:ascii="Arial" w:hAnsi="Arial" w:cs="Arial"/>
          <w:sz w:val="22"/>
        </w:rPr>
        <w:t>6. Subsanación ordinaria: diez días; posible ampliación hasta cinco, salvo selección o concurrencia.</w:t>
      </w:r>
    </w:p>
    <w:p>
      <w:pPr>
        <w:spacing w:after="40"/>
        <w:ind w:left="369" w:hanging="227"/>
      </w:pPr>
      <w:r>
        <w:rPr>
          <w:rFonts w:ascii="Arial" w:hAnsi="Arial" w:cs="Arial"/>
          <w:sz w:val="22"/>
        </w:rPr>
        <w:t xml:space="preserve">7. La presentación electrónica tardía de quien estaba obligado fija como fecha la de la </w:t>
      </w:r>
      <w:r>
        <w:rPr>
          <w:rFonts w:ascii="Arial" w:hAnsi="Arial" w:cs="Arial"/>
          <w:b/>
          <w:sz w:val="22"/>
        </w:rPr>
        <w:t>subsanación electrónica</w:t>
      </w:r>
      <w:r>
        <w:rPr>
          <w:rFonts w:ascii="Arial" w:hAnsi="Arial" w:cs="Arial"/>
          <w:sz w:val="22"/>
        </w:rPr>
        <w:t>.</w:t>
      </w:r>
    </w:p>
    <w:p>
      <w:pPr>
        <w:spacing w:after="40"/>
        <w:ind w:left="369" w:hanging="227"/>
      </w:pPr>
      <w:r>
        <w:rPr>
          <w:rFonts w:ascii="Arial" w:hAnsi="Arial" w:cs="Arial"/>
          <w:sz w:val="22"/>
        </w:rPr>
        <w:t>8. Para una actividad no cabe exigir simultáneamente declaración responsable y comunicación.</w:t>
      </w:r>
    </w:p>
    <w:p>
      <w:pPr>
        <w:spacing w:after="40"/>
        <w:ind w:left="369" w:hanging="227"/>
      </w:pPr>
      <w:r>
        <w:rPr>
          <w:rFonts w:ascii="Arial" w:hAnsi="Arial" w:cs="Arial"/>
          <w:sz w:val="22"/>
        </w:rPr>
        <w:t>9. Los borradores y notas auxiliares no integran el expediente; los informes formalmente pedidos antes de resolver sí.</w:t>
      </w:r>
    </w:p>
    <w:p>
      <w:pPr>
        <w:spacing w:after="40"/>
        <w:ind w:left="369" w:hanging="227"/>
      </w:pPr>
      <w:r>
        <w:rPr>
          <w:rFonts w:ascii="Arial" w:hAnsi="Arial" w:cs="Arial"/>
          <w:sz w:val="22"/>
        </w:rPr>
        <w:t xml:space="preserve">10. Las cuestiones incidentales no suspenden salvo la </w:t>
      </w:r>
      <w:r>
        <w:rPr>
          <w:rFonts w:ascii="Arial" w:hAnsi="Arial" w:cs="Arial"/>
          <w:b/>
          <w:sz w:val="22"/>
        </w:rPr>
        <w:t>recusación</w:t>
      </w:r>
      <w:r>
        <w:rPr>
          <w:rFonts w:ascii="Arial" w:hAnsi="Arial" w:cs="Arial"/>
          <w:sz w:val="22"/>
        </w:rPr>
        <w:t>.</w:t>
      </w:r>
    </w:p>
    <w:p>
      <w:pPr>
        <w:spacing w:after="40"/>
        <w:ind w:left="369" w:hanging="227"/>
      </w:pPr>
      <w:r>
        <w:rPr>
          <w:rFonts w:ascii="Arial" w:hAnsi="Arial" w:cs="Arial"/>
          <w:sz w:val="22"/>
        </w:rPr>
        <w:t>11. Prueba ordinaria: entre diez y treinta días; extraordinaria: máximo diez.</w:t>
      </w:r>
    </w:p>
    <w:p>
      <w:pPr>
        <w:spacing w:after="40"/>
        <w:ind w:left="369" w:hanging="227"/>
      </w:pPr>
      <w:r>
        <w:rPr>
          <w:rFonts w:ascii="Arial" w:hAnsi="Arial" w:cs="Arial"/>
          <w:sz w:val="22"/>
        </w:rPr>
        <w:t>12. Los informes son, como regla, facultativos y no vinculantes, no preceptivos y vinculantes.</w:t>
      </w:r>
    </w:p>
    <w:p>
      <w:pPr>
        <w:spacing w:after="40"/>
        <w:ind w:left="369" w:hanging="227"/>
      </w:pPr>
      <w:r>
        <w:rPr>
          <w:rFonts w:ascii="Arial" w:hAnsi="Arial" w:cs="Arial"/>
          <w:sz w:val="22"/>
        </w:rPr>
        <w:t>13. Audiencia: diez a quince días; información pública: mínimo veinte.</w:t>
      </w:r>
    </w:p>
    <w:p>
      <w:pPr>
        <w:spacing w:after="40"/>
        <w:ind w:left="369" w:hanging="227"/>
      </w:pPr>
      <w:r>
        <w:rPr>
          <w:rFonts w:ascii="Arial" w:hAnsi="Arial" w:cs="Arial"/>
          <w:sz w:val="22"/>
        </w:rPr>
        <w:t>14. Las dos reducciones sancionadoras de al menos 20 % son acumulables si se cumplen sus condiciones.</w:t>
      </w:r>
    </w:p>
    <w:p>
      <w:pPr>
        <w:spacing w:after="40"/>
        <w:ind w:left="369" w:hanging="227"/>
      </w:pPr>
      <w:r>
        <w:rPr>
          <w:rFonts w:ascii="Arial" w:hAnsi="Arial" w:cs="Arial"/>
          <w:sz w:val="22"/>
        </w:rPr>
        <w:t>15. El desistimiento afecta al procedimiento; la renuncia alcanza el derecho y puede estar prohibida.</w:t>
      </w:r>
    </w:p>
    <w:p>
      <w:pPr>
        <w:spacing w:after="40"/>
        <w:ind w:left="369" w:hanging="227"/>
      </w:pPr>
      <w:r>
        <w:rPr>
          <w:rFonts w:ascii="Arial" w:hAnsi="Arial" w:cs="Arial"/>
          <w:sz w:val="22"/>
        </w:rPr>
        <w:t>16. La caducidad no produce automáticamente prescripción, pero el expediente caducado no la interrumpe.</w:t>
      </w:r>
    </w:p>
    <w:p>
      <w:pPr>
        <w:spacing w:after="40"/>
        <w:ind w:left="369" w:hanging="227"/>
      </w:pPr>
      <w:r>
        <w:rPr>
          <w:rFonts w:ascii="Arial" w:hAnsi="Arial" w:cs="Arial"/>
          <w:sz w:val="22"/>
        </w:rPr>
        <w:t>17. Un recurso administrativo pendiente impide la ejecutividad de la sanción en los términos legales, no de cualquier acto.</w:t>
      </w:r>
    </w:p>
    <w:p>
      <w:pPr>
        <w:spacing w:after="40"/>
        <w:ind w:left="369" w:hanging="227"/>
      </w:pPr>
      <w:r>
        <w:rPr>
          <w:rFonts w:ascii="Arial" w:hAnsi="Arial" w:cs="Arial"/>
          <w:sz w:val="22"/>
        </w:rPr>
        <w:t>18. La multa coercitiva no es sanción y puede coexistir con ella.</w:t>
      </w:r>
    </w:p>
    <w:p>
      <w:pPr>
        <w:spacing w:after="40"/>
        <w:ind w:left="369" w:hanging="227"/>
      </w:pPr>
      <w:r>
        <w:rPr>
          <w:rFonts w:ascii="Arial" w:hAnsi="Arial" w:cs="Arial"/>
          <w:sz w:val="22"/>
        </w:rPr>
        <w:t>19. La compulsión no se usa para una obligación personalísima de hacer incumplida: procede resarcimiento.</w:t>
      </w:r>
    </w:p>
    <w:p>
      <w:pPr>
        <w:spacing w:after="40"/>
        <w:ind w:left="369" w:hanging="227"/>
      </w:pPr>
      <w:r>
        <w:rPr>
          <w:rFonts w:ascii="Arial" w:hAnsi="Arial" w:cs="Arial"/>
          <w:sz w:val="22"/>
        </w:rPr>
        <w:t>20. La entrada en domicilio exige consentimiento o autorización judicial, aunque el acto sea ejecutivo.</w:t>
      </w:r>
    </w:p>
    <w:p>
      <w:pPr>
        <w:pStyle w:val="Heading1"/>
        <w:keepNext/>
      </w:pPr>
      <w:r>
        <w:rPr>
          <w:rFonts w:ascii="Arial" w:hAnsi="Arial" w:cs="Arial"/>
          <w:sz w:val="30"/>
        </w:rPr>
        <w:t>17. Resumen de repaso</w:t>
      </w:r>
    </w:p>
    <w:p>
      <w:pPr>
        <w:jc w:val="both"/>
      </w:pPr>
      <w:r>
        <w:rPr>
          <w:rFonts w:ascii="Arial" w:hAnsi="Arial" w:cs="Arial"/>
          <w:sz w:val="22"/>
        </w:rPr>
        <w:t>El procedimiento se inicia de oficio o por solicitud. Antes de incoar caben información previa y medidas urgentes; estas últimas deben confirmarse en quince días. El inicio de oficio procede por propia iniciativa, orden superior, petición razonada o denuncia. La denuncia no atribuye automáticamente condición de interesado. El inicio a solicitud exige contenido mínimo, admite subsanación y comprende las figuras de declaración responsable y comunicación.</w:t>
      </w:r>
    </w:p>
    <w:p>
      <w:pPr>
        <w:jc w:val="both"/>
      </w:pPr>
      <w:r>
        <w:rPr>
          <w:rFonts w:ascii="Arial" w:hAnsi="Arial" w:cs="Arial"/>
          <w:sz w:val="22"/>
        </w:rPr>
        <w:t>La ordenación forma el expediente electrónico, impulsa de oficio, respeta el orden de despacho, concentra trámites y regula su cumplimiento. El plazo ordinario del interesado es de diez días y solo la recusación suspende automáticamente por cuestión incidental.</w:t>
      </w:r>
    </w:p>
    <w:p>
      <w:pPr>
        <w:jc w:val="both"/>
      </w:pPr>
      <w:r>
        <w:rPr>
          <w:rFonts w:ascii="Arial" w:hAnsi="Arial" w:cs="Arial"/>
          <w:sz w:val="22"/>
        </w:rPr>
        <w:t>La instrucción determina los hechos mediante alegaciones, prueba, informes, audiencia e información pública. La prueba ordinaria dura entre diez y treinta días. Los informes son generalmente facultativos y no vinculantes y se emiten en diez días. La audiencia dura de diez a quince días y la información pública al menos veinte.</w:t>
      </w:r>
    </w:p>
    <w:p>
      <w:pPr>
        <w:jc w:val="both"/>
      </w:pPr>
      <w:r>
        <w:rPr>
          <w:rFonts w:ascii="Arial" w:hAnsi="Arial" w:cs="Arial"/>
          <w:sz w:val="22"/>
        </w:rPr>
        <w:t>El procedimiento termina por resolución, desistimiento, renuncia, caducidad, imposibilidad material o acuerdo cuando sea legalmente posible. La resolución debe ser congruente, decidir todas las cuestiones y señalar recursos. En sanciones existen terminación por reconocimiento o pago, reducciones y garantías específicas. La tramitación simplificada debe resolverse en treinta días.</w:t>
      </w:r>
    </w:p>
    <w:p>
      <w:pPr>
        <w:jc w:val="both"/>
      </w:pPr>
      <w:r>
        <w:rPr>
          <w:rFonts w:ascii="Arial" w:hAnsi="Arial" w:cs="Arial"/>
          <w:sz w:val="22"/>
        </w:rPr>
        <w:t>La ejecución requiere título previo y notificado. Los actos son inmediatamente ejecutivos salvo suspensión, sanción aún recurrible administrativamente, norma contraria o autorización superior. La ejecución forzosa, previa advertencia, se realiza por apremio, ejecución subsidiaria, multa coercitiva o compulsión, con proporcionalidad y elección del medio menos restrictivo.</w:t>
      </w:r>
    </w:p>
    <w:p>
      <w:pPr>
        <w:pStyle w:val="Heading1"/>
        <w:keepNext/>
      </w:pPr>
      <w:r>
        <w:rPr>
          <w:rFonts w:ascii="Arial" w:hAnsi="Arial" w:cs="Arial"/>
          <w:sz w:val="30"/>
        </w:rPr>
        <w:t>18. Datos especialmente preguntables</w:t>
      </w:r>
    </w:p>
    <w:p>
      <w:pPr>
        <w:pStyle w:val="ListBullet"/>
      </w:pPr>
      <w:r>
        <w:rPr>
          <w:rFonts w:ascii="Arial" w:hAnsi="Arial" w:cs="Arial"/>
          <w:sz w:val="22"/>
        </w:rPr>
        <w:t xml:space="preserve">Clases de inicio: </w:t>
      </w:r>
      <w:r>
        <w:rPr>
          <w:rFonts w:ascii="Arial" w:hAnsi="Arial" w:cs="Arial"/>
          <w:b/>
          <w:sz w:val="22"/>
        </w:rPr>
        <w:t>de oficio o a solicitud</w:t>
      </w:r>
      <w:r>
        <w:rPr>
          <w:rFonts w:ascii="Arial" w:hAnsi="Arial" w:cs="Arial"/>
          <w:sz w:val="22"/>
        </w:rPr>
        <w:t>.</w:t>
      </w:r>
    </w:p>
    <w:p>
      <w:pPr>
        <w:pStyle w:val="ListBullet"/>
      </w:pPr>
      <w:r>
        <w:rPr>
          <w:rFonts w:ascii="Arial" w:hAnsi="Arial" w:cs="Arial"/>
          <w:sz w:val="22"/>
        </w:rPr>
        <w:t xml:space="preserve">Medidas provisionales antes del inicio: confirmación en </w:t>
      </w:r>
      <w:r>
        <w:rPr>
          <w:rFonts w:ascii="Arial" w:hAnsi="Arial" w:cs="Arial"/>
          <w:b/>
          <w:sz w:val="22"/>
        </w:rPr>
        <w:t>15 días</w:t>
      </w:r>
      <w:r>
        <w:rPr>
          <w:rFonts w:ascii="Arial" w:hAnsi="Arial" w:cs="Arial"/>
          <w:sz w:val="22"/>
        </w:rPr>
        <w:t>.</w:t>
      </w:r>
    </w:p>
    <w:p>
      <w:pPr>
        <w:pStyle w:val="ListBullet"/>
      </w:pPr>
      <w:r>
        <w:rPr>
          <w:rFonts w:ascii="Arial" w:hAnsi="Arial" w:cs="Arial"/>
          <w:sz w:val="22"/>
        </w:rPr>
        <w:t xml:space="preserve">Formas de impulso de oficio: </w:t>
      </w:r>
      <w:r>
        <w:rPr>
          <w:rFonts w:ascii="Arial" w:hAnsi="Arial" w:cs="Arial"/>
          <w:b/>
          <w:sz w:val="22"/>
        </w:rPr>
        <w:t>cuatro</w:t>
      </w:r>
      <w:r>
        <w:rPr>
          <w:rFonts w:ascii="Arial" w:hAnsi="Arial" w:cs="Arial"/>
          <w:sz w:val="22"/>
        </w:rPr>
        <w:t>.</w:t>
      </w:r>
    </w:p>
    <w:p>
      <w:pPr>
        <w:pStyle w:val="ListBullet"/>
      </w:pPr>
      <w:r>
        <w:rPr>
          <w:rFonts w:ascii="Arial" w:hAnsi="Arial" w:cs="Arial"/>
          <w:sz w:val="22"/>
        </w:rPr>
        <w:t xml:space="preserve">Alegaciones iniciales en responsabilidad patrimonial de oficio: </w:t>
      </w:r>
      <w:r>
        <w:rPr>
          <w:rFonts w:ascii="Arial" w:hAnsi="Arial" w:cs="Arial"/>
          <w:b/>
          <w:sz w:val="22"/>
        </w:rPr>
        <w:t>10 días</w:t>
      </w:r>
      <w:r>
        <w:rPr>
          <w:rFonts w:ascii="Arial" w:hAnsi="Arial" w:cs="Arial"/>
          <w:sz w:val="22"/>
        </w:rPr>
        <w:t>.</w:t>
      </w:r>
    </w:p>
    <w:p>
      <w:pPr>
        <w:pStyle w:val="ListBullet"/>
      </w:pPr>
      <w:r>
        <w:rPr>
          <w:rFonts w:ascii="Arial" w:hAnsi="Arial" w:cs="Arial"/>
          <w:sz w:val="22"/>
        </w:rPr>
        <w:t xml:space="preserve">Subsanación: </w:t>
      </w:r>
      <w:r>
        <w:rPr>
          <w:rFonts w:ascii="Arial" w:hAnsi="Arial" w:cs="Arial"/>
          <w:b/>
          <w:sz w:val="22"/>
        </w:rPr>
        <w:t>10 días</w:t>
      </w:r>
      <w:r>
        <w:rPr>
          <w:rFonts w:ascii="Arial" w:hAnsi="Arial" w:cs="Arial"/>
          <w:sz w:val="22"/>
        </w:rPr>
        <w:t xml:space="preserve">; ampliación especial: hasta </w:t>
      </w:r>
      <w:r>
        <w:rPr>
          <w:rFonts w:ascii="Arial" w:hAnsi="Arial" w:cs="Arial"/>
          <w:b/>
          <w:sz w:val="22"/>
        </w:rPr>
        <w:t>5</w:t>
      </w:r>
      <w:r>
        <w:rPr>
          <w:rFonts w:ascii="Arial" w:hAnsi="Arial" w:cs="Arial"/>
          <w:sz w:val="22"/>
        </w:rPr>
        <w:t>.</w:t>
      </w:r>
    </w:p>
    <w:p>
      <w:pPr>
        <w:pStyle w:val="ListBullet"/>
      </w:pPr>
      <w:r>
        <w:rPr>
          <w:rFonts w:ascii="Arial" w:hAnsi="Arial" w:cs="Arial"/>
          <w:sz w:val="22"/>
        </w:rPr>
        <w:t xml:space="preserve">Cumplimiento ordinario de trámites: </w:t>
      </w:r>
      <w:r>
        <w:rPr>
          <w:rFonts w:ascii="Arial" w:hAnsi="Arial" w:cs="Arial"/>
          <w:b/>
          <w:sz w:val="22"/>
        </w:rPr>
        <w:t>10 días</w:t>
      </w:r>
      <w:r>
        <w:rPr>
          <w:rFonts w:ascii="Arial" w:hAnsi="Arial" w:cs="Arial"/>
          <w:sz w:val="22"/>
        </w:rPr>
        <w:t>.</w:t>
      </w:r>
    </w:p>
    <w:p>
      <w:pPr>
        <w:pStyle w:val="ListBullet"/>
      </w:pPr>
      <w:r>
        <w:rPr>
          <w:rFonts w:ascii="Arial" w:hAnsi="Arial" w:cs="Arial"/>
          <w:sz w:val="22"/>
        </w:rPr>
        <w:t xml:space="preserve">Período de prueba: </w:t>
      </w:r>
      <w:r>
        <w:rPr>
          <w:rFonts w:ascii="Arial" w:hAnsi="Arial" w:cs="Arial"/>
          <w:b/>
          <w:sz w:val="22"/>
        </w:rPr>
        <w:t>10 a 30 días</w:t>
      </w:r>
      <w:r>
        <w:rPr>
          <w:rFonts w:ascii="Arial" w:hAnsi="Arial" w:cs="Arial"/>
          <w:sz w:val="22"/>
        </w:rPr>
        <w:t>.</w:t>
      </w:r>
    </w:p>
    <w:p>
      <w:pPr>
        <w:pStyle w:val="ListBullet"/>
      </w:pPr>
      <w:r>
        <w:rPr>
          <w:rFonts w:ascii="Arial" w:hAnsi="Arial" w:cs="Arial"/>
          <w:sz w:val="22"/>
        </w:rPr>
        <w:t xml:space="preserve">Prueba extraordinaria: hasta </w:t>
      </w:r>
      <w:r>
        <w:rPr>
          <w:rFonts w:ascii="Arial" w:hAnsi="Arial" w:cs="Arial"/>
          <w:b/>
          <w:sz w:val="22"/>
        </w:rPr>
        <w:t>10 días</w:t>
      </w:r>
      <w:r>
        <w:rPr>
          <w:rFonts w:ascii="Arial" w:hAnsi="Arial" w:cs="Arial"/>
          <w:sz w:val="22"/>
        </w:rPr>
        <w:t>.</w:t>
      </w:r>
    </w:p>
    <w:p>
      <w:pPr>
        <w:pStyle w:val="ListBullet"/>
      </w:pPr>
      <w:r>
        <w:rPr>
          <w:rFonts w:ascii="Arial" w:hAnsi="Arial" w:cs="Arial"/>
          <w:sz w:val="22"/>
        </w:rPr>
        <w:t xml:space="preserve">Informe ordinario: </w:t>
      </w:r>
      <w:r>
        <w:rPr>
          <w:rFonts w:ascii="Arial" w:hAnsi="Arial" w:cs="Arial"/>
          <w:b/>
          <w:sz w:val="22"/>
        </w:rPr>
        <w:t>10 días</w:t>
      </w:r>
      <w:r>
        <w:rPr>
          <w:rFonts w:ascii="Arial" w:hAnsi="Arial" w:cs="Arial"/>
          <w:sz w:val="22"/>
        </w:rPr>
        <w:t>.</w:t>
      </w:r>
    </w:p>
    <w:p>
      <w:pPr>
        <w:pStyle w:val="ListBullet"/>
      </w:pPr>
      <w:r>
        <w:rPr>
          <w:rFonts w:ascii="Arial" w:hAnsi="Arial" w:cs="Arial"/>
          <w:sz w:val="22"/>
        </w:rPr>
        <w:t xml:space="preserve">Dictamen consultivo en responsabilidad patrimonial: </w:t>
      </w:r>
      <w:r>
        <w:rPr>
          <w:rFonts w:ascii="Arial" w:hAnsi="Arial" w:cs="Arial"/>
          <w:b/>
          <w:sz w:val="22"/>
        </w:rPr>
        <w:t>2 meses</w:t>
      </w:r>
      <w:r>
        <w:rPr>
          <w:rFonts w:ascii="Arial" w:hAnsi="Arial" w:cs="Arial"/>
          <w:sz w:val="22"/>
        </w:rPr>
        <w:t>.</w:t>
      </w:r>
    </w:p>
    <w:p>
      <w:pPr>
        <w:pStyle w:val="ListBullet"/>
      </w:pPr>
      <w:r>
        <w:rPr>
          <w:rFonts w:ascii="Arial" w:hAnsi="Arial" w:cs="Arial"/>
          <w:sz w:val="22"/>
        </w:rPr>
        <w:t xml:space="preserve">Audiencia: </w:t>
      </w:r>
      <w:r>
        <w:rPr>
          <w:rFonts w:ascii="Arial" w:hAnsi="Arial" w:cs="Arial"/>
          <w:b/>
          <w:sz w:val="22"/>
        </w:rPr>
        <w:t>10 a 15 días</w:t>
      </w:r>
      <w:r>
        <w:rPr>
          <w:rFonts w:ascii="Arial" w:hAnsi="Arial" w:cs="Arial"/>
          <w:sz w:val="22"/>
        </w:rPr>
        <w:t>.</w:t>
      </w:r>
    </w:p>
    <w:p>
      <w:pPr>
        <w:pStyle w:val="ListBullet"/>
      </w:pPr>
      <w:r>
        <w:rPr>
          <w:rFonts w:ascii="Arial" w:hAnsi="Arial" w:cs="Arial"/>
          <w:sz w:val="22"/>
        </w:rPr>
        <w:t xml:space="preserve">Información pública: mínimo </w:t>
      </w:r>
      <w:r>
        <w:rPr>
          <w:rFonts w:ascii="Arial" w:hAnsi="Arial" w:cs="Arial"/>
          <w:b/>
          <w:sz w:val="22"/>
        </w:rPr>
        <w:t>20 días</w:t>
      </w:r>
      <w:r>
        <w:rPr>
          <w:rFonts w:ascii="Arial" w:hAnsi="Arial" w:cs="Arial"/>
          <w:sz w:val="22"/>
        </w:rPr>
        <w:t>.</w:t>
      </w:r>
    </w:p>
    <w:p>
      <w:pPr>
        <w:pStyle w:val="ListBullet"/>
      </w:pPr>
      <w:r>
        <w:rPr>
          <w:rFonts w:ascii="Arial" w:hAnsi="Arial" w:cs="Arial"/>
          <w:sz w:val="22"/>
        </w:rPr>
        <w:t xml:space="preserve">Alegaciones tras actuaciones complementarias: </w:t>
      </w:r>
      <w:r>
        <w:rPr>
          <w:rFonts w:ascii="Arial" w:hAnsi="Arial" w:cs="Arial"/>
          <w:b/>
          <w:sz w:val="22"/>
        </w:rPr>
        <w:t>7 días</w:t>
      </w:r>
      <w:r>
        <w:rPr>
          <w:rFonts w:ascii="Arial" w:hAnsi="Arial" w:cs="Arial"/>
          <w:sz w:val="22"/>
        </w:rPr>
        <w:t>.</w:t>
      </w:r>
    </w:p>
    <w:p>
      <w:pPr>
        <w:pStyle w:val="ListBullet"/>
      </w:pPr>
      <w:r>
        <w:rPr>
          <w:rFonts w:ascii="Arial" w:hAnsi="Arial" w:cs="Arial"/>
          <w:sz w:val="22"/>
        </w:rPr>
        <w:t xml:space="preserve">Actuaciones complementarias: máximo </w:t>
      </w:r>
      <w:r>
        <w:rPr>
          <w:rFonts w:ascii="Arial" w:hAnsi="Arial" w:cs="Arial"/>
          <w:b/>
          <w:sz w:val="22"/>
        </w:rPr>
        <w:t>15 días</w:t>
      </w:r>
      <w:r>
        <w:rPr>
          <w:rFonts w:ascii="Arial" w:hAnsi="Arial" w:cs="Arial"/>
          <w:sz w:val="22"/>
        </w:rPr>
        <w:t>.</w:t>
      </w:r>
    </w:p>
    <w:p>
      <w:pPr>
        <w:pStyle w:val="ListBullet"/>
      </w:pPr>
      <w:r>
        <w:rPr>
          <w:rFonts w:ascii="Arial" w:hAnsi="Arial" w:cs="Arial"/>
          <w:sz w:val="22"/>
        </w:rPr>
        <w:t xml:space="preserve">Reducciones sancionadoras: mínimo </w:t>
      </w:r>
      <w:r>
        <w:rPr>
          <w:rFonts w:ascii="Arial" w:hAnsi="Arial" w:cs="Arial"/>
          <w:b/>
          <w:sz w:val="22"/>
        </w:rPr>
        <w:t>20 % cada una</w:t>
      </w:r>
      <w:r>
        <w:rPr>
          <w:rFonts w:ascii="Arial" w:hAnsi="Arial" w:cs="Arial"/>
          <w:sz w:val="22"/>
        </w:rPr>
        <w:t>, acumulables.</w:t>
      </w:r>
    </w:p>
    <w:p>
      <w:pPr>
        <w:pStyle w:val="ListBullet"/>
      </w:pPr>
      <w:r>
        <w:rPr>
          <w:rFonts w:ascii="Arial" w:hAnsi="Arial" w:cs="Arial"/>
          <w:sz w:val="22"/>
        </w:rPr>
        <w:t xml:space="preserve">Caducidad por paralización imputable al solicitante: </w:t>
      </w:r>
      <w:r>
        <w:rPr>
          <w:rFonts w:ascii="Arial" w:hAnsi="Arial" w:cs="Arial"/>
          <w:b/>
          <w:sz w:val="22"/>
        </w:rPr>
        <w:t>3 meses</w:t>
      </w:r>
      <w:r>
        <w:rPr>
          <w:rFonts w:ascii="Arial" w:hAnsi="Arial" w:cs="Arial"/>
          <w:sz w:val="22"/>
        </w:rPr>
        <w:t>, previa advertencia.</w:t>
      </w:r>
    </w:p>
    <w:p>
      <w:pPr>
        <w:pStyle w:val="ListBullet"/>
      </w:pPr>
      <w:r>
        <w:rPr>
          <w:rFonts w:ascii="Arial" w:hAnsi="Arial" w:cs="Arial"/>
          <w:sz w:val="22"/>
        </w:rPr>
        <w:t xml:space="preserve">Tramitación simplificada: </w:t>
      </w:r>
      <w:r>
        <w:rPr>
          <w:rFonts w:ascii="Arial" w:hAnsi="Arial" w:cs="Arial"/>
          <w:b/>
          <w:sz w:val="22"/>
        </w:rPr>
        <w:t>30 días</w:t>
      </w:r>
      <w:r>
        <w:rPr>
          <w:rFonts w:ascii="Arial" w:hAnsi="Arial" w:cs="Arial"/>
          <w:sz w:val="22"/>
        </w:rPr>
        <w:t>.</w:t>
      </w:r>
    </w:p>
    <w:p>
      <w:pPr>
        <w:pStyle w:val="ListBullet"/>
      </w:pPr>
      <w:r>
        <w:rPr>
          <w:rFonts w:ascii="Arial" w:hAnsi="Arial" w:cs="Arial"/>
          <w:sz w:val="22"/>
        </w:rPr>
        <w:t xml:space="preserve">Solicitud de simplificación: decisión en </w:t>
      </w:r>
      <w:r>
        <w:rPr>
          <w:rFonts w:ascii="Arial" w:hAnsi="Arial" w:cs="Arial"/>
          <w:b/>
          <w:sz w:val="22"/>
        </w:rPr>
        <w:t>5 días</w:t>
      </w:r>
      <w:r>
        <w:rPr>
          <w:rFonts w:ascii="Arial" w:hAnsi="Arial" w:cs="Arial"/>
          <w:sz w:val="22"/>
        </w:rPr>
        <w:t>, silencio desestimatorio.</w:t>
      </w:r>
    </w:p>
    <w:p>
      <w:pPr>
        <w:pStyle w:val="ListBullet"/>
      </w:pPr>
      <w:r>
        <w:rPr>
          <w:rFonts w:ascii="Arial" w:hAnsi="Arial" w:cs="Arial"/>
          <w:sz w:val="22"/>
        </w:rPr>
        <w:t xml:space="preserve">Medios de ejecución forzosa: </w:t>
      </w:r>
      <w:r>
        <w:rPr>
          <w:rFonts w:ascii="Arial" w:hAnsi="Arial" w:cs="Arial"/>
          <w:b/>
          <w:sz w:val="22"/>
        </w:rPr>
        <w:t>cuatro</w:t>
      </w:r>
      <w:r>
        <w:rPr>
          <w:rFonts w:ascii="Arial" w:hAnsi="Arial" w:cs="Arial"/>
          <w:sz w:val="22"/>
        </w:rPr>
        <w:t>.</w:t>
      </w:r>
    </w:p>
    <w:p>
      <w:pPr>
        <w:pStyle w:val="ListBullet"/>
      </w:pPr>
      <w:r>
        <w:rPr>
          <w:rFonts w:ascii="Arial" w:hAnsi="Arial" w:cs="Arial"/>
          <w:sz w:val="22"/>
        </w:rPr>
        <w:t xml:space="preserve">La multa coercitiva es </w:t>
      </w:r>
      <w:r>
        <w:rPr>
          <w:rFonts w:ascii="Arial" w:hAnsi="Arial" w:cs="Arial"/>
          <w:b/>
          <w:sz w:val="22"/>
        </w:rPr>
        <w:t>independiente y compatible</w:t>
      </w:r>
      <w:r>
        <w:rPr>
          <w:rFonts w:ascii="Arial" w:hAnsi="Arial" w:cs="Arial"/>
          <w:sz w:val="22"/>
        </w:rPr>
        <w:t xml:space="preserve"> con la sanción.</w:t>
      </w:r>
    </w:p>
    <w:p>
      <w:pPr>
        <w:pStyle w:val="Heading1"/>
        <w:keepNext/>
      </w:pPr>
      <w:r>
        <w:rPr>
          <w:rFonts w:ascii="Arial" w:hAnsi="Arial" w:cs="Arial"/>
          <w:sz w:val="30"/>
        </w:rPr>
        <w:t>19. Fuentes oficiales</w:t>
      </w:r>
    </w:p>
    <w:p>
      <w:pPr>
        <w:pStyle w:val="ListBullet"/>
      </w:pPr>
      <w:r>
        <w:rPr>
          <w:rFonts w:ascii="Arial" w:hAnsi="Arial" w:cs="Arial"/>
          <w:sz w:val="22"/>
        </w:rPr>
        <w:t>Constitución Española (https://www.boe.es/buscar/act.php?id=BOE-A-1978-31229).</w:t>
      </w:r>
    </w:p>
    <w:p>
      <w:pPr>
        <w:pStyle w:val="ListBullet"/>
      </w:pPr>
      <w:r>
        <w:rPr>
          <w:rFonts w:ascii="Arial" w:hAnsi="Arial" w:cs="Arial"/>
          <w:sz w:val="22"/>
        </w:rPr>
        <w:t>Ley 39/2015, de 1 de octubre, del Procedimiento Administrativo Común de las Administraciones Públicas (https://www.boe.es/buscar/act.php?id=BOE-A-2015-10565).</w:t>
      </w:r>
    </w:p>
    <w:p>
      <w:pPr>
        <w:pStyle w:val="ListBullet"/>
      </w:pPr>
      <w:r>
        <w:rPr>
          <w:rFonts w:ascii="Arial" w:hAnsi="Arial" w:cs="Arial"/>
          <w:sz w:val="22"/>
        </w:rPr>
        <w:t>Ley 40/2015, de 1 de octubre, de Régimen Jurídico del Sector Público (https://www.boe.es/buscar/act.php?id=BOE-A-2015-10566).</w:t>
      </w:r>
    </w:p>
    <w:p>
      <w:pPr>
        <w:pStyle w:val="ListBullet"/>
      </w:pPr>
      <w:r>
        <w:rPr>
          <w:rFonts w:ascii="Arial" w:hAnsi="Arial" w:cs="Arial"/>
          <w:sz w:val="22"/>
        </w:rPr>
        <w:t>Ley 1/2000, de 7 de enero, de Enjuiciamiento Civil (https://www.boe.es/buscar/act.php?id=BOE-A-2000-323).</w:t>
      </w:r>
    </w:p>
    <w:p>
      <w:pPr>
        <w:pStyle w:val="ListBullet"/>
      </w:pPr>
      <w:r>
        <w:rPr>
          <w:rFonts w:ascii="Arial" w:hAnsi="Arial" w:cs="Arial"/>
          <w:sz w:val="22"/>
        </w:rPr>
        <w:t>Ley Orgánica 3/1980, de 22 de abril, del Consejo de Estado (https://www.boe.es/buscar/act.php?id=BOE-A-1980-8648).</w:t>
      </w:r>
    </w:p>
    <w:p>
      <w:pPr>
        <w:pStyle w:val="Heading1"/>
        <w:keepNext/>
      </w:pPr>
      <w:r>
        <w:rPr>
          <w:rFonts w:ascii="Arial" w:hAnsi="Arial" w:cs="Arial"/>
          <w:sz w:val="30"/>
        </w:rPr>
        <w:t>Antecedentes de examen y puntos especialmente preguntados</w:t>
      </w:r>
    </w:p>
    <w:p>
      <w:pPr>
        <w:jc w:val="both"/>
      </w:pPr>
      <w:r>
        <w:rPr>
          <w:rFonts w:ascii="Arial" w:hAnsi="Arial" w:cs="Arial"/>
          <w:sz w:val="22"/>
        </w:rPr>
        <w:t xml:space="preserve">El análisis se ha realizado sobre las preguntas oficiales de acceso libre publicadas para las convocatorias 2023, 2024 y 2025, con fecha de corte </w:t>
      </w:r>
      <w:r>
        <w:rPr>
          <w:rFonts w:ascii="Arial" w:hAnsi="Arial" w:cs="Arial"/>
          <w:b/>
          <w:sz w:val="22"/>
        </w:rPr>
        <w:t>30 de julio de 2026</w:t>
      </w:r>
      <w:r>
        <w:rPr>
          <w:rFonts w:ascii="Arial" w:hAnsi="Arial" w:cs="Arial"/>
          <w:sz w:val="22"/>
        </w:rPr>
        <w:t xml:space="preserve">. La base conserva las variantes necesarias para la trazabilidad, pero el recuento de frecuencia usa </w:t>
      </w:r>
      <w:r>
        <w:rPr>
          <w:rFonts w:ascii="Arial" w:hAnsi="Arial" w:cs="Arial"/>
          <w:b/>
          <w:sz w:val="22"/>
        </w:rPr>
        <w:t>una sola variante canónica por sesión</w:t>
      </w:r>
      <w:r>
        <w:rPr>
          <w:rFonts w:ascii="Arial" w:hAnsi="Arial" w:cs="Arial"/>
          <w:sz w:val="22"/>
        </w:rPr>
        <w:t>, de modo que los modelos o colores que únicamente permutan el orden o las opciones no se cuentan dos veces. Este criterio permite medir repeticiones reales entre sesiones sin inflar artificialmente la presencia del tema.</w:t>
      </w:r>
    </w:p>
    <w:tbl>
      <w:tblPr>
        <w:tblStyle w:val="TableGrid"/>
        <w:tblW w:type="dxa" w:w="9026"/>
        <w:jc w:val="left"/>
        <w:tblLayout w:type="fixed"/>
        <w:tblLook w:firstColumn="1" w:firstRow="1" w:lastColumn="0" w:lastRow="0" w:noHBand="0" w:noVBand="1" w:val="04A0"/>
        <w:tblInd w:w="120" w:type="dxa"/>
      </w:tblPr>
      <w:tblGrid>
        <w:gridCol w:w="6838"/>
        <w:gridCol w:w="2188"/>
      </w:tblGrid>
      <w:tr>
        <w:trPr>
          <w:tblHeader w:val="true"/>
        </w:trPr>
        <w:tc>
          <w:tcPr>
            <w:tcW w:type="dxa" w:w="683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Indicador</w:t>
            </w:r>
          </w:p>
        </w:tc>
        <w:tc>
          <w:tcPr>
            <w:tcW w:type="dxa" w:w="218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Resultado para G17</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canónicas atribuidas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5</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Distribución por año de examen</w:t>
            </w:r>
          </w:p>
        </w:tc>
        <w:tc>
          <w:tcPr>
            <w:tcW w:type="dxa" w:w="2188"/>
            <w:tcMar>
              <w:top w:w="80" w:type="dxa"/>
              <w:start w:w="120" w:type="dxa"/>
              <w:bottom w:w="80" w:type="dxa"/>
              <w:end w:w="120" w:type="dxa"/>
            </w:tcMar>
            <w:vAlign w:val="center"/>
          </w:tcPr>
          <w:p>
            <w:pPr>
              <w:spacing w:before="0" w:after="0" w:line="240" w:lineRule="auto"/>
              <w:jc w:val="left"/>
            </w:pPr>
            <w:r/>
            <w:r>
              <w:rPr>
                <w:rFonts w:ascii="Arial" w:hAnsi="Arial" w:cs="Arial"/>
                <w:sz w:val="18"/>
              </w:rPr>
              <w:t>2024: 1, 2025: 2, 2026: 2</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Teóricas / prácticas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5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de reserva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Anuladas / con respuesta modificada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Enunciados con excepción, negación o respuesta incorrecta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1</w:t>
            </w:r>
          </w:p>
        </w:tc>
      </w:tr>
    </w:tbl>
    <w:p>
      <w:pPr>
        <w:spacing w:after="40"/>
      </w:pPr>
    </w:p>
    <w:p>
      <w:pPr>
        <w:jc w:val="both"/>
      </w:pPr>
      <w:r>
        <w:rPr>
          <w:rFonts w:ascii="Arial" w:hAnsi="Arial" w:cs="Arial"/>
          <w:b/>
          <w:sz w:val="22"/>
        </w:rPr>
        <w:t>Normas que más aparecen:</w:t>
      </w:r>
      <w:r>
        <w:rPr>
          <w:rFonts w:ascii="Arial" w:hAnsi="Arial" w:cs="Arial"/>
          <w:sz w:val="22"/>
        </w:rPr>
        <w:t xml:space="preserve"> Ley 39/2015 (4).</w:t>
      </w:r>
    </w:p>
    <w:p>
      <w:pPr>
        <w:jc w:val="both"/>
      </w:pPr>
      <w:r>
        <w:rPr>
          <w:rFonts w:ascii="Arial" w:hAnsi="Arial" w:cs="Arial"/>
          <w:b/>
          <w:sz w:val="22"/>
        </w:rPr>
        <w:t>Artículos o preceptos más repetidos:</w:t>
      </w:r>
      <w:r>
        <w:rPr>
          <w:rFonts w:ascii="Arial" w:hAnsi="Arial" w:cs="Arial"/>
          <w:sz w:val="22"/>
        </w:rPr>
        <w:t xml:space="preserve"> 63 (1); 83 (1); 100 (1).</w:t>
      </w:r>
    </w:p>
    <w:p>
      <w:pPr>
        <w:jc w:val="both"/>
      </w:pPr>
      <w:r>
        <w:rPr>
          <w:rFonts w:ascii="Arial" w:hAnsi="Arial" w:cs="Arial"/>
          <w:b/>
          <w:sz w:val="22"/>
        </w:rPr>
        <w:t>Formas de pregunta predominantes:</w:t>
      </w:r>
      <w:r>
        <w:rPr>
          <w:rFonts w:ascii="Arial" w:hAnsi="Arial" w:cs="Arial"/>
          <w:sz w:val="22"/>
        </w:rPr>
        <w:t xml:space="preserve"> Procedimientos (5).</w:t>
      </w:r>
    </w:p>
    <w:p>
      <w:pPr>
        <w:pStyle w:val="Heading2"/>
        <w:keepNext/>
      </w:pPr>
      <w:r>
        <w:rPr>
          <w:rFonts w:ascii="Arial" w:hAnsi="Arial" w:cs="Arial"/>
          <w:sz w:val="25"/>
        </w:rPr>
        <w:t>Patrones observados</w:t>
      </w:r>
    </w:p>
    <w:p>
      <w:pPr>
        <w:pStyle w:val="ListBullet"/>
      </w:pPr>
      <w:r>
        <w:rPr>
          <w:rFonts w:ascii="Arial" w:hAnsi="Arial" w:cs="Arial"/>
          <w:b/>
          <w:sz w:val="22"/>
        </w:rPr>
        <w:t>2024, teoría 17:</w:t>
      </w:r>
      <w:r>
        <w:rPr>
          <w:rFonts w:ascii="Arial" w:hAnsi="Arial" w:cs="Arial"/>
          <w:sz w:val="22"/>
        </w:rPr>
        <w:t xml:space="preserve"> De acuerdo con la sección 1 a, Disposiciones generales, del Capítulo V, Finalización del procedimiento, de la Ley 391201 5, de I de octubre, del Procedimiento Administrativo Común de las Administraciones…</w:t>
      </w:r>
    </w:p>
    <w:p>
      <w:pPr>
        <w:pStyle w:val="ListBullet"/>
      </w:pPr>
      <w:r>
        <w:rPr>
          <w:rFonts w:ascii="Arial" w:hAnsi="Arial" w:cs="Arial"/>
          <w:b/>
          <w:sz w:val="22"/>
        </w:rPr>
        <w:t>2025, teoría 17:</w:t>
      </w:r>
      <w:r>
        <w:rPr>
          <w:rFonts w:ascii="Arial" w:hAnsi="Arial" w:cs="Arial"/>
          <w:sz w:val="22"/>
        </w:rPr>
        <w:t xml:space="preserve"> Se podrá iniciar el procedimiento administrativo, de acuerdo con lo fijado en la Ley 39/2015, de 1 de octubre, del Procedimiento Administrativo Común de las Administraciones Públicas:</w:t>
      </w:r>
    </w:p>
    <w:p>
      <w:pPr>
        <w:pStyle w:val="ListBullet"/>
      </w:pPr>
      <w:r>
        <w:rPr>
          <w:rFonts w:ascii="Arial" w:hAnsi="Arial" w:cs="Arial"/>
          <w:b/>
          <w:sz w:val="22"/>
        </w:rPr>
        <w:t>2025, teoría 17:</w:t>
      </w:r>
      <w:r>
        <w:rPr>
          <w:rFonts w:ascii="Arial" w:hAnsi="Arial" w:cs="Arial"/>
          <w:sz w:val="22"/>
        </w:rPr>
        <w:t xml:space="preserve"> De acuerdo con el artículo 63 de la Ley 39/2015, de 1 de octubre, del Procedimiento Administrativo Común de las Administraciones Públicas, en cuanto a los procedimientos de naturaleza sancionadora, señale la…</w:t>
      </w:r>
    </w:p>
    <w:p>
      <w:pPr>
        <w:pStyle w:val="ListBullet"/>
      </w:pPr>
      <w:r>
        <w:rPr>
          <w:rFonts w:ascii="Arial" w:hAnsi="Arial" w:cs="Arial"/>
          <w:b/>
          <w:sz w:val="22"/>
        </w:rPr>
        <w:t>2026, teoría 21:</w:t>
      </w:r>
      <w:r>
        <w:rPr>
          <w:rFonts w:ascii="Arial" w:hAnsi="Arial" w:cs="Arial"/>
          <w:sz w:val="22"/>
        </w:rPr>
        <w:t xml:space="preserve"> ¿Qué efecto tiene la comparecencia en eI trámite de información pública, según el artículo 83 de la Ley 39/2015, de 1 de octubre, del Procedimiento Administrativo Común de las Administraciones Públicas?</w:t>
      </w:r>
    </w:p>
    <w:p>
      <w:pPr>
        <w:pStyle w:val="ListBullet"/>
      </w:pPr>
      <w:r>
        <w:rPr>
          <w:rFonts w:ascii="Arial" w:hAnsi="Arial" w:cs="Arial"/>
          <w:b/>
          <w:sz w:val="22"/>
        </w:rPr>
        <w:t>2026, teoría 22:</w:t>
      </w:r>
      <w:r>
        <w:rPr>
          <w:rFonts w:ascii="Arial" w:hAnsi="Arial" w:cs="Arial"/>
          <w:sz w:val="22"/>
        </w:rPr>
        <w:t xml:space="preserve"> Cuando la Administración dispone de varios medios de ejecución forzosa legalmente admisibles, ¿qué criterio debe aplicar conforme al artículo 100 de la Ley 39/2015, de I de octubre, del Procedimiento…</w:t>
      </w:r>
    </w:p>
    <w:p>
      <w:pPr>
        <w:pStyle w:val="Heading2"/>
        <w:keepNext/>
      </w:pPr>
      <w:r>
        <w:rPr>
          <w:rFonts w:ascii="Arial" w:hAnsi="Arial" w:cs="Arial"/>
          <w:sz w:val="25"/>
        </w:rPr>
        <w:t>Cómo trasladarlo al estudio</w:t>
      </w:r>
    </w:p>
    <w:p>
      <w:pPr>
        <w:spacing w:after="40"/>
        <w:ind w:left="369" w:hanging="227"/>
      </w:pPr>
      <w:r>
        <w:rPr>
          <w:rFonts w:ascii="Arial" w:hAnsi="Arial" w:cs="Arial"/>
          <w:sz w:val="22"/>
        </w:rPr>
        <w:t xml:space="preserve">1. </w:t>
      </w:r>
      <w:r>
        <w:rPr>
          <w:rFonts w:ascii="Arial" w:hAnsi="Arial" w:cs="Arial"/>
          <w:b/>
          <w:sz w:val="22"/>
        </w:rPr>
        <w:t>Priorice la literalidad útil.</w:t>
      </w:r>
      <w:r>
        <w:rPr>
          <w:rFonts w:ascii="Arial" w:hAnsi="Arial" w:cs="Arial"/>
          <w:sz w:val="22"/>
        </w:rPr>
        <w:t xml:space="preserve"> Memorice la regla, su artículo y la excepción, pero comprenda antes quién actúa, sobre qué supuesto y con qué plazo.</w:t>
      </w:r>
    </w:p>
    <w:p>
      <w:pPr>
        <w:spacing w:after="40"/>
        <w:ind w:left="369" w:hanging="227"/>
      </w:pPr>
      <w:r>
        <w:rPr>
          <w:rFonts w:ascii="Arial" w:hAnsi="Arial" w:cs="Arial"/>
          <w:sz w:val="22"/>
        </w:rPr>
        <w:t xml:space="preserve">2. </w:t>
      </w:r>
      <w:r>
        <w:rPr>
          <w:rFonts w:ascii="Arial" w:hAnsi="Arial" w:cs="Arial"/>
          <w:b/>
          <w:sz w:val="22"/>
        </w:rPr>
        <w:t>Entrene las negaciones.</w:t>
      </w:r>
      <w:r>
        <w:rPr>
          <w:rFonts w:ascii="Arial" w:hAnsi="Arial" w:cs="Arial"/>
          <w:sz w:val="22"/>
        </w:rPr>
        <w:t xml:space="preserve"> En este tema se han localizado 1 enunciados con fórmulas como «INCORRECTA», «NO», «salvo» o «excepto». Subraye siempre el mandato antes de leer las opciones.</w:t>
      </w:r>
    </w:p>
    <w:p>
      <w:pPr>
        <w:spacing w:after="40"/>
        <w:ind w:left="369" w:hanging="227"/>
      </w:pPr>
      <w:r>
        <w:rPr>
          <w:rFonts w:ascii="Arial" w:hAnsi="Arial" w:cs="Arial"/>
          <w:sz w:val="22"/>
        </w:rPr>
        <w:t xml:space="preserve">3. </w:t>
      </w:r>
      <w:r>
        <w:rPr>
          <w:rFonts w:ascii="Arial" w:hAnsi="Arial" w:cs="Arial"/>
          <w:b/>
          <w:sz w:val="22"/>
        </w:rPr>
        <w:t>Separe regla estable y dato anual.</w:t>
      </w:r>
      <w:r>
        <w:rPr>
          <w:rFonts w:ascii="Arial" w:hAnsi="Arial" w:cs="Arial"/>
          <w:sz w:val="22"/>
        </w:rPr>
        <w:t xml:space="preserve"> Cuando intervengan cuantías, bases, tipos, edades o porcentajes, anote el año de referencia y contraste la cifra con la norma consolidada vigente.</w:t>
      </w:r>
    </w:p>
    <w:p>
      <w:pPr>
        <w:spacing w:after="40"/>
        <w:ind w:left="369" w:hanging="227"/>
      </w:pPr>
      <w:r>
        <w:rPr>
          <w:rFonts w:ascii="Arial" w:hAnsi="Arial" w:cs="Arial"/>
          <w:sz w:val="22"/>
        </w:rPr>
        <w:t xml:space="preserve">4. </w:t>
      </w:r>
      <w:r>
        <w:rPr>
          <w:rFonts w:ascii="Arial" w:hAnsi="Arial" w:cs="Arial"/>
          <w:b/>
          <w:sz w:val="22"/>
        </w:rPr>
        <w:t>Use las anulaciones como señal de riesgo.</w:t>
      </w:r>
      <w:r>
        <w:rPr>
          <w:rFonts w:ascii="Arial" w:hAnsi="Arial" w:cs="Arial"/>
          <w:sz w:val="22"/>
        </w:rPr>
        <w:t xml:space="preserve"> Una pregunta anulada no desaparece del aprendizaje: suele revelar una redacción ambigua, una reforma reciente o dos preceptos que deben diferenciarse.</w:t>
      </w:r>
    </w:p>
    <w:p>
      <w:pPr>
        <w:spacing w:after="40"/>
        <w:ind w:left="369" w:hanging="227"/>
      </w:pPr>
      <w:r>
        <w:rPr>
          <w:rFonts w:ascii="Arial" w:hAnsi="Arial" w:cs="Arial"/>
          <w:sz w:val="22"/>
        </w:rPr>
        <w:t xml:space="preserve">5. </w:t>
      </w:r>
      <w:r>
        <w:rPr>
          <w:rFonts w:ascii="Arial" w:hAnsi="Arial" w:cs="Arial"/>
          <w:b/>
          <w:sz w:val="22"/>
        </w:rPr>
        <w:t>No confunda frecuencia con seguridad de aparición.</w:t>
      </w:r>
      <w:r>
        <w:rPr>
          <w:rFonts w:ascii="Arial" w:hAnsi="Arial" w:cs="Arial"/>
          <w:sz w:val="22"/>
        </w:rPr>
        <w:t xml:space="preserve"> El recuento describe el corpus disponible; no garantiza la distribución de una convocatoria futura ni permite excluir epígrafes poco preguntados.</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G17 · Tema 17 · Actualizado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17. Las fases del procedimiento administrativo - Iniciación, ordenación, instrucción y finalización. La ejecución de los actos y resoluciones ad…</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