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GENERAL</w:t>
      </w:r>
    </w:p>
    <w:p>
      <w:pPr>
        <w:spacing w:before="0" w:after="160"/>
      </w:pPr>
      <w:r>
        <w:rPr>
          <w:rFonts w:ascii="Arial" w:hAnsi="Arial" w:cs="Arial"/>
          <w:b/>
          <w:color w:val="1F4E79"/>
          <w:sz w:val="26"/>
        </w:rPr>
        <w:t>TEMA 18</w:t>
      </w:r>
    </w:p>
    <w:p>
      <w:pPr>
        <w:keepNext/>
        <w:spacing w:before="0" w:after="280"/>
        <w:pBdr>
          <w:bottom w:val="single" w:sz="12" w:space="1" w:color="2F75B5"/>
        </w:pBdr>
      </w:pPr>
      <w:r>
        <w:rPr>
          <w:rFonts w:ascii="Arial" w:hAnsi="Arial" w:cs="Arial"/>
          <w:b/>
          <w:color w:val="17365D"/>
          <w:sz w:val="40"/>
        </w:rPr>
        <w:t>Los recursos administrativos: concepto y clases. Recurso de alzada. Recurso potestativo de reposición. Recurso extraordinario de revisión. La jurisdicción contencioso-administrativa: objeto y plazos de interposición del recurso contencioso administrativo.</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sz w:val="22"/>
        </w:rPr>
        <w:t xml:space="preserve">Los recursos administrativos permiten a los interesados solicitar que la propia Administración revise la legalidad de una resolución o de determinados actos de trámite. Constituyen una garantía frente a decisiones inválidas y, en algunos casos, un presupuesto para acceder al control judicial. Agotada la vía administrativa, la jurisdicción contencioso-administrativa controla la potestad reglamentaria y la legalidad de la actuación administrativa y tutela los derechos e intereses legítimos. La regulación principal se encuentra en los artículos 112 a 126 de la </w:t>
      </w:r>
      <w:r>
        <w:rPr>
          <w:rFonts w:ascii="Arial" w:hAnsi="Arial" w:cs="Arial"/>
          <w:b/>
          <w:sz w:val="22"/>
        </w:rPr>
        <w:t>Ley 39/2015, de 1 de octubre, del Procedimiento Administrativo Común de las Administraciones Públicas</w:t>
      </w:r>
      <w:r>
        <w:rPr>
          <w:rFonts w:ascii="Arial" w:hAnsi="Arial" w:cs="Arial"/>
          <w:sz w:val="22"/>
        </w:rPr>
        <w:t xml:space="preserve"> —LPAC— y en la </w:t>
      </w:r>
      <w:r>
        <w:rPr>
          <w:rFonts w:ascii="Arial" w:hAnsi="Arial" w:cs="Arial"/>
          <w:b/>
          <w:sz w:val="22"/>
        </w:rPr>
        <w:t>Ley 29/1998, de 13 de julio, reguladora de la Jurisdicción Contencioso-administrativa</w:t>
      </w:r>
      <w:r>
        <w:rPr>
          <w:rFonts w:ascii="Arial" w:hAnsi="Arial" w:cs="Arial"/>
          <w:sz w:val="22"/>
        </w:rPr>
        <w:t xml:space="preserve"> —LJCA—. La exposición está actualizada a </w:t>
      </w:r>
      <w:r>
        <w:rPr>
          <w:rFonts w:ascii="Arial" w:hAnsi="Arial" w:cs="Arial"/>
          <w:b/>
          <w:sz w:val="22"/>
        </w:rPr>
        <w:t>30 de julio de 2026</w:t>
      </w:r>
      <w:r>
        <w:rPr>
          <w:rFonts w:ascii="Arial" w:hAnsi="Arial" w:cs="Arial"/>
          <w:sz w:val="22"/>
        </w:rPr>
        <w:t>.</w:t>
      </w:r>
    </w:p>
    <w:p>
      <w:pPr>
        <w:pStyle w:val="Heading1"/>
        <w:keepNext/>
      </w:pPr>
      <w:r>
        <w:rPr>
          <w:rFonts w:ascii="Arial" w:hAnsi="Arial" w:cs="Arial"/>
          <w:sz w:val="30"/>
        </w:rPr>
        <w:t>1. Concepto, fundamento y clases de recursos administrativos</w:t>
      </w:r>
    </w:p>
    <w:p>
      <w:pPr>
        <w:pStyle w:val="Heading2"/>
        <w:keepNext/>
      </w:pPr>
      <w:r>
        <w:rPr>
          <w:rFonts w:ascii="Arial" w:hAnsi="Arial" w:cs="Arial"/>
          <w:sz w:val="25"/>
        </w:rPr>
        <w:t>1.1. Concepto y función</w:t>
      </w:r>
    </w:p>
    <w:p>
      <w:pPr>
        <w:jc w:val="both"/>
      </w:pPr>
      <w:r>
        <w:rPr>
          <w:rFonts w:ascii="Arial" w:hAnsi="Arial" w:cs="Arial"/>
          <w:sz w:val="22"/>
        </w:rPr>
        <w:t>Un recurso administrativo es el acto del interesado por el que pide a un órgano administrativo la anulación o modificación de un acto susceptible de impugnación, por considerarlo contrario a Derecho. Sus caracteres básicos son:</w:t>
      </w:r>
    </w:p>
    <w:p>
      <w:pPr>
        <w:pStyle w:val="ListBullet"/>
      </w:pPr>
      <w:r>
        <w:rPr>
          <w:rFonts w:ascii="Arial" w:hAnsi="Arial" w:cs="Arial"/>
          <w:sz w:val="22"/>
        </w:rPr>
        <w:t>lo interpone una persona legitimada como interesada;</w:t>
      </w:r>
    </w:p>
    <w:p>
      <w:pPr>
        <w:pStyle w:val="ListBullet"/>
      </w:pPr>
      <w:r>
        <w:rPr>
          <w:rFonts w:ascii="Arial" w:hAnsi="Arial" w:cs="Arial"/>
          <w:sz w:val="22"/>
        </w:rPr>
        <w:t>se dirige contra una actuación administrativa impugnable;</w:t>
      </w:r>
    </w:p>
    <w:p>
      <w:pPr>
        <w:pStyle w:val="ListBullet"/>
      </w:pPr>
      <w:r>
        <w:rPr>
          <w:rFonts w:ascii="Arial" w:hAnsi="Arial" w:cs="Arial"/>
          <w:sz w:val="22"/>
        </w:rPr>
        <w:t>se tramita y resuelve dentro de la propia Administración;</w:t>
      </w:r>
    </w:p>
    <w:p>
      <w:pPr>
        <w:pStyle w:val="ListBullet"/>
      </w:pPr>
      <w:r>
        <w:rPr>
          <w:rFonts w:ascii="Arial" w:hAnsi="Arial" w:cs="Arial"/>
          <w:sz w:val="22"/>
        </w:rPr>
        <w:t>se funda en motivos de legalidad, incluidos los de nulidad de pleno derecho y anulabilidad;</w:t>
      </w:r>
    </w:p>
    <w:p>
      <w:pPr>
        <w:pStyle w:val="ListBullet"/>
      </w:pPr>
      <w:r>
        <w:rPr>
          <w:rFonts w:ascii="Arial" w:hAnsi="Arial" w:cs="Arial"/>
          <w:sz w:val="22"/>
        </w:rPr>
        <w:t>da lugar a un procedimiento de revisión distinto del procedimiento originario, aunque ambos estén conectados;</w:t>
      </w:r>
    </w:p>
    <w:p>
      <w:pPr>
        <w:pStyle w:val="ListBullet"/>
      </w:pPr>
      <w:r>
        <w:rPr>
          <w:rFonts w:ascii="Arial" w:hAnsi="Arial" w:cs="Arial"/>
          <w:sz w:val="22"/>
        </w:rPr>
        <w:t>su resolución puede estimar, desestimar o inadmitir y, si existe un vicio formal relevante, ordenar retroacción.</w:t>
      </w:r>
    </w:p>
    <w:p>
      <w:pPr>
        <w:jc w:val="both"/>
      </w:pPr>
      <w:r>
        <w:rPr>
          <w:rFonts w:ascii="Arial" w:hAnsi="Arial" w:cs="Arial"/>
          <w:sz w:val="22"/>
        </w:rPr>
        <w:t>El recurso no es una solicitud nueva ni una mera queja. La solicitud pretende obtener inicialmente una decisión; el recurso combate una decisión ya adoptada o producida por silencio. La queja sobre funcionamiento de servicios no sustituye un recurso ni interrumpe sus plazos. Tampoco debe confundirse con la revisión de oficio, que responde a presupuestos y órganos específicos.</w:t>
      </w:r>
    </w:p>
    <w:p>
      <w:pPr>
        <w:pStyle w:val="Heading2"/>
        <w:keepNext/>
      </w:pPr>
      <w:r>
        <w:rPr>
          <w:rFonts w:ascii="Arial" w:hAnsi="Arial" w:cs="Arial"/>
          <w:sz w:val="25"/>
        </w:rPr>
        <w:t>1.2. Fundamento constitucional</w:t>
      </w:r>
    </w:p>
    <w:p>
      <w:pPr>
        <w:jc w:val="both"/>
      </w:pPr>
      <w:r>
        <w:rPr>
          <w:rFonts w:ascii="Arial" w:hAnsi="Arial" w:cs="Arial"/>
          <w:sz w:val="22"/>
        </w:rPr>
        <w:t>El artículo 103.1 de la Constitución impone el sometimiento pleno de la Administración a la ley y al Derecho. El artículo 24.1 garantiza tutela judicial efectiva, y el artículo 106.1 atribuye a los tribunales el control de la potestad reglamentaria y de la legalidad de la actuación administrativa, así como de su sometimiento a los fines que la justifican.</w:t>
      </w:r>
    </w:p>
    <w:p>
      <w:pPr>
        <w:jc w:val="both"/>
      </w:pPr>
      <w:r>
        <w:rPr>
          <w:rFonts w:ascii="Arial" w:hAnsi="Arial" w:cs="Arial"/>
          <w:sz w:val="22"/>
        </w:rPr>
        <w:t>Los recursos administrativos ofrecen una oportunidad de corrección antes del proceso judicial. Cuando el acto no pone fin a la vía administrativa, el recurso de alzada permite al superior jerárquico revisarlo. Cuando sí pone fin, la reposición ofrece al interesado la opción de pedir reconsideración al mismo órgano o acudir directamente a la jurisdicción. El recurso extraordinario de revisión reabre excepcionalmente actos firmes por causas tasadas.</w:t>
      </w:r>
    </w:p>
    <w:p>
      <w:pPr>
        <w:pStyle w:val="Heading2"/>
        <w:keepNext/>
      </w:pPr>
      <w:r>
        <w:rPr>
          <w:rFonts w:ascii="Arial" w:hAnsi="Arial" w:cs="Arial"/>
          <w:sz w:val="25"/>
        </w:rPr>
        <w:t>1.3. Clases</w:t>
      </w:r>
    </w:p>
    <w:p>
      <w:pPr>
        <w:jc w:val="both"/>
      </w:pPr>
      <w:r>
        <w:rPr>
          <w:rFonts w:ascii="Arial" w:hAnsi="Arial" w:cs="Arial"/>
          <w:sz w:val="22"/>
        </w:rPr>
        <w:t>La LPAC regula tres recursos:</w:t>
      </w:r>
    </w:p>
    <w:tbl>
      <w:tblPr>
        <w:tblStyle w:val="TableGrid"/>
        <w:tblW w:type="dxa" w:w="9026"/>
        <w:jc w:val="left"/>
        <w:tblLayout w:type="fixed"/>
        <w:tblLook w:firstColumn="1" w:firstRow="1" w:lastColumn="0" w:lastRow="0" w:noHBand="0" w:noVBand="1" w:val="04A0"/>
        <w:tblInd w:w="120" w:type="dxa"/>
      </w:tblPr>
      <w:tblGrid>
        <w:gridCol w:w="1790"/>
        <w:gridCol w:w="2685"/>
        <w:gridCol w:w="1343"/>
        <w:gridCol w:w="3208"/>
      </w:tblGrid>
      <w:tr>
        <w:trPr>
          <w:tblHeader w:val="true"/>
        </w:trPr>
        <w:tc>
          <w:tcPr>
            <w:tcW w:type="dxa" w:w="179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Recurso</w:t>
            </w:r>
          </w:p>
        </w:tc>
        <w:tc>
          <w:tcPr>
            <w:tcW w:type="dxa" w:w="2685"/>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Acto impugnado</w:t>
            </w:r>
          </w:p>
        </w:tc>
        <w:tc>
          <w:tcPr>
            <w:tcW w:type="dxa" w:w="134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Órgano resolutor</w:t>
            </w:r>
          </w:p>
        </w:tc>
        <w:tc>
          <w:tcPr>
            <w:tcW w:type="dxa" w:w="3208"/>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Carácter</w:t>
            </w:r>
          </w:p>
        </w:tc>
      </w:tr>
      <w:tr>
        <w:tc>
          <w:tcPr>
            <w:tcW w:type="dxa" w:w="1790"/>
            <w:tcMar>
              <w:top w:w="80" w:type="dxa"/>
              <w:start w:w="120" w:type="dxa"/>
              <w:bottom w:w="80" w:type="dxa"/>
              <w:end w:w="120" w:type="dxa"/>
            </w:tcMar>
            <w:vAlign w:val="center"/>
          </w:tcPr>
          <w:p>
            <w:pPr>
              <w:spacing w:before="0" w:after="0" w:line="240" w:lineRule="auto"/>
              <w:jc w:val="left"/>
            </w:pPr>
            <w:r/>
            <w:r>
              <w:rPr>
                <w:rFonts w:ascii="Arial" w:hAnsi="Arial" w:cs="Arial"/>
                <w:sz w:val="18"/>
              </w:rPr>
              <w:t>Alzada</w:t>
            </w:r>
          </w:p>
        </w:tc>
        <w:tc>
          <w:tcPr>
            <w:tcW w:type="dxa" w:w="2685"/>
            <w:tcMar>
              <w:top w:w="80" w:type="dxa"/>
              <w:start w:w="120" w:type="dxa"/>
              <w:bottom w:w="80" w:type="dxa"/>
              <w:end w:w="120" w:type="dxa"/>
            </w:tcMar>
            <w:vAlign w:val="center"/>
          </w:tcPr>
          <w:p>
            <w:pPr>
              <w:spacing w:before="0" w:after="0" w:line="240" w:lineRule="auto"/>
              <w:jc w:val="left"/>
            </w:pPr>
            <w:r/>
            <w:r>
              <w:rPr>
                <w:rFonts w:ascii="Arial" w:hAnsi="Arial" w:cs="Arial"/>
                <w:sz w:val="18"/>
              </w:rPr>
              <w:t>Acto que no pone fin a la vía administrativa</w:t>
            </w:r>
          </w:p>
        </w:tc>
        <w:tc>
          <w:tcPr>
            <w:tcW w:type="dxa" w:w="1343"/>
            <w:tcMar>
              <w:top w:w="80" w:type="dxa"/>
              <w:start w:w="120" w:type="dxa"/>
              <w:bottom w:w="80" w:type="dxa"/>
              <w:end w:w="120" w:type="dxa"/>
            </w:tcMar>
            <w:vAlign w:val="center"/>
          </w:tcPr>
          <w:p>
            <w:pPr>
              <w:spacing w:before="0" w:after="0" w:line="240" w:lineRule="auto"/>
              <w:jc w:val="left"/>
            </w:pPr>
            <w:r/>
            <w:r>
              <w:rPr>
                <w:rFonts w:ascii="Arial" w:hAnsi="Arial" w:cs="Arial"/>
                <w:sz w:val="18"/>
              </w:rPr>
              <w:t>Superior jerárquico</w:t>
            </w:r>
          </w:p>
        </w:tc>
        <w:tc>
          <w:tcPr>
            <w:tcW w:type="dxa" w:w="3208"/>
            <w:tcMar>
              <w:top w:w="80" w:type="dxa"/>
              <w:start w:w="120" w:type="dxa"/>
              <w:bottom w:w="80" w:type="dxa"/>
              <w:end w:w="120" w:type="dxa"/>
            </w:tcMar>
            <w:vAlign w:val="center"/>
          </w:tcPr>
          <w:p>
            <w:pPr>
              <w:spacing w:before="0" w:after="0" w:line="240" w:lineRule="auto"/>
              <w:jc w:val="left"/>
            </w:pPr>
            <w:r/>
            <w:r>
              <w:rPr>
                <w:rFonts w:ascii="Arial" w:hAnsi="Arial" w:cs="Arial"/>
                <w:sz w:val="18"/>
              </w:rPr>
              <w:t>Ordinario y, normalmente, necesario para agotar vía</w:t>
            </w:r>
          </w:p>
        </w:tc>
      </w:tr>
      <w:tr>
        <w:tc>
          <w:tcPr>
            <w:tcW w:type="dxa" w:w="1790"/>
            <w:tcMar>
              <w:top w:w="80" w:type="dxa"/>
              <w:start w:w="120" w:type="dxa"/>
              <w:bottom w:w="80" w:type="dxa"/>
              <w:end w:w="120" w:type="dxa"/>
            </w:tcMar>
            <w:vAlign w:val="center"/>
          </w:tcPr>
          <w:p>
            <w:pPr>
              <w:spacing w:before="0" w:after="0" w:line="240" w:lineRule="auto"/>
              <w:jc w:val="left"/>
            </w:pPr>
            <w:r/>
            <w:r>
              <w:rPr>
                <w:rFonts w:ascii="Arial" w:hAnsi="Arial" w:cs="Arial"/>
                <w:sz w:val="18"/>
              </w:rPr>
              <w:t>Reposición</w:t>
            </w:r>
          </w:p>
        </w:tc>
        <w:tc>
          <w:tcPr>
            <w:tcW w:type="dxa" w:w="2685"/>
            <w:tcMar>
              <w:top w:w="80" w:type="dxa"/>
              <w:start w:w="120" w:type="dxa"/>
              <w:bottom w:w="80" w:type="dxa"/>
              <w:end w:w="120" w:type="dxa"/>
            </w:tcMar>
            <w:vAlign w:val="center"/>
          </w:tcPr>
          <w:p>
            <w:pPr>
              <w:spacing w:before="0" w:after="0" w:line="240" w:lineRule="auto"/>
              <w:jc w:val="left"/>
            </w:pPr>
            <w:r/>
            <w:r>
              <w:rPr>
                <w:rFonts w:ascii="Arial" w:hAnsi="Arial" w:cs="Arial"/>
                <w:sz w:val="18"/>
              </w:rPr>
              <w:t>Acto que pone fin a la vía administrativa</w:t>
            </w:r>
          </w:p>
        </w:tc>
        <w:tc>
          <w:tcPr>
            <w:tcW w:type="dxa" w:w="1343"/>
            <w:tcMar>
              <w:top w:w="80" w:type="dxa"/>
              <w:start w:w="120" w:type="dxa"/>
              <w:bottom w:w="80" w:type="dxa"/>
              <w:end w:w="120" w:type="dxa"/>
            </w:tcMar>
            <w:vAlign w:val="center"/>
          </w:tcPr>
          <w:p>
            <w:pPr>
              <w:spacing w:before="0" w:after="0" w:line="240" w:lineRule="auto"/>
              <w:jc w:val="left"/>
            </w:pPr>
            <w:r/>
            <w:r>
              <w:rPr>
                <w:rFonts w:ascii="Arial" w:hAnsi="Arial" w:cs="Arial"/>
                <w:sz w:val="18"/>
              </w:rPr>
              <w:t>El mismo órgano autor</w:t>
            </w:r>
          </w:p>
        </w:tc>
        <w:tc>
          <w:tcPr>
            <w:tcW w:type="dxa" w:w="3208"/>
            <w:tcMar>
              <w:top w:w="80" w:type="dxa"/>
              <w:start w:w="120" w:type="dxa"/>
              <w:bottom w:w="80" w:type="dxa"/>
              <w:end w:w="120" w:type="dxa"/>
            </w:tcMar>
            <w:vAlign w:val="center"/>
          </w:tcPr>
          <w:p>
            <w:pPr>
              <w:spacing w:before="0" w:after="0" w:line="240" w:lineRule="auto"/>
              <w:jc w:val="left"/>
            </w:pPr>
            <w:r/>
            <w:r>
              <w:rPr>
                <w:rFonts w:ascii="Arial" w:hAnsi="Arial" w:cs="Arial"/>
                <w:sz w:val="18"/>
              </w:rPr>
              <w:t>Ordinario y potestativo</w:t>
            </w:r>
          </w:p>
        </w:tc>
      </w:tr>
      <w:tr>
        <w:tc>
          <w:tcPr>
            <w:tcW w:type="dxa" w:w="1790"/>
            <w:tcMar>
              <w:top w:w="80" w:type="dxa"/>
              <w:start w:w="120" w:type="dxa"/>
              <w:bottom w:w="80" w:type="dxa"/>
              <w:end w:w="120" w:type="dxa"/>
            </w:tcMar>
            <w:vAlign w:val="center"/>
          </w:tcPr>
          <w:p>
            <w:pPr>
              <w:spacing w:before="0" w:after="0" w:line="240" w:lineRule="auto"/>
              <w:jc w:val="left"/>
            </w:pPr>
            <w:r/>
            <w:r>
              <w:rPr>
                <w:rFonts w:ascii="Arial" w:hAnsi="Arial" w:cs="Arial"/>
                <w:sz w:val="18"/>
              </w:rPr>
              <w:t>Extraordinario de revisión</w:t>
            </w:r>
          </w:p>
        </w:tc>
        <w:tc>
          <w:tcPr>
            <w:tcW w:type="dxa" w:w="2685"/>
            <w:tcMar>
              <w:top w:w="80" w:type="dxa"/>
              <w:start w:w="120" w:type="dxa"/>
              <w:bottom w:w="80" w:type="dxa"/>
              <w:end w:w="120" w:type="dxa"/>
            </w:tcMar>
            <w:vAlign w:val="center"/>
          </w:tcPr>
          <w:p>
            <w:pPr>
              <w:spacing w:before="0" w:after="0" w:line="240" w:lineRule="auto"/>
              <w:jc w:val="left"/>
            </w:pPr>
            <w:r/>
            <w:r>
              <w:rPr>
                <w:rFonts w:ascii="Arial" w:hAnsi="Arial" w:cs="Arial"/>
                <w:sz w:val="18"/>
              </w:rPr>
              <w:t>Acto firme en vía administrativa</w:t>
            </w:r>
          </w:p>
        </w:tc>
        <w:tc>
          <w:tcPr>
            <w:tcW w:type="dxa" w:w="1343"/>
            <w:tcMar>
              <w:top w:w="80" w:type="dxa"/>
              <w:start w:w="120" w:type="dxa"/>
              <w:bottom w:w="80" w:type="dxa"/>
              <w:end w:w="120" w:type="dxa"/>
            </w:tcMar>
            <w:vAlign w:val="center"/>
          </w:tcPr>
          <w:p>
            <w:pPr>
              <w:spacing w:before="0" w:after="0" w:line="240" w:lineRule="auto"/>
              <w:jc w:val="left"/>
            </w:pPr>
            <w:r/>
            <w:r>
              <w:rPr>
                <w:rFonts w:ascii="Arial" w:hAnsi="Arial" w:cs="Arial"/>
                <w:sz w:val="18"/>
              </w:rPr>
              <w:t>El mismo órgano autor</w:t>
            </w:r>
          </w:p>
        </w:tc>
        <w:tc>
          <w:tcPr>
            <w:tcW w:type="dxa" w:w="3208"/>
            <w:tcMar>
              <w:top w:w="80" w:type="dxa"/>
              <w:start w:w="120" w:type="dxa"/>
              <w:bottom w:w="80" w:type="dxa"/>
              <w:end w:w="120" w:type="dxa"/>
            </w:tcMar>
            <w:vAlign w:val="center"/>
          </w:tcPr>
          <w:p>
            <w:pPr>
              <w:spacing w:before="0" w:after="0" w:line="240" w:lineRule="auto"/>
              <w:jc w:val="left"/>
            </w:pPr>
            <w:r/>
            <w:r>
              <w:rPr>
                <w:rFonts w:ascii="Arial" w:hAnsi="Arial" w:cs="Arial"/>
                <w:sz w:val="18"/>
              </w:rPr>
              <w:t>Extraordinario, por causas tasadas</w:t>
            </w:r>
          </w:p>
        </w:tc>
      </w:tr>
    </w:tbl>
    <w:p>
      <w:pPr>
        <w:spacing w:after="40"/>
      </w:pPr>
    </w:p>
    <w:p>
      <w:pPr>
        <w:jc w:val="both"/>
      </w:pPr>
      <w:r>
        <w:rPr>
          <w:rFonts w:ascii="Arial" w:hAnsi="Arial" w:cs="Arial"/>
          <w:sz w:val="22"/>
        </w:rPr>
        <w:t>Alzada y reposición pueden fundarse en cualquier motivo de nulidad o anulabilidad. El extraordinario solo procede por las cuatro circunstancias del artículo 125.1. Las reclamaciones económico-administrativas se rigen por su legislación específica y no deben confundirse con estos recursos comunes.</w:t>
      </w:r>
    </w:p>
    <w:p>
      <w:pPr>
        <w:pStyle w:val="Heading1"/>
        <w:keepNext/>
      </w:pPr>
      <w:r>
        <w:rPr>
          <w:rFonts w:ascii="Arial" w:hAnsi="Arial" w:cs="Arial"/>
          <w:sz w:val="30"/>
        </w:rPr>
        <w:t>2. Objeto de los recursos administrativos</w:t>
      </w:r>
    </w:p>
    <w:p>
      <w:pPr>
        <w:pStyle w:val="Heading2"/>
        <w:keepNext/>
      </w:pPr>
      <w:r>
        <w:rPr>
          <w:rFonts w:ascii="Arial" w:hAnsi="Arial" w:cs="Arial"/>
          <w:sz w:val="25"/>
        </w:rPr>
        <w:t>2.1. Resoluciones y actos de trámite cualificados</w:t>
      </w:r>
    </w:p>
    <w:p>
      <w:pPr>
        <w:jc w:val="both"/>
      </w:pPr>
      <w:r>
        <w:rPr>
          <w:rFonts w:ascii="Arial" w:hAnsi="Arial" w:cs="Arial"/>
          <w:sz w:val="22"/>
        </w:rPr>
        <w:t>Conforme al artículo 112.1 LPAC, son recurribles:</w:t>
      </w:r>
    </w:p>
    <w:p>
      <w:pPr>
        <w:spacing w:after="40"/>
        <w:ind w:left="369" w:hanging="227"/>
      </w:pPr>
      <w:r>
        <w:rPr>
          <w:rFonts w:ascii="Arial" w:hAnsi="Arial" w:cs="Arial"/>
          <w:sz w:val="22"/>
        </w:rPr>
        <w:t>1. las resoluciones que deciden el procedimiento;</w:t>
      </w:r>
    </w:p>
    <w:p>
      <w:pPr>
        <w:spacing w:after="40"/>
        <w:ind w:left="369" w:hanging="227"/>
      </w:pPr>
      <w:r>
        <w:rPr>
          <w:rFonts w:ascii="Arial" w:hAnsi="Arial" w:cs="Arial"/>
          <w:sz w:val="22"/>
        </w:rPr>
        <w:t>2. los actos de trámite cuando:</w:t>
      </w:r>
    </w:p>
    <w:p>
      <w:pPr>
        <w:pStyle w:val="ListBullet"/>
      </w:pPr>
      <w:r>
        <w:rPr>
          <w:rFonts w:ascii="Arial" w:hAnsi="Arial" w:cs="Arial"/>
          <w:sz w:val="22"/>
        </w:rPr>
        <w:t>deciden directa o indirectamente el fondo;</w:t>
      </w:r>
    </w:p>
    <w:p>
      <w:pPr>
        <w:pStyle w:val="ListBullet"/>
      </w:pPr>
      <w:r>
        <w:rPr>
          <w:rFonts w:ascii="Arial" w:hAnsi="Arial" w:cs="Arial"/>
          <w:sz w:val="22"/>
        </w:rPr>
        <w:t>hacen imposible continuar el procedimiento;</w:t>
      </w:r>
    </w:p>
    <w:p>
      <w:pPr>
        <w:pStyle w:val="ListBullet"/>
      </w:pPr>
      <w:r>
        <w:rPr>
          <w:rFonts w:ascii="Arial" w:hAnsi="Arial" w:cs="Arial"/>
          <w:sz w:val="22"/>
        </w:rPr>
        <w:t>producen indefensión;</w:t>
      </w:r>
    </w:p>
    <w:p>
      <w:pPr>
        <w:pStyle w:val="ListBullet"/>
      </w:pPr>
      <w:r>
        <w:rPr>
          <w:rFonts w:ascii="Arial" w:hAnsi="Arial" w:cs="Arial"/>
          <w:sz w:val="22"/>
        </w:rPr>
        <w:t>causan perjuicio irreparable a derechos o intereses legítimos.</w:t>
      </w:r>
    </w:p>
    <w:p>
      <w:pPr>
        <w:jc w:val="both"/>
      </w:pPr>
      <w:r>
        <w:rPr>
          <w:rFonts w:ascii="Arial" w:hAnsi="Arial" w:cs="Arial"/>
          <w:sz w:val="22"/>
        </w:rPr>
        <w:t xml:space="preserve">Estos últimos se denominan </w:t>
      </w:r>
      <w:r>
        <w:rPr>
          <w:rFonts w:ascii="Arial" w:hAnsi="Arial" w:cs="Arial"/>
          <w:b/>
          <w:sz w:val="22"/>
        </w:rPr>
        <w:t>actos de trámite cualificados</w:t>
      </w:r>
      <w:r>
        <w:rPr>
          <w:rFonts w:ascii="Arial" w:hAnsi="Arial" w:cs="Arial"/>
          <w:sz w:val="22"/>
        </w:rPr>
        <w:t>. Los restantes actos de trámite no se recurren separadamente; sus defectos pueden alegarse para que se consideren en la resolución final y, después, al recurrirla.</w:t>
      </w:r>
    </w:p>
    <w:p>
      <w:pPr>
        <w:jc w:val="both"/>
      </w:pPr>
      <w:r>
        <w:rPr>
          <w:rFonts w:ascii="Arial" w:hAnsi="Arial" w:cs="Arial"/>
          <w:sz w:val="22"/>
        </w:rPr>
        <w:t>La distinción impide fragmentar cada expediente en múltiples recursos, pero protege frente a decisiones intermedias con efectos equivalentes a una resolución. Por ejemplo, un mero requerimiento subsanable suele ser trámite ordinario, mientras que una exclusión que impide continuar puede ser cualificada.</w:t>
      </w:r>
    </w:p>
    <w:p>
      <w:pPr>
        <w:jc w:val="both"/>
      </w:pPr>
      <w:r>
        <w:rPr>
          <w:rFonts w:ascii="Arial" w:hAnsi="Arial" w:cs="Arial"/>
          <w:sz w:val="22"/>
        </w:rPr>
        <w:t>Los recursos ordinarios se fundan en causas de nulidad del artículo 47 o anulabilidad del artículo 48. La nulidad comprende, entre otros supuestos, lesión de derechos fundamentales susceptibles de amparo, incompetencia manifiesta por materia o territorio, contenido imposible, acto constitutivo de infracción penal o dictado prescindiendo total y absolutamente del procedimiento. La anulabilidad alcanza cualquier infracción del ordenamiento, incluida la desviación de poder, con los límites legales de los defectos formales.</w:t>
      </w:r>
    </w:p>
    <w:p>
      <w:pPr>
        <w:pStyle w:val="Heading2"/>
        <w:keepNext/>
      </w:pPr>
      <w:r>
        <w:rPr>
          <w:rFonts w:ascii="Arial" w:hAnsi="Arial" w:cs="Arial"/>
          <w:sz w:val="25"/>
        </w:rPr>
        <w:t>2.2. Disposiciones generales</w:t>
      </w:r>
    </w:p>
    <w:p>
      <w:pPr>
        <w:jc w:val="both"/>
      </w:pPr>
      <w:r>
        <w:rPr>
          <w:rFonts w:ascii="Arial" w:hAnsi="Arial" w:cs="Arial"/>
          <w:sz w:val="22"/>
        </w:rPr>
        <w:t xml:space="preserve">Contra las disposiciones administrativas de carácter general </w:t>
      </w:r>
      <w:r>
        <w:rPr>
          <w:rFonts w:ascii="Arial" w:hAnsi="Arial" w:cs="Arial"/>
          <w:b/>
          <w:sz w:val="22"/>
        </w:rPr>
        <w:t>no cabe recurso administrativo</w:t>
      </w:r>
      <w:r>
        <w:rPr>
          <w:rFonts w:ascii="Arial" w:hAnsi="Arial" w:cs="Arial"/>
          <w:sz w:val="22"/>
        </w:rPr>
        <w:t>. Su impugnación directa corresponde a la jurisdicción contencioso-administrativa.</w:t>
      </w:r>
    </w:p>
    <w:p>
      <w:pPr>
        <w:jc w:val="both"/>
      </w:pPr>
      <w:r>
        <w:rPr>
          <w:rFonts w:ascii="Arial" w:hAnsi="Arial" w:cs="Arial"/>
          <w:sz w:val="22"/>
        </w:rPr>
        <w:t>Si el recurso contra un acto se funda únicamente en la nulidad de una disposición general, puede interponerse directamente ante el órgano que dictó la disposición. Es el denominado recurso indirecto administrativo contra el acto de aplicación, pero el objeto inmediato sigue siendo el acto.</w:t>
      </w:r>
    </w:p>
    <w:p>
      <w:pPr>
        <w:jc w:val="both"/>
      </w:pPr>
      <w:r>
        <w:rPr>
          <w:rFonts w:ascii="Arial" w:hAnsi="Arial" w:cs="Arial"/>
          <w:sz w:val="22"/>
        </w:rPr>
        <w:t>La prohibición no significa que un reglamento ilegal quede inmune. Puede impugnarse directamente ante los tribunales dentro del plazo o indirectamente al recurrir un acto de aplicación. Además, la revisión de oficio de disposiciones nulas sigue su régimen propio.</w:t>
      </w:r>
    </w:p>
    <w:p>
      <w:pPr>
        <w:pStyle w:val="Heading2"/>
        <w:keepNext/>
      </w:pPr>
      <w:r>
        <w:rPr>
          <w:rFonts w:ascii="Arial" w:hAnsi="Arial" w:cs="Arial"/>
          <w:sz w:val="25"/>
        </w:rPr>
        <w:t>2.3. Sustitución sectorial de recursos</w:t>
      </w:r>
    </w:p>
    <w:p>
      <w:pPr>
        <w:jc w:val="both"/>
      </w:pPr>
      <w:r>
        <w:rPr>
          <w:rFonts w:ascii="Arial" w:hAnsi="Arial" w:cs="Arial"/>
          <w:sz w:val="22"/>
        </w:rPr>
        <w:t>Una ley puede sustituir la alzada, en ámbitos sectoriales y por razón justificada de la materia, por procedimientos de impugnación, reclamación, conciliación, mediación o arbitraje ante órganos colegiados o comisiones no sometidos a instrucciones jerárquicas. Deben respetarse principios, garantías y plazos de la LPAC.</w:t>
      </w:r>
    </w:p>
    <w:p>
      <w:pPr>
        <w:jc w:val="both"/>
      </w:pPr>
      <w:r>
        <w:rPr>
          <w:rFonts w:ascii="Arial" w:hAnsi="Arial" w:cs="Arial"/>
          <w:sz w:val="22"/>
        </w:rPr>
        <w:t>La reposición también puede sustituirse en esas condiciones, pero debe conservarse su naturaleza potestativa. En la Administración local, la sustitución no puede desconocer las facultades resolutorias de los órganos representativos electos.</w:t>
      </w:r>
    </w:p>
    <w:p>
      <w:pPr>
        <w:pStyle w:val="Heading1"/>
        <w:keepNext/>
      </w:pPr>
      <w:r>
        <w:rPr>
          <w:rFonts w:ascii="Arial" w:hAnsi="Arial" w:cs="Arial"/>
          <w:sz w:val="30"/>
        </w:rPr>
        <w:t>3. Actos que ponen fin a la vía administrativa</w:t>
      </w:r>
    </w:p>
    <w:p>
      <w:pPr>
        <w:jc w:val="both"/>
      </w:pPr>
      <w:r>
        <w:rPr>
          <w:rFonts w:ascii="Arial" w:hAnsi="Arial" w:cs="Arial"/>
          <w:sz w:val="22"/>
        </w:rPr>
        <w:t>Saber si un acto agota la vía es imprescindible para elegir recurso. El artículo 114.1 LPAC establece que ponen fin:</w:t>
      </w:r>
    </w:p>
    <w:p>
      <w:pPr>
        <w:pStyle w:val="ListBullet"/>
      </w:pPr>
      <w:r>
        <w:rPr>
          <w:rFonts w:ascii="Arial" w:hAnsi="Arial" w:cs="Arial"/>
          <w:sz w:val="22"/>
        </w:rPr>
        <w:t>las resoluciones de recursos de alzada;</w:t>
      </w:r>
    </w:p>
    <w:p>
      <w:pPr>
        <w:pStyle w:val="ListBullet"/>
      </w:pPr>
      <w:r>
        <w:rPr>
          <w:rFonts w:ascii="Arial" w:hAnsi="Arial" w:cs="Arial"/>
          <w:sz w:val="22"/>
        </w:rPr>
        <w:t>las resoluciones de procedimientos sustitutivos del artículo 112.2;</w:t>
      </w:r>
    </w:p>
    <w:p>
      <w:pPr>
        <w:pStyle w:val="ListBullet"/>
      </w:pPr>
      <w:r>
        <w:rPr>
          <w:rFonts w:ascii="Arial" w:hAnsi="Arial" w:cs="Arial"/>
          <w:sz w:val="22"/>
        </w:rPr>
        <w:t>las resoluciones de órganos sin superior jerárquico, salvo ley contraria;</w:t>
      </w:r>
    </w:p>
    <w:p>
      <w:pPr>
        <w:pStyle w:val="ListBullet"/>
      </w:pPr>
      <w:r>
        <w:rPr>
          <w:rFonts w:ascii="Arial" w:hAnsi="Arial" w:cs="Arial"/>
          <w:sz w:val="22"/>
        </w:rPr>
        <w:t>los acuerdos, pactos, convenios o contratos finalizadores;</w:t>
      </w:r>
    </w:p>
    <w:p>
      <w:pPr>
        <w:pStyle w:val="ListBullet"/>
      </w:pPr>
      <w:r>
        <w:rPr>
          <w:rFonts w:ascii="Arial" w:hAnsi="Arial" w:cs="Arial"/>
          <w:sz w:val="22"/>
        </w:rPr>
        <w:t>las resoluciones de responsabilidad patrimonial, cualquiera que sea la relación de origen;</w:t>
      </w:r>
    </w:p>
    <w:p>
      <w:pPr>
        <w:pStyle w:val="ListBullet"/>
      </w:pPr>
      <w:r>
        <w:rPr>
          <w:rFonts w:ascii="Arial" w:hAnsi="Arial" w:cs="Arial"/>
          <w:sz w:val="22"/>
        </w:rPr>
        <w:t>las resoluciones de procedimientos complementarios sancionadores para fijar daños;</w:t>
      </w:r>
    </w:p>
    <w:p>
      <w:pPr>
        <w:pStyle w:val="ListBullet"/>
      </w:pPr>
      <w:r>
        <w:rPr>
          <w:rFonts w:ascii="Arial" w:hAnsi="Arial" w:cs="Arial"/>
          <w:sz w:val="22"/>
        </w:rPr>
        <w:t>las demás resoluciones cuando una norma legal o reglamentaria lo establezca.</w:t>
      </w:r>
    </w:p>
    <w:p>
      <w:pPr>
        <w:jc w:val="both"/>
      </w:pPr>
      <w:r>
        <w:rPr>
          <w:rFonts w:ascii="Arial" w:hAnsi="Arial" w:cs="Arial"/>
          <w:sz w:val="22"/>
        </w:rPr>
        <w:t>En el ámbito estatal también ponen fin:</w:t>
      </w:r>
    </w:p>
    <w:p>
      <w:pPr>
        <w:spacing w:after="40"/>
        <w:ind w:left="369" w:hanging="227"/>
      </w:pPr>
      <w:r>
        <w:rPr>
          <w:rFonts w:ascii="Arial" w:hAnsi="Arial" w:cs="Arial"/>
          <w:sz w:val="22"/>
        </w:rPr>
        <w:t>1. los actos de miembros y órganos del Gobierno;</w:t>
      </w:r>
    </w:p>
    <w:p>
      <w:pPr>
        <w:spacing w:after="40"/>
        <w:ind w:left="369" w:hanging="227"/>
      </w:pPr>
      <w:r>
        <w:rPr>
          <w:rFonts w:ascii="Arial" w:hAnsi="Arial" w:cs="Arial"/>
          <w:sz w:val="22"/>
        </w:rPr>
        <w:t>2. los actos de ministros y secretarios de Estado en sus competencias;</w:t>
      </w:r>
    </w:p>
    <w:p>
      <w:pPr>
        <w:spacing w:after="40"/>
        <w:ind w:left="369" w:hanging="227"/>
      </w:pPr>
      <w:r>
        <w:rPr>
          <w:rFonts w:ascii="Arial" w:hAnsi="Arial" w:cs="Arial"/>
          <w:sz w:val="22"/>
        </w:rPr>
        <w:t>3. los actos de órganos directivos con nivel de director general o superior en materia de personal;</w:t>
      </w:r>
    </w:p>
    <w:p>
      <w:pPr>
        <w:spacing w:after="40"/>
        <w:ind w:left="369" w:hanging="227"/>
      </w:pPr>
      <w:r>
        <w:rPr>
          <w:rFonts w:ascii="Arial" w:hAnsi="Arial" w:cs="Arial"/>
          <w:sz w:val="22"/>
        </w:rPr>
        <w:t>4. los actos de los máximos órganos de dirección de organismos públicos y entidades de Derecho público, según sus estatutos, salvo ley distinta.</w:t>
      </w:r>
    </w:p>
    <w:p>
      <w:pPr>
        <w:jc w:val="both"/>
      </w:pPr>
      <w:r>
        <w:rPr>
          <w:rFonts w:ascii="Arial" w:hAnsi="Arial" w:cs="Arial"/>
          <w:sz w:val="22"/>
        </w:rPr>
        <w:t>La expresión «pone fin a la vía administrativa» no equivale a «es firme». Un acto que agota la vía puede todavía impugnarse por reposición potestativa o directamente en vía contenciosa. Es firme administrativamente cuando ya no cabe recurso ordinario por haberse agotado o dejado transcurrir el plazo, sin perjuicio del extraordinario de revisión y de las potestades de revisión de oficio.</w:t>
      </w:r>
    </w:p>
    <w:p>
      <w:pPr>
        <w:pStyle w:val="Heading1"/>
        <w:keepNext/>
      </w:pPr>
      <w:r>
        <w:rPr>
          <w:rFonts w:ascii="Arial" w:hAnsi="Arial" w:cs="Arial"/>
          <w:sz w:val="30"/>
        </w:rPr>
        <w:t>4. Reglas comunes de los recursos</w:t>
      </w:r>
    </w:p>
    <w:p>
      <w:pPr>
        <w:pStyle w:val="Heading2"/>
        <w:keepNext/>
      </w:pPr>
      <w:r>
        <w:rPr>
          <w:rFonts w:ascii="Arial" w:hAnsi="Arial" w:cs="Arial"/>
          <w:sz w:val="25"/>
        </w:rPr>
        <w:t>4.1. Interposición y contenido</w:t>
      </w:r>
    </w:p>
    <w:p>
      <w:pPr>
        <w:jc w:val="both"/>
      </w:pPr>
      <w:r>
        <w:rPr>
          <w:rFonts w:ascii="Arial" w:hAnsi="Arial" w:cs="Arial"/>
          <w:sz w:val="22"/>
        </w:rPr>
        <w:t>El escrito de recurso debe contener:</w:t>
      </w:r>
    </w:p>
    <w:p>
      <w:pPr>
        <w:pStyle w:val="ListBullet"/>
      </w:pPr>
      <w:r>
        <w:rPr>
          <w:rFonts w:ascii="Arial" w:hAnsi="Arial" w:cs="Arial"/>
          <w:sz w:val="22"/>
        </w:rPr>
        <w:t>nombre, apellidos e identificación personal del recurrente;</w:t>
      </w:r>
    </w:p>
    <w:p>
      <w:pPr>
        <w:pStyle w:val="ListBullet"/>
      </w:pPr>
      <w:r>
        <w:rPr>
          <w:rFonts w:ascii="Arial" w:hAnsi="Arial" w:cs="Arial"/>
          <w:sz w:val="22"/>
        </w:rPr>
        <w:t>acto recurrido y razón de la impugnación;</w:t>
      </w:r>
    </w:p>
    <w:p>
      <w:pPr>
        <w:pStyle w:val="ListBullet"/>
      </w:pPr>
      <w:r>
        <w:rPr>
          <w:rFonts w:ascii="Arial" w:hAnsi="Arial" w:cs="Arial"/>
          <w:sz w:val="22"/>
        </w:rPr>
        <w:t>lugar, fecha y firma;</w:t>
      </w:r>
    </w:p>
    <w:p>
      <w:pPr>
        <w:pStyle w:val="ListBullet"/>
      </w:pPr>
      <w:r>
        <w:rPr>
          <w:rFonts w:ascii="Arial" w:hAnsi="Arial" w:cs="Arial"/>
          <w:sz w:val="22"/>
        </w:rPr>
        <w:t>medio y, en su caso, lugar para notificaciones;</w:t>
      </w:r>
    </w:p>
    <w:p>
      <w:pPr>
        <w:pStyle w:val="ListBullet"/>
      </w:pPr>
      <w:r>
        <w:rPr>
          <w:rFonts w:ascii="Arial" w:hAnsi="Arial" w:cs="Arial"/>
          <w:sz w:val="22"/>
        </w:rPr>
        <w:t>órgano, centro o unidad destinataria y código de identificación;</w:t>
      </w:r>
    </w:p>
    <w:p>
      <w:pPr>
        <w:pStyle w:val="ListBullet"/>
      </w:pPr>
      <w:r>
        <w:rPr>
          <w:rFonts w:ascii="Arial" w:hAnsi="Arial" w:cs="Arial"/>
          <w:sz w:val="22"/>
        </w:rPr>
        <w:t>otras particularidades que exija la normativa específica.</w:t>
      </w:r>
    </w:p>
    <w:p>
      <w:pPr>
        <w:jc w:val="both"/>
      </w:pPr>
      <w:r>
        <w:rPr>
          <w:rFonts w:ascii="Arial" w:hAnsi="Arial" w:cs="Arial"/>
          <w:sz w:val="22"/>
        </w:rPr>
        <w:t>El error o la ausencia de calificación no impide tramitarlo si puede deducirse su verdadero carácter. Prima el contenido real sobre la denominación usada. Un escrito titulado «reposición» contra un acto no definitivo puede tramitarse como alzada si reúne sus presupuestos.</w:t>
      </w:r>
    </w:p>
    <w:p>
      <w:pPr>
        <w:jc w:val="both"/>
      </w:pPr>
      <w:r>
        <w:rPr>
          <w:rFonts w:ascii="Arial" w:hAnsi="Arial" w:cs="Arial"/>
          <w:sz w:val="22"/>
        </w:rPr>
        <w:t>Quien causó un vicio que solo hace anulable el acto no puede después invocarlo como fundamento. La regla impide beneficiarse de la propia conducta, pero se refiere a anulabilidad; no transforma en válido un acto nulo de pleno derecho.</w:t>
      </w:r>
    </w:p>
    <w:p>
      <w:pPr>
        <w:pStyle w:val="Heading2"/>
        <w:keepNext/>
      </w:pPr>
      <w:r>
        <w:rPr>
          <w:rFonts w:ascii="Arial" w:hAnsi="Arial" w:cs="Arial"/>
          <w:sz w:val="25"/>
        </w:rPr>
        <w:t>4.2. Causas de inadmisión</w:t>
      </w:r>
    </w:p>
    <w:p>
      <w:pPr>
        <w:jc w:val="both"/>
      </w:pPr>
      <w:r>
        <w:rPr>
          <w:rFonts w:ascii="Arial" w:hAnsi="Arial" w:cs="Arial"/>
          <w:sz w:val="22"/>
        </w:rPr>
        <w:t>El artículo 116 recoge cinco:</w:t>
      </w:r>
    </w:p>
    <w:p>
      <w:pPr>
        <w:spacing w:after="40"/>
        <w:ind w:left="369" w:hanging="227"/>
      </w:pPr>
      <w:r>
        <w:rPr>
          <w:rFonts w:ascii="Arial" w:hAnsi="Arial" w:cs="Arial"/>
          <w:sz w:val="22"/>
        </w:rPr>
        <w:t>1. incompetencia del órgano, cuando el competente pertenezca a otra Administración;</w:t>
      </w:r>
    </w:p>
    <w:p>
      <w:pPr>
        <w:spacing w:after="40"/>
        <w:ind w:left="369" w:hanging="227"/>
      </w:pPr>
      <w:r>
        <w:rPr>
          <w:rFonts w:ascii="Arial" w:hAnsi="Arial" w:cs="Arial"/>
          <w:sz w:val="22"/>
        </w:rPr>
        <w:t>2. falta de legitimación;</w:t>
      </w:r>
    </w:p>
    <w:p>
      <w:pPr>
        <w:spacing w:after="40"/>
        <w:ind w:left="369" w:hanging="227"/>
      </w:pPr>
      <w:r>
        <w:rPr>
          <w:rFonts w:ascii="Arial" w:hAnsi="Arial" w:cs="Arial"/>
          <w:sz w:val="22"/>
        </w:rPr>
        <w:t>3. acto no susceptible de recurso;</w:t>
      </w:r>
    </w:p>
    <w:p>
      <w:pPr>
        <w:spacing w:after="40"/>
        <w:ind w:left="369" w:hanging="227"/>
      </w:pPr>
      <w:r>
        <w:rPr>
          <w:rFonts w:ascii="Arial" w:hAnsi="Arial" w:cs="Arial"/>
          <w:sz w:val="22"/>
        </w:rPr>
        <w:t>4. recurso fuera de plazo;</w:t>
      </w:r>
    </w:p>
    <w:p>
      <w:pPr>
        <w:spacing w:after="40"/>
        <w:ind w:left="369" w:hanging="227"/>
      </w:pPr>
      <w:r>
        <w:rPr>
          <w:rFonts w:ascii="Arial" w:hAnsi="Arial" w:cs="Arial"/>
          <w:sz w:val="22"/>
        </w:rPr>
        <w:t>5. carencia manifiesta de fundamento.</w:t>
      </w:r>
    </w:p>
    <w:p>
      <w:pPr>
        <w:jc w:val="both"/>
      </w:pPr>
      <w:r>
        <w:rPr>
          <w:rFonts w:ascii="Arial" w:hAnsi="Arial" w:cs="Arial"/>
          <w:sz w:val="22"/>
        </w:rPr>
        <w:t>En el primer caso, el recurso debe remitirse al órgano competente conforme a la Ley 40/2015. No debe confundirse inadmisión —no se entra al fondo— con desestimación —se examina el fondo y se rechaza la pretensión—.</w:t>
      </w:r>
    </w:p>
    <w:p>
      <w:pPr>
        <w:pStyle w:val="Heading2"/>
        <w:keepNext/>
      </w:pPr>
      <w:r>
        <w:rPr>
          <w:rFonts w:ascii="Arial" w:hAnsi="Arial" w:cs="Arial"/>
          <w:sz w:val="25"/>
        </w:rPr>
        <w:t>4.3. Suspensión de la ejecución</w:t>
      </w:r>
    </w:p>
    <w:p>
      <w:pPr>
        <w:jc w:val="both"/>
      </w:pPr>
      <w:r>
        <w:rPr>
          <w:rFonts w:ascii="Arial" w:hAnsi="Arial" w:cs="Arial"/>
          <w:sz w:val="22"/>
        </w:rPr>
        <w:t xml:space="preserve">La interposición de un recurso </w:t>
      </w:r>
      <w:r>
        <w:rPr>
          <w:rFonts w:ascii="Arial" w:hAnsi="Arial" w:cs="Arial"/>
          <w:b/>
          <w:sz w:val="22"/>
        </w:rPr>
        <w:t>no suspende</w:t>
      </w:r>
      <w:r>
        <w:rPr>
          <w:rFonts w:ascii="Arial" w:hAnsi="Arial" w:cs="Arial"/>
          <w:sz w:val="22"/>
        </w:rPr>
        <w:t>, como regla, la ejecución. El órgano competente puede suspender de oficio o a solicitud, previa ponderación razonada del daño al interés público o terceros y del daño al recurrente, si concurre:</w:t>
      </w:r>
    </w:p>
    <w:p>
      <w:pPr>
        <w:pStyle w:val="ListBullet"/>
      </w:pPr>
      <w:r>
        <w:rPr>
          <w:rFonts w:ascii="Arial" w:hAnsi="Arial" w:cs="Arial"/>
          <w:sz w:val="22"/>
        </w:rPr>
        <w:t>perjuicio de imposible o difícil reparación; o</w:t>
      </w:r>
    </w:p>
    <w:p>
      <w:pPr>
        <w:pStyle w:val="ListBullet"/>
      </w:pPr>
      <w:r>
        <w:rPr>
          <w:rFonts w:ascii="Arial" w:hAnsi="Arial" w:cs="Arial"/>
          <w:sz w:val="22"/>
        </w:rPr>
        <w:t>fundamento en una causa de nulidad de pleno derecho del artículo 47.1.</w:t>
      </w:r>
    </w:p>
    <w:p>
      <w:pPr>
        <w:jc w:val="both"/>
      </w:pPr>
      <w:r>
        <w:rPr>
          <w:rFonts w:ascii="Arial" w:hAnsi="Arial" w:cs="Arial"/>
          <w:sz w:val="22"/>
        </w:rPr>
        <w:t xml:space="preserve">No es necesario que concurran ambas: la ley utiliza alternativas. La suspensión no es automática al pedirla, salvo el supuesto de silencio sobre la propia solicitud: si transcurre </w:t>
      </w:r>
      <w:r>
        <w:rPr>
          <w:rFonts w:ascii="Arial" w:hAnsi="Arial" w:cs="Arial"/>
          <w:b/>
          <w:sz w:val="22"/>
        </w:rPr>
        <w:t>un mes</w:t>
      </w:r>
      <w:r>
        <w:rPr>
          <w:rFonts w:ascii="Arial" w:hAnsi="Arial" w:cs="Arial"/>
          <w:sz w:val="22"/>
        </w:rPr>
        <w:t xml:space="preserve"> desde su entrada en el registro electrónico competente sin resolución dictada y notificada, se entiende suspendido el acto.</w:t>
      </w:r>
    </w:p>
    <w:p>
      <w:pPr>
        <w:jc w:val="both"/>
      </w:pPr>
      <w:r>
        <w:rPr>
          <w:rFonts w:ascii="Arial" w:hAnsi="Arial" w:cs="Arial"/>
          <w:sz w:val="22"/>
        </w:rPr>
        <w:t>Pueden adoptarse medidas cautelares para proteger interés público, terceros o eficacia. Si la suspensión puede causar daños, se condiciona a caución o garantía suficiente. Cuando exista medida cautelar y el interesado interponga recurso contencioso pidiendo suspensión, la medida administrativa puede prolongarse hasta que el órgano judicial se pronuncie.</w:t>
      </w:r>
    </w:p>
    <w:p>
      <w:pPr>
        <w:jc w:val="both"/>
      </w:pPr>
      <w:r>
        <w:rPr>
          <w:rFonts w:ascii="Arial" w:hAnsi="Arial" w:cs="Arial"/>
          <w:sz w:val="22"/>
        </w:rPr>
        <w:t>Si el acto afecta a una pluralidad indeterminada, la suspensión debe publicarse en el mismo periódico oficial en que se publicó aquel.</w:t>
      </w:r>
    </w:p>
    <w:p>
      <w:pPr>
        <w:pStyle w:val="Heading2"/>
        <w:keepNext/>
      </w:pPr>
      <w:r>
        <w:rPr>
          <w:rFonts w:ascii="Arial" w:hAnsi="Arial" w:cs="Arial"/>
          <w:sz w:val="25"/>
        </w:rPr>
        <w:t>4.4. Audiencia en el recurso</w:t>
      </w:r>
    </w:p>
    <w:p>
      <w:pPr>
        <w:jc w:val="both"/>
      </w:pPr>
      <w:r>
        <w:rPr>
          <w:rFonts w:ascii="Arial" w:hAnsi="Arial" w:cs="Arial"/>
          <w:sz w:val="22"/>
        </w:rPr>
        <w:t xml:space="preserve">Solo se abre audiencia cuando deban considerarse nuevos hechos o documentos no incluidos en el expediente originario. El plazo es de </w:t>
      </w:r>
      <w:r>
        <w:rPr>
          <w:rFonts w:ascii="Arial" w:hAnsi="Arial" w:cs="Arial"/>
          <w:b/>
          <w:sz w:val="22"/>
        </w:rPr>
        <w:t>diez a quince días</w:t>
      </w:r>
      <w:r>
        <w:rPr>
          <w:rFonts w:ascii="Arial" w:hAnsi="Arial" w:cs="Arial"/>
          <w:sz w:val="22"/>
        </w:rPr>
        <w:t>. Si existen otros interesados, se les da traslado del recurso en todo caso por ese mismo plazo.</w:t>
      </w:r>
    </w:p>
    <w:p>
      <w:pPr>
        <w:jc w:val="both"/>
      </w:pPr>
      <w:r>
        <w:rPr>
          <w:rFonts w:ascii="Arial" w:hAnsi="Arial" w:cs="Arial"/>
          <w:sz w:val="22"/>
        </w:rPr>
        <w:t>No pueden considerarse hechos, documentos o alegaciones que el recurrente pudo aportar durante el procedimiento y no aportó. Tampoco puede pedir prueba omitida por causa imputable a él. El recurso, los informes y las propuestas no son documentos nuevos a estos efectos, ni lo son los documentos ya aportados antes de la resolución.</w:t>
      </w:r>
    </w:p>
    <w:p>
      <w:pPr>
        <w:pStyle w:val="Heading2"/>
        <w:keepNext/>
      </w:pPr>
      <w:r>
        <w:rPr>
          <w:rFonts w:ascii="Arial" w:hAnsi="Arial" w:cs="Arial"/>
          <w:sz w:val="25"/>
        </w:rPr>
        <w:t>4.5. Resolución del recurso</w:t>
      </w:r>
    </w:p>
    <w:p>
      <w:pPr>
        <w:jc w:val="both"/>
      </w:pPr>
      <w:r>
        <w:rPr>
          <w:rFonts w:ascii="Arial" w:hAnsi="Arial" w:cs="Arial"/>
          <w:sz w:val="22"/>
        </w:rPr>
        <w:t>La decisión puede:</w:t>
      </w:r>
    </w:p>
    <w:p>
      <w:pPr>
        <w:pStyle w:val="ListBullet"/>
      </w:pPr>
      <w:r>
        <w:rPr>
          <w:rFonts w:ascii="Arial" w:hAnsi="Arial" w:cs="Arial"/>
          <w:sz w:val="22"/>
        </w:rPr>
        <w:t>estimar totalmente;</w:t>
      </w:r>
    </w:p>
    <w:p>
      <w:pPr>
        <w:pStyle w:val="ListBullet"/>
      </w:pPr>
      <w:r>
        <w:rPr>
          <w:rFonts w:ascii="Arial" w:hAnsi="Arial" w:cs="Arial"/>
          <w:sz w:val="22"/>
        </w:rPr>
        <w:t>estimar parcialmente;</w:t>
      </w:r>
    </w:p>
    <w:p>
      <w:pPr>
        <w:pStyle w:val="ListBullet"/>
      </w:pPr>
      <w:r>
        <w:rPr>
          <w:rFonts w:ascii="Arial" w:hAnsi="Arial" w:cs="Arial"/>
          <w:sz w:val="22"/>
        </w:rPr>
        <w:t>desestimar;</w:t>
      </w:r>
    </w:p>
    <w:p>
      <w:pPr>
        <w:pStyle w:val="ListBullet"/>
      </w:pPr>
      <w:r>
        <w:rPr>
          <w:rFonts w:ascii="Arial" w:hAnsi="Arial" w:cs="Arial"/>
          <w:sz w:val="22"/>
        </w:rPr>
        <w:t>declarar inadmisión.</w:t>
      </w:r>
    </w:p>
    <w:p>
      <w:pPr>
        <w:jc w:val="both"/>
      </w:pPr>
      <w:r>
        <w:rPr>
          <w:rFonts w:ascii="Arial" w:hAnsi="Arial" w:cs="Arial"/>
          <w:sz w:val="22"/>
        </w:rPr>
        <w:t>Si existe vicio formal y no procede resolver sobre el fondo, se ordena retroacción al momento de comisión, sin perjuicio de convalidar actuaciones cuando legalmente sea posible.</w:t>
      </w:r>
    </w:p>
    <w:p>
      <w:pPr>
        <w:jc w:val="both"/>
      </w:pPr>
      <w:r>
        <w:rPr>
          <w:rFonts w:ascii="Arial" w:hAnsi="Arial" w:cs="Arial"/>
          <w:sz w:val="22"/>
        </w:rPr>
        <w:t xml:space="preserve">El órgano debe resolver todas las cuestiones de forma y fondo que plantee el procedimiento, hayan sido o no alegadas. Si introduce una cuestión no alegada, debe oír previamente. La resolución será congruente con las peticiones y no puede agravar la situación inicial del recurrente: es la prohibición de </w:t>
      </w:r>
      <w:r>
        <w:rPr>
          <w:rFonts w:ascii="Arial" w:hAnsi="Arial" w:cs="Arial"/>
          <w:b/>
          <w:sz w:val="22"/>
        </w:rPr>
        <w:t>reformatio in peius</w:t>
      </w:r>
      <w:r>
        <w:rPr>
          <w:rFonts w:ascii="Arial" w:hAnsi="Arial" w:cs="Arial"/>
          <w:sz w:val="22"/>
        </w:rPr>
        <w:t>.</w:t>
      </w:r>
    </w:p>
    <w:p>
      <w:pPr>
        <w:pStyle w:val="Heading2"/>
        <w:keepNext/>
      </w:pPr>
      <w:r>
        <w:rPr>
          <w:rFonts w:ascii="Arial" w:hAnsi="Arial" w:cs="Arial"/>
          <w:sz w:val="25"/>
        </w:rPr>
        <w:t>4.6. Pluralidad de recursos</w:t>
      </w:r>
    </w:p>
    <w:p>
      <w:pPr>
        <w:jc w:val="both"/>
      </w:pPr>
      <w:r>
        <w:rPr>
          <w:rFonts w:ascii="Arial" w:hAnsi="Arial" w:cs="Arial"/>
          <w:sz w:val="22"/>
        </w:rPr>
        <w:t>Cuando varios recursos deriven del mismo acto y exista proceso judicial contra una resolución o contra el silencio correspondiente, el órgano administrativo puede suspender el plazo para resolver los demás hasta que recaiga pronunciamiento judicial. El acuerdo se notifica y es recurrible.</w:t>
      </w:r>
    </w:p>
    <w:p>
      <w:pPr>
        <w:jc w:val="both"/>
      </w:pPr>
      <w:r>
        <w:rPr>
          <w:rFonts w:ascii="Arial" w:hAnsi="Arial" w:cs="Arial"/>
          <w:sz w:val="22"/>
        </w:rPr>
        <w:t>La demanda de una persona no altera por sí sola los restantes recursos suspendidos. Tras la decisión judicial, se comunica a los interesados y puede resolverse sin nuevo trámite, salvo audiencia cuando proceda.</w:t>
      </w:r>
    </w:p>
    <w:p>
      <w:pPr>
        <w:pStyle w:val="Heading1"/>
        <w:keepNext/>
      </w:pPr>
      <w:r>
        <w:rPr>
          <w:rFonts w:ascii="Arial" w:hAnsi="Arial" w:cs="Arial"/>
          <w:sz w:val="30"/>
        </w:rPr>
        <w:t>5. Recurso de alzada</w:t>
      </w:r>
    </w:p>
    <w:p>
      <w:pPr>
        <w:pStyle w:val="Heading2"/>
        <w:keepNext/>
      </w:pPr>
      <w:r>
        <w:rPr>
          <w:rFonts w:ascii="Arial" w:hAnsi="Arial" w:cs="Arial"/>
          <w:sz w:val="25"/>
        </w:rPr>
        <w:t>5.1. Objeto y órgano</w:t>
      </w:r>
    </w:p>
    <w:p>
      <w:pPr>
        <w:jc w:val="both"/>
      </w:pPr>
      <w:r>
        <w:rPr>
          <w:rFonts w:ascii="Arial" w:hAnsi="Arial" w:cs="Arial"/>
          <w:sz w:val="22"/>
        </w:rPr>
        <w:t xml:space="preserve">Procede contra resoluciones y actos de trámite cualificados que </w:t>
      </w:r>
      <w:r>
        <w:rPr>
          <w:rFonts w:ascii="Arial" w:hAnsi="Arial" w:cs="Arial"/>
          <w:b/>
          <w:sz w:val="22"/>
        </w:rPr>
        <w:t>no ponen fin a la vía administrativa</w:t>
      </w:r>
      <w:r>
        <w:rPr>
          <w:rFonts w:ascii="Arial" w:hAnsi="Arial" w:cs="Arial"/>
          <w:sz w:val="22"/>
        </w:rPr>
        <w:t>. Resuelve el superior jerárquico del órgano autor.</w:t>
      </w:r>
    </w:p>
    <w:p>
      <w:pPr>
        <w:jc w:val="both"/>
      </w:pPr>
      <w:r>
        <w:rPr>
          <w:rFonts w:ascii="Arial" w:hAnsi="Arial" w:cs="Arial"/>
          <w:sz w:val="22"/>
        </w:rPr>
        <w:t>Los tribunales y órganos de selección de personal, aunque actúen con autonomía funcional, se consideran dependientes del órgano al que estén adscritos o, si no existe, del que nombró a su presidente. Esta regla permite identificar al superior competente en procesos selectivos.</w:t>
      </w:r>
    </w:p>
    <w:p>
      <w:pPr>
        <w:jc w:val="both"/>
      </w:pPr>
      <w:r>
        <w:rPr>
          <w:rFonts w:ascii="Arial" w:hAnsi="Arial" w:cs="Arial"/>
          <w:sz w:val="22"/>
        </w:rPr>
        <w:t>El recurso puede presentarse:</w:t>
      </w:r>
    </w:p>
    <w:p>
      <w:pPr>
        <w:pStyle w:val="ListBullet"/>
      </w:pPr>
      <w:r>
        <w:rPr>
          <w:rFonts w:ascii="Arial" w:hAnsi="Arial" w:cs="Arial"/>
          <w:sz w:val="22"/>
        </w:rPr>
        <w:t>ante el órgano que dictó el acto; o</w:t>
      </w:r>
    </w:p>
    <w:p>
      <w:pPr>
        <w:pStyle w:val="ListBullet"/>
      </w:pPr>
      <w:r>
        <w:rPr>
          <w:rFonts w:ascii="Arial" w:hAnsi="Arial" w:cs="Arial"/>
          <w:sz w:val="22"/>
        </w:rPr>
        <w:t>directamente ante el superior competente para resolver.</w:t>
      </w:r>
    </w:p>
    <w:p>
      <w:pPr>
        <w:jc w:val="both"/>
      </w:pPr>
      <w:r>
        <w:rPr>
          <w:rFonts w:ascii="Arial" w:hAnsi="Arial" w:cs="Arial"/>
          <w:sz w:val="22"/>
        </w:rPr>
        <w:t xml:space="preserve">Si se presenta ante el autor, este lo remite en </w:t>
      </w:r>
      <w:r>
        <w:rPr>
          <w:rFonts w:ascii="Arial" w:hAnsi="Arial" w:cs="Arial"/>
          <w:b/>
          <w:sz w:val="22"/>
        </w:rPr>
        <w:t>diez días</w:t>
      </w:r>
      <w:r>
        <w:rPr>
          <w:rFonts w:ascii="Arial" w:hAnsi="Arial" w:cs="Arial"/>
          <w:sz w:val="22"/>
        </w:rPr>
        <w:t xml:space="preserve"> con informe y copia completa y ordenada del expediente. Su titular responde directamente del cumplimiento.</w:t>
      </w:r>
    </w:p>
    <w:p>
      <w:pPr>
        <w:pStyle w:val="Heading2"/>
        <w:keepNext/>
      </w:pPr>
      <w:r>
        <w:rPr>
          <w:rFonts w:ascii="Arial" w:hAnsi="Arial" w:cs="Arial"/>
          <w:sz w:val="25"/>
        </w:rPr>
        <w:t>5.2. Plazo de interposición</w:t>
      </w:r>
    </w:p>
    <w:p>
      <w:pPr>
        <w:jc w:val="both"/>
      </w:pPr>
      <w:r>
        <w:rPr>
          <w:rFonts w:ascii="Arial" w:hAnsi="Arial" w:cs="Arial"/>
          <w:sz w:val="22"/>
        </w:rPr>
        <w:t xml:space="preserve">Si el acto es expreso, el plazo es de </w:t>
      </w:r>
      <w:r>
        <w:rPr>
          <w:rFonts w:ascii="Arial" w:hAnsi="Arial" w:cs="Arial"/>
          <w:b/>
          <w:sz w:val="22"/>
        </w:rPr>
        <w:t>un mes</w:t>
      </w:r>
      <w:r>
        <w:rPr>
          <w:rFonts w:ascii="Arial" w:hAnsi="Arial" w:cs="Arial"/>
          <w:sz w:val="22"/>
        </w:rPr>
        <w:t>. Vencido sin recurso, el acto queda firme a todos los efectos.</w:t>
      </w:r>
    </w:p>
    <w:p>
      <w:pPr>
        <w:jc w:val="both"/>
      </w:pPr>
      <w:r>
        <w:rPr>
          <w:rFonts w:ascii="Arial" w:hAnsi="Arial" w:cs="Arial"/>
          <w:sz w:val="22"/>
        </w:rPr>
        <w:t>Si no es expreso, el solicitante y demás posibles interesados pueden recurrir en cualquier momento desde el día siguiente a aquel en que se produzcan los efectos del silencio según la normativa específica. La LPAC eliminó el antiguo plazo cerrado para impugnar administrativamente actos presuntos.</w:t>
      </w:r>
    </w:p>
    <w:p>
      <w:pPr>
        <w:pStyle w:val="Heading2"/>
        <w:keepNext/>
      </w:pPr>
      <w:r>
        <w:rPr>
          <w:rFonts w:ascii="Arial" w:hAnsi="Arial" w:cs="Arial"/>
          <w:sz w:val="25"/>
        </w:rPr>
        <w:t>5.3. Resolución y silencio</w:t>
      </w:r>
    </w:p>
    <w:p>
      <w:pPr>
        <w:jc w:val="both"/>
      </w:pPr>
      <w:r>
        <w:rPr>
          <w:rFonts w:ascii="Arial" w:hAnsi="Arial" w:cs="Arial"/>
          <w:sz w:val="22"/>
        </w:rPr>
        <w:t xml:space="preserve">El plazo máximo para dictar y notificar es de </w:t>
      </w:r>
      <w:r>
        <w:rPr>
          <w:rFonts w:ascii="Arial" w:hAnsi="Arial" w:cs="Arial"/>
          <w:b/>
          <w:sz w:val="22"/>
        </w:rPr>
        <w:t>tres meses</w:t>
      </w:r>
      <w:r>
        <w:rPr>
          <w:rFonts w:ascii="Arial" w:hAnsi="Arial" w:cs="Arial"/>
          <w:sz w:val="22"/>
        </w:rPr>
        <w:t>. Transcurrido, se entiende desestimado, salvo la excepción del artículo 24.1, tercer párrafo.</w:t>
      </w:r>
    </w:p>
    <w:p>
      <w:pPr>
        <w:jc w:val="both"/>
      </w:pPr>
      <w:r>
        <w:rPr>
          <w:rFonts w:ascii="Arial" w:hAnsi="Arial" w:cs="Arial"/>
          <w:sz w:val="22"/>
        </w:rPr>
        <w:t>Esta excepción opera cuando se interpone alzada contra la desestimación por silencio de una solicitud: si tampoco se resuelve la alzada en plazo, se entiende estimada, siempre que la materia no esté incluida en las excepciones legales al silencio positivo. La regla combate el doble silencio administrativo, pero no se aplica, entre otras, a materias excluidas expresamente por el artículo 24.</w:t>
      </w:r>
    </w:p>
    <w:p>
      <w:pPr>
        <w:jc w:val="both"/>
      </w:pPr>
      <w:r>
        <w:rPr>
          <w:rFonts w:ascii="Arial" w:hAnsi="Arial" w:cs="Arial"/>
          <w:sz w:val="22"/>
        </w:rPr>
        <w:t>Contra la resolución de alzada no cabe otro recurso administrativo ordinario. Solo podría proceder el extraordinario de revisión por causa tasada.</w:t>
      </w:r>
    </w:p>
    <w:p>
      <w:pPr>
        <w:pStyle w:val="Heading1"/>
        <w:keepNext/>
      </w:pPr>
      <w:r>
        <w:rPr>
          <w:rFonts w:ascii="Arial" w:hAnsi="Arial" w:cs="Arial"/>
          <w:sz w:val="30"/>
        </w:rPr>
        <w:t>6. Recurso potestativo de reposición</w:t>
      </w:r>
    </w:p>
    <w:p>
      <w:pPr>
        <w:pStyle w:val="Heading2"/>
        <w:keepNext/>
      </w:pPr>
      <w:r>
        <w:rPr>
          <w:rFonts w:ascii="Arial" w:hAnsi="Arial" w:cs="Arial"/>
          <w:sz w:val="25"/>
        </w:rPr>
        <w:t>6.1. Objeto y naturaleza</w:t>
      </w:r>
    </w:p>
    <w:p>
      <w:pPr>
        <w:jc w:val="both"/>
      </w:pPr>
      <w:r>
        <w:rPr>
          <w:rFonts w:ascii="Arial" w:hAnsi="Arial" w:cs="Arial"/>
          <w:sz w:val="22"/>
        </w:rPr>
        <w:t xml:space="preserve">Procede contra actos que </w:t>
      </w:r>
      <w:r>
        <w:rPr>
          <w:rFonts w:ascii="Arial" w:hAnsi="Arial" w:cs="Arial"/>
          <w:b/>
          <w:sz w:val="22"/>
        </w:rPr>
        <w:t>ponen fin a la vía administrativa</w:t>
      </w:r>
      <w:r>
        <w:rPr>
          <w:rFonts w:ascii="Arial" w:hAnsi="Arial" w:cs="Arial"/>
          <w:sz w:val="22"/>
        </w:rPr>
        <w:t xml:space="preserve"> y se interpone ante el mismo órgano que los dictó. Es potestativo: el interesado puede:</w:t>
      </w:r>
    </w:p>
    <w:p>
      <w:pPr>
        <w:spacing w:after="40"/>
        <w:ind w:left="369" w:hanging="227"/>
      </w:pPr>
      <w:r>
        <w:rPr>
          <w:rFonts w:ascii="Arial" w:hAnsi="Arial" w:cs="Arial"/>
          <w:sz w:val="22"/>
        </w:rPr>
        <w:t>1. presentar reposición; o</w:t>
      </w:r>
    </w:p>
    <w:p>
      <w:pPr>
        <w:spacing w:after="40"/>
        <w:ind w:left="369" w:hanging="227"/>
      </w:pPr>
      <w:r>
        <w:rPr>
          <w:rFonts w:ascii="Arial" w:hAnsi="Arial" w:cs="Arial"/>
          <w:sz w:val="22"/>
        </w:rPr>
        <w:t>2. acudir directamente a la jurisdicción contencioso-administrativa.</w:t>
      </w:r>
    </w:p>
    <w:p>
      <w:pPr>
        <w:jc w:val="both"/>
      </w:pPr>
      <w:r>
        <w:rPr>
          <w:rFonts w:ascii="Arial" w:hAnsi="Arial" w:cs="Arial"/>
          <w:sz w:val="22"/>
        </w:rPr>
        <w:t>Elegida la reposición, no puede interponerse recurso contencioso hasta que se resuelva expresamente o se produzca desestimación presunta. No caben simultáneamente ambas vías contra el mismo acto.</w:t>
      </w:r>
    </w:p>
    <w:p>
      <w:pPr>
        <w:pStyle w:val="Heading2"/>
        <w:keepNext/>
      </w:pPr>
      <w:r>
        <w:rPr>
          <w:rFonts w:ascii="Arial" w:hAnsi="Arial" w:cs="Arial"/>
          <w:sz w:val="25"/>
        </w:rPr>
        <w:t>6.2. Plazos</w:t>
      </w:r>
    </w:p>
    <w:p>
      <w:pPr>
        <w:jc w:val="both"/>
      </w:pPr>
      <w:r>
        <w:rPr>
          <w:rFonts w:ascii="Arial" w:hAnsi="Arial" w:cs="Arial"/>
          <w:sz w:val="22"/>
        </w:rPr>
        <w:t xml:space="preserve">Si el acto es expreso, la reposición se interpone en </w:t>
      </w:r>
      <w:r>
        <w:rPr>
          <w:rFonts w:ascii="Arial" w:hAnsi="Arial" w:cs="Arial"/>
          <w:b/>
          <w:sz w:val="22"/>
        </w:rPr>
        <w:t>un mes</w:t>
      </w:r>
      <w:r>
        <w:rPr>
          <w:rFonts w:ascii="Arial" w:hAnsi="Arial" w:cs="Arial"/>
          <w:sz w:val="22"/>
        </w:rPr>
        <w:t>. Vencido, solo cabe el recurso contencioso dentro de su plazo, sin perjuicio de una eventual revisión extraordinaria.</w:t>
      </w:r>
    </w:p>
    <w:p>
      <w:pPr>
        <w:jc w:val="both"/>
      </w:pPr>
      <w:r>
        <w:rPr>
          <w:rFonts w:ascii="Arial" w:hAnsi="Arial" w:cs="Arial"/>
          <w:sz w:val="22"/>
        </w:rPr>
        <w:t>Si el acto es presunto, puede interponerse en cualquier momento desde el día siguiente al de producción del silencio.</w:t>
      </w:r>
    </w:p>
    <w:p>
      <w:pPr>
        <w:jc w:val="both"/>
      </w:pPr>
      <w:r>
        <w:rPr>
          <w:rFonts w:ascii="Arial" w:hAnsi="Arial" w:cs="Arial"/>
          <w:sz w:val="22"/>
        </w:rPr>
        <w:t xml:space="preserve">El órgano dispone de </w:t>
      </w:r>
      <w:r>
        <w:rPr>
          <w:rFonts w:ascii="Arial" w:hAnsi="Arial" w:cs="Arial"/>
          <w:b/>
          <w:sz w:val="22"/>
        </w:rPr>
        <w:t>un mes</w:t>
      </w:r>
      <w:r>
        <w:rPr>
          <w:rFonts w:ascii="Arial" w:hAnsi="Arial" w:cs="Arial"/>
          <w:sz w:val="22"/>
        </w:rPr>
        <w:t xml:space="preserve"> para resolver y notificar. El silencio es desestimatorio. Contra la resolución de reposición no puede interponerse otra reposición; queda abierta la vía contenciosa.</w:t>
      </w:r>
    </w:p>
    <w:p>
      <w:pPr>
        <w:pStyle w:val="Heading2"/>
        <w:keepNext/>
      </w:pPr>
      <w:r>
        <w:rPr>
          <w:rFonts w:ascii="Arial" w:hAnsi="Arial" w:cs="Arial"/>
          <w:sz w:val="25"/>
        </w:rPr>
        <w:t>6.3. Diferencia con la alzada</w:t>
      </w:r>
    </w:p>
    <w:tbl>
      <w:tblPr>
        <w:tblStyle w:val="TableGrid"/>
        <w:tblW w:type="dxa" w:w="9026"/>
        <w:jc w:val="left"/>
        <w:tblLayout w:type="fixed"/>
        <w:tblLook w:firstColumn="1" w:firstRow="1" w:lastColumn="0" w:lastRow="0" w:noHBand="0" w:noVBand="1" w:val="04A0"/>
        <w:tblInd w:w="120" w:type="dxa"/>
      </w:tblPr>
      <w:tblGrid>
        <w:gridCol w:w="2206"/>
        <w:gridCol w:w="3410"/>
        <w:gridCol w:w="3410"/>
      </w:tblGrid>
      <w:tr>
        <w:trPr>
          <w:tblHeader w:val="true"/>
        </w:trPr>
        <w:tc>
          <w:tcPr>
            <w:tcW w:type="dxa" w:w="220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Elemento</w:t>
            </w:r>
          </w:p>
        </w:tc>
        <w:tc>
          <w:tcPr>
            <w:tcW w:type="dxa" w:w="341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Alzada</w:t>
            </w:r>
          </w:p>
        </w:tc>
        <w:tc>
          <w:tcPr>
            <w:tcW w:type="dxa" w:w="341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Reposición</w:t>
            </w:r>
          </w:p>
        </w:tc>
      </w:tr>
      <w:tr>
        <w:tc>
          <w:tcPr>
            <w:tcW w:type="dxa" w:w="2206"/>
            <w:tcMar>
              <w:top w:w="80" w:type="dxa"/>
              <w:start w:w="120" w:type="dxa"/>
              <w:bottom w:w="80" w:type="dxa"/>
              <w:end w:w="120" w:type="dxa"/>
            </w:tcMar>
            <w:vAlign w:val="center"/>
          </w:tcPr>
          <w:p>
            <w:pPr>
              <w:spacing w:before="0" w:after="0" w:line="240" w:lineRule="auto"/>
              <w:jc w:val="left"/>
            </w:pPr>
            <w:r/>
            <w:r>
              <w:rPr>
                <w:rFonts w:ascii="Arial" w:hAnsi="Arial" w:cs="Arial"/>
                <w:sz w:val="18"/>
              </w:rPr>
              <w:t>Acto</w:t>
            </w:r>
          </w:p>
        </w:tc>
        <w:tc>
          <w:tcPr>
            <w:tcW w:type="dxa" w:w="3410"/>
            <w:tcMar>
              <w:top w:w="80" w:type="dxa"/>
              <w:start w:w="120" w:type="dxa"/>
              <w:bottom w:w="80" w:type="dxa"/>
              <w:end w:w="120" w:type="dxa"/>
            </w:tcMar>
            <w:vAlign w:val="center"/>
          </w:tcPr>
          <w:p>
            <w:pPr>
              <w:spacing w:before="0" w:after="0" w:line="240" w:lineRule="auto"/>
              <w:jc w:val="center"/>
            </w:pPr>
            <w:r/>
            <w:r>
              <w:rPr>
                <w:rFonts w:ascii="Arial" w:hAnsi="Arial" w:cs="Arial"/>
                <w:sz w:val="18"/>
              </w:rPr>
              <w:t>No agota vía</w:t>
            </w:r>
          </w:p>
        </w:tc>
        <w:tc>
          <w:tcPr>
            <w:tcW w:type="dxa" w:w="3410"/>
            <w:tcMar>
              <w:top w:w="80" w:type="dxa"/>
              <w:start w:w="120" w:type="dxa"/>
              <w:bottom w:w="80" w:type="dxa"/>
              <w:end w:w="120" w:type="dxa"/>
            </w:tcMar>
            <w:vAlign w:val="center"/>
          </w:tcPr>
          <w:p>
            <w:pPr>
              <w:spacing w:before="0" w:after="0" w:line="240" w:lineRule="auto"/>
              <w:jc w:val="center"/>
            </w:pPr>
            <w:r/>
            <w:r>
              <w:rPr>
                <w:rFonts w:ascii="Arial" w:hAnsi="Arial" w:cs="Arial"/>
                <w:sz w:val="18"/>
              </w:rPr>
              <w:t>Agota vía</w:t>
            </w:r>
          </w:p>
        </w:tc>
      </w:tr>
      <w:tr>
        <w:tc>
          <w:tcPr>
            <w:tcW w:type="dxa" w:w="2206"/>
            <w:tcMar>
              <w:top w:w="80" w:type="dxa"/>
              <w:start w:w="120" w:type="dxa"/>
              <w:bottom w:w="80" w:type="dxa"/>
              <w:end w:w="120" w:type="dxa"/>
            </w:tcMar>
            <w:vAlign w:val="center"/>
          </w:tcPr>
          <w:p>
            <w:pPr>
              <w:spacing w:before="0" w:after="0" w:line="240" w:lineRule="auto"/>
              <w:jc w:val="left"/>
            </w:pPr>
            <w:r/>
            <w:r>
              <w:rPr>
                <w:rFonts w:ascii="Arial" w:hAnsi="Arial" w:cs="Arial"/>
                <w:sz w:val="18"/>
              </w:rPr>
              <w:t>Órgano</w:t>
            </w:r>
          </w:p>
        </w:tc>
        <w:tc>
          <w:tcPr>
            <w:tcW w:type="dxa" w:w="3410"/>
            <w:tcMar>
              <w:top w:w="80" w:type="dxa"/>
              <w:start w:w="120" w:type="dxa"/>
              <w:bottom w:w="80" w:type="dxa"/>
              <w:end w:w="120" w:type="dxa"/>
            </w:tcMar>
            <w:vAlign w:val="center"/>
          </w:tcPr>
          <w:p>
            <w:pPr>
              <w:spacing w:before="0" w:after="0" w:line="240" w:lineRule="auto"/>
              <w:jc w:val="left"/>
            </w:pPr>
            <w:r/>
            <w:r>
              <w:rPr>
                <w:rFonts w:ascii="Arial" w:hAnsi="Arial" w:cs="Arial"/>
                <w:sz w:val="18"/>
              </w:rPr>
              <w:t>Superior jerárquico</w:t>
            </w:r>
          </w:p>
        </w:tc>
        <w:tc>
          <w:tcPr>
            <w:tcW w:type="dxa" w:w="3410"/>
            <w:tcMar>
              <w:top w:w="80" w:type="dxa"/>
              <w:start w:w="120" w:type="dxa"/>
              <w:bottom w:w="80" w:type="dxa"/>
              <w:end w:w="120" w:type="dxa"/>
            </w:tcMar>
            <w:vAlign w:val="center"/>
          </w:tcPr>
          <w:p>
            <w:pPr>
              <w:spacing w:before="0" w:after="0" w:line="240" w:lineRule="auto"/>
              <w:jc w:val="center"/>
            </w:pPr>
            <w:r/>
            <w:r>
              <w:rPr>
                <w:rFonts w:ascii="Arial" w:hAnsi="Arial" w:cs="Arial"/>
                <w:sz w:val="18"/>
              </w:rPr>
              <w:t>Mismo órgano</w:t>
            </w:r>
          </w:p>
        </w:tc>
      </w:tr>
      <w:tr>
        <w:tc>
          <w:tcPr>
            <w:tcW w:type="dxa" w:w="2206"/>
            <w:tcMar>
              <w:top w:w="80" w:type="dxa"/>
              <w:start w:w="120" w:type="dxa"/>
              <w:bottom w:w="80" w:type="dxa"/>
              <w:end w:w="120" w:type="dxa"/>
            </w:tcMar>
            <w:vAlign w:val="center"/>
          </w:tcPr>
          <w:p>
            <w:pPr>
              <w:spacing w:before="0" w:after="0" w:line="240" w:lineRule="auto"/>
              <w:jc w:val="left"/>
            </w:pPr>
            <w:r/>
            <w:r>
              <w:rPr>
                <w:rFonts w:ascii="Arial" w:hAnsi="Arial" w:cs="Arial"/>
                <w:sz w:val="18"/>
              </w:rPr>
              <w:t>Carácter</w:t>
            </w:r>
          </w:p>
        </w:tc>
        <w:tc>
          <w:tcPr>
            <w:tcW w:type="dxa" w:w="3410"/>
            <w:tcMar>
              <w:top w:w="80" w:type="dxa"/>
              <w:start w:w="120" w:type="dxa"/>
              <w:bottom w:w="80" w:type="dxa"/>
              <w:end w:w="120" w:type="dxa"/>
            </w:tcMar>
            <w:vAlign w:val="center"/>
          </w:tcPr>
          <w:p>
            <w:pPr>
              <w:spacing w:before="0" w:after="0" w:line="240" w:lineRule="auto"/>
              <w:jc w:val="left"/>
            </w:pPr>
            <w:r/>
            <w:r>
              <w:rPr>
                <w:rFonts w:ascii="Arial" w:hAnsi="Arial" w:cs="Arial"/>
                <w:sz w:val="18"/>
              </w:rPr>
              <w:t>Necesario como regla</w:t>
            </w:r>
          </w:p>
        </w:tc>
        <w:tc>
          <w:tcPr>
            <w:tcW w:type="dxa" w:w="3410"/>
            <w:tcMar>
              <w:top w:w="80" w:type="dxa"/>
              <w:start w:w="120" w:type="dxa"/>
              <w:bottom w:w="80" w:type="dxa"/>
              <w:end w:w="120" w:type="dxa"/>
            </w:tcMar>
            <w:vAlign w:val="center"/>
          </w:tcPr>
          <w:p>
            <w:pPr>
              <w:spacing w:before="0" w:after="0" w:line="240" w:lineRule="auto"/>
              <w:jc w:val="center"/>
            </w:pPr>
            <w:r/>
            <w:r>
              <w:rPr>
                <w:rFonts w:ascii="Arial" w:hAnsi="Arial" w:cs="Arial"/>
                <w:sz w:val="18"/>
              </w:rPr>
              <w:t>Potestativo</w:t>
            </w:r>
          </w:p>
        </w:tc>
      </w:tr>
      <w:tr>
        <w:tc>
          <w:tcPr>
            <w:tcW w:type="dxa" w:w="2206"/>
            <w:tcMar>
              <w:top w:w="80" w:type="dxa"/>
              <w:start w:w="120" w:type="dxa"/>
              <w:bottom w:w="80" w:type="dxa"/>
              <w:end w:w="120" w:type="dxa"/>
            </w:tcMar>
            <w:vAlign w:val="center"/>
          </w:tcPr>
          <w:p>
            <w:pPr>
              <w:spacing w:before="0" w:after="0" w:line="240" w:lineRule="auto"/>
              <w:jc w:val="left"/>
            </w:pPr>
            <w:r/>
            <w:r>
              <w:rPr>
                <w:rFonts w:ascii="Arial" w:hAnsi="Arial" w:cs="Arial"/>
                <w:sz w:val="18"/>
              </w:rPr>
              <w:t>Plazo contra acto expreso</w:t>
            </w:r>
          </w:p>
        </w:tc>
        <w:tc>
          <w:tcPr>
            <w:tcW w:type="dxa" w:w="3410"/>
            <w:tcMar>
              <w:top w:w="80" w:type="dxa"/>
              <w:start w:w="120" w:type="dxa"/>
              <w:bottom w:w="80" w:type="dxa"/>
              <w:end w:w="120" w:type="dxa"/>
            </w:tcMar>
            <w:vAlign w:val="center"/>
          </w:tcPr>
          <w:p>
            <w:pPr>
              <w:spacing w:before="0" w:after="0" w:line="240" w:lineRule="auto"/>
              <w:jc w:val="center"/>
            </w:pPr>
            <w:r/>
            <w:r>
              <w:rPr>
                <w:rFonts w:ascii="Arial" w:hAnsi="Arial" w:cs="Arial"/>
                <w:sz w:val="18"/>
              </w:rPr>
              <w:t>1 mes</w:t>
            </w:r>
          </w:p>
        </w:tc>
        <w:tc>
          <w:tcPr>
            <w:tcW w:type="dxa" w:w="3410"/>
            <w:tcMar>
              <w:top w:w="80" w:type="dxa"/>
              <w:start w:w="120" w:type="dxa"/>
              <w:bottom w:w="80" w:type="dxa"/>
              <w:end w:w="120" w:type="dxa"/>
            </w:tcMar>
            <w:vAlign w:val="center"/>
          </w:tcPr>
          <w:p>
            <w:pPr>
              <w:spacing w:before="0" w:after="0" w:line="240" w:lineRule="auto"/>
              <w:jc w:val="center"/>
            </w:pPr>
            <w:r/>
            <w:r>
              <w:rPr>
                <w:rFonts w:ascii="Arial" w:hAnsi="Arial" w:cs="Arial"/>
                <w:sz w:val="18"/>
              </w:rPr>
              <w:t>1 mes</w:t>
            </w:r>
          </w:p>
        </w:tc>
      </w:tr>
      <w:tr>
        <w:tc>
          <w:tcPr>
            <w:tcW w:type="dxa" w:w="2206"/>
            <w:tcMar>
              <w:top w:w="80" w:type="dxa"/>
              <w:start w:w="120" w:type="dxa"/>
              <w:bottom w:w="80" w:type="dxa"/>
              <w:end w:w="120" w:type="dxa"/>
            </w:tcMar>
            <w:vAlign w:val="center"/>
          </w:tcPr>
          <w:p>
            <w:pPr>
              <w:spacing w:before="0" w:after="0" w:line="240" w:lineRule="auto"/>
              <w:jc w:val="left"/>
            </w:pPr>
            <w:r/>
            <w:r>
              <w:rPr>
                <w:rFonts w:ascii="Arial" w:hAnsi="Arial" w:cs="Arial"/>
                <w:sz w:val="18"/>
              </w:rPr>
              <w:t>Resolución</w:t>
            </w:r>
          </w:p>
        </w:tc>
        <w:tc>
          <w:tcPr>
            <w:tcW w:type="dxa" w:w="3410"/>
            <w:tcMar>
              <w:top w:w="80" w:type="dxa"/>
              <w:start w:w="120" w:type="dxa"/>
              <w:bottom w:w="80" w:type="dxa"/>
              <w:end w:w="120" w:type="dxa"/>
            </w:tcMar>
            <w:vAlign w:val="center"/>
          </w:tcPr>
          <w:p>
            <w:pPr>
              <w:spacing w:before="0" w:after="0" w:line="240" w:lineRule="auto"/>
              <w:jc w:val="center"/>
            </w:pPr>
            <w:r/>
            <w:r>
              <w:rPr>
                <w:rFonts w:ascii="Arial" w:hAnsi="Arial" w:cs="Arial"/>
                <w:sz w:val="18"/>
              </w:rPr>
              <w:t>3 meses</w:t>
            </w:r>
          </w:p>
        </w:tc>
        <w:tc>
          <w:tcPr>
            <w:tcW w:type="dxa" w:w="3410"/>
            <w:tcMar>
              <w:top w:w="80" w:type="dxa"/>
              <w:start w:w="120" w:type="dxa"/>
              <w:bottom w:w="80" w:type="dxa"/>
              <w:end w:w="120" w:type="dxa"/>
            </w:tcMar>
            <w:vAlign w:val="center"/>
          </w:tcPr>
          <w:p>
            <w:pPr>
              <w:spacing w:before="0" w:after="0" w:line="240" w:lineRule="auto"/>
              <w:jc w:val="center"/>
            </w:pPr>
            <w:r/>
            <w:r>
              <w:rPr>
                <w:rFonts w:ascii="Arial" w:hAnsi="Arial" w:cs="Arial"/>
                <w:sz w:val="18"/>
              </w:rPr>
              <w:t>1 mes</w:t>
            </w:r>
          </w:p>
        </w:tc>
      </w:tr>
      <w:tr>
        <w:tc>
          <w:tcPr>
            <w:tcW w:type="dxa" w:w="2206"/>
            <w:tcMar>
              <w:top w:w="80" w:type="dxa"/>
              <w:start w:w="120" w:type="dxa"/>
              <w:bottom w:w="80" w:type="dxa"/>
              <w:end w:w="120" w:type="dxa"/>
            </w:tcMar>
            <w:vAlign w:val="center"/>
          </w:tcPr>
          <w:p>
            <w:pPr>
              <w:spacing w:before="0" w:after="0" w:line="240" w:lineRule="auto"/>
              <w:jc w:val="left"/>
            </w:pPr>
            <w:r/>
            <w:r>
              <w:rPr>
                <w:rFonts w:ascii="Arial" w:hAnsi="Arial" w:cs="Arial"/>
                <w:sz w:val="18"/>
              </w:rPr>
              <w:t>Después</w:t>
            </w:r>
          </w:p>
        </w:tc>
        <w:tc>
          <w:tcPr>
            <w:tcW w:type="dxa" w:w="3410"/>
            <w:tcMar>
              <w:top w:w="80" w:type="dxa"/>
              <w:start w:w="120" w:type="dxa"/>
              <w:bottom w:w="80" w:type="dxa"/>
              <w:end w:w="120" w:type="dxa"/>
            </w:tcMar>
            <w:vAlign w:val="center"/>
          </w:tcPr>
          <w:p>
            <w:pPr>
              <w:spacing w:before="0" w:after="0" w:line="240" w:lineRule="auto"/>
              <w:jc w:val="left"/>
            </w:pPr>
            <w:r/>
            <w:r>
              <w:rPr>
                <w:rFonts w:ascii="Arial" w:hAnsi="Arial" w:cs="Arial"/>
                <w:sz w:val="18"/>
              </w:rPr>
              <w:t>Vía judicial o revisión extraordinaria</w:t>
            </w:r>
          </w:p>
        </w:tc>
        <w:tc>
          <w:tcPr>
            <w:tcW w:type="dxa" w:w="3410"/>
            <w:tcMar>
              <w:top w:w="80" w:type="dxa"/>
              <w:start w:w="120" w:type="dxa"/>
              <w:bottom w:w="80" w:type="dxa"/>
              <w:end w:w="120" w:type="dxa"/>
            </w:tcMar>
            <w:vAlign w:val="center"/>
          </w:tcPr>
          <w:p>
            <w:pPr>
              <w:spacing w:before="0" w:after="0" w:line="240" w:lineRule="auto"/>
              <w:jc w:val="left"/>
            </w:pPr>
            <w:r/>
            <w:r>
              <w:rPr>
                <w:rFonts w:ascii="Arial" w:hAnsi="Arial" w:cs="Arial"/>
                <w:sz w:val="18"/>
              </w:rPr>
              <w:t>Vía judicial o revisión extraordinaria</w:t>
            </w:r>
          </w:p>
        </w:tc>
      </w:tr>
    </w:tbl>
    <w:p>
      <w:pPr>
        <w:spacing w:after="40"/>
      </w:pPr>
    </w:p>
    <w:p>
      <w:pPr>
        <w:jc w:val="both"/>
      </w:pPr>
      <w:r>
        <w:rPr>
          <w:rFonts w:ascii="Arial" w:hAnsi="Arial" w:cs="Arial"/>
          <w:sz w:val="22"/>
        </w:rPr>
        <w:t>Que ambos tengan un mes de interposición no los hace intercambiables. La pregunta decisiva es si el acto pone fin a la vía.</w:t>
      </w:r>
    </w:p>
    <w:p>
      <w:pPr>
        <w:pStyle w:val="Heading1"/>
        <w:keepNext/>
      </w:pPr>
      <w:r>
        <w:rPr>
          <w:rFonts w:ascii="Arial" w:hAnsi="Arial" w:cs="Arial"/>
          <w:sz w:val="30"/>
        </w:rPr>
        <w:t>7. Recurso extraordinario de revisión</w:t>
      </w:r>
    </w:p>
    <w:p>
      <w:pPr>
        <w:pStyle w:val="Heading2"/>
        <w:keepNext/>
      </w:pPr>
      <w:r>
        <w:rPr>
          <w:rFonts w:ascii="Arial" w:hAnsi="Arial" w:cs="Arial"/>
          <w:sz w:val="25"/>
        </w:rPr>
        <w:t>7.1. Naturaleza y objeto</w:t>
      </w:r>
    </w:p>
    <w:p>
      <w:pPr>
        <w:jc w:val="both"/>
      </w:pPr>
      <w:r>
        <w:rPr>
          <w:rFonts w:ascii="Arial" w:hAnsi="Arial" w:cs="Arial"/>
          <w:sz w:val="22"/>
        </w:rPr>
        <w:t xml:space="preserve">Procede únicamente contra </w:t>
      </w:r>
      <w:r>
        <w:rPr>
          <w:rFonts w:ascii="Arial" w:hAnsi="Arial" w:cs="Arial"/>
          <w:b/>
          <w:sz w:val="22"/>
        </w:rPr>
        <w:t>actos firmes en vía administrativa</w:t>
      </w:r>
      <w:r>
        <w:rPr>
          <w:rFonts w:ascii="Arial" w:hAnsi="Arial" w:cs="Arial"/>
          <w:sz w:val="22"/>
        </w:rPr>
        <w:t>. Se interpone ante el órgano que dictó el acto, que también resuelve. No es una tercera instancia para replantear la valoración jurídica ni remediar que se dejó vencer un recurso ordinario.</w:t>
      </w:r>
    </w:p>
    <w:p>
      <w:pPr>
        <w:pStyle w:val="Heading2"/>
        <w:keepNext/>
      </w:pPr>
      <w:r>
        <w:rPr>
          <w:rFonts w:ascii="Arial" w:hAnsi="Arial" w:cs="Arial"/>
          <w:sz w:val="25"/>
        </w:rPr>
        <w:t>7.2. Causas tasadas</w:t>
      </w:r>
    </w:p>
    <w:p>
      <w:pPr>
        <w:jc w:val="both"/>
      </w:pPr>
      <w:r>
        <w:rPr>
          <w:rFonts w:ascii="Arial" w:hAnsi="Arial" w:cs="Arial"/>
          <w:sz w:val="22"/>
        </w:rPr>
        <w:t>El artículo 125.1 establece cuatro:</w:t>
      </w:r>
    </w:p>
    <w:p>
      <w:pPr>
        <w:spacing w:after="40"/>
        <w:ind w:left="369" w:hanging="227"/>
      </w:pPr>
      <w:r>
        <w:rPr>
          <w:rFonts w:ascii="Arial" w:hAnsi="Arial" w:cs="Arial"/>
          <w:sz w:val="22"/>
        </w:rPr>
        <w:t xml:space="preserve">1. </w:t>
      </w:r>
      <w:r>
        <w:rPr>
          <w:rFonts w:ascii="Arial" w:hAnsi="Arial" w:cs="Arial"/>
          <w:b/>
          <w:sz w:val="22"/>
        </w:rPr>
        <w:t>Error de hecho</w:t>
      </w:r>
      <w:r>
        <w:rPr>
          <w:rFonts w:ascii="Arial" w:hAnsi="Arial" w:cs="Arial"/>
          <w:sz w:val="22"/>
        </w:rPr>
        <w:t xml:space="preserve"> resultante de los propios documentos incorporados al expediente.</w:t>
      </w:r>
    </w:p>
    <w:p>
      <w:pPr>
        <w:spacing w:after="40"/>
        <w:ind w:left="369" w:hanging="227"/>
      </w:pPr>
      <w:r>
        <w:rPr>
          <w:rFonts w:ascii="Arial" w:hAnsi="Arial" w:cs="Arial"/>
          <w:sz w:val="22"/>
        </w:rPr>
        <w:t>2. Aparición de documentos de valor esencial, aunque sean posteriores, que evidencien el error de la resolución.</w:t>
      </w:r>
    </w:p>
    <w:p>
      <w:pPr>
        <w:spacing w:after="40"/>
        <w:ind w:left="369" w:hanging="227"/>
      </w:pPr>
      <w:r>
        <w:rPr>
          <w:rFonts w:ascii="Arial" w:hAnsi="Arial" w:cs="Arial"/>
          <w:sz w:val="22"/>
        </w:rPr>
        <w:t>3. Influencia esencial de documentos o testimonios declarados falsos por sentencia judicial firme, anterior o posterior.</w:t>
      </w:r>
    </w:p>
    <w:p>
      <w:pPr>
        <w:spacing w:after="40"/>
        <w:ind w:left="369" w:hanging="227"/>
      </w:pPr>
      <w:r>
        <w:rPr>
          <w:rFonts w:ascii="Arial" w:hAnsi="Arial" w:cs="Arial"/>
          <w:sz w:val="22"/>
        </w:rPr>
        <w:t>4. Resolución dictada como consecuencia de prevaricación, cohecho, violencia, maquinación fraudulenta u otra conducta punible, declarada por sentencia judicial firme.</w:t>
      </w:r>
    </w:p>
    <w:p>
      <w:pPr>
        <w:jc w:val="both"/>
      </w:pPr>
      <w:r>
        <w:rPr>
          <w:rFonts w:ascii="Arial" w:hAnsi="Arial" w:cs="Arial"/>
          <w:sz w:val="22"/>
        </w:rPr>
        <w:t>El error de hecho debe ser patente y comprobable documentalmente, sin exigir una nueva interpretación jurídica. Un desacuerdo sobre el significado de una norma es error de Derecho y no encaja en la primera causa.</w:t>
      </w:r>
    </w:p>
    <w:p>
      <w:pPr>
        <w:pStyle w:val="Heading2"/>
        <w:keepNext/>
      </w:pPr>
      <w:r>
        <w:rPr>
          <w:rFonts w:ascii="Arial" w:hAnsi="Arial" w:cs="Arial"/>
          <w:sz w:val="25"/>
        </w:rPr>
        <w:t>7.3. Plazos</w:t>
      </w:r>
    </w:p>
    <w:p>
      <w:pPr>
        <w:pStyle w:val="ListBullet"/>
      </w:pPr>
      <w:r>
        <w:rPr>
          <w:rFonts w:ascii="Arial" w:hAnsi="Arial" w:cs="Arial"/>
          <w:sz w:val="22"/>
        </w:rPr>
        <w:t xml:space="preserve">Para el error de hecho de la causa primera: </w:t>
      </w:r>
      <w:r>
        <w:rPr>
          <w:rFonts w:ascii="Arial" w:hAnsi="Arial" w:cs="Arial"/>
          <w:b/>
          <w:sz w:val="22"/>
        </w:rPr>
        <w:t>cuatro años</w:t>
      </w:r>
      <w:r>
        <w:rPr>
          <w:rFonts w:ascii="Arial" w:hAnsi="Arial" w:cs="Arial"/>
          <w:sz w:val="22"/>
        </w:rPr>
        <w:t xml:space="preserve"> desde la notificación de la resolución.</w:t>
      </w:r>
    </w:p>
    <w:p>
      <w:pPr>
        <w:pStyle w:val="ListBullet"/>
      </w:pPr>
      <w:r>
        <w:rPr>
          <w:rFonts w:ascii="Arial" w:hAnsi="Arial" w:cs="Arial"/>
          <w:sz w:val="22"/>
        </w:rPr>
        <w:t xml:space="preserve">Para las otras tres causas: </w:t>
      </w:r>
      <w:r>
        <w:rPr>
          <w:rFonts w:ascii="Arial" w:hAnsi="Arial" w:cs="Arial"/>
          <w:b/>
          <w:sz w:val="22"/>
        </w:rPr>
        <w:t>tres meses</w:t>
      </w:r>
      <w:r>
        <w:rPr>
          <w:rFonts w:ascii="Arial" w:hAnsi="Arial" w:cs="Arial"/>
          <w:sz w:val="22"/>
        </w:rPr>
        <w:t xml:space="preserve"> desde el conocimiento de los documentos o desde la firmeza de la sentencia.</w:t>
      </w:r>
    </w:p>
    <w:p>
      <w:pPr>
        <w:jc w:val="both"/>
      </w:pPr>
      <w:r>
        <w:rPr>
          <w:rFonts w:ascii="Arial" w:hAnsi="Arial" w:cs="Arial"/>
          <w:sz w:val="22"/>
        </w:rPr>
        <w:t>El distinto plazo es una trampa clásica. Los cuatro años no se aplican a todos los motivos.</w:t>
      </w:r>
    </w:p>
    <w:p>
      <w:pPr>
        <w:pStyle w:val="Heading2"/>
        <w:keepNext/>
      </w:pPr>
      <w:r>
        <w:rPr>
          <w:rFonts w:ascii="Arial" w:hAnsi="Arial" w:cs="Arial"/>
          <w:sz w:val="25"/>
        </w:rPr>
        <w:t>7.4. Admisión y resolución</w:t>
      </w:r>
    </w:p>
    <w:p>
      <w:pPr>
        <w:jc w:val="both"/>
      </w:pPr>
      <w:r>
        <w:rPr>
          <w:rFonts w:ascii="Arial" w:hAnsi="Arial" w:cs="Arial"/>
          <w:sz w:val="22"/>
        </w:rPr>
        <w:t>Puede inadmitirse motivadamente, sin dictamen consultivo, si no se invoca una causa del artículo 125.1 o si ya se desestimaron en el fondo recursos sustancialmente iguales.</w:t>
      </w:r>
    </w:p>
    <w:p>
      <w:pPr>
        <w:jc w:val="both"/>
      </w:pPr>
      <w:r>
        <w:rPr>
          <w:rFonts w:ascii="Arial" w:hAnsi="Arial" w:cs="Arial"/>
          <w:sz w:val="22"/>
        </w:rPr>
        <w:t xml:space="preserve">Si se admite, el órgano debe pronunciarse sobre la procedencia de la revisión y, en su caso, sobre el fondo de la cuestión resuelta por el acto. El plazo máximo es de </w:t>
      </w:r>
      <w:r>
        <w:rPr>
          <w:rFonts w:ascii="Arial" w:hAnsi="Arial" w:cs="Arial"/>
          <w:b/>
          <w:sz w:val="22"/>
        </w:rPr>
        <w:t>tres meses</w:t>
      </w:r>
      <w:r>
        <w:rPr>
          <w:rFonts w:ascii="Arial" w:hAnsi="Arial" w:cs="Arial"/>
          <w:sz w:val="22"/>
        </w:rPr>
        <w:t>; el silencio desestima y deja expedita la vía contenciosa.</w:t>
      </w:r>
    </w:p>
    <w:p>
      <w:pPr>
        <w:jc w:val="both"/>
      </w:pPr>
      <w:r>
        <w:rPr>
          <w:rFonts w:ascii="Arial" w:hAnsi="Arial" w:cs="Arial"/>
          <w:sz w:val="22"/>
        </w:rPr>
        <w:t>La revisión extraordinaria no perjudica el derecho a solicitar revisión de oficio de actos nulos o rectificación de errores materiales, de hecho o aritméticos en los términos de los artículos 106 y 109.2.</w:t>
      </w:r>
    </w:p>
    <w:p>
      <w:pPr>
        <w:pStyle w:val="Heading1"/>
        <w:keepNext/>
      </w:pPr>
      <w:r>
        <w:rPr>
          <w:rFonts w:ascii="Arial" w:hAnsi="Arial" w:cs="Arial"/>
          <w:sz w:val="30"/>
        </w:rPr>
        <w:t>8. Cuadro general del itinerario de impugnación</w:t>
      </w:r>
    </w:p>
    <w:tbl>
      <w:tblPr>
        <w:tblStyle w:val="TableGrid"/>
        <w:tblW w:type="dxa" w:w="9026"/>
        <w:jc w:val="left"/>
        <w:tblLayout w:type="fixed"/>
        <w:tblLook w:firstColumn="1" w:firstRow="1" w:lastColumn="0" w:lastRow="0" w:noHBand="0" w:noVBand="1" w:val="04A0"/>
        <w:tblInd w:w="120" w:type="dxa"/>
      </w:tblPr>
      <w:tblGrid>
        <w:gridCol w:w="1739"/>
        <w:gridCol w:w="3312"/>
        <w:gridCol w:w="3975"/>
      </w:tblGrid>
      <w:tr>
        <w:trPr>
          <w:tblHeader w:val="true"/>
        </w:trPr>
        <w:tc>
          <w:tcPr>
            <w:tcW w:type="dxa" w:w="173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Situación inicial</w:t>
            </w:r>
          </w:p>
        </w:tc>
        <w:tc>
          <w:tcPr>
            <w:tcW w:type="dxa" w:w="331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Reacción procedente</w:t>
            </w:r>
          </w:p>
        </w:tc>
        <w:tc>
          <w:tcPr>
            <w:tcW w:type="dxa" w:w="397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posterior</w:t>
            </w:r>
          </w:p>
        </w:tc>
      </w:tr>
      <w:tr>
        <w:tc>
          <w:tcPr>
            <w:tcW w:type="dxa" w:w="1739"/>
            <w:tcMar>
              <w:top w:w="80" w:type="dxa"/>
              <w:start w:w="120" w:type="dxa"/>
              <w:bottom w:w="80" w:type="dxa"/>
              <w:end w:w="120" w:type="dxa"/>
            </w:tcMar>
            <w:vAlign w:val="center"/>
          </w:tcPr>
          <w:p>
            <w:pPr>
              <w:spacing w:before="0" w:after="0" w:line="240" w:lineRule="auto"/>
              <w:jc w:val="left"/>
            </w:pPr>
            <w:r/>
            <w:r>
              <w:rPr>
                <w:rFonts w:ascii="Arial" w:hAnsi="Arial" w:cs="Arial"/>
                <w:sz w:val="18"/>
              </w:rPr>
              <w:t>Acto no agota vía</w:t>
            </w:r>
          </w:p>
        </w:tc>
        <w:tc>
          <w:tcPr>
            <w:tcW w:type="dxa" w:w="3312"/>
            <w:tcMar>
              <w:top w:w="80" w:type="dxa"/>
              <w:start w:w="120" w:type="dxa"/>
              <w:bottom w:w="80" w:type="dxa"/>
              <w:end w:w="120" w:type="dxa"/>
            </w:tcMar>
            <w:vAlign w:val="center"/>
          </w:tcPr>
          <w:p>
            <w:pPr>
              <w:spacing w:before="0" w:after="0" w:line="240" w:lineRule="auto"/>
              <w:jc w:val="center"/>
            </w:pPr>
            <w:r/>
            <w:r>
              <w:rPr>
                <w:rFonts w:ascii="Arial" w:hAnsi="Arial" w:cs="Arial"/>
                <w:sz w:val="18"/>
              </w:rPr>
              <w:t>Alzada</w:t>
            </w:r>
          </w:p>
        </w:tc>
        <w:tc>
          <w:tcPr>
            <w:tcW w:type="dxa" w:w="3975"/>
            <w:tcMar>
              <w:top w:w="80" w:type="dxa"/>
              <w:start w:w="120" w:type="dxa"/>
              <w:bottom w:w="80" w:type="dxa"/>
              <w:end w:w="120" w:type="dxa"/>
            </w:tcMar>
            <w:vAlign w:val="center"/>
          </w:tcPr>
          <w:p>
            <w:pPr>
              <w:spacing w:before="0" w:after="0" w:line="240" w:lineRule="auto"/>
              <w:jc w:val="left"/>
            </w:pPr>
            <w:r/>
            <w:r>
              <w:rPr>
                <w:rFonts w:ascii="Arial" w:hAnsi="Arial" w:cs="Arial"/>
                <w:sz w:val="18"/>
              </w:rPr>
              <w:t>Resolución agota vía; después contencioso</w:t>
            </w:r>
          </w:p>
        </w:tc>
      </w:tr>
      <w:tr>
        <w:tc>
          <w:tcPr>
            <w:tcW w:type="dxa" w:w="1739"/>
            <w:tcMar>
              <w:top w:w="80" w:type="dxa"/>
              <w:start w:w="120" w:type="dxa"/>
              <w:bottom w:w="80" w:type="dxa"/>
              <w:end w:w="120" w:type="dxa"/>
            </w:tcMar>
            <w:vAlign w:val="center"/>
          </w:tcPr>
          <w:p>
            <w:pPr>
              <w:spacing w:before="0" w:after="0" w:line="240" w:lineRule="auto"/>
              <w:jc w:val="left"/>
            </w:pPr>
            <w:r/>
            <w:r>
              <w:rPr>
                <w:rFonts w:ascii="Arial" w:hAnsi="Arial" w:cs="Arial"/>
                <w:sz w:val="18"/>
              </w:rPr>
              <w:t>Acto agota vía</w:t>
            </w:r>
          </w:p>
        </w:tc>
        <w:tc>
          <w:tcPr>
            <w:tcW w:type="dxa" w:w="3312"/>
            <w:tcMar>
              <w:top w:w="80" w:type="dxa"/>
              <w:start w:w="120" w:type="dxa"/>
              <w:bottom w:w="80" w:type="dxa"/>
              <w:end w:w="120" w:type="dxa"/>
            </w:tcMar>
            <w:vAlign w:val="center"/>
          </w:tcPr>
          <w:p>
            <w:pPr>
              <w:spacing w:before="0" w:after="0" w:line="240" w:lineRule="auto"/>
              <w:jc w:val="left"/>
            </w:pPr>
            <w:r/>
            <w:r>
              <w:rPr>
                <w:rFonts w:ascii="Arial" w:hAnsi="Arial" w:cs="Arial"/>
                <w:sz w:val="18"/>
              </w:rPr>
              <w:t>Reposición potestativa o contencioso directo</w:t>
            </w:r>
          </w:p>
        </w:tc>
        <w:tc>
          <w:tcPr>
            <w:tcW w:type="dxa" w:w="3975"/>
            <w:tcMar>
              <w:top w:w="80" w:type="dxa"/>
              <w:start w:w="120" w:type="dxa"/>
              <w:bottom w:w="80" w:type="dxa"/>
              <w:end w:w="120" w:type="dxa"/>
            </w:tcMar>
            <w:vAlign w:val="center"/>
          </w:tcPr>
          <w:p>
            <w:pPr>
              <w:spacing w:before="0" w:after="0" w:line="240" w:lineRule="auto"/>
              <w:jc w:val="left"/>
            </w:pPr>
            <w:r/>
            <w:r>
              <w:rPr>
                <w:rFonts w:ascii="Arial" w:hAnsi="Arial" w:cs="Arial"/>
                <w:sz w:val="18"/>
              </w:rPr>
              <w:t>Si hay reposición, esperar resolución expresa o presunta</w:t>
            </w:r>
          </w:p>
        </w:tc>
      </w:tr>
      <w:tr>
        <w:tc>
          <w:tcPr>
            <w:tcW w:type="dxa" w:w="1739"/>
            <w:tcMar>
              <w:top w:w="80" w:type="dxa"/>
              <w:start w:w="120" w:type="dxa"/>
              <w:bottom w:w="80" w:type="dxa"/>
              <w:end w:w="120" w:type="dxa"/>
            </w:tcMar>
            <w:vAlign w:val="center"/>
          </w:tcPr>
          <w:p>
            <w:pPr>
              <w:spacing w:before="0" w:after="0" w:line="240" w:lineRule="auto"/>
              <w:jc w:val="left"/>
            </w:pPr>
            <w:r/>
            <w:r>
              <w:rPr>
                <w:rFonts w:ascii="Arial" w:hAnsi="Arial" w:cs="Arial"/>
                <w:sz w:val="18"/>
              </w:rPr>
              <w:t>Acto firme y causa tasada</w:t>
            </w:r>
          </w:p>
        </w:tc>
        <w:tc>
          <w:tcPr>
            <w:tcW w:type="dxa" w:w="3312"/>
            <w:tcMar>
              <w:top w:w="80" w:type="dxa"/>
              <w:start w:w="120" w:type="dxa"/>
              <w:bottom w:w="80" w:type="dxa"/>
              <w:end w:w="120" w:type="dxa"/>
            </w:tcMar>
            <w:vAlign w:val="center"/>
          </w:tcPr>
          <w:p>
            <w:pPr>
              <w:spacing w:before="0" w:after="0" w:line="240" w:lineRule="auto"/>
              <w:jc w:val="left"/>
            </w:pPr>
            <w:r/>
            <w:r>
              <w:rPr>
                <w:rFonts w:ascii="Arial" w:hAnsi="Arial" w:cs="Arial"/>
                <w:sz w:val="18"/>
              </w:rPr>
              <w:t>Extraordinario de revisión</w:t>
            </w:r>
          </w:p>
        </w:tc>
        <w:tc>
          <w:tcPr>
            <w:tcW w:type="dxa" w:w="3975"/>
            <w:tcMar>
              <w:top w:w="80" w:type="dxa"/>
              <w:start w:w="120" w:type="dxa"/>
              <w:bottom w:w="80" w:type="dxa"/>
              <w:end w:w="120" w:type="dxa"/>
            </w:tcMar>
            <w:vAlign w:val="center"/>
          </w:tcPr>
          <w:p>
            <w:pPr>
              <w:spacing w:before="0" w:after="0" w:line="240" w:lineRule="auto"/>
              <w:jc w:val="left"/>
            </w:pPr>
            <w:r/>
            <w:r>
              <w:rPr>
                <w:rFonts w:ascii="Arial" w:hAnsi="Arial" w:cs="Arial"/>
                <w:sz w:val="18"/>
              </w:rPr>
              <w:t>Después puede abrirse contencioso</w:t>
            </w:r>
          </w:p>
        </w:tc>
      </w:tr>
      <w:tr>
        <w:tc>
          <w:tcPr>
            <w:tcW w:type="dxa" w:w="1739"/>
            <w:tcMar>
              <w:top w:w="80" w:type="dxa"/>
              <w:start w:w="120" w:type="dxa"/>
              <w:bottom w:w="80" w:type="dxa"/>
              <w:end w:w="120" w:type="dxa"/>
            </w:tcMar>
            <w:vAlign w:val="center"/>
          </w:tcPr>
          <w:p>
            <w:pPr>
              <w:spacing w:before="0" w:after="0" w:line="240" w:lineRule="auto"/>
              <w:jc w:val="left"/>
            </w:pPr>
            <w:r/>
            <w:r>
              <w:rPr>
                <w:rFonts w:ascii="Arial" w:hAnsi="Arial" w:cs="Arial"/>
                <w:sz w:val="18"/>
              </w:rPr>
              <w:t>Reglamento</w:t>
            </w:r>
          </w:p>
        </w:tc>
        <w:tc>
          <w:tcPr>
            <w:tcW w:type="dxa" w:w="3312"/>
            <w:tcMar>
              <w:top w:w="80" w:type="dxa"/>
              <w:start w:w="120" w:type="dxa"/>
              <w:bottom w:w="80" w:type="dxa"/>
              <w:end w:w="120" w:type="dxa"/>
            </w:tcMar>
            <w:vAlign w:val="center"/>
          </w:tcPr>
          <w:p>
            <w:pPr>
              <w:spacing w:before="0" w:after="0" w:line="240" w:lineRule="auto"/>
              <w:jc w:val="left"/>
            </w:pPr>
            <w:r/>
            <w:r>
              <w:rPr>
                <w:rFonts w:ascii="Arial" w:hAnsi="Arial" w:cs="Arial"/>
                <w:sz w:val="18"/>
              </w:rPr>
              <w:t>No recurso administrativo</w:t>
            </w:r>
          </w:p>
        </w:tc>
        <w:tc>
          <w:tcPr>
            <w:tcW w:type="dxa" w:w="3975"/>
            <w:tcMar>
              <w:top w:w="80" w:type="dxa"/>
              <w:start w:w="120" w:type="dxa"/>
              <w:bottom w:w="80" w:type="dxa"/>
              <w:end w:w="120" w:type="dxa"/>
            </w:tcMar>
            <w:vAlign w:val="center"/>
          </w:tcPr>
          <w:p>
            <w:pPr>
              <w:spacing w:before="0" w:after="0" w:line="240" w:lineRule="auto"/>
              <w:jc w:val="left"/>
            </w:pPr>
            <w:r/>
            <w:r>
              <w:rPr>
                <w:rFonts w:ascii="Arial" w:hAnsi="Arial" w:cs="Arial"/>
                <w:sz w:val="18"/>
              </w:rPr>
              <w:t>Contencioso directo o impugnación indirecta por acto</w:t>
            </w:r>
          </w:p>
        </w:tc>
      </w:tr>
      <w:tr>
        <w:tc>
          <w:tcPr>
            <w:tcW w:type="dxa" w:w="1739"/>
            <w:tcMar>
              <w:top w:w="80" w:type="dxa"/>
              <w:start w:w="120" w:type="dxa"/>
              <w:bottom w:w="80" w:type="dxa"/>
              <w:end w:w="120" w:type="dxa"/>
            </w:tcMar>
            <w:vAlign w:val="center"/>
          </w:tcPr>
          <w:p>
            <w:pPr>
              <w:spacing w:before="0" w:after="0" w:line="240" w:lineRule="auto"/>
              <w:jc w:val="left"/>
            </w:pPr>
            <w:r/>
            <w:r>
              <w:rPr>
                <w:rFonts w:ascii="Arial" w:hAnsi="Arial" w:cs="Arial"/>
                <w:sz w:val="18"/>
              </w:rPr>
              <w:t>Trámite ordinario</w:t>
            </w:r>
          </w:p>
        </w:tc>
        <w:tc>
          <w:tcPr>
            <w:tcW w:type="dxa" w:w="3312"/>
            <w:tcMar>
              <w:top w:w="80" w:type="dxa"/>
              <w:start w:w="120" w:type="dxa"/>
              <w:bottom w:w="80" w:type="dxa"/>
              <w:end w:w="120" w:type="dxa"/>
            </w:tcMar>
            <w:vAlign w:val="center"/>
          </w:tcPr>
          <w:p>
            <w:pPr>
              <w:spacing w:before="0" w:after="0" w:line="240" w:lineRule="auto"/>
              <w:jc w:val="left"/>
            </w:pPr>
            <w:r/>
            <w:r>
              <w:rPr>
                <w:rFonts w:ascii="Arial" w:hAnsi="Arial" w:cs="Arial"/>
                <w:sz w:val="18"/>
              </w:rPr>
              <w:t>No recurso separado</w:t>
            </w:r>
          </w:p>
        </w:tc>
        <w:tc>
          <w:tcPr>
            <w:tcW w:type="dxa" w:w="3975"/>
            <w:tcMar>
              <w:top w:w="80" w:type="dxa"/>
              <w:start w:w="120" w:type="dxa"/>
              <w:bottom w:w="80" w:type="dxa"/>
              <w:end w:w="120" w:type="dxa"/>
            </w:tcMar>
            <w:vAlign w:val="center"/>
          </w:tcPr>
          <w:p>
            <w:pPr>
              <w:spacing w:before="0" w:after="0" w:line="240" w:lineRule="auto"/>
              <w:jc w:val="left"/>
            </w:pPr>
            <w:r/>
            <w:r>
              <w:rPr>
                <w:rFonts w:ascii="Arial" w:hAnsi="Arial" w:cs="Arial"/>
                <w:sz w:val="18"/>
              </w:rPr>
              <w:t>Alegar defecto frente a resolución final</w:t>
            </w:r>
          </w:p>
        </w:tc>
      </w:tr>
      <w:tr>
        <w:tc>
          <w:tcPr>
            <w:tcW w:type="dxa" w:w="1739"/>
            <w:tcMar>
              <w:top w:w="80" w:type="dxa"/>
              <w:start w:w="120" w:type="dxa"/>
              <w:bottom w:w="80" w:type="dxa"/>
              <w:end w:w="120" w:type="dxa"/>
            </w:tcMar>
            <w:vAlign w:val="center"/>
          </w:tcPr>
          <w:p>
            <w:pPr>
              <w:spacing w:before="0" w:after="0" w:line="240" w:lineRule="auto"/>
              <w:jc w:val="left"/>
            </w:pPr>
            <w:r/>
            <w:r>
              <w:rPr>
                <w:rFonts w:ascii="Arial" w:hAnsi="Arial" w:cs="Arial"/>
                <w:sz w:val="18"/>
              </w:rPr>
              <w:t>Trámite cualificado</w:t>
            </w:r>
          </w:p>
        </w:tc>
        <w:tc>
          <w:tcPr>
            <w:tcW w:type="dxa" w:w="3312"/>
            <w:tcMar>
              <w:top w:w="80" w:type="dxa"/>
              <w:start w:w="120" w:type="dxa"/>
              <w:bottom w:w="80" w:type="dxa"/>
              <w:end w:w="120" w:type="dxa"/>
            </w:tcMar>
            <w:vAlign w:val="center"/>
          </w:tcPr>
          <w:p>
            <w:pPr>
              <w:spacing w:before="0" w:after="0" w:line="240" w:lineRule="auto"/>
              <w:jc w:val="left"/>
            </w:pPr>
            <w:r/>
            <w:r>
              <w:rPr>
                <w:rFonts w:ascii="Arial" w:hAnsi="Arial" w:cs="Arial"/>
                <w:sz w:val="18"/>
              </w:rPr>
              <w:t>Alzada o reposición según agote vía</w:t>
            </w:r>
          </w:p>
        </w:tc>
        <w:tc>
          <w:tcPr>
            <w:tcW w:type="dxa" w:w="3975"/>
            <w:tcMar>
              <w:top w:w="80" w:type="dxa"/>
              <w:start w:w="120" w:type="dxa"/>
              <w:bottom w:w="80" w:type="dxa"/>
              <w:end w:w="120" w:type="dxa"/>
            </w:tcMar>
            <w:vAlign w:val="center"/>
          </w:tcPr>
          <w:p>
            <w:pPr>
              <w:spacing w:before="0" w:after="0" w:line="240" w:lineRule="auto"/>
              <w:jc w:val="left"/>
            </w:pPr>
            <w:r/>
            <w:r>
              <w:rPr>
                <w:rFonts w:ascii="Arial" w:hAnsi="Arial" w:cs="Arial"/>
                <w:sz w:val="18"/>
              </w:rPr>
              <w:t>Según régimen del acto</w:t>
            </w:r>
          </w:p>
        </w:tc>
      </w:tr>
    </w:tbl>
    <w:p>
      <w:pPr>
        <w:spacing w:after="40"/>
      </w:pPr>
    </w:p>
    <w:p>
      <w:pPr>
        <w:pStyle w:val="Heading1"/>
        <w:keepNext/>
      </w:pPr>
      <w:r>
        <w:rPr>
          <w:rFonts w:ascii="Arial" w:hAnsi="Arial" w:cs="Arial"/>
          <w:sz w:val="30"/>
        </w:rPr>
        <w:t>9. Jurisdicción contencioso-administrativa</w:t>
      </w:r>
    </w:p>
    <w:p>
      <w:pPr>
        <w:pStyle w:val="Heading2"/>
        <w:keepNext/>
      </w:pPr>
      <w:r>
        <w:rPr>
          <w:rFonts w:ascii="Arial" w:hAnsi="Arial" w:cs="Arial"/>
          <w:sz w:val="25"/>
        </w:rPr>
        <w:t>9.1. Función constitucional</w:t>
      </w:r>
    </w:p>
    <w:p>
      <w:pPr>
        <w:jc w:val="both"/>
      </w:pPr>
      <w:r>
        <w:rPr>
          <w:rFonts w:ascii="Arial" w:hAnsi="Arial" w:cs="Arial"/>
          <w:sz w:val="22"/>
        </w:rPr>
        <w:t>La jurisdicción contencioso-administrativa es el orden judicial especializado en controlar la actuación administrativa sometida al Derecho Administrativo. Se apoya especialmente en:</w:t>
      </w:r>
    </w:p>
    <w:p>
      <w:pPr>
        <w:pStyle w:val="ListBullet"/>
      </w:pPr>
      <w:r>
        <w:rPr>
          <w:rFonts w:ascii="Arial" w:hAnsi="Arial" w:cs="Arial"/>
          <w:sz w:val="22"/>
        </w:rPr>
        <w:t>artículo 24.1 CE: tutela judicial efectiva;</w:t>
      </w:r>
    </w:p>
    <w:p>
      <w:pPr>
        <w:pStyle w:val="ListBullet"/>
      </w:pPr>
      <w:r>
        <w:rPr>
          <w:rFonts w:ascii="Arial" w:hAnsi="Arial" w:cs="Arial"/>
          <w:sz w:val="22"/>
        </w:rPr>
        <w:t>artículo 103.1 CE: sometimiento pleno de la Administración;</w:t>
      </w:r>
    </w:p>
    <w:p>
      <w:pPr>
        <w:pStyle w:val="ListBullet"/>
      </w:pPr>
      <w:r>
        <w:rPr>
          <w:rFonts w:ascii="Arial" w:hAnsi="Arial" w:cs="Arial"/>
          <w:sz w:val="22"/>
        </w:rPr>
        <w:t>artículo 106.1 CE: control judicial de la potestad reglamentaria, legalidad de la actuación y adecuación a sus fines;</w:t>
      </w:r>
    </w:p>
    <w:p>
      <w:pPr>
        <w:pStyle w:val="ListBullet"/>
      </w:pPr>
      <w:r>
        <w:rPr>
          <w:rFonts w:ascii="Arial" w:hAnsi="Arial" w:cs="Arial"/>
          <w:sz w:val="22"/>
        </w:rPr>
        <w:t>artículo 117 CE: ejercicio de la potestad jurisdiccional por jueces y tribunales independientes.</w:t>
      </w:r>
    </w:p>
    <w:p>
      <w:pPr>
        <w:jc w:val="both"/>
      </w:pPr>
      <w:r>
        <w:rPr>
          <w:rFonts w:ascii="Arial" w:hAnsi="Arial" w:cs="Arial"/>
          <w:sz w:val="22"/>
        </w:rPr>
        <w:t>El proceso contencioso no es una continuación jerárquica de la Administración. Un juez independiente controla legalidad y tutela situaciones jurídicas. La Administración pasa a ser parte demandada y debe remitir el expediente.</w:t>
      </w:r>
    </w:p>
    <w:p>
      <w:pPr>
        <w:pStyle w:val="Heading2"/>
        <w:keepNext/>
      </w:pPr>
      <w:r>
        <w:rPr>
          <w:rFonts w:ascii="Arial" w:hAnsi="Arial" w:cs="Arial"/>
          <w:sz w:val="25"/>
        </w:rPr>
        <w:t>9.2. Ámbito general</w:t>
      </w:r>
    </w:p>
    <w:p>
      <w:pPr>
        <w:jc w:val="both"/>
      </w:pPr>
      <w:r>
        <w:rPr>
          <w:rFonts w:ascii="Arial" w:hAnsi="Arial" w:cs="Arial"/>
          <w:sz w:val="22"/>
        </w:rPr>
        <w:t>El artículo 1 LJCA atribuye al orden contencioso las pretensiones relativas a:</w:t>
      </w:r>
    </w:p>
    <w:p>
      <w:pPr>
        <w:pStyle w:val="ListBullet"/>
      </w:pPr>
      <w:r>
        <w:rPr>
          <w:rFonts w:ascii="Arial" w:hAnsi="Arial" w:cs="Arial"/>
          <w:sz w:val="22"/>
        </w:rPr>
        <w:t>actuación de las Administraciones públicas sujeta a Derecho Administrativo;</w:t>
      </w:r>
    </w:p>
    <w:p>
      <w:pPr>
        <w:pStyle w:val="ListBullet"/>
      </w:pPr>
      <w:r>
        <w:rPr>
          <w:rFonts w:ascii="Arial" w:hAnsi="Arial" w:cs="Arial"/>
          <w:sz w:val="22"/>
        </w:rPr>
        <w:t>disposiciones generales de rango inferior a la ley;</w:t>
      </w:r>
    </w:p>
    <w:p>
      <w:pPr>
        <w:pStyle w:val="ListBullet"/>
      </w:pPr>
      <w:r>
        <w:rPr>
          <w:rFonts w:ascii="Arial" w:hAnsi="Arial" w:cs="Arial"/>
          <w:sz w:val="22"/>
        </w:rPr>
        <w:t>decretos legislativos cuando excedan los límites de la delegación.</w:t>
      </w:r>
    </w:p>
    <w:p>
      <w:pPr>
        <w:jc w:val="both"/>
      </w:pPr>
      <w:r>
        <w:rPr>
          <w:rFonts w:ascii="Arial" w:hAnsi="Arial" w:cs="Arial"/>
          <w:sz w:val="22"/>
        </w:rPr>
        <w:t>A estos efectos son Administraciones la Administración General del Estado, comunidades autónomas, entidades locales y entidades de Derecho público vinculadas o dependientes. También se controlan ciertos actos materialmente administrativos de las Cortes, Tribunal Constitucional, Tribunal de Cuentas, Defensor del Pueblo y órganos autonómicos análogos; actos del Consejo General del Poder Judicial y gobierno de juzgados y tribunales; y actuación electoral en los términos de la ley orgánica.</w:t>
      </w:r>
    </w:p>
    <w:p>
      <w:pPr>
        <w:jc w:val="both"/>
      </w:pPr>
      <w:r>
        <w:rPr>
          <w:rFonts w:ascii="Arial" w:hAnsi="Arial" w:cs="Arial"/>
          <w:sz w:val="22"/>
        </w:rPr>
        <w:t>El orden conoce además de:</w:t>
      </w:r>
    </w:p>
    <w:p>
      <w:pPr>
        <w:pStyle w:val="ListBullet"/>
      </w:pPr>
      <w:r>
        <w:rPr>
          <w:rFonts w:ascii="Arial" w:hAnsi="Arial" w:cs="Arial"/>
          <w:sz w:val="22"/>
        </w:rPr>
        <w:t>protección de derechos fundamentales, elementos reglados e indemnizaciones respecto de determinados actos de Gobierno;</w:t>
      </w:r>
    </w:p>
    <w:p>
      <w:pPr>
        <w:pStyle w:val="ListBullet"/>
      </w:pPr>
      <w:r>
        <w:rPr>
          <w:rFonts w:ascii="Arial" w:hAnsi="Arial" w:cs="Arial"/>
          <w:sz w:val="22"/>
        </w:rPr>
        <w:t>contratos administrativos y actos de preparación y adjudicación de otros contratos sometidos a la legislación pública;</w:t>
      </w:r>
    </w:p>
    <w:p>
      <w:pPr>
        <w:pStyle w:val="ListBullet"/>
      </w:pPr>
      <w:r>
        <w:rPr>
          <w:rFonts w:ascii="Arial" w:hAnsi="Arial" w:cs="Arial"/>
          <w:sz w:val="22"/>
        </w:rPr>
        <w:t>actos de corporaciones de Derecho público en ejercicio de funciones públicas;</w:t>
      </w:r>
    </w:p>
    <w:p>
      <w:pPr>
        <w:pStyle w:val="ListBullet"/>
      </w:pPr>
      <w:r>
        <w:rPr>
          <w:rFonts w:ascii="Arial" w:hAnsi="Arial" w:cs="Arial"/>
          <w:sz w:val="22"/>
        </w:rPr>
        <w:t>control de actos de concesionarios cuando ejercen potestades administrativas;</w:t>
      </w:r>
    </w:p>
    <w:p>
      <w:pPr>
        <w:pStyle w:val="ListBullet"/>
      </w:pPr>
      <w:r>
        <w:rPr>
          <w:rFonts w:ascii="Arial" w:hAnsi="Arial" w:cs="Arial"/>
          <w:sz w:val="22"/>
        </w:rPr>
        <w:t>responsabilidad patrimonial de las Administraciones, cualquiera que sea la naturaleza de la actividad o relación, incluso con aseguradora o concurrencia de particulares;</w:t>
      </w:r>
    </w:p>
    <w:p>
      <w:pPr>
        <w:pStyle w:val="ListBullet"/>
      </w:pPr>
      <w:r>
        <w:rPr>
          <w:rFonts w:ascii="Arial" w:hAnsi="Arial" w:cs="Arial"/>
          <w:sz w:val="22"/>
        </w:rPr>
        <w:t>materias que una ley atribuya expresamente.</w:t>
      </w:r>
    </w:p>
    <w:p>
      <w:pPr>
        <w:pStyle w:val="Heading2"/>
        <w:keepNext/>
      </w:pPr>
      <w:r>
        <w:rPr>
          <w:rFonts w:ascii="Arial" w:hAnsi="Arial" w:cs="Arial"/>
          <w:sz w:val="25"/>
        </w:rPr>
        <w:t>9.3. Exclusiones y cuestiones prejudiciales</w:t>
      </w:r>
    </w:p>
    <w:p>
      <w:pPr>
        <w:jc w:val="both"/>
      </w:pPr>
      <w:r>
        <w:rPr>
          <w:rFonts w:ascii="Arial" w:hAnsi="Arial" w:cs="Arial"/>
          <w:sz w:val="22"/>
        </w:rPr>
        <w:t>No corresponden al contencioso:</w:t>
      </w:r>
    </w:p>
    <w:p>
      <w:pPr>
        <w:spacing w:after="40"/>
        <w:ind w:left="369" w:hanging="227"/>
      </w:pPr>
      <w:r>
        <w:rPr>
          <w:rFonts w:ascii="Arial" w:hAnsi="Arial" w:cs="Arial"/>
          <w:sz w:val="22"/>
        </w:rPr>
        <w:t>1. asuntos atribuidos expresamente a los órdenes civil, penal o social, aunque se relacionen con la Administración;</w:t>
      </w:r>
    </w:p>
    <w:p>
      <w:pPr>
        <w:spacing w:after="40"/>
        <w:ind w:left="369" w:hanging="227"/>
      </w:pPr>
      <w:r>
        <w:rPr>
          <w:rFonts w:ascii="Arial" w:hAnsi="Arial" w:cs="Arial"/>
          <w:sz w:val="22"/>
        </w:rPr>
        <w:t>2. recurso contencioso-disciplinario militar;</w:t>
      </w:r>
    </w:p>
    <w:p>
      <w:pPr>
        <w:spacing w:after="40"/>
        <w:ind w:left="369" w:hanging="227"/>
      </w:pPr>
      <w:r>
        <w:rPr>
          <w:rFonts w:ascii="Arial" w:hAnsi="Arial" w:cs="Arial"/>
          <w:sz w:val="22"/>
        </w:rPr>
        <w:t>3. conflictos de jurisdicción entre tribunales y Administración y conflictos de atribuciones entre órganos de una misma Administración;</w:t>
      </w:r>
    </w:p>
    <w:p>
      <w:pPr>
        <w:spacing w:after="40"/>
        <w:ind w:left="369" w:hanging="227"/>
      </w:pPr>
      <w:r>
        <w:rPr>
          <w:rFonts w:ascii="Arial" w:hAnsi="Arial" w:cs="Arial"/>
          <w:sz w:val="22"/>
        </w:rPr>
        <w:t>4. recursos contra normas forales fiscales vascas reservados al Tribunal Constitucional.</w:t>
      </w:r>
    </w:p>
    <w:p>
      <w:pPr>
        <w:jc w:val="both"/>
      </w:pPr>
      <w:r>
        <w:rPr>
          <w:rFonts w:ascii="Arial" w:hAnsi="Arial" w:cs="Arial"/>
          <w:sz w:val="22"/>
        </w:rPr>
        <w:t>El órgano contencioso puede decidir cuestiones prejudiciales e incidentales de otros órdenes si están directamente relacionadas, salvo las constitucionales, penales y lo previsto en tratados. La decisión solo produce efectos en ese proceso y no vincula al orden competente.</w:t>
      </w:r>
    </w:p>
    <w:p>
      <w:pPr>
        <w:jc w:val="both"/>
      </w:pPr>
      <w:r>
        <w:rPr>
          <w:rFonts w:ascii="Arial" w:hAnsi="Arial" w:cs="Arial"/>
          <w:sz w:val="22"/>
        </w:rPr>
        <w:t xml:space="preserve">La jurisdicción es </w:t>
      </w:r>
      <w:r>
        <w:rPr>
          <w:rFonts w:ascii="Arial" w:hAnsi="Arial" w:cs="Arial"/>
          <w:b/>
          <w:sz w:val="22"/>
        </w:rPr>
        <w:t>improrrogable</w:t>
      </w:r>
      <w:r>
        <w:rPr>
          <w:rFonts w:ascii="Arial" w:hAnsi="Arial" w:cs="Arial"/>
          <w:sz w:val="22"/>
        </w:rPr>
        <w:t>. La falta de jurisdicción se aprecia incluso de oficio, previa audiencia de partes y Ministerio Fiscal por diez días. Si la nueva demanda ante el orden indicado se presenta dentro del mes desde la notificación, puede conservarse la fecha inicial en los supuestos del artículo 5.3.</w:t>
      </w:r>
    </w:p>
    <w:p>
      <w:pPr>
        <w:pStyle w:val="Heading1"/>
        <w:keepNext/>
      </w:pPr>
      <w:r>
        <w:rPr>
          <w:rFonts w:ascii="Arial" w:hAnsi="Arial" w:cs="Arial"/>
          <w:sz w:val="30"/>
        </w:rPr>
        <w:t>10. Objeto del recurso contencioso-administrativo</w:t>
      </w:r>
    </w:p>
    <w:p>
      <w:pPr>
        <w:pStyle w:val="Heading2"/>
        <w:keepNext/>
      </w:pPr>
      <w:r>
        <w:rPr>
          <w:rFonts w:ascii="Arial" w:hAnsi="Arial" w:cs="Arial"/>
          <w:sz w:val="25"/>
        </w:rPr>
        <w:t>10.1. Actividad impugnable</w:t>
      </w:r>
    </w:p>
    <w:p>
      <w:pPr>
        <w:jc w:val="both"/>
      </w:pPr>
      <w:r>
        <w:rPr>
          <w:rFonts w:ascii="Arial" w:hAnsi="Arial" w:cs="Arial"/>
          <w:sz w:val="22"/>
        </w:rPr>
        <w:t>El artículo 25 LJCA permite recurrir:</w:t>
      </w:r>
    </w:p>
    <w:p>
      <w:pPr>
        <w:pStyle w:val="ListBullet"/>
      </w:pPr>
      <w:r>
        <w:rPr>
          <w:rFonts w:ascii="Arial" w:hAnsi="Arial" w:cs="Arial"/>
          <w:sz w:val="22"/>
        </w:rPr>
        <w:t>disposiciones generales;</w:t>
      </w:r>
    </w:p>
    <w:p>
      <w:pPr>
        <w:pStyle w:val="ListBullet"/>
      </w:pPr>
      <w:r>
        <w:rPr>
          <w:rFonts w:ascii="Arial" w:hAnsi="Arial" w:cs="Arial"/>
          <w:sz w:val="22"/>
        </w:rPr>
        <w:t>actos administrativos expresos o presuntos que pongan fin a la vía administrativa, sean definitivos o de trámite;</w:t>
      </w:r>
    </w:p>
    <w:p>
      <w:pPr>
        <w:pStyle w:val="ListBullet"/>
      </w:pPr>
      <w:r>
        <w:rPr>
          <w:rFonts w:ascii="Arial" w:hAnsi="Arial" w:cs="Arial"/>
          <w:sz w:val="22"/>
        </w:rPr>
        <w:t>dentro de estos últimos, los actos de trámite cualificados que decidan el fondo, impidan continuar, causen indefensión o perjuicio irreparable;</w:t>
      </w:r>
    </w:p>
    <w:p>
      <w:pPr>
        <w:pStyle w:val="ListBullet"/>
      </w:pPr>
      <w:r>
        <w:rPr>
          <w:rFonts w:ascii="Arial" w:hAnsi="Arial" w:cs="Arial"/>
          <w:sz w:val="22"/>
        </w:rPr>
        <w:t>inactividad administrativa;</w:t>
      </w:r>
    </w:p>
    <w:p>
      <w:pPr>
        <w:pStyle w:val="ListBullet"/>
      </w:pPr>
      <w:r>
        <w:rPr>
          <w:rFonts w:ascii="Arial" w:hAnsi="Arial" w:cs="Arial"/>
          <w:sz w:val="22"/>
        </w:rPr>
        <w:t>actuaciones materiales constitutivas de vía de hecho.</w:t>
      </w:r>
    </w:p>
    <w:p>
      <w:pPr>
        <w:jc w:val="both"/>
      </w:pPr>
      <w:r>
        <w:rPr>
          <w:rFonts w:ascii="Arial" w:hAnsi="Arial" w:cs="Arial"/>
          <w:sz w:val="22"/>
        </w:rPr>
        <w:t>El objeto judicial es más amplio que el acto formal. La LJCA permite reaccionar frente a la falta de actividad debida y frente a actuaciones materiales sin cobertura jurídica.</w:t>
      </w:r>
    </w:p>
    <w:p>
      <w:pPr>
        <w:pStyle w:val="Heading2"/>
        <w:keepNext/>
      </w:pPr>
      <w:r>
        <w:rPr>
          <w:rFonts w:ascii="Arial" w:hAnsi="Arial" w:cs="Arial"/>
          <w:sz w:val="25"/>
        </w:rPr>
        <w:t>10.2. Impugnación directa e indirecta de reglamentos</w:t>
      </w:r>
    </w:p>
    <w:p>
      <w:pPr>
        <w:jc w:val="both"/>
      </w:pPr>
      <w:r>
        <w:rPr>
          <w:rFonts w:ascii="Arial" w:hAnsi="Arial" w:cs="Arial"/>
          <w:sz w:val="22"/>
        </w:rPr>
        <w:t>Una disposición general puede combatirse:</w:t>
      </w:r>
    </w:p>
    <w:p>
      <w:pPr>
        <w:pStyle w:val="ListBullet"/>
      </w:pPr>
      <w:r>
        <w:rPr>
          <w:rFonts w:ascii="Arial" w:hAnsi="Arial" w:cs="Arial"/>
          <w:b/>
          <w:sz w:val="22"/>
        </w:rPr>
        <w:t>directamente</w:t>
      </w:r>
      <w:r>
        <w:rPr>
          <w:rFonts w:ascii="Arial" w:hAnsi="Arial" w:cs="Arial"/>
          <w:sz w:val="22"/>
        </w:rPr>
        <w:t>, por sus propios vicios;</w:t>
      </w:r>
    </w:p>
    <w:p>
      <w:pPr>
        <w:pStyle w:val="ListBullet"/>
      </w:pPr>
      <w:r>
        <w:rPr>
          <w:rFonts w:ascii="Arial" w:hAnsi="Arial" w:cs="Arial"/>
          <w:b/>
          <w:sz w:val="22"/>
        </w:rPr>
        <w:t>indirectamente</w:t>
      </w:r>
      <w:r>
        <w:rPr>
          <w:rFonts w:ascii="Arial" w:hAnsi="Arial" w:cs="Arial"/>
          <w:sz w:val="22"/>
        </w:rPr>
        <w:t>, recurriendo un acto de aplicación porque el reglamento en que se apoya es ilegal.</w:t>
      </w:r>
    </w:p>
    <w:p>
      <w:pPr>
        <w:jc w:val="both"/>
      </w:pPr>
      <w:r>
        <w:rPr>
          <w:rFonts w:ascii="Arial" w:hAnsi="Arial" w:cs="Arial"/>
          <w:sz w:val="22"/>
        </w:rPr>
        <w:t>No impugnar directamente el reglamento o perder ese recurso no impide combatir después sus actos de aplicación por ilegalidad de la norma. Si un órgano judicial estima el recurso indirecto y no es competente para anular directamente la disposición, plantea cuestión de ilegalidad ante el competente. Si también tiene competencia directa, declara su validez o nulidad. El Tribunal Supremo puede anularla sin cuestión cuando conozca del recurso.</w:t>
      </w:r>
    </w:p>
    <w:p>
      <w:pPr>
        <w:jc w:val="both"/>
      </w:pPr>
      <w:r>
        <w:rPr>
          <w:rFonts w:ascii="Arial" w:hAnsi="Arial" w:cs="Arial"/>
          <w:sz w:val="22"/>
        </w:rPr>
        <w:t>No es admisible recurrir actos que reproduzcan otros anteriores definitivos y firmes o confirmen actos consentidos por no haber sido impugnados en tiempo y forma. La finalidad es preservar firmeza, aunque debe existir verdadera identidad y no una decisión nueva.</w:t>
      </w:r>
    </w:p>
    <w:p>
      <w:pPr>
        <w:pStyle w:val="Heading2"/>
        <w:keepNext/>
      </w:pPr>
      <w:r>
        <w:rPr>
          <w:rFonts w:ascii="Arial" w:hAnsi="Arial" w:cs="Arial"/>
          <w:sz w:val="25"/>
        </w:rPr>
        <w:t>10.3. Inactividad</w:t>
      </w:r>
    </w:p>
    <w:p>
      <w:pPr>
        <w:jc w:val="both"/>
      </w:pPr>
      <w:r>
        <w:rPr>
          <w:rFonts w:ascii="Arial" w:hAnsi="Arial" w:cs="Arial"/>
          <w:sz w:val="22"/>
        </w:rPr>
        <w:t>La inactividad impugnable del artículo 29 tiene dos supuestos:</w:t>
      </w:r>
    </w:p>
    <w:p>
      <w:pPr>
        <w:spacing w:after="40"/>
        <w:ind w:left="369" w:hanging="227"/>
      </w:pPr>
      <w:r>
        <w:rPr>
          <w:rFonts w:ascii="Arial" w:hAnsi="Arial" w:cs="Arial"/>
          <w:sz w:val="22"/>
        </w:rPr>
        <w:t xml:space="preserve">1. La Administración está obligada, por disposición general sin acto aplicativo necesario o por acto, contrato o convenio, a realizar una prestación concreta a favor de personas determinadas. Deben reclamar cumplimiento; si pasan </w:t>
      </w:r>
      <w:r>
        <w:rPr>
          <w:rFonts w:ascii="Arial" w:hAnsi="Arial" w:cs="Arial"/>
          <w:b/>
          <w:sz w:val="22"/>
        </w:rPr>
        <w:t>tres meses</w:t>
      </w:r>
      <w:r>
        <w:rPr>
          <w:rFonts w:ascii="Arial" w:hAnsi="Arial" w:cs="Arial"/>
          <w:sz w:val="22"/>
        </w:rPr>
        <w:t xml:space="preserve"> sin cumplimiento ni acuerdo, cabe recurso.</w:t>
      </w:r>
    </w:p>
    <w:p>
      <w:pPr>
        <w:spacing w:after="40"/>
        <w:ind w:left="369" w:hanging="227"/>
      </w:pPr>
      <w:r>
        <w:rPr>
          <w:rFonts w:ascii="Arial" w:hAnsi="Arial" w:cs="Arial"/>
          <w:sz w:val="22"/>
        </w:rPr>
        <w:t xml:space="preserve">2. La Administración no ejecuta un acto firme. El afectado solicita ejecución y, si no se produce en </w:t>
      </w:r>
      <w:r>
        <w:rPr>
          <w:rFonts w:ascii="Arial" w:hAnsi="Arial" w:cs="Arial"/>
          <w:b/>
          <w:sz w:val="22"/>
        </w:rPr>
        <w:t>un mes</w:t>
      </w:r>
      <w:r>
        <w:rPr>
          <w:rFonts w:ascii="Arial" w:hAnsi="Arial" w:cs="Arial"/>
          <w:sz w:val="22"/>
        </w:rPr>
        <w:t>, puede recurrir por procedimiento abreviado.</w:t>
      </w:r>
    </w:p>
    <w:p>
      <w:pPr>
        <w:jc w:val="both"/>
      </w:pPr>
      <w:r>
        <w:rPr>
          <w:rFonts w:ascii="Arial" w:hAnsi="Arial" w:cs="Arial"/>
          <w:sz w:val="22"/>
        </w:rPr>
        <w:t>No toda pasividad es recurrible por esta vía. Debe existir una obligación concreta y exigible, no una pretensión genérica de que la Administración ejerza una potestad discrecional de una determinada manera.</w:t>
      </w:r>
    </w:p>
    <w:p>
      <w:pPr>
        <w:pStyle w:val="Heading2"/>
        <w:keepNext/>
      </w:pPr>
      <w:r>
        <w:rPr>
          <w:rFonts w:ascii="Arial" w:hAnsi="Arial" w:cs="Arial"/>
          <w:sz w:val="25"/>
        </w:rPr>
        <w:t>10.4. Vía de hecho</w:t>
      </w:r>
    </w:p>
    <w:p>
      <w:pPr>
        <w:jc w:val="both"/>
      </w:pPr>
      <w:r>
        <w:rPr>
          <w:rFonts w:ascii="Arial" w:hAnsi="Arial" w:cs="Arial"/>
          <w:sz w:val="22"/>
        </w:rPr>
        <w:t xml:space="preserve">Hay vía de hecho cuando la Administración realiza una actuación material sin la necesaria cobertura jurídica, por inexistencia o insuficiencia de título o por apartamiento esencial del procedimiento y competencia. El interesado puede requerir el cese. Si no formula requerimiento, puede acudir directamente; si lo formula y no se atiende en </w:t>
      </w:r>
      <w:r>
        <w:rPr>
          <w:rFonts w:ascii="Arial" w:hAnsi="Arial" w:cs="Arial"/>
          <w:b/>
          <w:sz w:val="22"/>
        </w:rPr>
        <w:t>diez días</w:t>
      </w:r>
      <w:r>
        <w:rPr>
          <w:rFonts w:ascii="Arial" w:hAnsi="Arial" w:cs="Arial"/>
          <w:sz w:val="22"/>
        </w:rPr>
        <w:t>, queda abierta la vía judicial.</w:t>
      </w:r>
    </w:p>
    <w:p>
      <w:pPr>
        <w:jc w:val="both"/>
      </w:pPr>
      <w:r>
        <w:rPr>
          <w:rFonts w:ascii="Arial" w:hAnsi="Arial" w:cs="Arial"/>
          <w:sz w:val="22"/>
        </w:rPr>
        <w:t>El demandante puede pedir declaración de ilegalidad, cese y restablecimiento de su situación, incluidas medidas e indemnización cuando proceda.</w:t>
      </w:r>
    </w:p>
    <w:p>
      <w:pPr>
        <w:pStyle w:val="Heading1"/>
        <w:keepNext/>
      </w:pPr>
      <w:r>
        <w:rPr>
          <w:rFonts w:ascii="Arial" w:hAnsi="Arial" w:cs="Arial"/>
          <w:sz w:val="30"/>
        </w:rPr>
        <w:t>11. Pretensiones vinculadas al objeto</w:t>
      </w:r>
    </w:p>
    <w:p>
      <w:pPr>
        <w:jc w:val="both"/>
      </w:pPr>
      <w:r>
        <w:rPr>
          <w:rFonts w:ascii="Arial" w:hAnsi="Arial" w:cs="Arial"/>
          <w:sz w:val="22"/>
        </w:rPr>
        <w:t>Frente a actos o disposiciones, el demandante puede pedir declaración de disconformidad a Derecho y anulación total o parcial. Además puede solicitar:</w:t>
      </w:r>
    </w:p>
    <w:p>
      <w:pPr>
        <w:pStyle w:val="ListBullet"/>
      </w:pPr>
      <w:r>
        <w:rPr>
          <w:rFonts w:ascii="Arial" w:hAnsi="Arial" w:cs="Arial"/>
          <w:sz w:val="22"/>
        </w:rPr>
        <w:t>reconocimiento de una situación jurídica individualizada;</w:t>
      </w:r>
    </w:p>
    <w:p>
      <w:pPr>
        <w:pStyle w:val="ListBullet"/>
      </w:pPr>
      <w:r>
        <w:rPr>
          <w:rFonts w:ascii="Arial" w:hAnsi="Arial" w:cs="Arial"/>
          <w:sz w:val="22"/>
        </w:rPr>
        <w:t>medidas de pleno restablecimiento;</w:t>
      </w:r>
    </w:p>
    <w:p>
      <w:pPr>
        <w:pStyle w:val="ListBullet"/>
      </w:pPr>
      <w:r>
        <w:rPr>
          <w:rFonts w:ascii="Arial" w:hAnsi="Arial" w:cs="Arial"/>
          <w:sz w:val="22"/>
        </w:rPr>
        <w:t>indemnización de daños y perjuicios.</w:t>
      </w:r>
    </w:p>
    <w:p>
      <w:pPr>
        <w:jc w:val="both"/>
      </w:pPr>
      <w:r>
        <w:rPr>
          <w:rFonts w:ascii="Arial" w:hAnsi="Arial" w:cs="Arial"/>
          <w:sz w:val="22"/>
        </w:rPr>
        <w:t>En inactividad, puede pretender condena al cumplimiento en los términos concretos de la obligación. En vía de hecho, declaración de ilegalidad, cese y restablecimiento.</w:t>
      </w:r>
    </w:p>
    <w:p>
      <w:pPr>
        <w:jc w:val="both"/>
      </w:pPr>
      <w:r>
        <w:rPr>
          <w:rFonts w:ascii="Arial" w:hAnsi="Arial" w:cs="Arial"/>
          <w:sz w:val="22"/>
        </w:rPr>
        <w:t>El órgano judicial decide dentro de las pretensiones y motivos de las partes. Si aprecia otros posibles motivos decisivos, debe someterlos a contradicción antes de fallar. El objeto no se reduce a comprobar formalidades: también incluye desviación de poder, entendida como uso de potestades para fines distintos de los fijados por el ordenamiento.</w:t>
      </w:r>
    </w:p>
    <w:p>
      <w:pPr>
        <w:pStyle w:val="Heading1"/>
        <w:keepNext/>
      </w:pPr>
      <w:r>
        <w:rPr>
          <w:rFonts w:ascii="Arial" w:hAnsi="Arial" w:cs="Arial"/>
          <w:sz w:val="30"/>
        </w:rPr>
        <w:t>12. Interposición del recurso contencioso</w:t>
      </w:r>
    </w:p>
    <w:p>
      <w:pPr>
        <w:pStyle w:val="Heading2"/>
        <w:keepNext/>
      </w:pPr>
      <w:r>
        <w:rPr>
          <w:rFonts w:ascii="Arial" w:hAnsi="Arial" w:cs="Arial"/>
          <w:sz w:val="25"/>
        </w:rPr>
        <w:t>12.1. Agotamiento de la vía administrativa</w:t>
      </w:r>
    </w:p>
    <w:p>
      <w:pPr>
        <w:jc w:val="both"/>
      </w:pPr>
      <w:r>
        <w:rPr>
          <w:rFonts w:ascii="Arial" w:hAnsi="Arial" w:cs="Arial"/>
          <w:sz w:val="22"/>
        </w:rPr>
        <w:t>Frente a un acto que no agota vía, normalmente debe interponerse alzada. Frente a un acto que sí la agota, puede acudirse directamente a la jurisdicción o formular reposición. Si se elige reposición, hay que esperar su resolución expresa o presunta antes de demandar.</w:t>
      </w:r>
    </w:p>
    <w:p>
      <w:pPr>
        <w:jc w:val="both"/>
      </w:pPr>
      <w:r>
        <w:rPr>
          <w:rFonts w:ascii="Arial" w:hAnsi="Arial" w:cs="Arial"/>
          <w:sz w:val="22"/>
        </w:rPr>
        <w:t>Contra reglamentos no existe recurso administrativo previo. En litigios entre Administraciones tampoco cabe recurso administrativo, aunque la Administración demandante puede formular el requerimiento potestativo del artículo 44 LJCA.</w:t>
      </w:r>
    </w:p>
    <w:p>
      <w:pPr>
        <w:pStyle w:val="Heading2"/>
        <w:keepNext/>
      </w:pPr>
      <w:r>
        <w:rPr>
          <w:rFonts w:ascii="Arial" w:hAnsi="Arial" w:cs="Arial"/>
          <w:sz w:val="25"/>
        </w:rPr>
        <w:t>12.2. Escrito de interposición</w:t>
      </w:r>
    </w:p>
    <w:p>
      <w:pPr>
        <w:jc w:val="both"/>
      </w:pPr>
      <w:r>
        <w:rPr>
          <w:rFonts w:ascii="Arial" w:hAnsi="Arial" w:cs="Arial"/>
          <w:sz w:val="22"/>
        </w:rPr>
        <w:t>El procedimiento ordinario se inicia mediante escrito reducido a citar disposición, acto, inactividad o vía de hecho impugnados y solicitar que se tenga por interpuesto el recurso. Se acompañan, según proceda:</w:t>
      </w:r>
    </w:p>
    <w:p>
      <w:pPr>
        <w:pStyle w:val="ListBullet"/>
      </w:pPr>
      <w:r>
        <w:rPr>
          <w:rFonts w:ascii="Arial" w:hAnsi="Arial" w:cs="Arial"/>
          <w:sz w:val="22"/>
        </w:rPr>
        <w:t>acreditación de representación;</w:t>
      </w:r>
    </w:p>
    <w:p>
      <w:pPr>
        <w:pStyle w:val="ListBullet"/>
      </w:pPr>
      <w:r>
        <w:rPr>
          <w:rFonts w:ascii="Arial" w:hAnsi="Arial" w:cs="Arial"/>
          <w:sz w:val="22"/>
        </w:rPr>
        <w:t>documento de legitimación transmitida;</w:t>
      </w:r>
    </w:p>
    <w:p>
      <w:pPr>
        <w:pStyle w:val="ListBullet"/>
      </w:pPr>
      <w:r>
        <w:rPr>
          <w:rFonts w:ascii="Arial" w:hAnsi="Arial" w:cs="Arial"/>
          <w:sz w:val="22"/>
        </w:rPr>
        <w:t>copia del acto o identificación del expediente o diario oficial;</w:t>
      </w:r>
    </w:p>
    <w:p>
      <w:pPr>
        <w:pStyle w:val="ListBullet"/>
      </w:pPr>
      <w:r>
        <w:rPr>
          <w:rFonts w:ascii="Arial" w:hAnsi="Arial" w:cs="Arial"/>
          <w:sz w:val="22"/>
        </w:rPr>
        <w:t>identificación suficiente de la inactividad o vía de hecho;</w:t>
      </w:r>
    </w:p>
    <w:p>
      <w:pPr>
        <w:pStyle w:val="ListBullet"/>
      </w:pPr>
      <w:r>
        <w:rPr>
          <w:rFonts w:ascii="Arial" w:hAnsi="Arial" w:cs="Arial"/>
          <w:sz w:val="22"/>
        </w:rPr>
        <w:t>acreditación de requisitos internos de la persona jurídica para ejercitar acciones;</w:t>
      </w:r>
    </w:p>
    <w:p>
      <w:pPr>
        <w:pStyle w:val="ListBullet"/>
      </w:pPr>
      <w:r>
        <w:rPr>
          <w:rFonts w:ascii="Arial" w:hAnsi="Arial" w:cs="Arial"/>
          <w:sz w:val="22"/>
        </w:rPr>
        <w:t>desde la reforma con efectos de 3 de abril de 2025, documentación especial cuando un sindicato actúe en nombre e interés de personal funcionario o estatutario en los términos del artículo 19.1.k.</w:t>
      </w:r>
    </w:p>
    <w:p>
      <w:pPr>
        <w:jc w:val="both"/>
      </w:pPr>
      <w:r>
        <w:rPr>
          <w:rFonts w:ascii="Arial" w:hAnsi="Arial" w:cs="Arial"/>
          <w:sz w:val="22"/>
        </w:rPr>
        <w:t xml:space="preserve">Los defectos de comparecencia se subsanan en </w:t>
      </w:r>
      <w:r>
        <w:rPr>
          <w:rFonts w:ascii="Arial" w:hAnsi="Arial" w:cs="Arial"/>
          <w:b/>
          <w:sz w:val="22"/>
        </w:rPr>
        <w:t>diez días</w:t>
      </w:r>
      <w:r>
        <w:rPr>
          <w:rFonts w:ascii="Arial" w:hAnsi="Arial" w:cs="Arial"/>
          <w:sz w:val="22"/>
        </w:rPr>
        <w:t>. El recurso de lesividad se inicia por demanda. Cuando no haya terceros interesados, el recurso contra disposición, acto, inactividad o vía de hecho puede comenzar también directamente mediante demanda.</w:t>
      </w:r>
    </w:p>
    <w:p>
      <w:pPr>
        <w:jc w:val="both"/>
      </w:pPr>
      <w:r>
        <w:rPr>
          <w:rFonts w:ascii="Arial" w:hAnsi="Arial" w:cs="Arial"/>
          <w:sz w:val="22"/>
        </w:rPr>
        <w:t>La Ley Orgánica 1/2025 introdujo cambios organizativos en la justicia y la LJCA advierte que determinadas referencias tradicionales a juzgados deben entenderse hechas a las secciones correspondientes de los Tribunales de Instancia. Para el epígrafe de esta oposición, lo esencial sigue siendo el objeto y los plazos.</w:t>
      </w:r>
    </w:p>
    <w:p>
      <w:pPr>
        <w:pStyle w:val="Heading1"/>
        <w:keepNext/>
      </w:pPr>
      <w:r>
        <w:rPr>
          <w:rFonts w:ascii="Arial" w:hAnsi="Arial" w:cs="Arial"/>
          <w:sz w:val="30"/>
        </w:rPr>
        <w:t>13. Plazos de interposición del recurso contencioso</w:t>
      </w:r>
    </w:p>
    <w:p>
      <w:pPr>
        <w:pStyle w:val="Heading2"/>
        <w:keepNext/>
      </w:pPr>
      <w:r>
        <w:rPr>
          <w:rFonts w:ascii="Arial" w:hAnsi="Arial" w:cs="Arial"/>
          <w:sz w:val="25"/>
        </w:rPr>
        <w:t>13.1. Regla general</w:t>
      </w:r>
    </w:p>
    <w:p>
      <w:pPr>
        <w:jc w:val="both"/>
      </w:pPr>
      <w:r>
        <w:rPr>
          <w:rFonts w:ascii="Arial" w:hAnsi="Arial" w:cs="Arial"/>
          <w:sz w:val="22"/>
        </w:rPr>
        <w:t xml:space="preserve">El plazo es de </w:t>
      </w:r>
      <w:r>
        <w:rPr>
          <w:rFonts w:ascii="Arial" w:hAnsi="Arial" w:cs="Arial"/>
          <w:b/>
          <w:sz w:val="22"/>
        </w:rPr>
        <w:t>dos meses</w:t>
      </w:r>
      <w:r>
        <w:rPr>
          <w:rFonts w:ascii="Arial" w:hAnsi="Arial" w:cs="Arial"/>
          <w:sz w:val="22"/>
        </w:rPr>
        <w:t xml:space="preserve"> desde el día siguiente a:</w:t>
      </w:r>
    </w:p>
    <w:p>
      <w:pPr>
        <w:pStyle w:val="ListBullet"/>
      </w:pPr>
      <w:r>
        <w:rPr>
          <w:rFonts w:ascii="Arial" w:hAnsi="Arial" w:cs="Arial"/>
          <w:sz w:val="22"/>
        </w:rPr>
        <w:t>la publicación de la disposición impugnada;</w:t>
      </w:r>
    </w:p>
    <w:p>
      <w:pPr>
        <w:pStyle w:val="ListBullet"/>
      </w:pPr>
      <w:r>
        <w:rPr>
          <w:rFonts w:ascii="Arial" w:hAnsi="Arial" w:cs="Arial"/>
          <w:sz w:val="22"/>
        </w:rPr>
        <w:t>la notificación o publicación del acto expreso que ponga fin a la vía administrativa.</w:t>
      </w:r>
    </w:p>
    <w:p>
      <w:pPr>
        <w:jc w:val="both"/>
      </w:pPr>
      <w:r>
        <w:rPr>
          <w:rFonts w:ascii="Arial" w:hAnsi="Arial" w:cs="Arial"/>
          <w:sz w:val="22"/>
        </w:rPr>
        <w:t xml:space="preserve">Si el acto no es expreso, el artículo 46.1 fija literalmente </w:t>
      </w:r>
      <w:r>
        <w:rPr>
          <w:rFonts w:ascii="Arial" w:hAnsi="Arial" w:cs="Arial"/>
          <w:b/>
          <w:sz w:val="22"/>
        </w:rPr>
        <w:t>seis meses</w:t>
      </w:r>
      <w:r>
        <w:rPr>
          <w:rFonts w:ascii="Arial" w:hAnsi="Arial" w:cs="Arial"/>
          <w:sz w:val="22"/>
        </w:rPr>
        <w:t xml:space="preserve"> desde el día siguiente a aquel en que se produzca el acto presunto. En un test de literalidad legal esta es la respuesta normativa. La aplicación práctica de este plazo en supuestos de silencio desestimatorio debe interpretarse conforme a la jurisprudencia constitucional y del Tribunal Supremo sobre el deber de resolver y el acceso a la jurisdicción; esa precisión jurisprudencial no autoriza a sustituir la cifra legal cuando la pregunta pide el artículo 46.</w:t>
      </w:r>
    </w:p>
    <w:p>
      <w:pPr>
        <w:pStyle w:val="Heading2"/>
        <w:keepNext/>
      </w:pPr>
      <w:r>
        <w:rPr>
          <w:rFonts w:ascii="Arial" w:hAnsi="Arial" w:cs="Arial"/>
          <w:sz w:val="25"/>
        </w:rPr>
        <w:t>13.2. Inactividad</w:t>
      </w:r>
    </w:p>
    <w:p>
      <w:pPr>
        <w:jc w:val="both"/>
      </w:pPr>
      <w:r>
        <w:rPr>
          <w:rFonts w:ascii="Arial" w:hAnsi="Arial" w:cs="Arial"/>
          <w:sz w:val="22"/>
        </w:rPr>
        <w:t xml:space="preserve">En los dos casos del artículo 29, el plazo judicial es de </w:t>
      </w:r>
      <w:r>
        <w:rPr>
          <w:rFonts w:ascii="Arial" w:hAnsi="Arial" w:cs="Arial"/>
          <w:b/>
          <w:sz w:val="22"/>
        </w:rPr>
        <w:t>dos meses</w:t>
      </w:r>
      <w:r>
        <w:rPr>
          <w:rFonts w:ascii="Arial" w:hAnsi="Arial" w:cs="Arial"/>
          <w:sz w:val="22"/>
        </w:rPr>
        <w:t xml:space="preserve"> desde el día siguiente al vencimiento:</w:t>
      </w:r>
    </w:p>
    <w:p>
      <w:pPr>
        <w:pStyle w:val="ListBullet"/>
      </w:pPr>
      <w:r>
        <w:rPr>
          <w:rFonts w:ascii="Arial" w:hAnsi="Arial" w:cs="Arial"/>
          <w:sz w:val="22"/>
        </w:rPr>
        <w:t>de los tres meses posteriores a la reclamación de prestación concreta;</w:t>
      </w:r>
    </w:p>
    <w:p>
      <w:pPr>
        <w:pStyle w:val="ListBullet"/>
      </w:pPr>
      <w:r>
        <w:rPr>
          <w:rFonts w:ascii="Arial" w:hAnsi="Arial" w:cs="Arial"/>
          <w:sz w:val="22"/>
        </w:rPr>
        <w:t>del mes posterior a la solicitud de ejecución del acto firme.</w:t>
      </w:r>
    </w:p>
    <w:p>
      <w:pPr>
        <w:jc w:val="both"/>
      </w:pPr>
      <w:r>
        <w:rPr>
          <w:rFonts w:ascii="Arial" w:hAnsi="Arial" w:cs="Arial"/>
          <w:sz w:val="22"/>
        </w:rPr>
        <w:t>Hay, por tanto, un plazo previo de espera y después el plazo procesal de dos meses.</w:t>
      </w:r>
    </w:p>
    <w:p>
      <w:pPr>
        <w:pStyle w:val="Heading2"/>
        <w:keepNext/>
      </w:pPr>
      <w:r>
        <w:rPr>
          <w:rFonts w:ascii="Arial" w:hAnsi="Arial" w:cs="Arial"/>
          <w:sz w:val="25"/>
        </w:rPr>
        <w:t>13.3. Vía de hecho</w:t>
      </w:r>
    </w:p>
    <w:p>
      <w:pPr>
        <w:jc w:val="both"/>
      </w:pPr>
      <w:r>
        <w:rPr>
          <w:rFonts w:ascii="Arial" w:hAnsi="Arial" w:cs="Arial"/>
          <w:sz w:val="22"/>
        </w:rPr>
        <w:t>Si se formuló requerimiento de cese:</w:t>
      </w:r>
    </w:p>
    <w:p>
      <w:pPr>
        <w:spacing w:after="40"/>
        <w:ind w:left="369" w:hanging="227"/>
      </w:pPr>
      <w:r>
        <w:rPr>
          <w:rFonts w:ascii="Arial" w:hAnsi="Arial" w:cs="Arial"/>
          <w:sz w:val="22"/>
        </w:rPr>
        <w:t>1. la Administración dispone de diez días para atenderlo;</w:t>
      </w:r>
    </w:p>
    <w:p>
      <w:pPr>
        <w:spacing w:after="40"/>
        <w:ind w:left="369" w:hanging="227"/>
      </w:pPr>
      <w:r>
        <w:rPr>
          <w:rFonts w:ascii="Arial" w:hAnsi="Arial" w:cs="Arial"/>
          <w:sz w:val="22"/>
        </w:rPr>
        <w:t xml:space="preserve">2. el recurso se interpone en </w:t>
      </w:r>
      <w:r>
        <w:rPr>
          <w:rFonts w:ascii="Arial" w:hAnsi="Arial" w:cs="Arial"/>
          <w:b/>
          <w:sz w:val="22"/>
        </w:rPr>
        <w:t>diez días</w:t>
      </w:r>
      <w:r>
        <w:rPr>
          <w:rFonts w:ascii="Arial" w:hAnsi="Arial" w:cs="Arial"/>
          <w:sz w:val="22"/>
        </w:rPr>
        <w:t xml:space="preserve"> desde el siguiente a la terminación de ese plazo.</w:t>
      </w:r>
    </w:p>
    <w:p>
      <w:pPr>
        <w:jc w:val="both"/>
      </w:pPr>
      <w:r>
        <w:rPr>
          <w:rFonts w:ascii="Arial" w:hAnsi="Arial" w:cs="Arial"/>
          <w:sz w:val="22"/>
        </w:rPr>
        <w:t xml:space="preserve">Si no hubo requerimiento, el plazo es de </w:t>
      </w:r>
      <w:r>
        <w:rPr>
          <w:rFonts w:ascii="Arial" w:hAnsi="Arial" w:cs="Arial"/>
          <w:b/>
          <w:sz w:val="22"/>
        </w:rPr>
        <w:t>veinte días</w:t>
      </w:r>
      <w:r>
        <w:rPr>
          <w:rFonts w:ascii="Arial" w:hAnsi="Arial" w:cs="Arial"/>
          <w:sz w:val="22"/>
        </w:rPr>
        <w:t xml:space="preserve"> desde el día en que comenzó la actuación material.</w:t>
      </w:r>
    </w:p>
    <w:p>
      <w:pPr>
        <w:jc w:val="both"/>
      </w:pPr>
      <w:r>
        <w:rPr>
          <w:rFonts w:ascii="Arial" w:hAnsi="Arial" w:cs="Arial"/>
          <w:sz w:val="22"/>
        </w:rPr>
        <w:t>No deben confundirse los diez días de espera con los diez días posteriores para recurrir cuando sí hubo requerimiento.</w:t>
      </w:r>
    </w:p>
    <w:p>
      <w:pPr>
        <w:pStyle w:val="Heading2"/>
        <w:keepNext/>
      </w:pPr>
      <w:r>
        <w:rPr>
          <w:rFonts w:ascii="Arial" w:hAnsi="Arial" w:cs="Arial"/>
          <w:sz w:val="25"/>
        </w:rPr>
        <w:t>13.4. Reposición previa</w:t>
      </w:r>
    </w:p>
    <w:p>
      <w:pPr>
        <w:jc w:val="both"/>
      </w:pPr>
      <w:r>
        <w:rPr>
          <w:rFonts w:ascii="Arial" w:hAnsi="Arial" w:cs="Arial"/>
          <w:sz w:val="22"/>
        </w:rPr>
        <w:t>Si se interpuso reposición, el plazo contencioso se cuenta desde el día siguiente a:</w:t>
      </w:r>
    </w:p>
    <w:p>
      <w:pPr>
        <w:pStyle w:val="ListBullet"/>
      </w:pPr>
      <w:r>
        <w:rPr>
          <w:rFonts w:ascii="Arial" w:hAnsi="Arial" w:cs="Arial"/>
          <w:sz w:val="22"/>
        </w:rPr>
        <w:t>la notificación de su resolución expresa; o</w:t>
      </w:r>
    </w:p>
    <w:p>
      <w:pPr>
        <w:pStyle w:val="ListBullet"/>
      </w:pPr>
      <w:r>
        <w:rPr>
          <w:rFonts w:ascii="Arial" w:hAnsi="Arial" w:cs="Arial"/>
          <w:sz w:val="22"/>
        </w:rPr>
        <w:t>aquel en que deba entenderse desestimada presuntamente.</w:t>
      </w:r>
    </w:p>
    <w:p>
      <w:pPr>
        <w:jc w:val="both"/>
      </w:pPr>
      <w:r>
        <w:rPr>
          <w:rFonts w:ascii="Arial" w:hAnsi="Arial" w:cs="Arial"/>
          <w:sz w:val="22"/>
        </w:rPr>
        <w:t>Como el plazo para resolver reposición es un mes, el silencio se produce al vencer ese mes; desde entonces se abre el cómputo judicial conforme al artículo 46.4.</w:t>
      </w:r>
    </w:p>
    <w:p>
      <w:pPr>
        <w:pStyle w:val="Heading2"/>
        <w:keepNext/>
      </w:pPr>
      <w:r>
        <w:rPr>
          <w:rFonts w:ascii="Arial" w:hAnsi="Arial" w:cs="Arial"/>
          <w:sz w:val="25"/>
        </w:rPr>
        <w:t>13.5. Lesividad</w:t>
      </w:r>
    </w:p>
    <w:p>
      <w:pPr>
        <w:jc w:val="both"/>
      </w:pPr>
      <w:r>
        <w:rPr>
          <w:rFonts w:ascii="Arial" w:hAnsi="Arial" w:cs="Arial"/>
          <w:sz w:val="22"/>
        </w:rPr>
        <w:t xml:space="preserve">Cuando la Administración impugna ante la jurisdicción un acto favorable suyo previamente declarado lesivo, dispone de </w:t>
      </w:r>
      <w:r>
        <w:rPr>
          <w:rFonts w:ascii="Arial" w:hAnsi="Arial" w:cs="Arial"/>
          <w:b/>
          <w:sz w:val="22"/>
        </w:rPr>
        <w:t>dos meses</w:t>
      </w:r>
      <w:r>
        <w:rPr>
          <w:rFonts w:ascii="Arial" w:hAnsi="Arial" w:cs="Arial"/>
          <w:sz w:val="22"/>
        </w:rPr>
        <w:t xml:space="preserve"> desde el día siguiente a la declaración de lesividad. La declaración debe haberse adoptado dentro de los cuatro años desde el acto conforme al artículo 107 LPAC, pero esos cuatro años no son el plazo judicial: son el límite para declarar lesividad.</w:t>
      </w:r>
    </w:p>
    <w:p>
      <w:pPr>
        <w:pStyle w:val="Heading2"/>
        <w:keepNext/>
      </w:pPr>
      <w:r>
        <w:rPr>
          <w:rFonts w:ascii="Arial" w:hAnsi="Arial" w:cs="Arial"/>
          <w:sz w:val="25"/>
        </w:rPr>
        <w:t>13.6. Litigios entre Administraciones</w:t>
      </w:r>
    </w:p>
    <w:p>
      <w:pPr>
        <w:jc w:val="both"/>
      </w:pPr>
      <w:r>
        <w:rPr>
          <w:rFonts w:ascii="Arial" w:hAnsi="Arial" w:cs="Arial"/>
          <w:sz w:val="22"/>
        </w:rPr>
        <w:t xml:space="preserve">El plazo general es de </w:t>
      </w:r>
      <w:r>
        <w:rPr>
          <w:rFonts w:ascii="Arial" w:hAnsi="Arial" w:cs="Arial"/>
          <w:b/>
          <w:sz w:val="22"/>
        </w:rPr>
        <w:t>dos meses</w:t>
      </w:r>
      <w:r>
        <w:rPr>
          <w:rFonts w:ascii="Arial" w:hAnsi="Arial" w:cs="Arial"/>
          <w:sz w:val="22"/>
        </w:rPr>
        <w:t>, salvo ley distinta. Si hubo requerimiento previo del artículo 44:</w:t>
      </w:r>
    </w:p>
    <w:p>
      <w:pPr>
        <w:pStyle w:val="ListBullet"/>
      </w:pPr>
      <w:r>
        <w:rPr>
          <w:rFonts w:ascii="Arial" w:hAnsi="Arial" w:cs="Arial"/>
          <w:sz w:val="22"/>
        </w:rPr>
        <w:t>se cuenta desde el día siguiente a la recepción del rechazo expreso; o</w:t>
      </w:r>
    </w:p>
    <w:p>
      <w:pPr>
        <w:pStyle w:val="ListBullet"/>
      </w:pPr>
      <w:r>
        <w:rPr>
          <w:rFonts w:ascii="Arial" w:hAnsi="Arial" w:cs="Arial"/>
          <w:sz w:val="22"/>
        </w:rPr>
        <w:t>desde el día siguiente a aquel en que se entiende rechazado, lo que ocurre al transcurrir un mes sin contestación.</w:t>
      </w:r>
    </w:p>
    <w:p>
      <w:pPr>
        <w:jc w:val="both"/>
      </w:pPr>
      <w:r>
        <w:rPr>
          <w:rFonts w:ascii="Arial" w:hAnsi="Arial" w:cs="Arial"/>
          <w:sz w:val="22"/>
        </w:rPr>
        <w:t>El requerimiento debe formularse en dos meses desde la publicación de la norma o desde que la Administración conoció o pudo conocer el acto, actuación o inactividad.</w:t>
      </w:r>
    </w:p>
    <w:p>
      <w:pPr>
        <w:pStyle w:val="Heading2"/>
        <w:keepNext/>
      </w:pPr>
      <w:r>
        <w:rPr>
          <w:rFonts w:ascii="Arial" w:hAnsi="Arial" w:cs="Arial"/>
          <w:sz w:val="25"/>
        </w:rPr>
        <w:t>13.7. Cuadro completo</w:t>
      </w:r>
    </w:p>
    <w:tbl>
      <w:tblPr>
        <w:tblStyle w:val="TableGrid"/>
        <w:tblW w:type="dxa" w:w="9026"/>
        <w:jc w:val="left"/>
        <w:tblLayout w:type="fixed"/>
        <w:tblLook w:firstColumn="1" w:firstRow="1" w:lastColumn="0" w:lastRow="0" w:noHBand="0" w:noVBand="1" w:val="04A0"/>
        <w:tblInd w:w="120" w:type="dxa"/>
      </w:tblPr>
      <w:tblGrid>
        <w:gridCol w:w="3424"/>
        <w:gridCol w:w="2801"/>
        <w:gridCol w:w="2801"/>
      </w:tblGrid>
      <w:tr>
        <w:trPr>
          <w:tblHeader w:val="true"/>
        </w:trPr>
        <w:tc>
          <w:tcPr>
            <w:tcW w:type="dxa" w:w="342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Objeto</w:t>
            </w:r>
          </w:p>
        </w:tc>
        <w:tc>
          <w:tcPr>
            <w:tcW w:type="dxa" w:w="280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Actuación previa</w:t>
            </w:r>
          </w:p>
        </w:tc>
        <w:tc>
          <w:tcPr>
            <w:tcW w:type="dxa" w:w="280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Plazo de recurso</w:t>
            </w:r>
          </w:p>
        </w:tc>
      </w:tr>
      <w:tr>
        <w:tc>
          <w:tcPr>
            <w:tcW w:type="dxa" w:w="3424"/>
            <w:tcMar>
              <w:top w:w="80" w:type="dxa"/>
              <w:start w:w="120" w:type="dxa"/>
              <w:bottom w:w="80" w:type="dxa"/>
              <w:end w:w="120" w:type="dxa"/>
            </w:tcMar>
            <w:vAlign w:val="center"/>
          </w:tcPr>
          <w:p>
            <w:pPr>
              <w:spacing w:before="0" w:after="0" w:line="240" w:lineRule="auto"/>
              <w:jc w:val="left"/>
            </w:pPr>
            <w:r/>
            <w:r>
              <w:rPr>
                <w:rFonts w:ascii="Arial" w:hAnsi="Arial" w:cs="Arial"/>
                <w:sz w:val="18"/>
              </w:rPr>
              <w:t>Reglamento</w:t>
            </w:r>
          </w:p>
        </w:tc>
        <w:tc>
          <w:tcPr>
            <w:tcW w:type="dxa" w:w="2801"/>
            <w:tcMar>
              <w:top w:w="80" w:type="dxa"/>
              <w:start w:w="120" w:type="dxa"/>
              <w:bottom w:w="80" w:type="dxa"/>
              <w:end w:w="120" w:type="dxa"/>
            </w:tcMar>
            <w:vAlign w:val="center"/>
          </w:tcPr>
          <w:p>
            <w:pPr>
              <w:spacing w:before="0" w:after="0" w:line="240" w:lineRule="auto"/>
              <w:jc w:val="center"/>
            </w:pPr>
            <w:r/>
            <w:r>
              <w:rPr>
                <w:rFonts w:ascii="Arial" w:hAnsi="Arial" w:cs="Arial"/>
                <w:sz w:val="18"/>
              </w:rPr>
              <w:t>Ninguna</w:t>
            </w:r>
          </w:p>
        </w:tc>
        <w:tc>
          <w:tcPr>
            <w:tcW w:type="dxa" w:w="2801"/>
            <w:tcMar>
              <w:top w:w="80" w:type="dxa"/>
              <w:start w:w="120" w:type="dxa"/>
              <w:bottom w:w="80" w:type="dxa"/>
              <w:end w:w="120" w:type="dxa"/>
            </w:tcMar>
            <w:vAlign w:val="center"/>
          </w:tcPr>
          <w:p>
            <w:pPr>
              <w:spacing w:before="0" w:after="0" w:line="240" w:lineRule="auto"/>
              <w:jc w:val="left"/>
            </w:pPr>
            <w:r/>
            <w:r>
              <w:rPr>
                <w:rFonts w:ascii="Arial" w:hAnsi="Arial" w:cs="Arial"/>
                <w:sz w:val="18"/>
              </w:rPr>
              <w:t>2 meses desde publicación</w:t>
            </w:r>
          </w:p>
        </w:tc>
      </w:tr>
      <w:tr>
        <w:tc>
          <w:tcPr>
            <w:tcW w:type="dxa" w:w="3424"/>
            <w:tcMar>
              <w:top w:w="80" w:type="dxa"/>
              <w:start w:w="120" w:type="dxa"/>
              <w:bottom w:w="80" w:type="dxa"/>
              <w:end w:w="120" w:type="dxa"/>
            </w:tcMar>
            <w:vAlign w:val="center"/>
          </w:tcPr>
          <w:p>
            <w:pPr>
              <w:spacing w:before="0" w:after="0" w:line="240" w:lineRule="auto"/>
              <w:jc w:val="left"/>
            </w:pPr>
            <w:r/>
            <w:r>
              <w:rPr>
                <w:rFonts w:ascii="Arial" w:hAnsi="Arial" w:cs="Arial"/>
                <w:sz w:val="18"/>
              </w:rPr>
              <w:t>Acto expreso que agota vía</w:t>
            </w:r>
          </w:p>
        </w:tc>
        <w:tc>
          <w:tcPr>
            <w:tcW w:type="dxa" w:w="2801"/>
            <w:tcMar>
              <w:top w:w="80" w:type="dxa"/>
              <w:start w:w="120" w:type="dxa"/>
              <w:bottom w:w="80" w:type="dxa"/>
              <w:end w:w="120" w:type="dxa"/>
            </w:tcMar>
            <w:vAlign w:val="center"/>
          </w:tcPr>
          <w:p>
            <w:pPr>
              <w:spacing w:before="0" w:after="0" w:line="240" w:lineRule="auto"/>
              <w:jc w:val="left"/>
            </w:pPr>
            <w:r/>
            <w:r>
              <w:rPr>
                <w:rFonts w:ascii="Arial" w:hAnsi="Arial" w:cs="Arial"/>
                <w:sz w:val="18"/>
              </w:rPr>
              <w:t>Alzada ya resuelta o vía agotada</w:t>
            </w:r>
          </w:p>
        </w:tc>
        <w:tc>
          <w:tcPr>
            <w:tcW w:type="dxa" w:w="2801"/>
            <w:tcMar>
              <w:top w:w="80" w:type="dxa"/>
              <w:start w:w="120" w:type="dxa"/>
              <w:bottom w:w="80" w:type="dxa"/>
              <w:end w:w="120" w:type="dxa"/>
            </w:tcMar>
            <w:vAlign w:val="center"/>
          </w:tcPr>
          <w:p>
            <w:pPr>
              <w:spacing w:before="0" w:after="0" w:line="240" w:lineRule="auto"/>
              <w:jc w:val="center"/>
            </w:pPr>
            <w:r/>
            <w:r>
              <w:rPr>
                <w:rFonts w:ascii="Arial" w:hAnsi="Arial" w:cs="Arial"/>
                <w:sz w:val="18"/>
              </w:rPr>
              <w:t>2 meses</w:t>
            </w:r>
          </w:p>
        </w:tc>
      </w:tr>
      <w:tr>
        <w:tc>
          <w:tcPr>
            <w:tcW w:type="dxa" w:w="3424"/>
            <w:tcMar>
              <w:top w:w="80" w:type="dxa"/>
              <w:start w:w="120" w:type="dxa"/>
              <w:bottom w:w="80" w:type="dxa"/>
              <w:end w:w="120" w:type="dxa"/>
            </w:tcMar>
            <w:vAlign w:val="center"/>
          </w:tcPr>
          <w:p>
            <w:pPr>
              <w:spacing w:before="0" w:after="0" w:line="240" w:lineRule="auto"/>
              <w:jc w:val="left"/>
            </w:pPr>
            <w:r/>
            <w:r>
              <w:rPr>
                <w:rFonts w:ascii="Arial" w:hAnsi="Arial" w:cs="Arial"/>
                <w:sz w:val="18"/>
              </w:rPr>
              <w:t>Acto presunto</w:t>
            </w:r>
          </w:p>
        </w:tc>
        <w:tc>
          <w:tcPr>
            <w:tcW w:type="dxa" w:w="2801"/>
            <w:tcMar>
              <w:top w:w="80" w:type="dxa"/>
              <w:start w:w="120" w:type="dxa"/>
              <w:bottom w:w="80" w:type="dxa"/>
              <w:end w:w="120" w:type="dxa"/>
            </w:tcMar>
            <w:vAlign w:val="center"/>
          </w:tcPr>
          <w:p>
            <w:pPr>
              <w:spacing w:before="0" w:after="0" w:line="240" w:lineRule="auto"/>
              <w:jc w:val="left"/>
            </w:pPr>
            <w:r/>
            <w:r>
              <w:rPr>
                <w:rFonts w:ascii="Arial" w:hAnsi="Arial" w:cs="Arial"/>
                <w:sz w:val="18"/>
              </w:rPr>
              <w:t>Producción del silencio</w:t>
            </w:r>
          </w:p>
        </w:tc>
        <w:tc>
          <w:tcPr>
            <w:tcW w:type="dxa" w:w="2801"/>
            <w:tcMar>
              <w:top w:w="80" w:type="dxa"/>
              <w:start w:w="120" w:type="dxa"/>
              <w:bottom w:w="80" w:type="dxa"/>
              <w:end w:w="120" w:type="dxa"/>
            </w:tcMar>
            <w:vAlign w:val="center"/>
          </w:tcPr>
          <w:p>
            <w:pPr>
              <w:spacing w:before="0" w:after="0" w:line="240" w:lineRule="auto"/>
              <w:jc w:val="left"/>
            </w:pPr>
            <w:r/>
            <w:r>
              <w:rPr>
                <w:rFonts w:ascii="Arial" w:hAnsi="Arial" w:cs="Arial"/>
                <w:sz w:val="18"/>
              </w:rPr>
              <w:t>6 meses según literal del art. 46.1</w:t>
            </w:r>
          </w:p>
        </w:tc>
      </w:tr>
      <w:tr>
        <w:tc>
          <w:tcPr>
            <w:tcW w:type="dxa" w:w="3424"/>
            <w:tcMar>
              <w:top w:w="80" w:type="dxa"/>
              <w:start w:w="120" w:type="dxa"/>
              <w:bottom w:w="80" w:type="dxa"/>
              <w:end w:w="120" w:type="dxa"/>
            </w:tcMar>
            <w:vAlign w:val="center"/>
          </w:tcPr>
          <w:p>
            <w:pPr>
              <w:spacing w:before="0" w:after="0" w:line="240" w:lineRule="auto"/>
              <w:jc w:val="left"/>
            </w:pPr>
            <w:r/>
            <w:r>
              <w:rPr>
                <w:rFonts w:ascii="Arial" w:hAnsi="Arial" w:cs="Arial"/>
                <w:sz w:val="18"/>
              </w:rPr>
              <w:t>Inactividad: prestación concreta</w:t>
            </w:r>
          </w:p>
        </w:tc>
        <w:tc>
          <w:tcPr>
            <w:tcW w:type="dxa" w:w="2801"/>
            <w:tcMar>
              <w:top w:w="80" w:type="dxa"/>
              <w:start w:w="120" w:type="dxa"/>
              <w:bottom w:w="80" w:type="dxa"/>
              <w:end w:w="120" w:type="dxa"/>
            </w:tcMar>
            <w:vAlign w:val="center"/>
          </w:tcPr>
          <w:p>
            <w:pPr>
              <w:spacing w:before="0" w:after="0" w:line="240" w:lineRule="auto"/>
              <w:jc w:val="left"/>
            </w:pPr>
            <w:r/>
            <w:r>
              <w:rPr>
                <w:rFonts w:ascii="Arial" w:hAnsi="Arial" w:cs="Arial"/>
                <w:sz w:val="18"/>
              </w:rPr>
              <w:t>Reclamación + espera 3 meses</w:t>
            </w:r>
          </w:p>
        </w:tc>
        <w:tc>
          <w:tcPr>
            <w:tcW w:type="dxa" w:w="2801"/>
            <w:tcMar>
              <w:top w:w="80" w:type="dxa"/>
              <w:start w:w="120" w:type="dxa"/>
              <w:bottom w:w="80" w:type="dxa"/>
              <w:end w:w="120" w:type="dxa"/>
            </w:tcMar>
            <w:vAlign w:val="center"/>
          </w:tcPr>
          <w:p>
            <w:pPr>
              <w:spacing w:before="0" w:after="0" w:line="240" w:lineRule="auto"/>
              <w:jc w:val="center"/>
            </w:pPr>
            <w:r/>
            <w:r>
              <w:rPr>
                <w:rFonts w:ascii="Arial" w:hAnsi="Arial" w:cs="Arial"/>
                <w:sz w:val="18"/>
              </w:rPr>
              <w:t>2 meses</w:t>
            </w:r>
          </w:p>
        </w:tc>
      </w:tr>
      <w:tr>
        <w:tc>
          <w:tcPr>
            <w:tcW w:type="dxa" w:w="3424"/>
            <w:tcMar>
              <w:top w:w="80" w:type="dxa"/>
              <w:start w:w="120" w:type="dxa"/>
              <w:bottom w:w="80" w:type="dxa"/>
              <w:end w:w="120" w:type="dxa"/>
            </w:tcMar>
            <w:vAlign w:val="center"/>
          </w:tcPr>
          <w:p>
            <w:pPr>
              <w:spacing w:before="0" w:after="0" w:line="240" w:lineRule="auto"/>
              <w:jc w:val="left"/>
            </w:pPr>
            <w:r/>
            <w:r>
              <w:rPr>
                <w:rFonts w:ascii="Arial" w:hAnsi="Arial" w:cs="Arial"/>
                <w:sz w:val="18"/>
              </w:rPr>
              <w:t>Inactividad: no ejecución de acto firme</w:t>
            </w:r>
          </w:p>
        </w:tc>
        <w:tc>
          <w:tcPr>
            <w:tcW w:type="dxa" w:w="2801"/>
            <w:tcMar>
              <w:top w:w="80" w:type="dxa"/>
              <w:start w:w="120" w:type="dxa"/>
              <w:bottom w:w="80" w:type="dxa"/>
              <w:end w:w="120" w:type="dxa"/>
            </w:tcMar>
            <w:vAlign w:val="center"/>
          </w:tcPr>
          <w:p>
            <w:pPr>
              <w:spacing w:before="0" w:after="0" w:line="240" w:lineRule="auto"/>
              <w:jc w:val="left"/>
            </w:pPr>
            <w:r/>
            <w:r>
              <w:rPr>
                <w:rFonts w:ascii="Arial" w:hAnsi="Arial" w:cs="Arial"/>
                <w:sz w:val="18"/>
              </w:rPr>
              <w:t>Solicitud + espera 1 mes</w:t>
            </w:r>
          </w:p>
        </w:tc>
        <w:tc>
          <w:tcPr>
            <w:tcW w:type="dxa" w:w="2801"/>
            <w:tcMar>
              <w:top w:w="80" w:type="dxa"/>
              <w:start w:w="120" w:type="dxa"/>
              <w:bottom w:w="80" w:type="dxa"/>
              <w:end w:w="120" w:type="dxa"/>
            </w:tcMar>
            <w:vAlign w:val="center"/>
          </w:tcPr>
          <w:p>
            <w:pPr>
              <w:spacing w:before="0" w:after="0" w:line="240" w:lineRule="auto"/>
              <w:jc w:val="center"/>
            </w:pPr>
            <w:r/>
            <w:r>
              <w:rPr>
                <w:rFonts w:ascii="Arial" w:hAnsi="Arial" w:cs="Arial"/>
                <w:sz w:val="18"/>
              </w:rPr>
              <w:t>2 meses</w:t>
            </w:r>
          </w:p>
        </w:tc>
      </w:tr>
      <w:tr>
        <w:tc>
          <w:tcPr>
            <w:tcW w:type="dxa" w:w="3424"/>
            <w:tcMar>
              <w:top w:w="80" w:type="dxa"/>
              <w:start w:w="120" w:type="dxa"/>
              <w:bottom w:w="80" w:type="dxa"/>
              <w:end w:w="120" w:type="dxa"/>
            </w:tcMar>
            <w:vAlign w:val="center"/>
          </w:tcPr>
          <w:p>
            <w:pPr>
              <w:spacing w:before="0" w:after="0" w:line="240" w:lineRule="auto"/>
              <w:jc w:val="left"/>
            </w:pPr>
            <w:r/>
            <w:r>
              <w:rPr>
                <w:rFonts w:ascii="Arial" w:hAnsi="Arial" w:cs="Arial"/>
                <w:sz w:val="18"/>
              </w:rPr>
              <w:t>Vía de hecho con requerimiento</w:t>
            </w:r>
          </w:p>
        </w:tc>
        <w:tc>
          <w:tcPr>
            <w:tcW w:type="dxa" w:w="2801"/>
            <w:tcMar>
              <w:top w:w="80" w:type="dxa"/>
              <w:start w:w="120" w:type="dxa"/>
              <w:bottom w:w="80" w:type="dxa"/>
              <w:end w:w="120" w:type="dxa"/>
            </w:tcMar>
            <w:vAlign w:val="center"/>
          </w:tcPr>
          <w:p>
            <w:pPr>
              <w:spacing w:before="0" w:after="0" w:line="240" w:lineRule="auto"/>
              <w:jc w:val="center"/>
            </w:pPr>
            <w:r/>
            <w:r>
              <w:rPr>
                <w:rFonts w:ascii="Arial" w:hAnsi="Arial" w:cs="Arial"/>
                <w:sz w:val="18"/>
              </w:rPr>
              <w:t>Espera 10 días</w:t>
            </w:r>
          </w:p>
        </w:tc>
        <w:tc>
          <w:tcPr>
            <w:tcW w:type="dxa" w:w="2801"/>
            <w:tcMar>
              <w:top w:w="80" w:type="dxa"/>
              <w:start w:w="120" w:type="dxa"/>
              <w:bottom w:w="80" w:type="dxa"/>
              <w:end w:w="120" w:type="dxa"/>
            </w:tcMar>
            <w:vAlign w:val="center"/>
          </w:tcPr>
          <w:p>
            <w:pPr>
              <w:spacing w:before="0" w:after="0" w:line="240" w:lineRule="auto"/>
              <w:jc w:val="center"/>
            </w:pPr>
            <w:r/>
            <w:r>
              <w:rPr>
                <w:rFonts w:ascii="Arial" w:hAnsi="Arial" w:cs="Arial"/>
                <w:sz w:val="18"/>
              </w:rPr>
              <w:t>10 días</w:t>
            </w:r>
          </w:p>
        </w:tc>
      </w:tr>
      <w:tr>
        <w:tc>
          <w:tcPr>
            <w:tcW w:type="dxa" w:w="3424"/>
            <w:tcMar>
              <w:top w:w="80" w:type="dxa"/>
              <w:start w:w="120" w:type="dxa"/>
              <w:bottom w:w="80" w:type="dxa"/>
              <w:end w:w="120" w:type="dxa"/>
            </w:tcMar>
            <w:vAlign w:val="center"/>
          </w:tcPr>
          <w:p>
            <w:pPr>
              <w:spacing w:before="0" w:after="0" w:line="240" w:lineRule="auto"/>
              <w:jc w:val="left"/>
            </w:pPr>
            <w:r/>
            <w:r>
              <w:rPr>
                <w:rFonts w:ascii="Arial" w:hAnsi="Arial" w:cs="Arial"/>
                <w:sz w:val="18"/>
              </w:rPr>
              <w:t>Vía de hecho sin requerimiento</w:t>
            </w:r>
          </w:p>
        </w:tc>
        <w:tc>
          <w:tcPr>
            <w:tcW w:type="dxa" w:w="2801"/>
            <w:tcMar>
              <w:top w:w="80" w:type="dxa"/>
              <w:start w:w="120" w:type="dxa"/>
              <w:bottom w:w="80" w:type="dxa"/>
              <w:end w:w="120" w:type="dxa"/>
            </w:tcMar>
            <w:vAlign w:val="center"/>
          </w:tcPr>
          <w:p>
            <w:pPr>
              <w:spacing w:before="0" w:after="0" w:line="240" w:lineRule="auto"/>
              <w:jc w:val="center"/>
            </w:pPr>
            <w:r/>
            <w:r>
              <w:rPr>
                <w:rFonts w:ascii="Arial" w:hAnsi="Arial" w:cs="Arial"/>
                <w:sz w:val="18"/>
              </w:rPr>
              <w:t>Ninguna</w:t>
            </w:r>
          </w:p>
        </w:tc>
        <w:tc>
          <w:tcPr>
            <w:tcW w:type="dxa" w:w="2801"/>
            <w:tcMar>
              <w:top w:w="80" w:type="dxa"/>
              <w:start w:w="120" w:type="dxa"/>
              <w:bottom w:w="80" w:type="dxa"/>
              <w:end w:w="120" w:type="dxa"/>
            </w:tcMar>
            <w:vAlign w:val="center"/>
          </w:tcPr>
          <w:p>
            <w:pPr>
              <w:spacing w:before="0" w:after="0" w:line="240" w:lineRule="auto"/>
              <w:jc w:val="left"/>
            </w:pPr>
            <w:r/>
            <w:r>
              <w:rPr>
                <w:rFonts w:ascii="Arial" w:hAnsi="Arial" w:cs="Arial"/>
                <w:sz w:val="18"/>
              </w:rPr>
              <w:t>20 días desde inicio</w:t>
            </w:r>
          </w:p>
        </w:tc>
      </w:tr>
      <w:tr>
        <w:tc>
          <w:tcPr>
            <w:tcW w:type="dxa" w:w="3424"/>
            <w:tcMar>
              <w:top w:w="80" w:type="dxa"/>
              <w:start w:w="120" w:type="dxa"/>
              <w:bottom w:w="80" w:type="dxa"/>
              <w:end w:w="120" w:type="dxa"/>
            </w:tcMar>
            <w:vAlign w:val="center"/>
          </w:tcPr>
          <w:p>
            <w:pPr>
              <w:spacing w:before="0" w:after="0" w:line="240" w:lineRule="auto"/>
              <w:jc w:val="left"/>
            </w:pPr>
            <w:r/>
            <w:r>
              <w:rPr>
                <w:rFonts w:ascii="Arial" w:hAnsi="Arial" w:cs="Arial"/>
                <w:sz w:val="18"/>
              </w:rPr>
              <w:t>Reposición</w:t>
            </w:r>
          </w:p>
        </w:tc>
        <w:tc>
          <w:tcPr>
            <w:tcW w:type="dxa" w:w="2801"/>
            <w:tcMar>
              <w:top w:w="80" w:type="dxa"/>
              <w:start w:w="120" w:type="dxa"/>
              <w:bottom w:w="80" w:type="dxa"/>
              <w:end w:w="120" w:type="dxa"/>
            </w:tcMar>
            <w:vAlign w:val="center"/>
          </w:tcPr>
          <w:p>
            <w:pPr>
              <w:spacing w:before="0" w:after="0" w:line="240" w:lineRule="auto"/>
              <w:jc w:val="left"/>
            </w:pPr>
            <w:r/>
            <w:r>
              <w:rPr>
                <w:rFonts w:ascii="Arial" w:hAnsi="Arial" w:cs="Arial"/>
                <w:sz w:val="18"/>
              </w:rPr>
              <w:t>Resolución expresa o presunta</w:t>
            </w:r>
          </w:p>
        </w:tc>
        <w:tc>
          <w:tcPr>
            <w:tcW w:type="dxa" w:w="2801"/>
            <w:tcMar>
              <w:top w:w="80" w:type="dxa"/>
              <w:start w:w="120" w:type="dxa"/>
              <w:bottom w:w="80" w:type="dxa"/>
              <w:end w:w="120" w:type="dxa"/>
            </w:tcMar>
            <w:vAlign w:val="center"/>
          </w:tcPr>
          <w:p>
            <w:pPr>
              <w:spacing w:before="0" w:after="0" w:line="240" w:lineRule="auto"/>
              <w:jc w:val="left"/>
            </w:pPr>
            <w:r/>
            <w:r>
              <w:rPr>
                <w:rFonts w:ascii="Arial" w:hAnsi="Arial" w:cs="Arial"/>
                <w:sz w:val="18"/>
              </w:rPr>
              <w:t>Desde día siguiente a una u otra</w:t>
            </w:r>
          </w:p>
        </w:tc>
      </w:tr>
      <w:tr>
        <w:tc>
          <w:tcPr>
            <w:tcW w:type="dxa" w:w="3424"/>
            <w:tcMar>
              <w:top w:w="80" w:type="dxa"/>
              <w:start w:w="120" w:type="dxa"/>
              <w:bottom w:w="80" w:type="dxa"/>
              <w:end w:w="120" w:type="dxa"/>
            </w:tcMar>
            <w:vAlign w:val="center"/>
          </w:tcPr>
          <w:p>
            <w:pPr>
              <w:spacing w:before="0" w:after="0" w:line="240" w:lineRule="auto"/>
              <w:jc w:val="left"/>
            </w:pPr>
            <w:r/>
            <w:r>
              <w:rPr>
                <w:rFonts w:ascii="Arial" w:hAnsi="Arial" w:cs="Arial"/>
                <w:sz w:val="18"/>
              </w:rPr>
              <w:t>Lesividad</w:t>
            </w:r>
          </w:p>
        </w:tc>
        <w:tc>
          <w:tcPr>
            <w:tcW w:type="dxa" w:w="2801"/>
            <w:tcMar>
              <w:top w:w="80" w:type="dxa"/>
              <w:start w:w="120" w:type="dxa"/>
              <w:bottom w:w="80" w:type="dxa"/>
              <w:end w:w="120" w:type="dxa"/>
            </w:tcMar>
            <w:vAlign w:val="center"/>
          </w:tcPr>
          <w:p>
            <w:pPr>
              <w:spacing w:before="0" w:after="0" w:line="240" w:lineRule="auto"/>
              <w:jc w:val="left"/>
            </w:pPr>
            <w:r/>
            <w:r>
              <w:rPr>
                <w:rFonts w:ascii="Arial" w:hAnsi="Arial" w:cs="Arial"/>
                <w:sz w:val="18"/>
              </w:rPr>
              <w:t>Declaración previa</w:t>
            </w:r>
          </w:p>
        </w:tc>
        <w:tc>
          <w:tcPr>
            <w:tcW w:type="dxa" w:w="2801"/>
            <w:tcMar>
              <w:top w:w="80" w:type="dxa"/>
              <w:start w:w="120" w:type="dxa"/>
              <w:bottom w:w="80" w:type="dxa"/>
              <w:end w:w="120" w:type="dxa"/>
            </w:tcMar>
            <w:vAlign w:val="center"/>
          </w:tcPr>
          <w:p>
            <w:pPr>
              <w:spacing w:before="0" w:after="0" w:line="240" w:lineRule="auto"/>
              <w:jc w:val="center"/>
            </w:pPr>
            <w:r/>
            <w:r>
              <w:rPr>
                <w:rFonts w:ascii="Arial" w:hAnsi="Arial" w:cs="Arial"/>
                <w:sz w:val="18"/>
              </w:rPr>
              <w:t>2 meses</w:t>
            </w:r>
          </w:p>
        </w:tc>
      </w:tr>
      <w:tr>
        <w:tc>
          <w:tcPr>
            <w:tcW w:type="dxa" w:w="3424"/>
            <w:tcMar>
              <w:top w:w="80" w:type="dxa"/>
              <w:start w:w="120" w:type="dxa"/>
              <w:bottom w:w="80" w:type="dxa"/>
              <w:end w:w="120" w:type="dxa"/>
            </w:tcMar>
            <w:vAlign w:val="center"/>
          </w:tcPr>
          <w:p>
            <w:pPr>
              <w:spacing w:before="0" w:after="0" w:line="240" w:lineRule="auto"/>
              <w:jc w:val="left"/>
            </w:pPr>
            <w:r/>
            <w:r>
              <w:rPr>
                <w:rFonts w:ascii="Arial" w:hAnsi="Arial" w:cs="Arial"/>
                <w:sz w:val="18"/>
              </w:rPr>
              <w:t>Litigio interadministrativo</w:t>
            </w:r>
          </w:p>
        </w:tc>
        <w:tc>
          <w:tcPr>
            <w:tcW w:type="dxa" w:w="2801"/>
            <w:tcMar>
              <w:top w:w="80" w:type="dxa"/>
              <w:start w:w="120" w:type="dxa"/>
              <w:bottom w:w="80" w:type="dxa"/>
              <w:end w:w="120" w:type="dxa"/>
            </w:tcMar>
            <w:vAlign w:val="center"/>
          </w:tcPr>
          <w:p>
            <w:pPr>
              <w:spacing w:before="0" w:after="0" w:line="240" w:lineRule="auto"/>
              <w:jc w:val="left"/>
            </w:pPr>
            <w:r/>
            <w:r>
              <w:rPr>
                <w:rFonts w:ascii="Arial" w:hAnsi="Arial" w:cs="Arial"/>
                <w:sz w:val="18"/>
              </w:rPr>
              <w:t>Requerimiento potestativo</w:t>
            </w:r>
          </w:p>
        </w:tc>
        <w:tc>
          <w:tcPr>
            <w:tcW w:type="dxa" w:w="2801"/>
            <w:tcMar>
              <w:top w:w="80" w:type="dxa"/>
              <w:start w:w="120" w:type="dxa"/>
              <w:bottom w:w="80" w:type="dxa"/>
              <w:end w:w="120" w:type="dxa"/>
            </w:tcMar>
            <w:vAlign w:val="center"/>
          </w:tcPr>
          <w:p>
            <w:pPr>
              <w:spacing w:before="0" w:after="0" w:line="240" w:lineRule="auto"/>
              <w:jc w:val="center"/>
            </w:pPr>
            <w:r/>
            <w:r>
              <w:rPr>
                <w:rFonts w:ascii="Arial" w:hAnsi="Arial" w:cs="Arial"/>
                <w:sz w:val="18"/>
              </w:rPr>
              <w:t>2 meses</w:t>
            </w:r>
          </w:p>
        </w:tc>
      </w:tr>
    </w:tbl>
    <w:p>
      <w:pPr>
        <w:spacing w:after="40"/>
      </w:pPr>
    </w:p>
    <w:p>
      <w:pPr>
        <w:pStyle w:val="Heading1"/>
        <w:keepNext/>
      </w:pPr>
      <w:r>
        <w:rPr>
          <w:rFonts w:ascii="Arial" w:hAnsi="Arial" w:cs="Arial"/>
          <w:sz w:val="30"/>
        </w:rPr>
        <w:t>14. Cómputo y régimen procesal de los plazos</w:t>
      </w:r>
    </w:p>
    <w:p>
      <w:pPr>
        <w:jc w:val="both"/>
      </w:pPr>
      <w:r>
        <w:rPr>
          <w:rFonts w:ascii="Arial" w:hAnsi="Arial" w:cs="Arial"/>
          <w:sz w:val="22"/>
        </w:rPr>
        <w:t>Los plazos de la LJCA son procesales y, como regla, improrrogables. Transcurridos, se pierde el trámite. La posibilidad general de presentar un escrito dentro del día en que se notifica la resolución de caducidad no opera para preparar o interponer recursos.</w:t>
      </w:r>
    </w:p>
    <w:p>
      <w:pPr>
        <w:jc w:val="both"/>
      </w:pPr>
      <w:r>
        <w:rPr>
          <w:rFonts w:ascii="Arial" w:hAnsi="Arial" w:cs="Arial"/>
          <w:sz w:val="22"/>
        </w:rPr>
        <w:t xml:space="preserve">Durante </w:t>
      </w:r>
      <w:r>
        <w:rPr>
          <w:rFonts w:ascii="Arial" w:hAnsi="Arial" w:cs="Arial"/>
          <w:b/>
          <w:sz w:val="22"/>
        </w:rPr>
        <w:t>agosto</w:t>
      </w:r>
      <w:r>
        <w:rPr>
          <w:rFonts w:ascii="Arial" w:hAnsi="Arial" w:cs="Arial"/>
          <w:sz w:val="22"/>
        </w:rPr>
        <w:t xml:space="preserve"> no corre el plazo para interponer recurso contencioso ni los demás de la LJCA, salvo el procedimiento especial de protección de derechos fundamentales, para el cual agosto es hábil. En situaciones urgentes pueden habilitarse días inhábiles en ese procedimiento o en incidentes cautelares.</w:t>
      </w:r>
    </w:p>
    <w:p>
      <w:pPr>
        <w:jc w:val="both"/>
      </w:pPr>
      <w:r>
        <w:rPr>
          <w:rFonts w:ascii="Arial" w:hAnsi="Arial" w:cs="Arial"/>
          <w:sz w:val="22"/>
        </w:rPr>
        <w:t>La indicación de recursos contenida en la notificación administrativa debe señalar órgano y plazo. Una notificación defectuosa puede afectar al inicio del cómputo. La persona que prepara una impugnación real debe comprobar fecha de notificación, calendario, reglas procesales, representación y órgano competente; los cuadros de estudio no sustituyen ese análisis individual.</w:t>
      </w:r>
    </w:p>
    <w:p>
      <w:pPr>
        <w:pStyle w:val="Heading1"/>
        <w:keepNext/>
      </w:pPr>
      <w:r>
        <w:rPr>
          <w:rFonts w:ascii="Arial" w:hAnsi="Arial" w:cs="Arial"/>
          <w:sz w:val="30"/>
        </w:rPr>
        <w:t>15. Integración práctica: elección del recurso</w:t>
      </w:r>
    </w:p>
    <w:p>
      <w:pPr>
        <w:jc w:val="both"/>
      </w:pPr>
      <w:r>
        <w:rPr>
          <w:rFonts w:ascii="Arial" w:hAnsi="Arial" w:cs="Arial"/>
          <w:sz w:val="22"/>
        </w:rPr>
        <w:t>Para decidir correctamente:</w:t>
      </w:r>
    </w:p>
    <w:p>
      <w:pPr>
        <w:spacing w:after="40"/>
        <w:ind w:left="369" w:hanging="227"/>
      </w:pPr>
      <w:r>
        <w:rPr>
          <w:rFonts w:ascii="Arial" w:hAnsi="Arial" w:cs="Arial"/>
          <w:sz w:val="22"/>
        </w:rPr>
        <w:t xml:space="preserve">1. </w:t>
      </w:r>
      <w:r>
        <w:rPr>
          <w:rFonts w:ascii="Arial" w:hAnsi="Arial" w:cs="Arial"/>
          <w:b/>
          <w:sz w:val="22"/>
        </w:rPr>
        <w:t>Identificar la naturaleza</w:t>
      </w:r>
      <w:r>
        <w:rPr>
          <w:rFonts w:ascii="Arial" w:hAnsi="Arial" w:cs="Arial"/>
          <w:sz w:val="22"/>
        </w:rPr>
        <w:t>: resolución, trámite cualificado, reglamento, inactividad o vía de hecho.</w:t>
      </w:r>
    </w:p>
    <w:p>
      <w:pPr>
        <w:spacing w:after="40"/>
        <w:ind w:left="369" w:hanging="227"/>
      </w:pPr>
      <w:r>
        <w:rPr>
          <w:rFonts w:ascii="Arial" w:hAnsi="Arial" w:cs="Arial"/>
          <w:sz w:val="22"/>
        </w:rPr>
        <w:t xml:space="preserve">2. </w:t>
      </w:r>
      <w:r>
        <w:rPr>
          <w:rFonts w:ascii="Arial" w:hAnsi="Arial" w:cs="Arial"/>
          <w:b/>
          <w:sz w:val="22"/>
        </w:rPr>
        <w:t>Comprobar si agota vía administrativa</w:t>
      </w:r>
      <w:r>
        <w:rPr>
          <w:rFonts w:ascii="Arial" w:hAnsi="Arial" w:cs="Arial"/>
          <w:sz w:val="22"/>
        </w:rPr>
        <w:t xml:space="preserve"> mediante artículo 114 y norma específica.</w:t>
      </w:r>
    </w:p>
    <w:p>
      <w:pPr>
        <w:spacing w:after="40"/>
        <w:ind w:left="369" w:hanging="227"/>
      </w:pPr>
      <w:r>
        <w:rPr>
          <w:rFonts w:ascii="Arial" w:hAnsi="Arial" w:cs="Arial"/>
          <w:sz w:val="22"/>
        </w:rPr>
        <w:t xml:space="preserve">3. </w:t>
      </w:r>
      <w:r>
        <w:rPr>
          <w:rFonts w:ascii="Arial" w:hAnsi="Arial" w:cs="Arial"/>
          <w:b/>
          <w:sz w:val="22"/>
        </w:rPr>
        <w:t>Elegir el recurso</w:t>
      </w:r>
      <w:r>
        <w:rPr>
          <w:rFonts w:ascii="Arial" w:hAnsi="Arial" w:cs="Arial"/>
          <w:sz w:val="22"/>
        </w:rPr>
        <w:t>:</w:t>
      </w:r>
    </w:p>
    <w:p>
      <w:pPr>
        <w:pStyle w:val="ListBullet"/>
      </w:pPr>
      <w:r>
        <w:rPr>
          <w:rFonts w:ascii="Arial" w:hAnsi="Arial" w:cs="Arial"/>
          <w:sz w:val="22"/>
        </w:rPr>
        <w:t>no agota: alzada;</w:t>
      </w:r>
    </w:p>
    <w:p>
      <w:pPr>
        <w:pStyle w:val="ListBullet"/>
      </w:pPr>
      <w:r>
        <w:rPr>
          <w:rFonts w:ascii="Arial" w:hAnsi="Arial" w:cs="Arial"/>
          <w:sz w:val="22"/>
        </w:rPr>
        <w:t>agota: reposición potestativa o contencioso;</w:t>
      </w:r>
    </w:p>
    <w:p>
      <w:pPr>
        <w:pStyle w:val="ListBullet"/>
      </w:pPr>
      <w:r>
        <w:rPr>
          <w:rFonts w:ascii="Arial" w:hAnsi="Arial" w:cs="Arial"/>
          <w:sz w:val="22"/>
        </w:rPr>
        <w:t>firme con causa tasada: extraordinario;</w:t>
      </w:r>
    </w:p>
    <w:p>
      <w:pPr>
        <w:pStyle w:val="ListBullet"/>
      </w:pPr>
      <w:r>
        <w:rPr>
          <w:rFonts w:ascii="Arial" w:hAnsi="Arial" w:cs="Arial"/>
          <w:sz w:val="22"/>
        </w:rPr>
        <w:t>reglamento: contencioso.</w:t>
      </w:r>
    </w:p>
    <w:p>
      <w:pPr>
        <w:spacing w:after="40"/>
        <w:ind w:left="369" w:hanging="227"/>
      </w:pPr>
      <w:r>
        <w:rPr>
          <w:rFonts w:ascii="Arial" w:hAnsi="Arial" w:cs="Arial"/>
          <w:sz w:val="22"/>
        </w:rPr>
        <w:t xml:space="preserve">4. </w:t>
      </w:r>
      <w:r>
        <w:rPr>
          <w:rFonts w:ascii="Arial" w:hAnsi="Arial" w:cs="Arial"/>
          <w:b/>
          <w:sz w:val="22"/>
        </w:rPr>
        <w:t>Determinar si es expreso o presunto</w:t>
      </w:r>
      <w:r>
        <w:rPr>
          <w:rFonts w:ascii="Arial" w:hAnsi="Arial" w:cs="Arial"/>
          <w:sz w:val="22"/>
        </w:rPr>
        <w:t>, porque cambia el plazo.</w:t>
      </w:r>
    </w:p>
    <w:p>
      <w:pPr>
        <w:spacing w:after="40"/>
        <w:ind w:left="369" w:hanging="227"/>
      </w:pPr>
      <w:r>
        <w:rPr>
          <w:rFonts w:ascii="Arial" w:hAnsi="Arial" w:cs="Arial"/>
          <w:sz w:val="22"/>
        </w:rPr>
        <w:t xml:space="preserve">5. </w:t>
      </w:r>
      <w:r>
        <w:rPr>
          <w:rFonts w:ascii="Arial" w:hAnsi="Arial" w:cs="Arial"/>
          <w:b/>
          <w:sz w:val="22"/>
        </w:rPr>
        <w:t>Fijar dies a quo</w:t>
      </w:r>
      <w:r>
        <w:rPr>
          <w:rFonts w:ascii="Arial" w:hAnsi="Arial" w:cs="Arial"/>
          <w:sz w:val="22"/>
        </w:rPr>
        <w:t>: día siguiente a notificación, publicación, silencio, vencimiento de espera o rechazo.</w:t>
      </w:r>
    </w:p>
    <w:p>
      <w:pPr>
        <w:spacing w:after="40"/>
        <w:ind w:left="369" w:hanging="227"/>
      </w:pPr>
      <w:r>
        <w:rPr>
          <w:rFonts w:ascii="Arial" w:hAnsi="Arial" w:cs="Arial"/>
          <w:sz w:val="22"/>
        </w:rPr>
        <w:t xml:space="preserve">6. </w:t>
      </w:r>
      <w:r>
        <w:rPr>
          <w:rFonts w:ascii="Arial" w:hAnsi="Arial" w:cs="Arial"/>
          <w:b/>
          <w:sz w:val="22"/>
        </w:rPr>
        <w:t>Valorar suspensión</w:t>
      </w:r>
      <w:r>
        <w:rPr>
          <w:rFonts w:ascii="Arial" w:hAnsi="Arial" w:cs="Arial"/>
          <w:sz w:val="22"/>
        </w:rPr>
        <w:t>, pues recurrir no suspende por sí solo.</w:t>
      </w:r>
    </w:p>
    <w:p>
      <w:pPr>
        <w:spacing w:after="40"/>
        <w:ind w:left="369" w:hanging="227"/>
      </w:pPr>
      <w:r>
        <w:rPr>
          <w:rFonts w:ascii="Arial" w:hAnsi="Arial" w:cs="Arial"/>
          <w:sz w:val="22"/>
        </w:rPr>
        <w:t xml:space="preserve">7. </w:t>
      </w:r>
      <w:r>
        <w:rPr>
          <w:rFonts w:ascii="Arial" w:hAnsi="Arial" w:cs="Arial"/>
          <w:b/>
          <w:sz w:val="22"/>
        </w:rPr>
        <w:t>No duplicar vías</w:t>
      </w:r>
      <w:r>
        <w:rPr>
          <w:rFonts w:ascii="Arial" w:hAnsi="Arial" w:cs="Arial"/>
          <w:sz w:val="22"/>
        </w:rPr>
        <w:t>: interpuesta reposición, esperar antes del contencioso.</w:t>
      </w:r>
    </w:p>
    <w:p>
      <w:pPr>
        <w:pStyle w:val="Heading2"/>
        <w:keepNext/>
      </w:pPr>
      <w:r>
        <w:rPr>
          <w:rFonts w:ascii="Arial" w:hAnsi="Arial" w:cs="Arial"/>
          <w:sz w:val="25"/>
        </w:rPr>
        <w:t>Supuesto integrado</w:t>
      </w:r>
    </w:p>
    <w:p>
      <w:pPr>
        <w:jc w:val="both"/>
      </w:pPr>
      <w:r>
        <w:rPr>
          <w:rFonts w:ascii="Arial" w:hAnsi="Arial" w:cs="Arial"/>
          <w:sz w:val="22"/>
        </w:rPr>
        <w:t>Una dirección general dicta un acto en materia distinta de personal y la norma no declara que agote vía. Procede alzada ante el superior. Si el acto fue notificado expresamente, un mes. El superior tiene tres meses. La resolución de alzada agota vía; desde su notificación, dos meses para el contencioso o, si legalmente procediera contra un acto distinto que ya agotara vía sin alzada, reposición potestativa.</w:t>
      </w:r>
    </w:p>
    <w:p>
      <w:pPr>
        <w:jc w:val="both"/>
      </w:pPr>
      <w:r>
        <w:rPr>
          <w:rFonts w:ascii="Arial" w:hAnsi="Arial" w:cs="Arial"/>
          <w:sz w:val="22"/>
        </w:rPr>
        <w:t>Si, en cambio, el ministro dicta el acto en su competencia, agota vía. El interesado puede presentar reposición al mismo ministro en un mes o ir directamente a la jurisdicción en dos meses. Si elige reposición, debe esperar a su decisión o silencio.</w:t>
      </w:r>
    </w:p>
    <w:p>
      <w:pPr>
        <w:pStyle w:val="Heading1"/>
        <w:keepNext/>
      </w:pPr>
      <w:r>
        <w:rPr>
          <w:rFonts w:ascii="Arial" w:hAnsi="Arial" w:cs="Arial"/>
          <w:sz w:val="30"/>
        </w:rPr>
        <w:t>16. Errores frecuentes de examen</w:t>
      </w:r>
    </w:p>
    <w:p>
      <w:pPr>
        <w:spacing w:after="40"/>
        <w:ind w:left="369" w:hanging="227"/>
      </w:pPr>
      <w:r>
        <w:rPr>
          <w:rFonts w:ascii="Arial" w:hAnsi="Arial" w:cs="Arial"/>
          <w:sz w:val="22"/>
        </w:rPr>
        <w:t xml:space="preserve">1. </w:t>
      </w:r>
      <w:r>
        <w:rPr>
          <w:rFonts w:ascii="Arial" w:hAnsi="Arial" w:cs="Arial"/>
          <w:b/>
          <w:sz w:val="22"/>
        </w:rPr>
        <w:t>No todo acto de trámite es recurrible</w:t>
      </w:r>
      <w:r>
        <w:rPr>
          <w:rFonts w:ascii="Arial" w:hAnsi="Arial" w:cs="Arial"/>
          <w:sz w:val="22"/>
        </w:rPr>
        <w:t>: solo los cuatro tipos cualificados del artículo 112.1.</w:t>
      </w:r>
    </w:p>
    <w:p>
      <w:pPr>
        <w:spacing w:after="40"/>
        <w:ind w:left="369" w:hanging="227"/>
      </w:pPr>
      <w:r>
        <w:rPr>
          <w:rFonts w:ascii="Arial" w:hAnsi="Arial" w:cs="Arial"/>
          <w:sz w:val="22"/>
        </w:rPr>
        <w:t xml:space="preserve">2. </w:t>
      </w:r>
      <w:r>
        <w:rPr>
          <w:rFonts w:ascii="Arial" w:hAnsi="Arial" w:cs="Arial"/>
          <w:b/>
          <w:sz w:val="22"/>
        </w:rPr>
        <w:t>Contra reglamentos no cabe recurso administrativo</w:t>
      </w:r>
      <w:r>
        <w:rPr>
          <w:rFonts w:ascii="Arial" w:hAnsi="Arial" w:cs="Arial"/>
          <w:sz w:val="22"/>
        </w:rPr>
        <w:t>, aunque sí impugnación judicial directa o indirecta.</w:t>
      </w:r>
    </w:p>
    <w:p>
      <w:pPr>
        <w:spacing w:after="40"/>
        <w:ind w:left="369" w:hanging="227"/>
      </w:pPr>
      <w:r>
        <w:rPr>
          <w:rFonts w:ascii="Arial" w:hAnsi="Arial" w:cs="Arial"/>
          <w:sz w:val="22"/>
        </w:rPr>
        <w:t>3. «Poner fin a la vía» no equivale a «firmeza».</w:t>
      </w:r>
    </w:p>
    <w:p>
      <w:pPr>
        <w:spacing w:after="40"/>
        <w:ind w:left="369" w:hanging="227"/>
      </w:pPr>
      <w:r>
        <w:rPr>
          <w:rFonts w:ascii="Arial" w:hAnsi="Arial" w:cs="Arial"/>
          <w:sz w:val="22"/>
        </w:rPr>
        <w:t xml:space="preserve">4. </w:t>
      </w:r>
      <w:r>
        <w:rPr>
          <w:rFonts w:ascii="Arial" w:hAnsi="Arial" w:cs="Arial"/>
          <w:b/>
          <w:sz w:val="22"/>
        </w:rPr>
        <w:t>Alzada: superior jerárquico</w:t>
      </w:r>
      <w:r>
        <w:rPr>
          <w:rFonts w:ascii="Arial" w:hAnsi="Arial" w:cs="Arial"/>
          <w:sz w:val="22"/>
        </w:rPr>
        <w:t>; reposición: mismo órgano; extraordinario: mismo órgano.</w:t>
      </w:r>
    </w:p>
    <w:p>
      <w:pPr>
        <w:spacing w:after="40"/>
        <w:ind w:left="369" w:hanging="227"/>
      </w:pPr>
      <w:r>
        <w:rPr>
          <w:rFonts w:ascii="Arial" w:hAnsi="Arial" w:cs="Arial"/>
          <w:sz w:val="22"/>
        </w:rPr>
        <w:t>5. El error de calificación del escrito no impide tramitar si se deduce su naturaleza.</w:t>
      </w:r>
    </w:p>
    <w:p>
      <w:pPr>
        <w:spacing w:after="40"/>
        <w:ind w:left="369" w:hanging="227"/>
      </w:pPr>
      <w:r>
        <w:rPr>
          <w:rFonts w:ascii="Arial" w:hAnsi="Arial" w:cs="Arial"/>
          <w:sz w:val="22"/>
        </w:rPr>
        <w:t>6. La interposición no suspende automáticamente.</w:t>
      </w:r>
    </w:p>
    <w:p>
      <w:pPr>
        <w:spacing w:after="40"/>
        <w:ind w:left="369" w:hanging="227"/>
      </w:pPr>
      <w:r>
        <w:rPr>
          <w:rFonts w:ascii="Arial" w:hAnsi="Arial" w:cs="Arial"/>
          <w:sz w:val="22"/>
        </w:rPr>
        <w:t>7. El silencio sobre la solicitud de suspensión durante un mes produce suspensión.</w:t>
      </w:r>
    </w:p>
    <w:p>
      <w:pPr>
        <w:spacing w:after="40"/>
        <w:ind w:left="369" w:hanging="227"/>
      </w:pPr>
      <w:r>
        <w:rPr>
          <w:rFonts w:ascii="Arial" w:hAnsi="Arial" w:cs="Arial"/>
          <w:sz w:val="22"/>
        </w:rPr>
        <w:t>8. La audiencia en recurso solo procede por nuevos hechos o documentos; otros interesados reciben traslado en todo caso.</w:t>
      </w:r>
    </w:p>
    <w:p>
      <w:pPr>
        <w:spacing w:after="40"/>
        <w:ind w:left="369" w:hanging="227"/>
      </w:pPr>
      <w:r>
        <w:rPr>
          <w:rFonts w:ascii="Arial" w:hAnsi="Arial" w:cs="Arial"/>
          <w:sz w:val="22"/>
        </w:rPr>
        <w:t>9. La resolución del recurso no puede empeorar la situación inicial.</w:t>
      </w:r>
    </w:p>
    <w:p>
      <w:pPr>
        <w:spacing w:after="40"/>
        <w:ind w:left="369" w:hanging="227"/>
      </w:pPr>
      <w:r>
        <w:rPr>
          <w:rFonts w:ascii="Arial" w:hAnsi="Arial" w:cs="Arial"/>
          <w:sz w:val="22"/>
        </w:rPr>
        <w:t>10. Alzada contra acto expreso: un mes; resolución: tres meses.</w:t>
      </w:r>
    </w:p>
    <w:p>
      <w:pPr>
        <w:spacing w:after="40"/>
        <w:ind w:left="369" w:hanging="227"/>
      </w:pPr>
      <w:r>
        <w:rPr>
          <w:rFonts w:ascii="Arial" w:hAnsi="Arial" w:cs="Arial"/>
          <w:sz w:val="22"/>
        </w:rPr>
        <w:t>11. Reposición contra acto expreso: un mes; resolución: un mes.</w:t>
      </w:r>
    </w:p>
    <w:p>
      <w:pPr>
        <w:spacing w:after="40"/>
        <w:ind w:left="369" w:hanging="227"/>
      </w:pPr>
      <w:r>
        <w:rPr>
          <w:rFonts w:ascii="Arial" w:hAnsi="Arial" w:cs="Arial"/>
          <w:sz w:val="22"/>
        </w:rPr>
        <w:t>12. Contra acto presunto, alzada y reposición pueden interponerse en cualquier momento desde el silencio.</w:t>
      </w:r>
    </w:p>
    <w:p>
      <w:pPr>
        <w:spacing w:after="40"/>
        <w:ind w:left="369" w:hanging="227"/>
      </w:pPr>
      <w:r>
        <w:rPr>
          <w:rFonts w:ascii="Arial" w:hAnsi="Arial" w:cs="Arial"/>
          <w:sz w:val="22"/>
        </w:rPr>
        <w:t>13. Contra la resolución de reposición no cabe otra reposición.</w:t>
      </w:r>
    </w:p>
    <w:p>
      <w:pPr>
        <w:spacing w:after="40"/>
        <w:ind w:left="369" w:hanging="227"/>
      </w:pPr>
      <w:r>
        <w:rPr>
          <w:rFonts w:ascii="Arial" w:hAnsi="Arial" w:cs="Arial"/>
          <w:sz w:val="22"/>
        </w:rPr>
        <w:t>14. Extraordinario por error de hecho: cuatro años; demás causas: tres meses.</w:t>
      </w:r>
    </w:p>
    <w:p>
      <w:pPr>
        <w:spacing w:after="40"/>
        <w:ind w:left="369" w:hanging="227"/>
      </w:pPr>
      <w:r>
        <w:rPr>
          <w:rFonts w:ascii="Arial" w:hAnsi="Arial" w:cs="Arial"/>
          <w:sz w:val="22"/>
        </w:rPr>
        <w:t>15. Una interpretación jurídica discutible no es error de hecho.</w:t>
      </w:r>
    </w:p>
    <w:p>
      <w:pPr>
        <w:spacing w:after="40"/>
        <w:ind w:left="369" w:hanging="227"/>
      </w:pPr>
      <w:r>
        <w:rPr>
          <w:rFonts w:ascii="Arial" w:hAnsi="Arial" w:cs="Arial"/>
          <w:sz w:val="22"/>
        </w:rPr>
        <w:t>16. El contencioso no es un recurso administrativo: lo resuelve un órgano judicial.</w:t>
      </w:r>
    </w:p>
    <w:p>
      <w:pPr>
        <w:spacing w:after="40"/>
        <w:ind w:left="369" w:hanging="227"/>
      </w:pPr>
      <w:r>
        <w:rPr>
          <w:rFonts w:ascii="Arial" w:hAnsi="Arial" w:cs="Arial"/>
          <w:sz w:val="22"/>
        </w:rPr>
        <w:t>17. Para recurrir un acto ordinario judicialmente debe haber agotado vía administrativa.</w:t>
      </w:r>
    </w:p>
    <w:p>
      <w:pPr>
        <w:spacing w:after="40"/>
        <w:ind w:left="369" w:hanging="227"/>
      </w:pPr>
      <w:r>
        <w:rPr>
          <w:rFonts w:ascii="Arial" w:hAnsi="Arial" w:cs="Arial"/>
          <w:sz w:val="22"/>
        </w:rPr>
        <w:t>18. Inactividad y vía de hecho son objetos autónomos del contencioso.</w:t>
      </w:r>
    </w:p>
    <w:p>
      <w:pPr>
        <w:spacing w:after="40"/>
        <w:ind w:left="369" w:hanging="227"/>
      </w:pPr>
      <w:r>
        <w:rPr>
          <w:rFonts w:ascii="Arial" w:hAnsi="Arial" w:cs="Arial"/>
          <w:sz w:val="22"/>
        </w:rPr>
        <w:t>19. Vía de hecho con requerimiento: espera diez días y luego plazo de diez; sin requerimiento: veinte.</w:t>
      </w:r>
    </w:p>
    <w:p>
      <w:pPr>
        <w:spacing w:after="40"/>
        <w:ind w:left="369" w:hanging="227"/>
      </w:pPr>
      <w:r>
        <w:rPr>
          <w:rFonts w:ascii="Arial" w:hAnsi="Arial" w:cs="Arial"/>
          <w:sz w:val="22"/>
        </w:rPr>
        <w:t>20. Agosto no corre para los plazos LJCA, salvo protección de derechos fundamentales.</w:t>
      </w:r>
    </w:p>
    <w:p>
      <w:pPr>
        <w:pStyle w:val="Heading1"/>
        <w:keepNext/>
      </w:pPr>
      <w:r>
        <w:rPr>
          <w:rFonts w:ascii="Arial" w:hAnsi="Arial" w:cs="Arial"/>
          <w:sz w:val="30"/>
        </w:rPr>
        <w:t>17. Resumen de repaso</w:t>
      </w:r>
    </w:p>
    <w:p>
      <w:pPr>
        <w:jc w:val="both"/>
      </w:pPr>
      <w:r>
        <w:rPr>
          <w:rFonts w:ascii="Arial" w:hAnsi="Arial" w:cs="Arial"/>
          <w:sz w:val="22"/>
        </w:rPr>
        <w:t>Los recursos administrativos revisan actos por motivos de legalidad. Son recurribles las resoluciones y los actos de trámite cualificados. Alzada y reposición admiten nulidad o anulabilidad; el extraordinario solo causas tasadas. Contra reglamentos no cabe recurso administrativo.</w:t>
      </w:r>
    </w:p>
    <w:p>
      <w:pPr>
        <w:jc w:val="both"/>
      </w:pPr>
      <w:r>
        <w:rPr>
          <w:rFonts w:ascii="Arial" w:hAnsi="Arial" w:cs="Arial"/>
          <w:sz w:val="22"/>
        </w:rPr>
        <w:t>La alzada combate actos que no agotan vía y la resuelve el superior. Se interpone en un mes contra acto expreso y en cualquier momento contra presunto; se resuelve en tres meses. La reposición combate potestativamente actos que agotan vía ante el mismo órgano. Se interpone en un mes contra expreso y se resuelve en un mes. Si se presenta, hay que esperar antes de acudir al contencioso.</w:t>
      </w:r>
    </w:p>
    <w:p>
      <w:pPr>
        <w:jc w:val="both"/>
      </w:pPr>
      <w:r>
        <w:rPr>
          <w:rFonts w:ascii="Arial" w:hAnsi="Arial" w:cs="Arial"/>
          <w:sz w:val="22"/>
        </w:rPr>
        <w:t>El extraordinario se dirige contra actos firmes: error de hecho documental; documento esencial aparecido; falsedad declarada judicialmente; o conducta delictiva declarada en sentencia firme. El primer motivo tiene cuatro años y los restantes tres meses. Se resuelve en tres meses.</w:t>
      </w:r>
    </w:p>
    <w:p>
      <w:pPr>
        <w:jc w:val="both"/>
      </w:pPr>
      <w:r>
        <w:rPr>
          <w:rFonts w:ascii="Arial" w:hAnsi="Arial" w:cs="Arial"/>
          <w:sz w:val="22"/>
        </w:rPr>
        <w:t>La jurisdicción contenciosa controla actuación sometida a Derecho Administrativo, reglamentos y excesos de delegación. Su objeto comprende actos expresos o presuntos que agotan vía, trámites cualificados, disposiciones generales, inactividad y vía de hecho. El plazo general judicial es dos meses contra actos expresos y reglamentos; el artículo 46 fija seis meses para actos presuntos. Existen reglas especiales para inactividad, vía de hecho, reposición, lesividad y litigios entre Administraciones.</w:t>
      </w:r>
    </w:p>
    <w:p>
      <w:pPr>
        <w:pStyle w:val="Heading1"/>
        <w:keepNext/>
      </w:pPr>
      <w:r>
        <w:rPr>
          <w:rFonts w:ascii="Arial" w:hAnsi="Arial" w:cs="Arial"/>
          <w:sz w:val="30"/>
        </w:rPr>
        <w:t>18. Datos especialmente preguntables</w:t>
      </w:r>
    </w:p>
    <w:p>
      <w:pPr>
        <w:pStyle w:val="ListBullet"/>
      </w:pPr>
      <w:r>
        <w:rPr>
          <w:rFonts w:ascii="Arial" w:hAnsi="Arial" w:cs="Arial"/>
          <w:sz w:val="22"/>
        </w:rPr>
        <w:t xml:space="preserve">Actos de trámite cualificados: </w:t>
      </w:r>
      <w:r>
        <w:rPr>
          <w:rFonts w:ascii="Arial" w:hAnsi="Arial" w:cs="Arial"/>
          <w:b/>
          <w:sz w:val="22"/>
        </w:rPr>
        <w:t>cuatro supuestos</w:t>
      </w:r>
      <w:r>
        <w:rPr>
          <w:rFonts w:ascii="Arial" w:hAnsi="Arial" w:cs="Arial"/>
          <w:sz w:val="22"/>
        </w:rPr>
        <w:t>.</w:t>
      </w:r>
    </w:p>
    <w:p>
      <w:pPr>
        <w:pStyle w:val="ListBullet"/>
      </w:pPr>
      <w:r>
        <w:rPr>
          <w:rFonts w:ascii="Arial" w:hAnsi="Arial" w:cs="Arial"/>
          <w:sz w:val="22"/>
        </w:rPr>
        <w:t xml:space="preserve">Alzada contra acto expreso: </w:t>
      </w:r>
      <w:r>
        <w:rPr>
          <w:rFonts w:ascii="Arial" w:hAnsi="Arial" w:cs="Arial"/>
          <w:b/>
          <w:sz w:val="22"/>
        </w:rPr>
        <w:t>1 mes</w:t>
      </w:r>
      <w:r>
        <w:rPr>
          <w:rFonts w:ascii="Arial" w:hAnsi="Arial" w:cs="Arial"/>
          <w:sz w:val="22"/>
        </w:rPr>
        <w:t>.</w:t>
      </w:r>
    </w:p>
    <w:p>
      <w:pPr>
        <w:pStyle w:val="ListBullet"/>
      </w:pPr>
      <w:r>
        <w:rPr>
          <w:rFonts w:ascii="Arial" w:hAnsi="Arial" w:cs="Arial"/>
          <w:sz w:val="22"/>
        </w:rPr>
        <w:t xml:space="preserve">Remisión de alzada por el órgano autor: </w:t>
      </w:r>
      <w:r>
        <w:rPr>
          <w:rFonts w:ascii="Arial" w:hAnsi="Arial" w:cs="Arial"/>
          <w:b/>
          <w:sz w:val="22"/>
        </w:rPr>
        <w:t>10 días</w:t>
      </w:r>
      <w:r>
        <w:rPr>
          <w:rFonts w:ascii="Arial" w:hAnsi="Arial" w:cs="Arial"/>
          <w:sz w:val="22"/>
        </w:rPr>
        <w:t>.</w:t>
      </w:r>
    </w:p>
    <w:p>
      <w:pPr>
        <w:pStyle w:val="ListBullet"/>
      </w:pPr>
      <w:r>
        <w:rPr>
          <w:rFonts w:ascii="Arial" w:hAnsi="Arial" w:cs="Arial"/>
          <w:sz w:val="22"/>
        </w:rPr>
        <w:t xml:space="preserve">Resolución de alzada: </w:t>
      </w:r>
      <w:r>
        <w:rPr>
          <w:rFonts w:ascii="Arial" w:hAnsi="Arial" w:cs="Arial"/>
          <w:b/>
          <w:sz w:val="22"/>
        </w:rPr>
        <w:t>3 meses</w:t>
      </w:r>
      <w:r>
        <w:rPr>
          <w:rFonts w:ascii="Arial" w:hAnsi="Arial" w:cs="Arial"/>
          <w:sz w:val="22"/>
        </w:rPr>
        <w:t>.</w:t>
      </w:r>
    </w:p>
    <w:p>
      <w:pPr>
        <w:pStyle w:val="ListBullet"/>
      </w:pPr>
      <w:r>
        <w:rPr>
          <w:rFonts w:ascii="Arial" w:hAnsi="Arial" w:cs="Arial"/>
          <w:sz w:val="22"/>
        </w:rPr>
        <w:t xml:space="preserve">Reposición contra acto expreso: </w:t>
      </w:r>
      <w:r>
        <w:rPr>
          <w:rFonts w:ascii="Arial" w:hAnsi="Arial" w:cs="Arial"/>
          <w:b/>
          <w:sz w:val="22"/>
        </w:rPr>
        <w:t>1 mes</w:t>
      </w:r>
      <w:r>
        <w:rPr>
          <w:rFonts w:ascii="Arial" w:hAnsi="Arial" w:cs="Arial"/>
          <w:sz w:val="22"/>
        </w:rPr>
        <w:t>.</w:t>
      </w:r>
    </w:p>
    <w:p>
      <w:pPr>
        <w:pStyle w:val="ListBullet"/>
      </w:pPr>
      <w:r>
        <w:rPr>
          <w:rFonts w:ascii="Arial" w:hAnsi="Arial" w:cs="Arial"/>
          <w:sz w:val="22"/>
        </w:rPr>
        <w:t xml:space="preserve">Resolución de reposición: </w:t>
      </w:r>
      <w:r>
        <w:rPr>
          <w:rFonts w:ascii="Arial" w:hAnsi="Arial" w:cs="Arial"/>
          <w:b/>
          <w:sz w:val="22"/>
        </w:rPr>
        <w:t>1 mes</w:t>
      </w:r>
      <w:r>
        <w:rPr>
          <w:rFonts w:ascii="Arial" w:hAnsi="Arial" w:cs="Arial"/>
          <w:sz w:val="22"/>
        </w:rPr>
        <w:t>.</w:t>
      </w:r>
    </w:p>
    <w:p>
      <w:pPr>
        <w:pStyle w:val="ListBullet"/>
      </w:pPr>
      <w:r>
        <w:rPr>
          <w:rFonts w:ascii="Arial" w:hAnsi="Arial" w:cs="Arial"/>
          <w:sz w:val="22"/>
        </w:rPr>
        <w:t xml:space="preserve">Suspensión por silencio sobre la solicitud: </w:t>
      </w:r>
      <w:r>
        <w:rPr>
          <w:rFonts w:ascii="Arial" w:hAnsi="Arial" w:cs="Arial"/>
          <w:b/>
          <w:sz w:val="22"/>
        </w:rPr>
        <w:t>1 mes</w:t>
      </w:r>
      <w:r>
        <w:rPr>
          <w:rFonts w:ascii="Arial" w:hAnsi="Arial" w:cs="Arial"/>
          <w:sz w:val="22"/>
        </w:rPr>
        <w:t>.</w:t>
      </w:r>
    </w:p>
    <w:p>
      <w:pPr>
        <w:pStyle w:val="ListBullet"/>
      </w:pPr>
      <w:r>
        <w:rPr>
          <w:rFonts w:ascii="Arial" w:hAnsi="Arial" w:cs="Arial"/>
          <w:sz w:val="22"/>
        </w:rPr>
        <w:t xml:space="preserve">Audiencia en recursos: </w:t>
      </w:r>
      <w:r>
        <w:rPr>
          <w:rFonts w:ascii="Arial" w:hAnsi="Arial" w:cs="Arial"/>
          <w:b/>
          <w:sz w:val="22"/>
        </w:rPr>
        <w:t>10 a 15 días</w:t>
      </w:r>
      <w:r>
        <w:rPr>
          <w:rFonts w:ascii="Arial" w:hAnsi="Arial" w:cs="Arial"/>
          <w:sz w:val="22"/>
        </w:rPr>
        <w:t>.</w:t>
      </w:r>
    </w:p>
    <w:p>
      <w:pPr>
        <w:pStyle w:val="ListBullet"/>
      </w:pPr>
      <w:r>
        <w:rPr>
          <w:rFonts w:ascii="Arial" w:hAnsi="Arial" w:cs="Arial"/>
          <w:sz w:val="22"/>
        </w:rPr>
        <w:t xml:space="preserve">Extraordinario por error de hecho: </w:t>
      </w:r>
      <w:r>
        <w:rPr>
          <w:rFonts w:ascii="Arial" w:hAnsi="Arial" w:cs="Arial"/>
          <w:b/>
          <w:sz w:val="22"/>
        </w:rPr>
        <w:t>4 años</w:t>
      </w:r>
      <w:r>
        <w:rPr>
          <w:rFonts w:ascii="Arial" w:hAnsi="Arial" w:cs="Arial"/>
          <w:sz w:val="22"/>
        </w:rPr>
        <w:t>.</w:t>
      </w:r>
    </w:p>
    <w:p>
      <w:pPr>
        <w:pStyle w:val="ListBullet"/>
      </w:pPr>
      <w:r>
        <w:rPr>
          <w:rFonts w:ascii="Arial" w:hAnsi="Arial" w:cs="Arial"/>
          <w:sz w:val="22"/>
        </w:rPr>
        <w:t xml:space="preserve">Extraordinario por las otras tres causas: </w:t>
      </w:r>
      <w:r>
        <w:rPr>
          <w:rFonts w:ascii="Arial" w:hAnsi="Arial" w:cs="Arial"/>
          <w:b/>
          <w:sz w:val="22"/>
        </w:rPr>
        <w:t>3 meses</w:t>
      </w:r>
      <w:r>
        <w:rPr>
          <w:rFonts w:ascii="Arial" w:hAnsi="Arial" w:cs="Arial"/>
          <w:sz w:val="22"/>
        </w:rPr>
        <w:t>.</w:t>
      </w:r>
    </w:p>
    <w:p>
      <w:pPr>
        <w:pStyle w:val="ListBullet"/>
      </w:pPr>
      <w:r>
        <w:rPr>
          <w:rFonts w:ascii="Arial" w:hAnsi="Arial" w:cs="Arial"/>
          <w:sz w:val="22"/>
        </w:rPr>
        <w:t xml:space="preserve">Resolución del extraordinario: </w:t>
      </w:r>
      <w:r>
        <w:rPr>
          <w:rFonts w:ascii="Arial" w:hAnsi="Arial" w:cs="Arial"/>
          <w:b/>
          <w:sz w:val="22"/>
        </w:rPr>
        <w:t>3 meses</w:t>
      </w:r>
      <w:r>
        <w:rPr>
          <w:rFonts w:ascii="Arial" w:hAnsi="Arial" w:cs="Arial"/>
          <w:sz w:val="22"/>
        </w:rPr>
        <w:t>.</w:t>
      </w:r>
    </w:p>
    <w:p>
      <w:pPr>
        <w:pStyle w:val="ListBullet"/>
      </w:pPr>
      <w:r>
        <w:rPr>
          <w:rFonts w:ascii="Arial" w:hAnsi="Arial" w:cs="Arial"/>
          <w:sz w:val="22"/>
        </w:rPr>
        <w:t xml:space="preserve">Contencioso contra reglamento o acto expreso: </w:t>
      </w:r>
      <w:r>
        <w:rPr>
          <w:rFonts w:ascii="Arial" w:hAnsi="Arial" w:cs="Arial"/>
          <w:b/>
          <w:sz w:val="22"/>
        </w:rPr>
        <w:t>2 meses</w:t>
      </w:r>
      <w:r>
        <w:rPr>
          <w:rFonts w:ascii="Arial" w:hAnsi="Arial" w:cs="Arial"/>
          <w:sz w:val="22"/>
        </w:rPr>
        <w:t>.</w:t>
      </w:r>
    </w:p>
    <w:p>
      <w:pPr>
        <w:pStyle w:val="ListBullet"/>
      </w:pPr>
      <w:r>
        <w:rPr>
          <w:rFonts w:ascii="Arial" w:hAnsi="Arial" w:cs="Arial"/>
          <w:sz w:val="22"/>
        </w:rPr>
        <w:t xml:space="preserve">Acto presunto, literal del artículo 46.1: </w:t>
      </w:r>
      <w:r>
        <w:rPr>
          <w:rFonts w:ascii="Arial" w:hAnsi="Arial" w:cs="Arial"/>
          <w:b/>
          <w:sz w:val="22"/>
        </w:rPr>
        <w:t>6 meses</w:t>
      </w:r>
      <w:r>
        <w:rPr>
          <w:rFonts w:ascii="Arial" w:hAnsi="Arial" w:cs="Arial"/>
          <w:sz w:val="22"/>
        </w:rPr>
        <w:t>.</w:t>
      </w:r>
    </w:p>
    <w:p>
      <w:pPr>
        <w:pStyle w:val="ListBullet"/>
      </w:pPr>
      <w:r>
        <w:rPr>
          <w:rFonts w:ascii="Arial" w:hAnsi="Arial" w:cs="Arial"/>
          <w:sz w:val="22"/>
        </w:rPr>
        <w:t xml:space="preserve">Inactividad por prestación concreta: espera </w:t>
      </w:r>
      <w:r>
        <w:rPr>
          <w:rFonts w:ascii="Arial" w:hAnsi="Arial" w:cs="Arial"/>
          <w:b/>
          <w:sz w:val="22"/>
        </w:rPr>
        <w:t>3 meses</w:t>
      </w:r>
      <w:r>
        <w:rPr>
          <w:rFonts w:ascii="Arial" w:hAnsi="Arial" w:cs="Arial"/>
          <w:sz w:val="22"/>
        </w:rPr>
        <w:t xml:space="preserve"> y recurso en </w:t>
      </w:r>
      <w:r>
        <w:rPr>
          <w:rFonts w:ascii="Arial" w:hAnsi="Arial" w:cs="Arial"/>
          <w:b/>
          <w:sz w:val="22"/>
        </w:rPr>
        <w:t>2 meses</w:t>
      </w:r>
      <w:r>
        <w:rPr>
          <w:rFonts w:ascii="Arial" w:hAnsi="Arial" w:cs="Arial"/>
          <w:sz w:val="22"/>
        </w:rPr>
        <w:t>.</w:t>
      </w:r>
    </w:p>
    <w:p>
      <w:pPr>
        <w:pStyle w:val="ListBullet"/>
      </w:pPr>
      <w:r>
        <w:rPr>
          <w:rFonts w:ascii="Arial" w:hAnsi="Arial" w:cs="Arial"/>
          <w:sz w:val="22"/>
        </w:rPr>
        <w:t xml:space="preserve">Inactividad por falta de ejecución de acto firme: espera </w:t>
      </w:r>
      <w:r>
        <w:rPr>
          <w:rFonts w:ascii="Arial" w:hAnsi="Arial" w:cs="Arial"/>
          <w:b/>
          <w:sz w:val="22"/>
        </w:rPr>
        <w:t>1 mes</w:t>
      </w:r>
      <w:r>
        <w:rPr>
          <w:rFonts w:ascii="Arial" w:hAnsi="Arial" w:cs="Arial"/>
          <w:sz w:val="22"/>
        </w:rPr>
        <w:t xml:space="preserve"> y recurso en </w:t>
      </w:r>
      <w:r>
        <w:rPr>
          <w:rFonts w:ascii="Arial" w:hAnsi="Arial" w:cs="Arial"/>
          <w:b/>
          <w:sz w:val="22"/>
        </w:rPr>
        <w:t>2 meses</w:t>
      </w:r>
      <w:r>
        <w:rPr>
          <w:rFonts w:ascii="Arial" w:hAnsi="Arial" w:cs="Arial"/>
          <w:sz w:val="22"/>
        </w:rPr>
        <w:t>.</w:t>
      </w:r>
    </w:p>
    <w:p>
      <w:pPr>
        <w:pStyle w:val="ListBullet"/>
      </w:pPr>
      <w:r>
        <w:rPr>
          <w:rFonts w:ascii="Arial" w:hAnsi="Arial" w:cs="Arial"/>
          <w:sz w:val="22"/>
        </w:rPr>
        <w:t xml:space="preserve">Vía de hecho con requerimiento: espera </w:t>
      </w:r>
      <w:r>
        <w:rPr>
          <w:rFonts w:ascii="Arial" w:hAnsi="Arial" w:cs="Arial"/>
          <w:b/>
          <w:sz w:val="22"/>
        </w:rPr>
        <w:t>10 días</w:t>
      </w:r>
      <w:r>
        <w:rPr>
          <w:rFonts w:ascii="Arial" w:hAnsi="Arial" w:cs="Arial"/>
          <w:sz w:val="22"/>
        </w:rPr>
        <w:t xml:space="preserve"> y recurso en </w:t>
      </w:r>
      <w:r>
        <w:rPr>
          <w:rFonts w:ascii="Arial" w:hAnsi="Arial" w:cs="Arial"/>
          <w:b/>
          <w:sz w:val="22"/>
        </w:rPr>
        <w:t>10 días</w:t>
      </w:r>
      <w:r>
        <w:rPr>
          <w:rFonts w:ascii="Arial" w:hAnsi="Arial" w:cs="Arial"/>
          <w:sz w:val="22"/>
        </w:rPr>
        <w:t>.</w:t>
      </w:r>
    </w:p>
    <w:p>
      <w:pPr>
        <w:pStyle w:val="ListBullet"/>
      </w:pPr>
      <w:r>
        <w:rPr>
          <w:rFonts w:ascii="Arial" w:hAnsi="Arial" w:cs="Arial"/>
          <w:sz w:val="22"/>
        </w:rPr>
        <w:t xml:space="preserve">Vía de hecho sin requerimiento: </w:t>
      </w:r>
      <w:r>
        <w:rPr>
          <w:rFonts w:ascii="Arial" w:hAnsi="Arial" w:cs="Arial"/>
          <w:b/>
          <w:sz w:val="22"/>
        </w:rPr>
        <w:t>20 días</w:t>
      </w:r>
      <w:r>
        <w:rPr>
          <w:rFonts w:ascii="Arial" w:hAnsi="Arial" w:cs="Arial"/>
          <w:sz w:val="22"/>
        </w:rPr>
        <w:t>.</w:t>
      </w:r>
    </w:p>
    <w:p>
      <w:pPr>
        <w:pStyle w:val="ListBullet"/>
      </w:pPr>
      <w:r>
        <w:rPr>
          <w:rFonts w:ascii="Arial" w:hAnsi="Arial" w:cs="Arial"/>
          <w:sz w:val="22"/>
        </w:rPr>
        <w:t xml:space="preserve">Requerimiento entre Administraciones: se entiende rechazado en </w:t>
      </w:r>
      <w:r>
        <w:rPr>
          <w:rFonts w:ascii="Arial" w:hAnsi="Arial" w:cs="Arial"/>
          <w:b/>
          <w:sz w:val="22"/>
        </w:rPr>
        <w:t>1 mes</w:t>
      </w:r>
      <w:r>
        <w:rPr>
          <w:rFonts w:ascii="Arial" w:hAnsi="Arial" w:cs="Arial"/>
          <w:sz w:val="22"/>
        </w:rPr>
        <w:t>.</w:t>
      </w:r>
    </w:p>
    <w:p>
      <w:pPr>
        <w:pStyle w:val="ListBullet"/>
      </w:pPr>
      <w:r>
        <w:rPr>
          <w:rFonts w:ascii="Arial" w:hAnsi="Arial" w:cs="Arial"/>
          <w:sz w:val="22"/>
        </w:rPr>
        <w:t>Agosto: no corre, salvo protección de derechos fundamentales.</w:t>
      </w:r>
    </w:p>
    <w:p>
      <w:pPr>
        <w:pStyle w:val="Heading1"/>
        <w:keepNext/>
      </w:pPr>
      <w:r>
        <w:rPr>
          <w:rFonts w:ascii="Arial" w:hAnsi="Arial" w:cs="Arial"/>
          <w:sz w:val="30"/>
        </w:rPr>
        <w:t>19. Fuentes oficiales</w:t>
      </w:r>
    </w:p>
    <w:p>
      <w:pPr>
        <w:pStyle w:val="ListBullet"/>
      </w:pPr>
      <w:r>
        <w:rPr>
          <w:rFonts w:ascii="Arial" w:hAnsi="Arial" w:cs="Arial"/>
          <w:sz w:val="22"/>
        </w:rPr>
        <w:t>Constitución Española (https://www.boe.es/buscar/act.php?id=BOE-A-1978-31229).</w:t>
      </w:r>
    </w:p>
    <w:p>
      <w:pPr>
        <w:pStyle w:val="ListBullet"/>
      </w:pPr>
      <w:r>
        <w:rPr>
          <w:rFonts w:ascii="Arial" w:hAnsi="Arial" w:cs="Arial"/>
          <w:sz w:val="22"/>
        </w:rPr>
        <w:t>Ley 39/2015, de 1 de octubre, del Procedimiento Administrativo Común de las Administraciones Públicas (https://www.boe.es/buscar/act.php?id=BOE-A-2015-10565).</w:t>
      </w:r>
    </w:p>
    <w:p>
      <w:pPr>
        <w:pStyle w:val="ListBullet"/>
      </w:pPr>
      <w:r>
        <w:rPr>
          <w:rFonts w:ascii="Arial" w:hAnsi="Arial" w:cs="Arial"/>
          <w:sz w:val="22"/>
        </w:rPr>
        <w:t>Ley 40/2015, de 1 de octubre, de Régimen Jurídico del Sector Público (https://www.boe.es/buscar/act.php?id=BOE-A-2015-10566).</w:t>
      </w:r>
    </w:p>
    <w:p>
      <w:pPr>
        <w:pStyle w:val="ListBullet"/>
      </w:pPr>
      <w:r>
        <w:rPr>
          <w:rFonts w:ascii="Arial" w:hAnsi="Arial" w:cs="Arial"/>
          <w:sz w:val="22"/>
        </w:rPr>
        <w:t>Ley 29/1998, de 13 de julio, reguladora de la Jurisdicción Contencioso-administrativa (https://www.boe.es/buscar/act.php?id=BOE-A-1998-16718).</w:t>
      </w:r>
    </w:p>
    <w:p>
      <w:pPr>
        <w:pStyle w:val="ListBullet"/>
      </w:pPr>
      <w:r>
        <w:rPr>
          <w:rFonts w:ascii="Arial" w:hAnsi="Arial" w:cs="Arial"/>
          <w:sz w:val="22"/>
        </w:rPr>
        <w:t>Ley Orgánica 1/2025, de 2 de enero, de medidas en materia de eficiencia del Servicio Público de Justicia (https://www.boe.es/buscar/act.php?id=BOE-A-2025-76).</w:t>
      </w:r>
    </w:p>
    <w:p>
      <w:pPr>
        <w:pStyle w:val="ListBullet"/>
      </w:pPr>
      <w:r>
        <w:rPr>
          <w:rFonts w:ascii="Arial" w:hAnsi="Arial" w:cs="Arial"/>
          <w:sz w:val="22"/>
        </w:rPr>
        <w:t>Real Decreto-ley 6/2023, de 19 de diciembre, reformas procesales y de función pública (https://www.boe.es/buscar/act.php?id=BOE-A-2023-25758).</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G18</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1, 2025: 3, 2026: 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5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bl>
    <w:p>
      <w:pPr>
        <w:spacing w:after="40"/>
      </w:pPr>
    </w:p>
    <w:p>
      <w:pPr>
        <w:jc w:val="both"/>
      </w:pPr>
      <w:r>
        <w:rPr>
          <w:rFonts w:ascii="Arial" w:hAnsi="Arial" w:cs="Arial"/>
          <w:b/>
          <w:sz w:val="22"/>
        </w:rPr>
        <w:t>Normas que más aparecen:</w:t>
      </w:r>
      <w:r>
        <w:rPr>
          <w:rFonts w:ascii="Arial" w:hAnsi="Arial" w:cs="Arial"/>
          <w:sz w:val="22"/>
        </w:rPr>
        <w:t xml:space="preserve"> Ley 39/2015 (3); Ley 29/1998 (1).</w:t>
      </w:r>
    </w:p>
    <w:p>
      <w:pPr>
        <w:jc w:val="both"/>
      </w:pPr>
      <w:r>
        <w:rPr>
          <w:rFonts w:ascii="Arial" w:hAnsi="Arial" w:cs="Arial"/>
          <w:b/>
          <w:sz w:val="22"/>
        </w:rPr>
        <w:t>Artículos o preceptos más repetidos:</w:t>
      </w:r>
      <w:r>
        <w:rPr>
          <w:rFonts w:ascii="Arial" w:hAnsi="Arial" w:cs="Arial"/>
          <w:sz w:val="22"/>
        </w:rPr>
        <w:t xml:space="preserve"> 122 (2); 11 (1); 126 (1).</w:t>
      </w:r>
    </w:p>
    <w:p>
      <w:pPr>
        <w:jc w:val="both"/>
      </w:pPr>
      <w:r>
        <w:rPr>
          <w:rFonts w:ascii="Arial" w:hAnsi="Arial" w:cs="Arial"/>
          <w:b/>
          <w:sz w:val="22"/>
        </w:rPr>
        <w:t>Formas de pregunta predominantes:</w:t>
      </w:r>
      <w:r>
        <w:rPr>
          <w:rFonts w:ascii="Arial" w:hAnsi="Arial" w:cs="Arial"/>
          <w:sz w:val="22"/>
        </w:rPr>
        <w:t xml:space="preserve"> Procedimientos (2); Plazos (2); Órganos (1).</w:t>
      </w:r>
    </w:p>
    <w:p>
      <w:pPr>
        <w:pStyle w:val="Heading2"/>
        <w:keepNext/>
      </w:pPr>
      <w:r>
        <w:rPr>
          <w:rFonts w:ascii="Arial" w:hAnsi="Arial" w:cs="Arial"/>
          <w:sz w:val="25"/>
        </w:rPr>
        <w:t>Patrones observados</w:t>
      </w:r>
    </w:p>
    <w:p>
      <w:pPr>
        <w:pStyle w:val="ListBullet"/>
      </w:pPr>
      <w:r>
        <w:rPr>
          <w:rFonts w:ascii="Arial" w:hAnsi="Arial" w:cs="Arial"/>
          <w:b/>
          <w:sz w:val="22"/>
        </w:rPr>
        <w:t>2024, teoría 18:</w:t>
      </w:r>
      <w:r>
        <w:rPr>
          <w:rFonts w:ascii="Arial" w:hAnsi="Arial" w:cs="Arial"/>
          <w:sz w:val="22"/>
        </w:rPr>
        <w:t xml:space="preserve"> En virtud del artículo 122 de la Ley 39/2015, de I de octubre, del Procedimiento Administrativo Común de las Administraciones Públicas:</w:t>
      </w:r>
    </w:p>
    <w:p>
      <w:pPr>
        <w:pStyle w:val="ListBullet"/>
      </w:pPr>
      <w:r>
        <w:rPr>
          <w:rFonts w:ascii="Arial" w:hAnsi="Arial" w:cs="Arial"/>
          <w:b/>
          <w:sz w:val="22"/>
        </w:rPr>
        <w:t>2025, teoría 18:</w:t>
      </w:r>
      <w:r>
        <w:rPr>
          <w:rFonts w:ascii="Arial" w:hAnsi="Arial" w:cs="Arial"/>
          <w:sz w:val="22"/>
        </w:rPr>
        <w:t xml:space="preserve"> En relación con el recurso potestativo de reposición de acuerdo con la Ley 39/2015, de 1 de octubre, del Procedimiento Administrativo Común de las Administraciones Públicas:</w:t>
      </w:r>
    </w:p>
    <w:p>
      <w:pPr>
        <w:pStyle w:val="ListBullet"/>
      </w:pPr>
      <w:r>
        <w:rPr>
          <w:rFonts w:ascii="Arial" w:hAnsi="Arial" w:cs="Arial"/>
          <w:b/>
          <w:sz w:val="22"/>
        </w:rPr>
        <w:t>2025, teoría 18:</w:t>
      </w:r>
      <w:r>
        <w:rPr>
          <w:rFonts w:ascii="Arial" w:hAnsi="Arial" w:cs="Arial"/>
          <w:sz w:val="22"/>
        </w:rPr>
        <w:t xml:space="preserve"> Tal y como establece el artículo 11 de la Ley 29/1998, de 13 de julio, reguladora de la Jurisdicción Contencioso-administrativa, ¿Ante qué órgano debe interponerse los recursos que se deduzcan en relación con…</w:t>
      </w:r>
    </w:p>
    <w:p>
      <w:pPr>
        <w:pStyle w:val="ListBullet"/>
      </w:pPr>
      <w:r>
        <w:rPr>
          <w:rFonts w:ascii="Arial" w:hAnsi="Arial" w:cs="Arial"/>
          <w:b/>
          <w:sz w:val="22"/>
        </w:rPr>
        <w:t>2025, teoría 18:</w:t>
      </w:r>
      <w:r>
        <w:rPr>
          <w:rFonts w:ascii="Arial" w:hAnsi="Arial" w:cs="Arial"/>
          <w:sz w:val="22"/>
        </w:rPr>
        <w:t xml:space="preserve"> Según el artículo 126 de la Ley 39/2015, de 1 de octubre, del Procedimiento Administrativo Común de las Administraciones Públicas, ¿qué efecto produce la falta de resolución en plazo del recurso…</w:t>
      </w:r>
    </w:p>
    <w:p>
      <w:pPr>
        <w:pStyle w:val="ListBullet"/>
      </w:pPr>
      <w:r>
        <w:rPr>
          <w:rFonts w:ascii="Arial" w:hAnsi="Arial" w:cs="Arial"/>
          <w:b/>
          <w:sz w:val="22"/>
        </w:rPr>
        <w:t>2026, teoría 23:</w:t>
      </w:r>
      <w:r>
        <w:rPr>
          <w:rFonts w:ascii="Arial" w:hAnsi="Arial" w:cs="Arial"/>
          <w:sz w:val="22"/>
        </w:rPr>
        <w:t xml:space="preserve"> De conformidad con el artículo 122 de la Ley 3912015, de I de octubre, del Procedimiento Administrativo Común de las Administraciones Públicas, 'eI plazo máximo para notificar la resolución de un recurso de…</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0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G18 · Tema 18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18. Los recursos administrativos - concepto y clases. Recurso de alzada. Recurso potestativo de reposición. Recurso extraordinario de revisión…</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