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19</w:t>
      </w:r>
    </w:p>
    <w:p>
      <w:pPr>
        <w:keepNext/>
        <w:spacing w:before="0" w:after="280"/>
        <w:pBdr>
          <w:bottom w:val="single" w:sz="12" w:space="1" w:color="2F75B5"/>
        </w:pBdr>
      </w:pPr>
      <w:r>
        <w:rPr>
          <w:rFonts w:ascii="Arial" w:hAnsi="Arial" w:cs="Arial"/>
          <w:b/>
          <w:color w:val="17365D"/>
          <w:sz w:val="40"/>
        </w:rPr>
        <w:t>El personal al servicio de las Administraciones Públicas: concepto y clases. Derechos y deberes de los funcionarios. La carrera administrativa. Las incompatibilidades. Régimen disciplinario: faltas, sanciones y procedimiento.</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El empleo público es el conjunto de relaciones profesionales mediante las cuales las Administraciones y entidades del sector público disponen de personas que trabajan retribuidamente al servicio de los intereses generales. Su régimen no es uniforme: conviven relaciones estatutarias, laborales y de confianza, aunque todas quedan condicionadas por los principios constitucionales de legalidad, objetividad, igualdad, mérito, capacidad y servicio eficaz. La exposición se ajusta al ordenamiento vigente a </w:t>
      </w:r>
      <w:r>
        <w:rPr>
          <w:rFonts w:ascii="Arial" w:hAnsi="Arial" w:cs="Arial"/>
          <w:b/>
          <w:sz w:val="22"/>
        </w:rPr>
        <w:t>30 de julio de 2026</w:t>
      </w:r>
      <w:r>
        <w:rPr>
          <w:rFonts w:ascii="Arial" w:hAnsi="Arial" w:cs="Arial"/>
          <w:sz w:val="22"/>
        </w:rPr>
        <w:t xml:space="preserve"> y toma como eje el texto refundido de la Ley del Estatuto Básico del Empleado Público —TREBEP—, aprobado por Real Decreto Legislativo 5/2015.</w:t>
      </w:r>
    </w:p>
    <w:p>
      <w:pPr>
        <w:pStyle w:val="Heading1"/>
        <w:keepNext/>
      </w:pPr>
      <w:r>
        <w:rPr>
          <w:rFonts w:ascii="Arial" w:hAnsi="Arial" w:cs="Arial"/>
          <w:sz w:val="30"/>
        </w:rPr>
        <w:t>1. Marco constitucional y legal del empleo público</w:t>
      </w:r>
    </w:p>
    <w:p>
      <w:pPr>
        <w:pStyle w:val="Heading2"/>
        <w:keepNext/>
      </w:pPr>
      <w:r>
        <w:rPr>
          <w:rFonts w:ascii="Arial" w:hAnsi="Arial" w:cs="Arial"/>
          <w:sz w:val="25"/>
        </w:rPr>
        <w:t>1.1. Constitución</w:t>
      </w:r>
    </w:p>
    <w:p>
      <w:pPr>
        <w:jc w:val="both"/>
      </w:pPr>
      <w:r>
        <w:rPr>
          <w:rFonts w:ascii="Arial" w:hAnsi="Arial" w:cs="Arial"/>
          <w:sz w:val="22"/>
        </w:rPr>
        <w:t>La Constitución distribuye las reglas esenciales:</w:t>
      </w:r>
    </w:p>
    <w:p>
      <w:pPr>
        <w:pStyle w:val="ListBullet"/>
      </w:pPr>
      <w:r>
        <w:rPr>
          <w:rFonts w:ascii="Arial" w:hAnsi="Arial" w:cs="Arial"/>
          <w:sz w:val="22"/>
        </w:rPr>
        <w:t>El artículo 23.2 reconoce el derecho a acceder en condiciones de igualdad a las funciones y cargos públicos con los requisitos que señalen las leyes.</w:t>
      </w:r>
    </w:p>
    <w:p>
      <w:pPr>
        <w:pStyle w:val="ListBullet"/>
      </w:pPr>
      <w:r>
        <w:rPr>
          <w:rFonts w:ascii="Arial" w:hAnsi="Arial" w:cs="Arial"/>
          <w:sz w:val="22"/>
        </w:rPr>
        <w:t>El artículo 103.1 ordena que la Administración sirva con objetividad los intereses generales y actúe con eficacia, jerarquía, descentralización, desconcentración y coordinación, con sometimiento pleno a la ley y al Derecho.</w:t>
      </w:r>
    </w:p>
    <w:p>
      <w:pPr>
        <w:pStyle w:val="ListBullet"/>
      </w:pPr>
      <w:r>
        <w:rPr>
          <w:rFonts w:ascii="Arial" w:hAnsi="Arial" w:cs="Arial"/>
          <w:sz w:val="22"/>
        </w:rPr>
        <w:t>El artículo 103.3 reserva a la ley el estatuto de los funcionarios públicos, el acceso conforme a mérito y capacidad, las peculiaridades de su libertad sindical, el sistema de incompatibilidades y las garantías para la imparcialidad.</w:t>
      </w:r>
    </w:p>
    <w:p>
      <w:pPr>
        <w:pStyle w:val="ListBullet"/>
      </w:pPr>
      <w:r>
        <w:rPr>
          <w:rFonts w:ascii="Arial" w:hAnsi="Arial" w:cs="Arial"/>
          <w:sz w:val="22"/>
        </w:rPr>
        <w:t>El artículo 149.1.18.ª atribuye al Estado las bases del régimen jurídico de las Administraciones y del régimen estatutario de sus funcionarios, sin impedir el desarrollo autonómico.</w:t>
      </w:r>
    </w:p>
    <w:p>
      <w:pPr>
        <w:jc w:val="both"/>
      </w:pPr>
      <w:r>
        <w:rPr>
          <w:rFonts w:ascii="Arial" w:hAnsi="Arial" w:cs="Arial"/>
          <w:sz w:val="22"/>
        </w:rPr>
        <w:t>La igualdad no supone que todas las personas deban recibir idéntico trato al margen de su situación. Impide diferencias arbitrarias y exige que los requisitos de acceso o carrera guarden relación objetiva y proporcionada con las funciones. Mérito y capacidad se proyectan sobre selección, provisión y promoción; la publicidad y la transparencia hacen comprobable su respeto.</w:t>
      </w:r>
    </w:p>
    <w:p>
      <w:pPr>
        <w:pStyle w:val="Heading2"/>
        <w:keepNext/>
      </w:pPr>
      <w:r>
        <w:rPr>
          <w:rFonts w:ascii="Arial" w:hAnsi="Arial" w:cs="Arial"/>
          <w:sz w:val="25"/>
        </w:rPr>
        <w:t>1.2. Fuentes principales</w:t>
      </w:r>
    </w:p>
    <w:p>
      <w:pPr>
        <w:jc w:val="both"/>
      </w:pPr>
      <w:r>
        <w:rPr>
          <w:rFonts w:ascii="Arial" w:hAnsi="Arial" w:cs="Arial"/>
          <w:sz w:val="22"/>
        </w:rPr>
        <w:t>El TREBEP contiene las bases comunes y determinadas reglas aplicables directamente. Se completa con leyes estatales y autonómicas de función pública, normativa específica de ciertos colectivos y, para el personal laboral, legislación laboral y convenios colectivos. En la Administración General del Estado —AGE— son especialmente relevantes el libro segundo del Real Decreto-ley 6/2023, sobre función pública de la AGE, y, mientras resulte compatible con las normas posteriores, la reglamentación preexistente.</w:t>
      </w:r>
    </w:p>
    <w:p>
      <w:pPr>
        <w:jc w:val="both"/>
      </w:pPr>
      <w:r>
        <w:rPr>
          <w:rFonts w:ascii="Arial" w:hAnsi="Arial" w:cs="Arial"/>
          <w:sz w:val="22"/>
        </w:rPr>
        <w:t>Las incompatibilidades se regulan principalmente por la Ley 53/1984. El régimen disciplinario básico está en los artículos 93 a 98 TREBEP. El Real Decreto 33/1986 conserva utilidad en la AGE para faltas y procedimiento en aquello que no contradiga el TREBEP ni una norma posterior. Esta cláusula de compatibilidad es decisiva: no debe aplicarse mecánicamente una regla reglamentaria antigua que haya sido desplazada por legislación básica posterior.</w:t>
      </w:r>
    </w:p>
    <w:p>
      <w:pPr>
        <w:pStyle w:val="Heading1"/>
        <w:keepNext/>
      </w:pPr>
      <w:r>
        <w:rPr>
          <w:rFonts w:ascii="Arial" w:hAnsi="Arial" w:cs="Arial"/>
          <w:sz w:val="30"/>
        </w:rPr>
        <w:t>2. Concepto y ámbito del empleado público</w:t>
      </w:r>
    </w:p>
    <w:p>
      <w:pPr>
        <w:jc w:val="both"/>
      </w:pPr>
      <w:r>
        <w:rPr>
          <w:rFonts w:ascii="Arial" w:hAnsi="Arial" w:cs="Arial"/>
          <w:sz w:val="22"/>
        </w:rPr>
        <w:t xml:space="preserve">El artículo 8 TREBEP denomina </w:t>
      </w:r>
      <w:r>
        <w:rPr>
          <w:rFonts w:ascii="Arial" w:hAnsi="Arial" w:cs="Arial"/>
          <w:b/>
          <w:sz w:val="22"/>
        </w:rPr>
        <w:t>empleados públicos</w:t>
      </w:r>
      <w:r>
        <w:rPr>
          <w:rFonts w:ascii="Arial" w:hAnsi="Arial" w:cs="Arial"/>
          <w:sz w:val="22"/>
        </w:rPr>
        <w:t xml:space="preserve"> a quienes desempeñan funciones retribuidas en las Administraciones públicas al servicio de los intereses generales. La definición reúne tres elementos: prestación personal de funciones, retribución y encuadramiento en una Administración pública. La finalidad institucional —servir el interés general— diferencia este empleo del trabajo puramente privado, aunque una parte del personal se vincule mediante contrato laboral.</w:t>
      </w:r>
    </w:p>
    <w:p>
      <w:pPr>
        <w:jc w:val="both"/>
      </w:pPr>
      <w:r>
        <w:rPr>
          <w:rFonts w:ascii="Arial" w:hAnsi="Arial" w:cs="Arial"/>
          <w:sz w:val="22"/>
        </w:rPr>
        <w:t xml:space="preserve">El concepto básico no comprende sin más a toda persona que colabora con la Administración. Un contratista, el trabajador de una empresa adjudicataria, un profesional externo o un beneficiario de una subvención no se convierte por ello en empleado público. Tampoco debe confundirse empleado público con funcionario: </w:t>
      </w:r>
      <w:r>
        <w:rPr>
          <w:rFonts w:ascii="Arial" w:hAnsi="Arial" w:cs="Arial"/>
          <w:b/>
          <w:sz w:val="22"/>
        </w:rPr>
        <w:t>funcionario es una clase de empleado público</w:t>
      </w:r>
      <w:r>
        <w:rPr>
          <w:rFonts w:ascii="Arial" w:hAnsi="Arial" w:cs="Arial"/>
          <w:sz w:val="22"/>
        </w:rPr>
        <w:t>, no su sinónimo.</w:t>
      </w:r>
    </w:p>
    <w:p>
      <w:pPr>
        <w:jc w:val="both"/>
      </w:pPr>
      <w:r>
        <w:rPr>
          <w:rFonts w:ascii="Arial" w:hAnsi="Arial" w:cs="Arial"/>
          <w:sz w:val="22"/>
        </w:rPr>
        <w:t>El TREBEP se aplica al personal funcionario y, cuando así lo dispone, al laboral de la AGE, comunidades autónomas, ciudades de Ceuta y Melilla, entidades locales, organismos públicos, agencias y demás entidades de Derecho público con personalidad propia vinculadas o dependientes, así como a universidades públicas. Determinados colectivos con legislación específica —por ejemplo, personal de las Cortes, órganos constitucionales, jueces, fiscales, Fuerzas Armadas, fuerzas y cuerpos de seguridad o personal estatutario sanitario— se rigen por el TREBEP en los términos que su normativa determine.</w:t>
      </w:r>
    </w:p>
    <w:p>
      <w:pPr>
        <w:pStyle w:val="Heading1"/>
        <w:keepNext/>
      </w:pPr>
      <w:r>
        <w:rPr>
          <w:rFonts w:ascii="Arial" w:hAnsi="Arial" w:cs="Arial"/>
          <w:sz w:val="30"/>
        </w:rPr>
        <w:t>3. Clases de personal</w:t>
      </w:r>
    </w:p>
    <w:p>
      <w:pPr>
        <w:jc w:val="both"/>
      </w:pPr>
      <w:r>
        <w:rPr>
          <w:rFonts w:ascii="Arial" w:hAnsi="Arial" w:cs="Arial"/>
          <w:sz w:val="22"/>
        </w:rPr>
        <w:t>El artículo 8.2 TREBEP enumera cuatro clases: funcionarios de carrera, funcionarios interinos, personal laboral —fijo, por tiempo indefinido o temporal— y personal eventual. Junto a ellas, el artículo 13 regula al personal directivo profesional como figura de dirección sometida a principios propios.</w:t>
      </w:r>
    </w:p>
    <w:p>
      <w:pPr>
        <w:pStyle w:val="Heading2"/>
        <w:keepNext/>
      </w:pPr>
      <w:r>
        <w:rPr>
          <w:rFonts w:ascii="Arial" w:hAnsi="Arial" w:cs="Arial"/>
          <w:sz w:val="25"/>
        </w:rPr>
        <w:t>3.1. Funcionarios de carrera</w:t>
      </w:r>
    </w:p>
    <w:p>
      <w:pPr>
        <w:jc w:val="both"/>
      </w:pPr>
      <w:r>
        <w:rPr>
          <w:rFonts w:ascii="Arial" w:hAnsi="Arial" w:cs="Arial"/>
          <w:sz w:val="22"/>
        </w:rPr>
        <w:t xml:space="preserve">Son quienes, en virtud de </w:t>
      </w:r>
      <w:r>
        <w:rPr>
          <w:rFonts w:ascii="Arial" w:hAnsi="Arial" w:cs="Arial"/>
          <w:b/>
          <w:sz w:val="22"/>
        </w:rPr>
        <w:t>nombramiento legal</w:t>
      </w:r>
      <w:r>
        <w:rPr>
          <w:rFonts w:ascii="Arial" w:hAnsi="Arial" w:cs="Arial"/>
          <w:sz w:val="22"/>
        </w:rPr>
        <w:t>, están vinculados a una Administración por una relación estatutaria regulada por el Derecho Administrativo para desempeñar servicios profesionales retribuidos de carácter permanente. Sus notas son:</w:t>
      </w:r>
    </w:p>
    <w:p>
      <w:pPr>
        <w:spacing w:after="40"/>
        <w:ind w:left="369" w:hanging="227"/>
      </w:pPr>
      <w:r>
        <w:rPr>
          <w:rFonts w:ascii="Arial" w:hAnsi="Arial" w:cs="Arial"/>
          <w:sz w:val="22"/>
        </w:rPr>
        <w:t>1. El vínculo nace de nombramiento, no de contrato.</w:t>
      </w:r>
    </w:p>
    <w:p>
      <w:pPr>
        <w:spacing w:after="40"/>
        <w:ind w:left="369" w:hanging="227"/>
      </w:pPr>
      <w:r>
        <w:rPr>
          <w:rFonts w:ascii="Arial" w:hAnsi="Arial" w:cs="Arial"/>
          <w:sz w:val="22"/>
        </w:rPr>
        <w:t>2. Su régimen es estatutario: derechos y obligaciones se determinan por normas y actos de aplicación.</w:t>
      </w:r>
    </w:p>
    <w:p>
      <w:pPr>
        <w:spacing w:after="40"/>
        <w:ind w:left="369" w:hanging="227"/>
      </w:pPr>
      <w:r>
        <w:rPr>
          <w:rFonts w:ascii="Arial" w:hAnsi="Arial" w:cs="Arial"/>
          <w:sz w:val="22"/>
        </w:rPr>
        <w:t>3. Los servicios son profesionales, retribuidos y con vocación permanente.</w:t>
      </w:r>
    </w:p>
    <w:p>
      <w:pPr>
        <w:spacing w:after="40"/>
        <w:ind w:left="369" w:hanging="227"/>
      </w:pPr>
      <w:r>
        <w:rPr>
          <w:rFonts w:ascii="Arial" w:hAnsi="Arial" w:cs="Arial"/>
          <w:sz w:val="22"/>
        </w:rPr>
        <w:t>4. Disfrutan del derecho individual a la inamovilidad en su condición, sin que ello signifique derecho absoluto a conservar para siempre un puesto concreto.</w:t>
      </w:r>
    </w:p>
    <w:p>
      <w:pPr>
        <w:jc w:val="both"/>
      </w:pPr>
      <w:r>
        <w:rPr>
          <w:rFonts w:ascii="Arial" w:hAnsi="Arial" w:cs="Arial"/>
          <w:sz w:val="22"/>
        </w:rPr>
        <w:t>El ejercicio de funciones que impliquen participación directa o indirecta en potestades públicas o salvaguardia de los intereses generales queda reservado exclusivamente a funcionarios públicos, en los términos establecidos por la ley de desarrollo de cada Administración. No toda tarea administrativa está automáticamente reservada, pero el legislador debe preservar el núcleo de autoridad e imparcialidad.</w:t>
      </w:r>
    </w:p>
    <w:p>
      <w:pPr>
        <w:pStyle w:val="Heading2"/>
        <w:keepNext/>
      </w:pPr>
      <w:r>
        <w:rPr>
          <w:rFonts w:ascii="Arial" w:hAnsi="Arial" w:cs="Arial"/>
          <w:sz w:val="25"/>
        </w:rPr>
        <w:t>3.2. Funcionarios interinos</w:t>
      </w:r>
    </w:p>
    <w:p>
      <w:pPr>
        <w:jc w:val="both"/>
      </w:pPr>
      <w:r>
        <w:rPr>
          <w:rFonts w:ascii="Arial" w:hAnsi="Arial" w:cs="Arial"/>
          <w:sz w:val="22"/>
        </w:rPr>
        <w:t>Son nombrados temporalmente, por razones expresamente justificadas de necesidad y urgencia, para ejercer funciones propias de funcionarios de carrera cuando concurra alguna de las circunstancias tasadas del artículo 10 TREBEP:</w:t>
      </w:r>
    </w:p>
    <w:tbl>
      <w:tblPr>
        <w:tblStyle w:val="TableGrid"/>
        <w:tblW w:type="dxa" w:w="9026"/>
        <w:jc w:val="left"/>
        <w:tblLayout w:type="fixed"/>
        <w:tblLook w:firstColumn="1" w:firstRow="1" w:lastColumn="0" w:lastRow="0" w:noHBand="0" w:noVBand="1" w:val="04A0"/>
        <w:tblInd w:w="120" w:type="dxa"/>
      </w:tblPr>
      <w:tblGrid>
        <w:gridCol w:w="4012"/>
        <w:gridCol w:w="5014"/>
      </w:tblGrid>
      <w:tr>
        <w:trPr>
          <w:tblHeader w:val="true"/>
        </w:trPr>
        <w:tc>
          <w:tcPr>
            <w:tcW w:type="dxa" w:w="401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Causa</w:t>
            </w:r>
          </w:p>
        </w:tc>
        <w:tc>
          <w:tcPr>
            <w:tcW w:type="dxa" w:w="501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Límite básico</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Plaza vacante que no pueda cubrir funcionario de carrera</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Máximo de tres años, con la excepción legal ligada a convocatoria publicada en plazo</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Sustitución transitoria del titular</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Tiempo estrictamente necesario</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Programa temporal</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Máximo de tres años, ampliable hasta doce meses por leyes de función pública</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Exceso o acumulación de tareas</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Máximo de nueve meses dentro de dieciocho</w:t>
            </w:r>
          </w:p>
        </w:tc>
      </w:tr>
    </w:tbl>
    <w:p>
      <w:pPr>
        <w:spacing w:after="40"/>
      </w:pPr>
    </w:p>
    <w:p>
      <w:pPr>
        <w:jc w:val="both"/>
      </w:pPr>
      <w:r>
        <w:rPr>
          <w:rFonts w:ascii="Arial" w:hAnsi="Arial" w:cs="Arial"/>
          <w:sz w:val="22"/>
        </w:rPr>
        <w:t xml:space="preserve">La selección debe realizarse mediante procedimientos públicos que respeten igualdad, mérito, capacidad, publicidad y celeridad. Su finalidad es la cobertura inmediata del puesto; </w:t>
      </w:r>
      <w:r>
        <w:rPr>
          <w:rFonts w:ascii="Arial" w:hAnsi="Arial" w:cs="Arial"/>
          <w:b/>
          <w:sz w:val="22"/>
        </w:rPr>
        <w:t>el nombramiento interino no otorga la condición de funcionario de carrera</w:t>
      </w:r>
      <w:r>
        <w:rPr>
          <w:rFonts w:ascii="Arial" w:hAnsi="Arial" w:cs="Arial"/>
          <w:sz w:val="22"/>
        </w:rPr>
        <w:t>.</w:t>
      </w:r>
    </w:p>
    <w:p>
      <w:pPr>
        <w:jc w:val="both"/>
      </w:pPr>
      <w:r>
        <w:rPr>
          <w:rFonts w:ascii="Arial" w:hAnsi="Arial" w:cs="Arial"/>
          <w:sz w:val="22"/>
        </w:rPr>
        <w:t>La Administración formaliza de oficio el fin de la interinidad, además de por las causas generales, cuando se cubre reglamentariamente la plaza, se suprime o amortiza, finaliza el plazo autorizado o desaparece la causa. En las vacantes, transcurridos tres años desde el nombramiento concluye, como regla, la relación. Si la convocatoria de cobertura se publicó dentro de esos tres años, el interino puede permanecer hasta que se resuelva, dentro de los plazos del artículo 70, sin compensación económica por ese motivo.</w:t>
      </w:r>
    </w:p>
    <w:p>
      <w:pPr>
        <w:jc w:val="both"/>
      </w:pPr>
      <w:r>
        <w:rPr>
          <w:rFonts w:ascii="Arial" w:hAnsi="Arial" w:cs="Arial"/>
          <w:sz w:val="22"/>
        </w:rPr>
        <w:t>Al interino se le aplica el régimen general de los funcionarios de carrera en cuanto sea adecuado a la naturaleza temporal de su relación y salvo derechos inherentes a la condición de carrera. La temporalidad no permite rebajar arbitrariamente derechos de trabajo, protección o conciliación.</w:t>
      </w:r>
    </w:p>
    <w:p>
      <w:pPr>
        <w:pStyle w:val="Heading2"/>
        <w:keepNext/>
      </w:pPr>
      <w:r>
        <w:rPr>
          <w:rFonts w:ascii="Arial" w:hAnsi="Arial" w:cs="Arial"/>
          <w:sz w:val="25"/>
        </w:rPr>
        <w:t>3.3. Personal laboral</w:t>
      </w:r>
    </w:p>
    <w:p>
      <w:pPr>
        <w:jc w:val="both"/>
      </w:pPr>
      <w:r>
        <w:rPr>
          <w:rFonts w:ascii="Arial" w:hAnsi="Arial" w:cs="Arial"/>
          <w:sz w:val="22"/>
        </w:rPr>
        <w:t>Presta servicios retribuidos mediante contrato escrito, bajo cualquiera de las modalidades previstas en la legislación laboral. Según la duración, puede ser fijo, por tiempo indefinido o temporal. Se rige por la legislación laboral, el convenio colectivo, el contrato y los preceptos del TREBEP que expresamente le sean aplicables.</w:t>
      </w:r>
    </w:p>
    <w:p>
      <w:pPr>
        <w:jc w:val="both"/>
      </w:pPr>
      <w:r>
        <w:rPr>
          <w:rFonts w:ascii="Arial" w:hAnsi="Arial" w:cs="Arial"/>
          <w:sz w:val="22"/>
        </w:rPr>
        <w:t>La Administración no puede escoger libremente entre funcionario y laboral. Las leyes de función pública establecen los puestos que puede desempeñar personal laboral, respetando la reserva funcional del artículo 9.2 TREBEP. Su selección también queda sometida a igualdad, mérito, capacidad y publicidad.</w:t>
      </w:r>
    </w:p>
    <w:p>
      <w:pPr>
        <w:jc w:val="both"/>
      </w:pPr>
      <w:r>
        <w:rPr>
          <w:rFonts w:ascii="Arial" w:hAnsi="Arial" w:cs="Arial"/>
          <w:sz w:val="22"/>
        </w:rPr>
        <w:t>No son equivalentes «laboral fijo» e «indefinido no fijo». El fijo ha superado un proceso para adquirir una plaza con estabilidad conforme a los principios de acceso. La figura jurisprudencial de indefinido no fijo reacciona frente a determinadas irregularidades de temporalidad, pero no transforma al trabajador en funcionario ni equivale automáticamente a haber obtenido una plaza fija.</w:t>
      </w:r>
    </w:p>
    <w:p>
      <w:pPr>
        <w:pStyle w:val="Heading2"/>
        <w:keepNext/>
      </w:pPr>
      <w:r>
        <w:rPr>
          <w:rFonts w:ascii="Arial" w:hAnsi="Arial" w:cs="Arial"/>
          <w:sz w:val="25"/>
        </w:rPr>
        <w:t>3.4. Personal eventual</w:t>
      </w:r>
    </w:p>
    <w:p>
      <w:pPr>
        <w:jc w:val="both"/>
      </w:pPr>
      <w:r>
        <w:rPr>
          <w:rFonts w:ascii="Arial" w:hAnsi="Arial" w:cs="Arial"/>
          <w:sz w:val="22"/>
        </w:rPr>
        <w:t xml:space="preserve">Solo realiza funciones expresamente calificadas de </w:t>
      </w:r>
      <w:r>
        <w:rPr>
          <w:rFonts w:ascii="Arial" w:hAnsi="Arial" w:cs="Arial"/>
          <w:b/>
          <w:sz w:val="22"/>
        </w:rPr>
        <w:t>confianza o asesoramiento especial</w:t>
      </w:r>
      <w:r>
        <w:rPr>
          <w:rFonts w:ascii="Arial" w:hAnsi="Arial" w:cs="Arial"/>
          <w:sz w:val="22"/>
        </w:rPr>
        <w:t>, con carácter no permanente. Su nombramiento y cese son libres; cesa, en todo caso, cuando lo hace la autoridad a la que presta la función de confianza o asesoramiento. Las leyes de función pública determinan los órganos que pueden disponer de este personal y los órganos de gobierno fijan su número máximo, que debe ser público.</w:t>
      </w:r>
    </w:p>
    <w:p>
      <w:pPr>
        <w:jc w:val="both"/>
      </w:pPr>
      <w:r>
        <w:rPr>
          <w:rFonts w:ascii="Arial" w:hAnsi="Arial" w:cs="Arial"/>
          <w:sz w:val="22"/>
        </w:rPr>
        <w:t>El trabajo eventual no puede usarse para cubrir tareas ordinarias, técnicas o estructurales. La condición de eventual no constituye mérito para acceder a la función pública ni para la promoción interna. Se le aplica, en lo adecuado, el régimen general de los funcionarios de carrera.</w:t>
      </w:r>
    </w:p>
    <w:p>
      <w:pPr>
        <w:pStyle w:val="Heading2"/>
        <w:keepNext/>
      </w:pPr>
      <w:r>
        <w:rPr>
          <w:rFonts w:ascii="Arial" w:hAnsi="Arial" w:cs="Arial"/>
          <w:sz w:val="25"/>
        </w:rPr>
        <w:t>3.5. Personal directivo profesional</w:t>
      </w:r>
    </w:p>
    <w:p>
      <w:pPr>
        <w:jc w:val="both"/>
      </w:pPr>
      <w:r>
        <w:rPr>
          <w:rFonts w:ascii="Arial" w:hAnsi="Arial" w:cs="Arial"/>
          <w:sz w:val="22"/>
        </w:rPr>
        <w:t>Desarrolla funciones directivas profesionales definidas como tales en las normas específicas. Su designación atiende a mérito, capacidad e idoneidad mediante procedimientos que garanticen publicidad y concurrencia. Está sujeto a evaluación con arreglo a eficacia y eficiencia, responsabilidad por la gestión y control de resultados. Cuando sea personal laboral, su contrato queda sometido a la relación laboral especial de alta dirección. Sus condiciones de empleo no son materia de negociación colectiva en los términos del artículo 13 TREBEP.</w:t>
      </w:r>
    </w:p>
    <w:p>
      <w:pPr>
        <w:spacing w:after="100"/>
        <w:ind w:left="340" w:right="227"/>
        <w:shd w:fill="EAF2F8"/>
      </w:pPr>
      <w:r>
        <w:rPr>
          <w:rFonts w:ascii="Arial" w:hAnsi="Arial" w:cs="Arial"/>
          <w:b/>
          <w:sz w:val="20"/>
        </w:rPr>
        <w:t>Trampa frecuente:</w:t>
      </w:r>
      <w:r>
        <w:rPr>
          <w:rFonts w:ascii="Arial" w:hAnsi="Arial" w:cs="Arial"/>
          <w:sz w:val="20"/>
        </w:rPr>
        <w:t xml:space="preserve"> la libre designación de un eventual no debe confundirse con la selección del directivo profesional, que exige mérito, capacidad, idoneidad, publicidad y concurrencia.</w:t>
      </w:r>
    </w:p>
    <w:p>
      <w:pPr>
        <w:pStyle w:val="Heading1"/>
        <w:keepNext/>
      </w:pPr>
      <w:r>
        <w:rPr>
          <w:rFonts w:ascii="Arial" w:hAnsi="Arial" w:cs="Arial"/>
          <w:sz w:val="30"/>
        </w:rPr>
        <w:t>4. Derechos de los funcionarios</w:t>
      </w:r>
    </w:p>
    <w:p>
      <w:pPr>
        <w:pStyle w:val="Heading2"/>
        <w:keepNext/>
      </w:pPr>
      <w:r>
        <w:rPr>
          <w:rFonts w:ascii="Arial" w:hAnsi="Arial" w:cs="Arial"/>
          <w:sz w:val="25"/>
        </w:rPr>
        <w:t>4.1. Derechos individuales</w:t>
      </w:r>
    </w:p>
    <w:p>
      <w:pPr>
        <w:jc w:val="both"/>
      </w:pPr>
      <w:r>
        <w:rPr>
          <w:rFonts w:ascii="Arial" w:hAnsi="Arial" w:cs="Arial"/>
          <w:sz w:val="22"/>
        </w:rPr>
        <w:t>El artículo 14 TREBEP reconoce, entre otros:</w:t>
      </w:r>
    </w:p>
    <w:p>
      <w:pPr>
        <w:pStyle w:val="ListBullet"/>
      </w:pPr>
      <w:r>
        <w:rPr>
          <w:rFonts w:ascii="Arial" w:hAnsi="Arial" w:cs="Arial"/>
          <w:sz w:val="22"/>
        </w:rPr>
        <w:t>inamovilidad en la condición de funcionario de carrera;</w:t>
      </w:r>
    </w:p>
    <w:p>
      <w:pPr>
        <w:pStyle w:val="ListBullet"/>
      </w:pPr>
      <w:r>
        <w:rPr>
          <w:rFonts w:ascii="Arial" w:hAnsi="Arial" w:cs="Arial"/>
          <w:sz w:val="22"/>
        </w:rPr>
        <w:t>desempeño efectivo de funciones propias y de tareas acordes con la progresión profesional;</w:t>
      </w:r>
    </w:p>
    <w:p>
      <w:pPr>
        <w:pStyle w:val="ListBullet"/>
      </w:pPr>
      <w:r>
        <w:rPr>
          <w:rFonts w:ascii="Arial" w:hAnsi="Arial" w:cs="Arial"/>
          <w:sz w:val="22"/>
        </w:rPr>
        <w:t>progresión en carrera y promoción interna bajo igualdad, mérito y capacidad;</w:t>
      </w:r>
    </w:p>
    <w:p>
      <w:pPr>
        <w:pStyle w:val="ListBullet"/>
      </w:pPr>
      <w:r>
        <w:rPr>
          <w:rFonts w:ascii="Arial" w:hAnsi="Arial" w:cs="Arial"/>
          <w:sz w:val="22"/>
        </w:rPr>
        <w:t>percepción de retribuciones e indemnizaciones por razón del servicio;</w:t>
      </w:r>
    </w:p>
    <w:p>
      <w:pPr>
        <w:pStyle w:val="ListBullet"/>
      </w:pPr>
      <w:r>
        <w:rPr>
          <w:rFonts w:ascii="Arial" w:hAnsi="Arial" w:cs="Arial"/>
          <w:sz w:val="22"/>
        </w:rPr>
        <w:t>participación en objetivos de la unidad e información por los superiores;</w:t>
      </w:r>
    </w:p>
    <w:p>
      <w:pPr>
        <w:pStyle w:val="ListBullet"/>
      </w:pPr>
      <w:r>
        <w:rPr>
          <w:rFonts w:ascii="Arial" w:hAnsi="Arial" w:cs="Arial"/>
          <w:sz w:val="22"/>
        </w:rPr>
        <w:t>defensa jurídica y protección de la Administración por actuaciones legítimas en ejercicio del cargo;</w:t>
      </w:r>
    </w:p>
    <w:p>
      <w:pPr>
        <w:pStyle w:val="ListBullet"/>
      </w:pPr>
      <w:r>
        <w:rPr>
          <w:rFonts w:ascii="Arial" w:hAnsi="Arial" w:cs="Arial"/>
          <w:sz w:val="22"/>
        </w:rPr>
        <w:t>formación continua y actualización permanente, preferentemente en horario laboral;</w:t>
      </w:r>
    </w:p>
    <w:p>
      <w:pPr>
        <w:pStyle w:val="ListBullet"/>
      </w:pPr>
      <w:r>
        <w:rPr>
          <w:rFonts w:ascii="Arial" w:hAnsi="Arial" w:cs="Arial"/>
          <w:sz w:val="22"/>
        </w:rPr>
        <w:t>respeto a intimidad, orientación e identidad sexual, expresión de género, características sexuales, imagen y dignidad, especialmente frente al acoso sexual, por razón de sexo, orientación o identidad sexual, expresión de género, características sexuales, moral y laboral;</w:t>
      </w:r>
    </w:p>
    <w:p>
      <w:pPr>
        <w:pStyle w:val="ListBullet"/>
      </w:pPr>
      <w:r>
        <w:rPr>
          <w:rFonts w:ascii="Arial" w:hAnsi="Arial" w:cs="Arial"/>
          <w:sz w:val="22"/>
        </w:rPr>
        <w:t>no discriminación por nacimiento, origen racial o étnico, género, sexo u orientación sexual, religión, convicciones, opinión, discapacidad, edad u otra condición personal o social;</w:t>
      </w:r>
    </w:p>
    <w:p>
      <w:pPr>
        <w:pStyle w:val="ListBullet"/>
      </w:pPr>
      <w:r>
        <w:rPr>
          <w:rFonts w:ascii="Arial" w:hAnsi="Arial" w:cs="Arial"/>
          <w:sz w:val="22"/>
        </w:rPr>
        <w:t>medidas de conciliación de vida personal, familiar y laboral;</w:t>
      </w:r>
    </w:p>
    <w:p>
      <w:pPr>
        <w:pStyle w:val="ListBullet"/>
      </w:pPr>
      <w:r>
        <w:rPr>
          <w:rFonts w:ascii="Arial" w:hAnsi="Arial" w:cs="Arial"/>
          <w:sz w:val="22"/>
        </w:rPr>
        <w:t>intimidad en dispositivos digitales, desconexión digital y protección frente a videovigilancia y geolocalización;</w:t>
      </w:r>
    </w:p>
    <w:p>
      <w:pPr>
        <w:pStyle w:val="ListBullet"/>
      </w:pPr>
      <w:r>
        <w:rPr>
          <w:rFonts w:ascii="Arial" w:hAnsi="Arial" w:cs="Arial"/>
          <w:sz w:val="22"/>
        </w:rPr>
        <w:t>libertad de expresión dentro de los límites del ordenamiento;</w:t>
      </w:r>
    </w:p>
    <w:p>
      <w:pPr>
        <w:pStyle w:val="ListBullet"/>
      </w:pPr>
      <w:r>
        <w:rPr>
          <w:rFonts w:ascii="Arial" w:hAnsi="Arial" w:cs="Arial"/>
          <w:sz w:val="22"/>
        </w:rPr>
        <w:t>protección eficaz en seguridad y salud;</w:t>
      </w:r>
    </w:p>
    <w:p>
      <w:pPr>
        <w:pStyle w:val="ListBullet"/>
      </w:pPr>
      <w:r>
        <w:rPr>
          <w:rFonts w:ascii="Arial" w:hAnsi="Arial" w:cs="Arial"/>
          <w:sz w:val="22"/>
        </w:rPr>
        <w:t>vacaciones, descansos, permisos y licencias;</w:t>
      </w:r>
    </w:p>
    <w:p>
      <w:pPr>
        <w:pStyle w:val="ListBullet"/>
      </w:pPr>
      <w:r>
        <w:rPr>
          <w:rFonts w:ascii="Arial" w:hAnsi="Arial" w:cs="Arial"/>
          <w:sz w:val="22"/>
        </w:rPr>
        <w:t>jubilación;</w:t>
      </w:r>
    </w:p>
    <w:p>
      <w:pPr>
        <w:pStyle w:val="ListBullet"/>
      </w:pPr>
      <w:r>
        <w:rPr>
          <w:rFonts w:ascii="Arial" w:hAnsi="Arial" w:cs="Arial"/>
          <w:sz w:val="22"/>
        </w:rPr>
        <w:t>prestaciones de Seguridad Social;</w:t>
      </w:r>
    </w:p>
    <w:p>
      <w:pPr>
        <w:pStyle w:val="ListBullet"/>
      </w:pPr>
      <w:r>
        <w:rPr>
          <w:rFonts w:ascii="Arial" w:hAnsi="Arial" w:cs="Arial"/>
          <w:sz w:val="22"/>
        </w:rPr>
        <w:t>libre asociación profesional.</w:t>
      </w:r>
    </w:p>
    <w:p>
      <w:pPr>
        <w:jc w:val="both"/>
      </w:pPr>
      <w:r>
        <w:rPr>
          <w:rFonts w:ascii="Arial" w:hAnsi="Arial" w:cs="Arial"/>
          <w:sz w:val="22"/>
        </w:rPr>
        <w:t xml:space="preserve">La inamovilidad protege la </w:t>
      </w:r>
      <w:r>
        <w:rPr>
          <w:rFonts w:ascii="Arial" w:hAnsi="Arial" w:cs="Arial"/>
          <w:b/>
          <w:sz w:val="22"/>
        </w:rPr>
        <w:t>condición funcionarial</w:t>
      </w:r>
      <w:r>
        <w:rPr>
          <w:rFonts w:ascii="Arial" w:hAnsi="Arial" w:cs="Arial"/>
          <w:sz w:val="22"/>
        </w:rPr>
        <w:t>, no petrifica destino, funciones o estructura administrativa. Cabe movilidad, provisión, reasignación o remoción conforme a ley y con garantías.</w:t>
      </w:r>
    </w:p>
    <w:p>
      <w:pPr>
        <w:pStyle w:val="Heading2"/>
        <w:keepNext/>
      </w:pPr>
      <w:r>
        <w:rPr>
          <w:rFonts w:ascii="Arial" w:hAnsi="Arial" w:cs="Arial"/>
          <w:sz w:val="25"/>
        </w:rPr>
        <w:t>4.2. Derechos individuales ejercidos colectivamente</w:t>
      </w:r>
    </w:p>
    <w:p>
      <w:pPr>
        <w:jc w:val="both"/>
      </w:pPr>
      <w:r>
        <w:rPr>
          <w:rFonts w:ascii="Arial" w:hAnsi="Arial" w:cs="Arial"/>
          <w:sz w:val="22"/>
        </w:rPr>
        <w:t>El artículo 15 incluye libertad sindical, negociación colectiva y participación en la determinación de condiciones de trabajo, huelga con garantía de servicios esenciales, planteamiento de conflictos colectivos y reunión. Son derechos de ejercicio colectivo aunque su titularidad nazca en las personas. Tienen límites constitucionales y legales derivados de la continuidad de servicios esenciales, neutralidad y peculiaridades del empleo público.</w:t>
      </w:r>
    </w:p>
    <w:p>
      <w:pPr>
        <w:pStyle w:val="Heading2"/>
        <w:keepNext/>
      </w:pPr>
      <w:r>
        <w:rPr>
          <w:rFonts w:ascii="Arial" w:hAnsi="Arial" w:cs="Arial"/>
          <w:sz w:val="25"/>
        </w:rPr>
        <w:t>4.3. Jornada, teletrabajo, permisos y conciliación</w:t>
      </w:r>
    </w:p>
    <w:p>
      <w:pPr>
        <w:jc w:val="both"/>
      </w:pPr>
      <w:r>
        <w:rPr>
          <w:rFonts w:ascii="Arial" w:hAnsi="Arial" w:cs="Arial"/>
          <w:sz w:val="22"/>
        </w:rPr>
        <w:t>El teletrabajo del artículo 47 bis es una modalidad a distancia mediante tecnologías, cuando las necesidades lo permitan. Debe autorizarse expresamente, es compatible con la modalidad presencial y tiene carácter voluntario y reversible salvo supuestos excepcionales justificados. Quien teletrabaja mantiene los mismos derechos y deberes, excepto los inherentes a la prestación presencial; la Administración proporciona y mantiene los medios tecnológicos necesarios.</w:t>
      </w:r>
    </w:p>
    <w:p>
      <w:pPr>
        <w:jc w:val="both"/>
      </w:pPr>
      <w:r>
        <w:rPr>
          <w:rFonts w:ascii="Arial" w:hAnsi="Arial" w:cs="Arial"/>
          <w:sz w:val="22"/>
        </w:rPr>
        <w:t>Entre los datos actuales más preguntables del artículo 48 destacan:</w:t>
      </w:r>
    </w:p>
    <w:p>
      <w:pPr>
        <w:pStyle w:val="ListBullet"/>
      </w:pPr>
      <w:r>
        <w:rPr>
          <w:rFonts w:ascii="Arial" w:hAnsi="Arial" w:cs="Arial"/>
          <w:sz w:val="22"/>
        </w:rPr>
        <w:t>cinco días hábiles por accidente o enfermedad graves, hospitalización o intervención quirúrgica sin hospitalización que precise reposo domiciliario del cónyuge, pareja de hecho, familiar de primer grado o conviviente que requiera cuidado efectivo;</w:t>
      </w:r>
    </w:p>
    <w:p>
      <w:pPr>
        <w:pStyle w:val="ListBullet"/>
      </w:pPr>
      <w:r>
        <w:rPr>
          <w:rFonts w:ascii="Arial" w:hAnsi="Arial" w:cs="Arial"/>
          <w:sz w:val="22"/>
        </w:rPr>
        <w:t>cuatro días hábiles si se trata de familiar de segundo grado;</w:t>
      </w:r>
    </w:p>
    <w:p>
      <w:pPr>
        <w:pStyle w:val="ListBullet"/>
      </w:pPr>
      <w:r>
        <w:rPr>
          <w:rFonts w:ascii="Arial" w:hAnsi="Arial" w:cs="Arial"/>
          <w:sz w:val="22"/>
        </w:rPr>
        <w:t>por fallecimiento del cónyuge, pareja de hecho o familiar de primer grado: tres días hábiles en la misma localidad y cinco en distinta; si es de segundo grado: dos y cuatro, respectivamente;</w:t>
      </w:r>
    </w:p>
    <w:p>
      <w:pPr>
        <w:pStyle w:val="ListBullet"/>
      </w:pPr>
      <w:r>
        <w:rPr>
          <w:rFonts w:ascii="Arial" w:hAnsi="Arial" w:cs="Arial"/>
          <w:sz w:val="22"/>
        </w:rPr>
        <w:t>un día por traslado de domicilio sin cambio de residencia;</w:t>
      </w:r>
    </w:p>
    <w:p>
      <w:pPr>
        <w:pStyle w:val="ListBullet"/>
      </w:pPr>
      <w:r>
        <w:rPr>
          <w:rFonts w:ascii="Arial" w:hAnsi="Arial" w:cs="Arial"/>
          <w:sz w:val="22"/>
        </w:rPr>
        <w:t>seis días al año por asuntos particulares;</w:t>
      </w:r>
    </w:p>
    <w:p>
      <w:pPr>
        <w:pStyle w:val="ListBullet"/>
      </w:pPr>
      <w:r>
        <w:rPr>
          <w:rFonts w:ascii="Arial" w:hAnsi="Arial" w:cs="Arial"/>
          <w:sz w:val="22"/>
        </w:rPr>
        <w:t>quince días por matrimonio o registro o formalización de pareja de hecho;</w:t>
      </w:r>
    </w:p>
    <w:p>
      <w:pPr>
        <w:pStyle w:val="ListBullet"/>
      </w:pPr>
      <w:r>
        <w:rPr>
          <w:rFonts w:ascii="Arial" w:hAnsi="Arial" w:cs="Arial"/>
          <w:sz w:val="22"/>
        </w:rPr>
        <w:t>desde marzo de 2025, el tiempo indispensable para actos preparatorios de donación de órganos o tejidos cuando deban realizarse dentro de la jornada.</w:t>
      </w:r>
    </w:p>
    <w:p>
      <w:pPr>
        <w:jc w:val="both"/>
      </w:pPr>
      <w:r>
        <w:rPr>
          <w:rFonts w:ascii="Arial" w:hAnsi="Arial" w:cs="Arial"/>
          <w:sz w:val="22"/>
        </w:rPr>
        <w:t xml:space="preserve">Los permisos del artículo 49, tras la reforma de 2025, reconocen con carácter general </w:t>
      </w:r>
      <w:r>
        <w:rPr>
          <w:rFonts w:ascii="Arial" w:hAnsi="Arial" w:cs="Arial"/>
          <w:b/>
          <w:sz w:val="22"/>
        </w:rPr>
        <w:t>diecinueve semanas</w:t>
      </w:r>
      <w:r>
        <w:rPr>
          <w:rFonts w:ascii="Arial" w:hAnsi="Arial" w:cs="Arial"/>
          <w:sz w:val="22"/>
        </w:rPr>
        <w:t xml:space="preserve"> por nacimiento para la madre biológica, por adopción, guarda con fines de adopción o acogimiento para cada adoptante, y para el progenitor diferente de la madre biológica. En familias monoparentales son </w:t>
      </w:r>
      <w:r>
        <w:rPr>
          <w:rFonts w:ascii="Arial" w:hAnsi="Arial" w:cs="Arial"/>
          <w:b/>
          <w:sz w:val="22"/>
        </w:rPr>
        <w:t>treinta y dos semanas</w:t>
      </w:r>
      <w:r>
        <w:rPr>
          <w:rFonts w:ascii="Arial" w:hAnsi="Arial" w:cs="Arial"/>
          <w:sz w:val="22"/>
        </w:rPr>
        <w:t>. La distribución básica es:</w:t>
      </w:r>
    </w:p>
    <w:p>
      <w:pPr>
        <w:pStyle w:val="ListBullet"/>
      </w:pPr>
      <w:r>
        <w:rPr>
          <w:rFonts w:ascii="Arial" w:hAnsi="Arial" w:cs="Arial"/>
          <w:sz w:val="22"/>
        </w:rPr>
        <w:t>seis semanas obligatorias, ininterrumpidas, inmediatamente posteriores al hecho causante y a jornada completa;</w:t>
      </w:r>
    </w:p>
    <w:p>
      <w:pPr>
        <w:pStyle w:val="ListBullet"/>
      </w:pPr>
      <w:r>
        <w:rPr>
          <w:rFonts w:ascii="Arial" w:hAnsi="Arial" w:cs="Arial"/>
          <w:sz w:val="22"/>
        </w:rPr>
        <w:t>once semanas —veintidós en monoparentalidad— disfrutables de forma flexible hasta que el menor cumpla doce meses;</w:t>
      </w:r>
    </w:p>
    <w:p>
      <w:pPr>
        <w:pStyle w:val="ListBullet"/>
      </w:pPr>
      <w:r>
        <w:rPr>
          <w:rFonts w:ascii="Arial" w:hAnsi="Arial" w:cs="Arial"/>
          <w:sz w:val="22"/>
        </w:rPr>
        <w:t>dos semanas —cuatro en monoparentalidad— disfrutables flexiblemente hasta que el menor cumpla ocho años.</w:t>
      </w:r>
    </w:p>
    <w:p>
      <w:pPr>
        <w:jc w:val="both"/>
      </w:pPr>
      <w:r>
        <w:rPr>
          <w:rFonts w:ascii="Arial" w:hAnsi="Arial" w:cs="Arial"/>
          <w:sz w:val="22"/>
        </w:rPr>
        <w:t>Son derechos individuales e intransferibles. Existen ampliaciones por discapacidad y nacimiento o adopción múltiples y reglas de disfrute interrumpido, jornada completa o parcial y preaviso. El permiso parental para cuidar hijo, hija o menor acogido por más de un año, hasta que cumpla ocho años, tiene duración máxima de ocho semanas, continuas o discontinuas; puede disfrutarse a tiempo completo o parcial cuando las necesidades del servicio lo permitan y no es retribuido en la regulación básica.</w:t>
      </w:r>
    </w:p>
    <w:p>
      <w:pPr>
        <w:pStyle w:val="Heading1"/>
        <w:keepNext/>
      </w:pPr>
      <w:r>
        <w:rPr>
          <w:rFonts w:ascii="Arial" w:hAnsi="Arial" w:cs="Arial"/>
          <w:sz w:val="30"/>
        </w:rPr>
        <w:t>5. Deberes y código de conducta</w:t>
      </w:r>
    </w:p>
    <w:p>
      <w:pPr>
        <w:pStyle w:val="Heading2"/>
        <w:keepNext/>
      </w:pPr>
      <w:r>
        <w:rPr>
          <w:rFonts w:ascii="Arial" w:hAnsi="Arial" w:cs="Arial"/>
          <w:sz w:val="25"/>
        </w:rPr>
        <w:t>5.1. Deber general</w:t>
      </w:r>
    </w:p>
    <w:p>
      <w:pPr>
        <w:jc w:val="both"/>
      </w:pPr>
      <w:r>
        <w:rPr>
          <w:rFonts w:ascii="Arial" w:hAnsi="Arial" w:cs="Arial"/>
          <w:sz w:val="22"/>
        </w:rPr>
        <w:t>Conforme al artículo 52 TREBEP, los empleados públicos deben desempeñar con diligencia las tareas asignadas, velar por los intereses generales con sujeción a Constitución y ordenamiento y actuar según objetividad, integridad, neutralidad, responsabilidad, imparcialidad, confidencialidad, dedicación al servicio público, transparencia, ejemplaridad, austeridad, accesibilidad, eficacia, honradez, promoción del entorno cultural y medioambiental y respeto a la igualdad entre mujeres y hombres. Estos principios informan la interpretación y aplicación del régimen disciplinario.</w:t>
      </w:r>
    </w:p>
    <w:p>
      <w:pPr>
        <w:jc w:val="both"/>
      </w:pPr>
      <w:r>
        <w:rPr>
          <w:rFonts w:ascii="Arial" w:hAnsi="Arial" w:cs="Arial"/>
          <w:sz w:val="22"/>
        </w:rPr>
        <w:t>No son recomendaciones decorativas. Orientan decisiones ante conflictos de interés, trato a la ciudadanía, uso de información y recursos o cumplimiento de órdenes.</w:t>
      </w:r>
    </w:p>
    <w:p>
      <w:pPr>
        <w:pStyle w:val="Heading2"/>
        <w:keepNext/>
      </w:pPr>
      <w:r>
        <w:rPr>
          <w:rFonts w:ascii="Arial" w:hAnsi="Arial" w:cs="Arial"/>
          <w:sz w:val="25"/>
        </w:rPr>
        <w:t>5.2. Principios éticos</w:t>
      </w:r>
    </w:p>
    <w:p>
      <w:pPr>
        <w:jc w:val="both"/>
      </w:pPr>
      <w:r>
        <w:rPr>
          <w:rFonts w:ascii="Arial" w:hAnsi="Arial" w:cs="Arial"/>
          <w:sz w:val="22"/>
        </w:rPr>
        <w:t>El artículo 53 exige:</w:t>
      </w:r>
    </w:p>
    <w:p>
      <w:pPr>
        <w:spacing w:after="40"/>
        <w:ind w:left="369" w:hanging="227"/>
      </w:pPr>
      <w:r>
        <w:rPr>
          <w:rFonts w:ascii="Arial" w:hAnsi="Arial" w:cs="Arial"/>
          <w:sz w:val="22"/>
        </w:rPr>
        <w:t>1. Respetar Constitución y normas.</w:t>
      </w:r>
    </w:p>
    <w:p>
      <w:pPr>
        <w:spacing w:after="40"/>
        <w:ind w:left="369" w:hanging="227"/>
      </w:pPr>
      <w:r>
        <w:rPr>
          <w:rFonts w:ascii="Arial" w:hAnsi="Arial" w:cs="Arial"/>
          <w:sz w:val="22"/>
        </w:rPr>
        <w:t>2. Perseguir el interés general con objetividad, neutralidad e imparcialidad.</w:t>
      </w:r>
    </w:p>
    <w:p>
      <w:pPr>
        <w:spacing w:after="40"/>
        <w:ind w:left="369" w:hanging="227"/>
      </w:pPr>
      <w:r>
        <w:rPr>
          <w:rFonts w:ascii="Arial" w:hAnsi="Arial" w:cs="Arial"/>
          <w:sz w:val="22"/>
        </w:rPr>
        <w:t>3. Actuar con lealtad y buena fe con Administración, superiores, compañeros, subordinados y ciudadanía.</w:t>
      </w:r>
    </w:p>
    <w:p>
      <w:pPr>
        <w:spacing w:after="40"/>
        <w:ind w:left="369" w:hanging="227"/>
      </w:pPr>
      <w:r>
        <w:rPr>
          <w:rFonts w:ascii="Arial" w:hAnsi="Arial" w:cs="Arial"/>
          <w:sz w:val="22"/>
        </w:rPr>
        <w:t>4. Respetar derechos fundamentales y evitar discriminación.</w:t>
      </w:r>
    </w:p>
    <w:p>
      <w:pPr>
        <w:spacing w:after="40"/>
        <w:ind w:left="369" w:hanging="227"/>
      </w:pPr>
      <w:r>
        <w:rPr>
          <w:rFonts w:ascii="Arial" w:hAnsi="Arial" w:cs="Arial"/>
          <w:sz w:val="22"/>
        </w:rPr>
        <w:t>5. Abstenerse en asuntos con interés personal y evitar actividades o intereses que generen conflicto.</w:t>
      </w:r>
    </w:p>
    <w:p>
      <w:pPr>
        <w:spacing w:after="40"/>
        <w:ind w:left="369" w:hanging="227"/>
      </w:pPr>
      <w:r>
        <w:rPr>
          <w:rFonts w:ascii="Arial" w:hAnsi="Arial" w:cs="Arial"/>
          <w:sz w:val="22"/>
        </w:rPr>
        <w:t>6. No contraer obligaciones económicas ni intervenir en operaciones que comprometan la imparcialidad.</w:t>
      </w:r>
    </w:p>
    <w:p>
      <w:pPr>
        <w:spacing w:after="40"/>
        <w:ind w:left="369" w:hanging="227"/>
      </w:pPr>
      <w:r>
        <w:rPr>
          <w:rFonts w:ascii="Arial" w:hAnsi="Arial" w:cs="Arial"/>
          <w:sz w:val="22"/>
        </w:rPr>
        <w:t>7. No aceptar trato de favor o privilegio injustificado.</w:t>
      </w:r>
    </w:p>
    <w:p>
      <w:pPr>
        <w:spacing w:after="40"/>
        <w:ind w:left="369" w:hanging="227"/>
      </w:pPr>
      <w:r>
        <w:rPr>
          <w:rFonts w:ascii="Arial" w:hAnsi="Arial" w:cs="Arial"/>
          <w:sz w:val="22"/>
        </w:rPr>
        <w:t>8. Actuar con eficacia, economía y eficiencia y vigilar objetivos de interés general.</w:t>
      </w:r>
    </w:p>
    <w:p>
      <w:pPr>
        <w:spacing w:after="40"/>
        <w:ind w:left="369" w:hanging="227"/>
      </w:pPr>
      <w:r>
        <w:rPr>
          <w:rFonts w:ascii="Arial" w:hAnsi="Arial" w:cs="Arial"/>
          <w:sz w:val="22"/>
        </w:rPr>
        <w:t>9. No influir en la agilización o resolución sin causa justa ni cuando produzca privilegio.</w:t>
      </w:r>
    </w:p>
    <w:p>
      <w:pPr>
        <w:spacing w:after="40"/>
        <w:ind w:left="369" w:hanging="227"/>
      </w:pPr>
      <w:r>
        <w:rPr>
          <w:rFonts w:ascii="Arial" w:hAnsi="Arial" w:cs="Arial"/>
          <w:sz w:val="22"/>
        </w:rPr>
        <w:t>10. Cumplir con diligencia tareas y resolver en plazo procedimientos de su competencia.</w:t>
      </w:r>
    </w:p>
    <w:p>
      <w:pPr>
        <w:spacing w:after="40"/>
        <w:ind w:left="369" w:hanging="227"/>
      </w:pPr>
      <w:r>
        <w:rPr>
          <w:rFonts w:ascii="Arial" w:hAnsi="Arial" w:cs="Arial"/>
          <w:sz w:val="22"/>
        </w:rPr>
        <w:t>11. Ejercer atribuciones con dedicación y abstenerse de conductas contrarias al interés público.</w:t>
      </w:r>
    </w:p>
    <w:p>
      <w:pPr>
        <w:spacing w:after="40"/>
        <w:ind w:left="369" w:hanging="227"/>
      </w:pPr>
      <w:r>
        <w:rPr>
          <w:rFonts w:ascii="Arial" w:hAnsi="Arial" w:cs="Arial"/>
          <w:sz w:val="22"/>
        </w:rPr>
        <w:t>12. Guardar secreto de materias clasificadas y discreción sobre lo conocido por el cargo, sin usar información en beneficio propio o de terceros.</w:t>
      </w:r>
    </w:p>
    <w:p>
      <w:pPr>
        <w:pStyle w:val="Heading2"/>
        <w:keepNext/>
      </w:pPr>
      <w:r>
        <w:rPr>
          <w:rFonts w:ascii="Arial" w:hAnsi="Arial" w:cs="Arial"/>
          <w:sz w:val="25"/>
        </w:rPr>
        <w:t>5.3. Principios de conducta</w:t>
      </w:r>
    </w:p>
    <w:p>
      <w:pPr>
        <w:jc w:val="both"/>
      </w:pPr>
      <w:r>
        <w:rPr>
          <w:rFonts w:ascii="Arial" w:hAnsi="Arial" w:cs="Arial"/>
          <w:sz w:val="22"/>
        </w:rPr>
        <w:t>El artículo 54 concreta pautas diarias: trato atento y respetuoso; desempeño diligente y cumplimiento de jornada; obediencia a instrucciones profesionales salvo orden manifiestamente ilegal, que debe ponerse inmediatamente en conocimiento de los órganos de inspección; información a la ciudadanía sobre aquello que tenga derecho a conocer y ayuda para ejercer derechos y obligaciones; administración austera de recursos; rechazo de regalos, favores o servicios que excedan usos habituales, sociales y de cortesía; garantía de constancia y permanencia documental; actualización de formación; observancia de seguridad y salud; propuestas de mejora; y atención en la lengua oficial solicitada cuando proceda.</w:t>
      </w:r>
    </w:p>
    <w:p>
      <w:pPr>
        <w:spacing w:after="100"/>
        <w:ind w:left="340" w:right="227"/>
        <w:shd w:fill="EAF2F8"/>
      </w:pPr>
      <w:r>
        <w:rPr>
          <w:rFonts w:ascii="Arial" w:hAnsi="Arial" w:cs="Arial"/>
          <w:b/>
          <w:sz w:val="20"/>
        </w:rPr>
        <w:t>Trampa frecuente:</w:t>
      </w:r>
      <w:r>
        <w:rPr>
          <w:rFonts w:ascii="Arial" w:hAnsi="Arial" w:cs="Arial"/>
          <w:sz w:val="20"/>
        </w:rPr>
        <w:t xml:space="preserve"> la obediencia jerárquica no ampara una orden manifiestamente ilegal. La respuesta no es ejecutarla y recurrir después, sino comunicarla de inmediato al órgano inspector competente.</w:t>
      </w:r>
    </w:p>
    <w:p>
      <w:pPr>
        <w:pStyle w:val="Heading1"/>
        <w:keepNext/>
      </w:pPr>
      <w:r>
        <w:rPr>
          <w:rFonts w:ascii="Arial" w:hAnsi="Arial" w:cs="Arial"/>
          <w:sz w:val="30"/>
        </w:rPr>
        <w:t>6. Carrera administrativa y promoción</w:t>
      </w:r>
    </w:p>
    <w:p>
      <w:pPr>
        <w:pStyle w:val="Heading2"/>
        <w:keepNext/>
      </w:pPr>
      <w:r>
        <w:rPr>
          <w:rFonts w:ascii="Arial" w:hAnsi="Arial" w:cs="Arial"/>
          <w:sz w:val="25"/>
        </w:rPr>
        <w:t>6.1. Concepto y modalidades</w:t>
      </w:r>
    </w:p>
    <w:p>
      <w:pPr>
        <w:jc w:val="both"/>
      </w:pPr>
      <w:r>
        <w:rPr>
          <w:rFonts w:ascii="Arial" w:hAnsi="Arial" w:cs="Arial"/>
          <w:sz w:val="22"/>
        </w:rPr>
        <w:t>La carrera profesional es el conjunto ordenado de oportunidades de ascenso y expectativas de progreso conforme a igualdad, mérito y capacidad. Las leyes de función pública regulan una o varias modalidades:</w:t>
      </w:r>
    </w:p>
    <w:tbl>
      <w:tblPr>
        <w:tblStyle w:val="TableGrid"/>
        <w:tblW w:type="dxa" w:w="9026"/>
        <w:jc w:val="left"/>
        <w:tblLayout w:type="fixed"/>
        <w:tblLook w:firstColumn="1" w:firstRow="1" w:lastColumn="0" w:lastRow="0" w:noHBand="0" w:noVBand="1" w:val="04A0"/>
        <w:tblInd w:w="120" w:type="dxa"/>
      </w:tblPr>
      <w:tblGrid>
        <w:gridCol w:w="2729"/>
        <w:gridCol w:w="6297"/>
      </w:tblGrid>
      <w:tr>
        <w:trPr>
          <w:tblHeader w:val="true"/>
        </w:trPr>
        <w:tc>
          <w:tcPr>
            <w:tcW w:type="dxa" w:w="272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Modalidad</w:t>
            </w:r>
          </w:p>
        </w:tc>
        <w:tc>
          <w:tcPr>
            <w:tcW w:type="dxa" w:w="629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Rasgo esencial</w:t>
            </w:r>
          </w:p>
        </w:tc>
      </w:tr>
      <w:tr>
        <w:tc>
          <w:tcPr>
            <w:tcW w:type="dxa" w:w="2729"/>
            <w:tcMar>
              <w:top w:w="80" w:type="dxa"/>
              <w:start w:w="120" w:type="dxa"/>
              <w:bottom w:w="80" w:type="dxa"/>
              <w:end w:w="120" w:type="dxa"/>
            </w:tcMar>
            <w:vAlign w:val="center"/>
          </w:tcPr>
          <w:p>
            <w:pPr>
              <w:spacing w:before="0" w:after="0" w:line="240" w:lineRule="auto"/>
              <w:jc w:val="left"/>
            </w:pPr>
            <w:r/>
            <w:r>
              <w:rPr>
                <w:rFonts w:ascii="Arial" w:hAnsi="Arial" w:cs="Arial"/>
                <w:sz w:val="18"/>
              </w:rPr>
              <w:t>Carrera horizontal</w:t>
            </w:r>
          </w:p>
        </w:tc>
        <w:tc>
          <w:tcPr>
            <w:tcW w:type="dxa" w:w="6297"/>
            <w:tcMar>
              <w:top w:w="80" w:type="dxa"/>
              <w:start w:w="120" w:type="dxa"/>
              <w:bottom w:w="80" w:type="dxa"/>
              <w:end w:w="120" w:type="dxa"/>
            </w:tcMar>
            <w:vAlign w:val="center"/>
          </w:tcPr>
          <w:p>
            <w:pPr>
              <w:spacing w:before="0" w:after="0" w:line="240" w:lineRule="auto"/>
              <w:jc w:val="left"/>
            </w:pPr>
            <w:r/>
            <w:r>
              <w:rPr>
                <w:rFonts w:ascii="Arial" w:hAnsi="Arial" w:cs="Arial"/>
                <w:sz w:val="18"/>
              </w:rPr>
              <w:t>Progresión de grado, categoría, escalón o concepto análogo sin cambiar de puesto</w:t>
            </w:r>
          </w:p>
        </w:tc>
      </w:tr>
      <w:tr>
        <w:tc>
          <w:tcPr>
            <w:tcW w:type="dxa" w:w="2729"/>
            <w:tcMar>
              <w:top w:w="80" w:type="dxa"/>
              <w:start w:w="120" w:type="dxa"/>
              <w:bottom w:w="80" w:type="dxa"/>
              <w:end w:w="120" w:type="dxa"/>
            </w:tcMar>
            <w:vAlign w:val="center"/>
          </w:tcPr>
          <w:p>
            <w:pPr>
              <w:spacing w:before="0" w:after="0" w:line="240" w:lineRule="auto"/>
              <w:jc w:val="left"/>
            </w:pPr>
            <w:r/>
            <w:r>
              <w:rPr>
                <w:rFonts w:ascii="Arial" w:hAnsi="Arial" w:cs="Arial"/>
                <w:sz w:val="18"/>
              </w:rPr>
              <w:t>Carrera vertical</w:t>
            </w:r>
          </w:p>
        </w:tc>
        <w:tc>
          <w:tcPr>
            <w:tcW w:type="dxa" w:w="6297"/>
            <w:tcMar>
              <w:top w:w="80" w:type="dxa"/>
              <w:start w:w="120" w:type="dxa"/>
              <w:bottom w:w="80" w:type="dxa"/>
              <w:end w:w="120" w:type="dxa"/>
            </w:tcMar>
            <w:vAlign w:val="center"/>
          </w:tcPr>
          <w:p>
            <w:pPr>
              <w:spacing w:before="0" w:after="0" w:line="240" w:lineRule="auto"/>
              <w:jc w:val="left"/>
            </w:pPr>
            <w:r/>
            <w:r>
              <w:rPr>
                <w:rFonts w:ascii="Arial" w:hAnsi="Arial" w:cs="Arial"/>
                <w:sz w:val="18"/>
              </w:rPr>
              <w:t>Ascenso en la estructura de puestos mediante procedimientos de provisión</w:t>
            </w:r>
          </w:p>
        </w:tc>
      </w:tr>
      <w:tr>
        <w:tc>
          <w:tcPr>
            <w:tcW w:type="dxa" w:w="2729"/>
            <w:tcMar>
              <w:top w:w="80" w:type="dxa"/>
              <w:start w:w="120" w:type="dxa"/>
              <w:bottom w:w="80" w:type="dxa"/>
              <w:end w:w="120" w:type="dxa"/>
            </w:tcMar>
            <w:vAlign w:val="center"/>
          </w:tcPr>
          <w:p>
            <w:pPr>
              <w:spacing w:before="0" w:after="0" w:line="240" w:lineRule="auto"/>
              <w:jc w:val="left"/>
            </w:pPr>
            <w:r/>
            <w:r>
              <w:rPr>
                <w:rFonts w:ascii="Arial" w:hAnsi="Arial" w:cs="Arial"/>
                <w:sz w:val="18"/>
              </w:rPr>
              <w:t>Promoción interna vertical</w:t>
            </w:r>
          </w:p>
        </w:tc>
        <w:tc>
          <w:tcPr>
            <w:tcW w:type="dxa" w:w="6297"/>
            <w:tcMar>
              <w:top w:w="80" w:type="dxa"/>
              <w:start w:w="120" w:type="dxa"/>
              <w:bottom w:w="80" w:type="dxa"/>
              <w:end w:w="120" w:type="dxa"/>
            </w:tcMar>
            <w:vAlign w:val="center"/>
          </w:tcPr>
          <w:p>
            <w:pPr>
              <w:spacing w:before="0" w:after="0" w:line="240" w:lineRule="auto"/>
              <w:jc w:val="left"/>
            </w:pPr>
            <w:r/>
            <w:r>
              <w:rPr>
                <w:rFonts w:ascii="Arial" w:hAnsi="Arial" w:cs="Arial"/>
                <w:sz w:val="18"/>
              </w:rPr>
              <w:t>Acceso desde cuerpo o escala de subgrupo o grupo inferior a otro superior</w:t>
            </w:r>
          </w:p>
        </w:tc>
      </w:tr>
      <w:tr>
        <w:tc>
          <w:tcPr>
            <w:tcW w:type="dxa" w:w="2729"/>
            <w:tcMar>
              <w:top w:w="80" w:type="dxa"/>
              <w:start w:w="120" w:type="dxa"/>
              <w:bottom w:w="80" w:type="dxa"/>
              <w:end w:w="120" w:type="dxa"/>
            </w:tcMar>
            <w:vAlign w:val="center"/>
          </w:tcPr>
          <w:p>
            <w:pPr>
              <w:spacing w:before="0" w:after="0" w:line="240" w:lineRule="auto"/>
              <w:jc w:val="left"/>
            </w:pPr>
            <w:r/>
            <w:r>
              <w:rPr>
                <w:rFonts w:ascii="Arial" w:hAnsi="Arial" w:cs="Arial"/>
                <w:sz w:val="18"/>
              </w:rPr>
              <w:t>Promoción interna horizontal</w:t>
            </w:r>
          </w:p>
        </w:tc>
        <w:tc>
          <w:tcPr>
            <w:tcW w:type="dxa" w:w="6297"/>
            <w:tcMar>
              <w:top w:w="80" w:type="dxa"/>
              <w:start w:w="120" w:type="dxa"/>
              <w:bottom w:w="80" w:type="dxa"/>
              <w:end w:w="120" w:type="dxa"/>
            </w:tcMar>
            <w:vAlign w:val="center"/>
          </w:tcPr>
          <w:p>
            <w:pPr>
              <w:spacing w:before="0" w:after="0" w:line="240" w:lineRule="auto"/>
              <w:jc w:val="left"/>
            </w:pPr>
            <w:r/>
            <w:r>
              <w:rPr>
                <w:rFonts w:ascii="Arial" w:hAnsi="Arial" w:cs="Arial"/>
                <w:sz w:val="18"/>
              </w:rPr>
              <w:t>Acceso a cuerpo o escala del mismo subgrupo profesional</w:t>
            </w:r>
          </w:p>
        </w:tc>
      </w:tr>
    </w:tbl>
    <w:p>
      <w:pPr>
        <w:spacing w:after="40"/>
      </w:pPr>
    </w:p>
    <w:p>
      <w:pPr>
        <w:jc w:val="both"/>
      </w:pPr>
      <w:r>
        <w:rPr>
          <w:rFonts w:ascii="Arial" w:hAnsi="Arial" w:cs="Arial"/>
          <w:sz w:val="22"/>
        </w:rPr>
        <w:t>Puede progresarse simultáneamente en carrera horizontal y vertical cuando la Administración haya implantado ambas. Carrera, provisión y promoción son conceptos relacionados pero distintos: la carrera describe progreso; la provisión cubre puestos; la promoción interna permite acceder a otro cuerpo o escala.</w:t>
      </w:r>
    </w:p>
    <w:p>
      <w:pPr>
        <w:pStyle w:val="Heading2"/>
        <w:keepNext/>
      </w:pPr>
      <w:r>
        <w:rPr>
          <w:rFonts w:ascii="Arial" w:hAnsi="Arial" w:cs="Arial"/>
          <w:sz w:val="25"/>
        </w:rPr>
        <w:t>6.2. Carrera horizontal</w:t>
      </w:r>
    </w:p>
    <w:p>
      <w:pPr>
        <w:jc w:val="both"/>
      </w:pPr>
      <w:r>
        <w:rPr>
          <w:rFonts w:ascii="Arial" w:hAnsi="Arial" w:cs="Arial"/>
          <w:sz w:val="22"/>
        </w:rPr>
        <w:t>Puede valorar trayectoria y actuación profesional, calidad de trabajos, conocimientos adquiridos y resultados de evaluación del desempeño. También pueden incluirse otros méritos vinculados a la función y experiencia. Deben establecerse grados o categorías sucesivos y, con carácter general, la progresión es consecutiva, salvo excepciones legales.</w:t>
      </w:r>
    </w:p>
    <w:p>
      <w:pPr>
        <w:jc w:val="both"/>
      </w:pPr>
      <w:r>
        <w:rPr>
          <w:rFonts w:ascii="Arial" w:hAnsi="Arial" w:cs="Arial"/>
          <w:sz w:val="22"/>
        </w:rPr>
        <w:t>La evaluación del desempeño mide conducta profesional y rendimiento o logro de resultados. Los sistemas han de adecuarse a transparencia, objetividad, imparcialidad y no discriminación y aplicarse sin menoscabo de derechos. Sus resultados pueden incidir en carrera horizontal, formación, provisión y percepción de retribuciones complementarias. La continuidad en un puesto obtenido por concurso puede quedar vinculada a evaluación, pero la remoción requiere audiencia y resolución motivada.</w:t>
      </w:r>
    </w:p>
    <w:p>
      <w:pPr>
        <w:pStyle w:val="Heading2"/>
        <w:keepNext/>
      </w:pPr>
      <w:r>
        <w:rPr>
          <w:rFonts w:ascii="Arial" w:hAnsi="Arial" w:cs="Arial"/>
          <w:sz w:val="25"/>
        </w:rPr>
        <w:t>6.3. Promoción interna</w:t>
      </w:r>
    </w:p>
    <w:p>
      <w:pPr>
        <w:jc w:val="both"/>
      </w:pPr>
      <w:r>
        <w:rPr>
          <w:rFonts w:ascii="Arial" w:hAnsi="Arial" w:cs="Arial"/>
          <w:sz w:val="22"/>
        </w:rPr>
        <w:t xml:space="preserve">Se realiza mediante procesos selectivos que garanticen igualdad, mérito y capacidad y cumplan los principios generales de acceso. El funcionario debe reunir los requisitos de ingreso, haber prestado servicios efectivos durante al menos </w:t>
      </w:r>
      <w:r>
        <w:rPr>
          <w:rFonts w:ascii="Arial" w:hAnsi="Arial" w:cs="Arial"/>
          <w:b/>
          <w:sz w:val="22"/>
        </w:rPr>
        <w:t>dos años</w:t>
      </w:r>
      <w:r>
        <w:rPr>
          <w:rFonts w:ascii="Arial" w:hAnsi="Arial" w:cs="Arial"/>
          <w:sz w:val="22"/>
        </w:rPr>
        <w:t xml:space="preserve"> como funcionario de carrera en el cuerpo o escala del subgrupo inferior —o grupo de clasificación cuando no tenga subgrupo— y superar las pruebas.</w:t>
      </w:r>
    </w:p>
    <w:p>
      <w:pPr>
        <w:jc w:val="both"/>
      </w:pPr>
      <w:r>
        <w:rPr>
          <w:rFonts w:ascii="Arial" w:hAnsi="Arial" w:cs="Arial"/>
          <w:sz w:val="22"/>
        </w:rPr>
        <w:t>Las Administraciones deben adoptar medidas que incentiven la participación. La exigencia de dos años no sustituye titulación, capacidad funcional ni demás requisitos de la convocatoria.</w:t>
      </w:r>
    </w:p>
    <w:p>
      <w:pPr>
        <w:pStyle w:val="Heading2"/>
        <w:keepNext/>
      </w:pPr>
      <w:r>
        <w:rPr>
          <w:rFonts w:ascii="Arial" w:hAnsi="Arial" w:cs="Arial"/>
          <w:sz w:val="25"/>
        </w:rPr>
        <w:t>6.4. Particularidades actuales en la AGE</w:t>
      </w:r>
    </w:p>
    <w:p>
      <w:pPr>
        <w:jc w:val="both"/>
      </w:pPr>
      <w:r>
        <w:rPr>
          <w:rFonts w:ascii="Arial" w:hAnsi="Arial" w:cs="Arial"/>
          <w:sz w:val="22"/>
        </w:rPr>
        <w:t>El libro segundo del Real Decreto-ley 6/2023 diseña para la AGE un modelo de evaluación del desempeño anual, obligatorio para personal en servicio activo o situaciones asimiladas, sujeto a planificación, objetividad, participación y transparencia. Puede producir efectos en retribución variable, carrera, provisión, continuidad y formación. Como garantía de implantación, las dos primeras evaluaciones anuales realizadas tras validar el modelo no producen consecuencias.</w:t>
      </w:r>
    </w:p>
    <w:p>
      <w:pPr>
        <w:jc w:val="both"/>
      </w:pPr>
      <w:r>
        <w:rPr>
          <w:rFonts w:ascii="Arial" w:hAnsi="Arial" w:cs="Arial"/>
          <w:sz w:val="22"/>
        </w:rPr>
        <w:t>La carrera horizontal de la AGE se configura con carácter voluntario y cuatro tramos en cada grupo o subgrupo. El período mínimo para acceder al primero es de cinco años y para los sucesivos, de seis años, valorándose trayectoria, evaluación, formación, conocimientos y competencias. La regulación requiere su efectivo desarrollo e implantación; no debe presentarse todo diseño legal como si cada Administración lo hubiera aplicado automáticamente.</w:t>
      </w:r>
    </w:p>
    <w:p>
      <w:pPr>
        <w:pStyle w:val="Heading1"/>
        <w:keepNext/>
      </w:pPr>
      <w:r>
        <w:rPr>
          <w:rFonts w:ascii="Arial" w:hAnsi="Arial" w:cs="Arial"/>
          <w:sz w:val="30"/>
        </w:rPr>
        <w:t>7. Incompatibilidades</w:t>
      </w:r>
    </w:p>
    <w:p>
      <w:pPr>
        <w:pStyle w:val="Heading2"/>
        <w:keepNext/>
      </w:pPr>
      <w:r>
        <w:rPr>
          <w:rFonts w:ascii="Arial" w:hAnsi="Arial" w:cs="Arial"/>
          <w:sz w:val="25"/>
        </w:rPr>
        <w:t>7.1. Finalidad, ámbito y principios</w:t>
      </w:r>
    </w:p>
    <w:p>
      <w:pPr>
        <w:jc w:val="both"/>
      </w:pPr>
      <w:r>
        <w:rPr>
          <w:rFonts w:ascii="Arial" w:hAnsi="Arial" w:cs="Arial"/>
          <w:sz w:val="22"/>
        </w:rPr>
        <w:t>La Ley 53/1984 protege dedicación, imparcialidad e independencia. Se aplica ampliamente al personal civil y militar de las Administraciones, organismos, Seguridad Social, entidades y empresas públicas, corporaciones locales, Banco de España y demás sector público incluido por su artículo 2, cualquiera que sea la naturaleza del vínculo.</w:t>
      </w:r>
    </w:p>
    <w:p>
      <w:pPr>
        <w:jc w:val="both"/>
      </w:pPr>
      <w:r>
        <w:rPr>
          <w:rFonts w:ascii="Arial" w:hAnsi="Arial" w:cs="Arial"/>
          <w:sz w:val="22"/>
        </w:rPr>
        <w:t xml:space="preserve">El principio general es el desempeño de </w:t>
      </w:r>
      <w:r>
        <w:rPr>
          <w:rFonts w:ascii="Arial" w:hAnsi="Arial" w:cs="Arial"/>
          <w:b/>
          <w:sz w:val="22"/>
        </w:rPr>
        <w:t>un solo puesto en el sector público</w:t>
      </w:r>
      <w:r>
        <w:rPr>
          <w:rFonts w:ascii="Arial" w:hAnsi="Arial" w:cs="Arial"/>
          <w:sz w:val="22"/>
        </w:rPr>
        <w:t>. No puede percibirse, salvo excepciones legales, más de una remuneración con cargo a presupuestos públicos ni ejercer opción de percepción de haberes correspondientes a puestos incompatibles. Además, cualquier actividad pública o privada resulta incompatible si impide o menoscaba el estricto cumplimiento de deberes o compromete imparcialidad o independencia.</w:t>
      </w:r>
    </w:p>
    <w:p>
      <w:pPr>
        <w:jc w:val="both"/>
      </w:pPr>
      <w:r>
        <w:rPr>
          <w:rFonts w:ascii="Arial" w:hAnsi="Arial" w:cs="Arial"/>
          <w:sz w:val="22"/>
        </w:rPr>
        <w:t>«Remuneración» incluye cualquier derecho económico derivado directa o indirectamente de una prestación o servicio personal, sea fijo o variable y se devengue periódica u ocasionalmente. Las pensiones por derechos pasivos o Seguridad Social tienen su régimen específico.</w:t>
      </w:r>
    </w:p>
    <w:p>
      <w:pPr>
        <w:pStyle w:val="Heading2"/>
        <w:keepNext/>
      </w:pPr>
      <w:r>
        <w:rPr>
          <w:rFonts w:ascii="Arial" w:hAnsi="Arial" w:cs="Arial"/>
          <w:sz w:val="25"/>
        </w:rPr>
        <w:t>7.2. Segunda actividad pública</w:t>
      </w:r>
    </w:p>
    <w:p>
      <w:pPr>
        <w:jc w:val="both"/>
      </w:pPr>
      <w:r>
        <w:rPr>
          <w:rFonts w:ascii="Arial" w:hAnsi="Arial" w:cs="Arial"/>
          <w:sz w:val="22"/>
        </w:rPr>
        <w:t>Solo puede autorizarse en los supuestos previstos legalmente: funciones docente y sanitaria en los términos legales; actividades contempladas en los artículos 5 y 6; o, excepcionalmente, actividades declaradas de interés público por el Consejo de Ministros mediante real decreto o por el órgano autonómico competente. En este último caso se exige, con carácter general, relación laboral a tiempo parcial y duración determinada.</w:t>
      </w:r>
    </w:p>
    <w:p>
      <w:pPr>
        <w:jc w:val="both"/>
      </w:pPr>
      <w:r>
        <w:rPr>
          <w:rFonts w:ascii="Arial" w:hAnsi="Arial" w:cs="Arial"/>
          <w:sz w:val="22"/>
        </w:rPr>
        <w:t xml:space="preserve">La compatibilidad requiere </w:t>
      </w:r>
      <w:r>
        <w:rPr>
          <w:rFonts w:ascii="Arial" w:hAnsi="Arial" w:cs="Arial"/>
          <w:b/>
          <w:sz w:val="22"/>
        </w:rPr>
        <w:t>autorización previa y expresa</w:t>
      </w:r>
      <w:r>
        <w:rPr>
          <w:rFonts w:ascii="Arial" w:hAnsi="Arial" w:cs="Arial"/>
          <w:sz w:val="22"/>
        </w:rPr>
        <w:t>, no puede modificar jornada y horario de los dos puestos y se condiciona al estricto cumplimiento de ambos. La declaración de interés público no equivale por sí sola a autorización individual.</w:t>
      </w:r>
    </w:p>
    <w:p>
      <w:pPr>
        <w:jc w:val="both"/>
      </w:pPr>
      <w:r>
        <w:rPr>
          <w:rFonts w:ascii="Arial" w:hAnsi="Arial" w:cs="Arial"/>
          <w:sz w:val="22"/>
        </w:rPr>
        <w:t>La ley permite, con requisitos, ser profesor universitario asociado en régimen de dedicación no superior a tiempo parcial y duración determinada. Regula también compatibilidades puntuales para miembros de asambleas legislativas o corporaciones locales y actividades de investigación o asesoramiento científico o técnico en supuestos concretos.</w:t>
      </w:r>
    </w:p>
    <w:p>
      <w:pPr>
        <w:pStyle w:val="Heading2"/>
        <w:keepNext/>
      </w:pPr>
      <w:r>
        <w:rPr>
          <w:rFonts w:ascii="Arial" w:hAnsi="Arial" w:cs="Arial"/>
          <w:sz w:val="25"/>
        </w:rPr>
        <w:t>7.3. Actividades privadas</w:t>
      </w:r>
    </w:p>
    <w:p>
      <w:pPr>
        <w:jc w:val="both"/>
      </w:pPr>
      <w:r>
        <w:rPr>
          <w:rFonts w:ascii="Arial" w:hAnsi="Arial" w:cs="Arial"/>
          <w:sz w:val="22"/>
        </w:rPr>
        <w:t xml:space="preserve">El ejercicio profesional, laboral, mercantil o industrial fuera de la Administración exige </w:t>
      </w:r>
      <w:r>
        <w:rPr>
          <w:rFonts w:ascii="Arial" w:hAnsi="Arial" w:cs="Arial"/>
          <w:b/>
          <w:sz w:val="22"/>
        </w:rPr>
        <w:t>reconocimiento previo de compatibilidad</w:t>
      </w:r>
      <w:r>
        <w:rPr>
          <w:rFonts w:ascii="Arial" w:hAnsi="Arial" w:cs="Arial"/>
          <w:sz w:val="22"/>
        </w:rPr>
        <w:t>, salvo las actividades exceptuadas por el artículo 19. La resolución debe ser motivada y dictarse en dos meses. No puede alterar jornada u horario públicos y queda sin efecto si cambia el puesto público.</w:t>
      </w:r>
    </w:p>
    <w:p>
      <w:pPr>
        <w:jc w:val="both"/>
      </w:pPr>
      <w:r>
        <w:rPr>
          <w:rFonts w:ascii="Arial" w:hAnsi="Arial" w:cs="Arial"/>
          <w:sz w:val="22"/>
        </w:rPr>
        <w:t>El artículo 12 prohíbe en todo caso:</w:t>
      </w:r>
    </w:p>
    <w:p>
      <w:pPr>
        <w:pStyle w:val="ListBullet"/>
      </w:pPr>
      <w:r>
        <w:rPr>
          <w:rFonts w:ascii="Arial" w:hAnsi="Arial" w:cs="Arial"/>
          <w:sz w:val="22"/>
        </w:rPr>
        <w:t>actividades privadas, incluidas profesionales, relacionadas directamente con asuntos sometidos a informe, decisión, ayuda financiera o control en el departamento, organismo o entidad de destino;</w:t>
      </w:r>
    </w:p>
    <w:p>
      <w:pPr>
        <w:pStyle w:val="ListBullet"/>
      </w:pPr>
      <w:r>
        <w:rPr>
          <w:rFonts w:ascii="Arial" w:hAnsi="Arial" w:cs="Arial"/>
          <w:sz w:val="22"/>
        </w:rPr>
        <w:t>actuación privada en asuntos en los que la persona intervenga, haya intervenido en los dos últimos años o deba intervenir por razón del puesto; se incluye prestar servicios a personas a quienes esté obligado a atender en el puesto público;</w:t>
      </w:r>
    </w:p>
    <w:p>
      <w:pPr>
        <w:pStyle w:val="ListBullet"/>
      </w:pPr>
      <w:r>
        <w:rPr>
          <w:rFonts w:ascii="Arial" w:hAnsi="Arial" w:cs="Arial"/>
          <w:sz w:val="22"/>
        </w:rPr>
        <w:t>pertenencia a consejos de administración u órganos rectores de empresas privadas cuando su actividad esté directamente relacionada con la del departamento;</w:t>
      </w:r>
    </w:p>
    <w:p>
      <w:pPr>
        <w:pStyle w:val="ListBullet"/>
      </w:pPr>
      <w:r>
        <w:rPr>
          <w:rFonts w:ascii="Arial" w:hAnsi="Arial" w:cs="Arial"/>
          <w:sz w:val="22"/>
        </w:rPr>
        <w:t>cargos en empresas concesionarias, contratistas de obras, servicios o suministros, arrendatarias o administradoras de monopolios, o participadas o avaladas por el sector público;</w:t>
      </w:r>
    </w:p>
    <w:p>
      <w:pPr>
        <w:pStyle w:val="ListBullet"/>
      </w:pPr>
      <w:r>
        <w:rPr>
          <w:rFonts w:ascii="Arial" w:hAnsi="Arial" w:cs="Arial"/>
          <w:sz w:val="22"/>
        </w:rPr>
        <w:t>participación superior al diez por ciento en el capital de las empresas anteriores.</w:t>
      </w:r>
    </w:p>
    <w:p>
      <w:pPr>
        <w:jc w:val="both"/>
      </w:pPr>
      <w:r>
        <w:rPr>
          <w:rFonts w:ascii="Arial" w:hAnsi="Arial" w:cs="Arial"/>
          <w:sz w:val="22"/>
        </w:rPr>
        <w:t>No puede reconocerse compatibilidad para actividad privada a quien tenga autorizadas dos actividades públicas cuando la suma de jornadas alcance o supere la máxima ordinaria. Tampoco se permite usar la condición pública para ejercer actividad mercantil, industrial o profesional.</w:t>
      </w:r>
    </w:p>
    <w:p>
      <w:pPr>
        <w:jc w:val="both"/>
      </w:pPr>
      <w:r>
        <w:rPr>
          <w:rFonts w:ascii="Arial" w:hAnsi="Arial" w:cs="Arial"/>
          <w:sz w:val="22"/>
        </w:rPr>
        <w:t>El artículo 16 impide autorizar o reconocer compatibilidad a determinados puestos por su nivel retributivo o naturaleza, en especial cuando el complemento específico o concepto equiparable incluye factor de incompatibilidad, sin perjuicio de las excepciones legales. Puede reconocerse actividad privada a ciertos puestos cuyo complemento específico o equiparable no supere el treinta por ciento de la retribución básica, excluida antigüedad, pero siempre respetando las prohibiciones materiales.</w:t>
      </w:r>
    </w:p>
    <w:p>
      <w:pPr>
        <w:pStyle w:val="Heading2"/>
        <w:keepNext/>
      </w:pPr>
      <w:r>
        <w:rPr>
          <w:rFonts w:ascii="Arial" w:hAnsi="Arial" w:cs="Arial"/>
          <w:sz w:val="25"/>
        </w:rPr>
        <w:t>7.4. Actividades exceptuadas</w:t>
      </w:r>
    </w:p>
    <w:p>
      <w:pPr>
        <w:jc w:val="both"/>
      </w:pPr>
      <w:r>
        <w:rPr>
          <w:rFonts w:ascii="Arial" w:hAnsi="Arial" w:cs="Arial"/>
          <w:sz w:val="22"/>
        </w:rPr>
        <w:t>No quedan sometidas al régimen de incompatibilidad, sin perjuicio de sus límites:</w:t>
      </w:r>
    </w:p>
    <w:p>
      <w:pPr>
        <w:pStyle w:val="ListBullet"/>
      </w:pPr>
      <w:r>
        <w:rPr>
          <w:rFonts w:ascii="Arial" w:hAnsi="Arial" w:cs="Arial"/>
          <w:sz w:val="22"/>
        </w:rPr>
        <w:t>administración del patrimonio personal o familiar, salvo actividades prohibidas por el artículo 12;</w:t>
      </w:r>
    </w:p>
    <w:p>
      <w:pPr>
        <w:pStyle w:val="ListBullet"/>
      </w:pPr>
      <w:r>
        <w:rPr>
          <w:rFonts w:ascii="Arial" w:hAnsi="Arial" w:cs="Arial"/>
          <w:sz w:val="22"/>
        </w:rPr>
        <w:t>dirección de seminarios o cursos en centros oficiales de formación o profesorado, cuando no sea permanente o habitual y no supere setenta y cinco horas al año, y preparación para acceso en los casos legalmente permitidos;</w:t>
      </w:r>
    </w:p>
    <w:p>
      <w:pPr>
        <w:pStyle w:val="ListBullet"/>
      </w:pPr>
      <w:r>
        <w:rPr>
          <w:rFonts w:ascii="Arial" w:hAnsi="Arial" w:cs="Arial"/>
          <w:sz w:val="22"/>
        </w:rPr>
        <w:t>participación en tribunales calificadores de pruebas selectivas;</w:t>
      </w:r>
    </w:p>
    <w:p>
      <w:pPr>
        <w:pStyle w:val="ListBullet"/>
      </w:pPr>
      <w:r>
        <w:rPr>
          <w:rFonts w:ascii="Arial" w:hAnsi="Arial" w:cs="Arial"/>
          <w:sz w:val="22"/>
        </w:rPr>
        <w:t>participación del personal docente en exámenes o evaluaciones distintos de los habituales;</w:t>
      </w:r>
    </w:p>
    <w:p>
      <w:pPr>
        <w:pStyle w:val="ListBullet"/>
      </w:pPr>
      <w:r>
        <w:rPr>
          <w:rFonts w:ascii="Arial" w:hAnsi="Arial" w:cs="Arial"/>
          <w:sz w:val="22"/>
        </w:rPr>
        <w:t>cargos no retribuidos en mutualidades o patronatos de funcionarios;</w:t>
      </w:r>
    </w:p>
    <w:p>
      <w:pPr>
        <w:pStyle w:val="ListBullet"/>
      </w:pPr>
      <w:r>
        <w:rPr>
          <w:rFonts w:ascii="Arial" w:hAnsi="Arial" w:cs="Arial"/>
          <w:sz w:val="22"/>
        </w:rPr>
        <w:t>producción y creación literaria, artística, científica y técnica y publicaciones derivadas, si no nacen de empleo o prestación de servicios;</w:t>
      </w:r>
    </w:p>
    <w:p>
      <w:pPr>
        <w:pStyle w:val="ListBullet"/>
      </w:pPr>
      <w:r>
        <w:rPr>
          <w:rFonts w:ascii="Arial" w:hAnsi="Arial" w:cs="Arial"/>
          <w:sz w:val="22"/>
        </w:rPr>
        <w:t>participación ocasional en coloquios y programas de medios;</w:t>
      </w:r>
    </w:p>
    <w:p>
      <w:pPr>
        <w:pStyle w:val="ListBullet"/>
      </w:pPr>
      <w:r>
        <w:rPr>
          <w:rFonts w:ascii="Arial" w:hAnsi="Arial" w:cs="Arial"/>
          <w:sz w:val="22"/>
        </w:rPr>
        <w:t>colaboración y asistencia ocasional a congresos, seminarios, conferencias o cursos profesionales.</w:t>
      </w:r>
    </w:p>
    <w:p>
      <w:pPr>
        <w:jc w:val="both"/>
      </w:pPr>
      <w:r>
        <w:rPr>
          <w:rFonts w:ascii="Arial" w:hAnsi="Arial" w:cs="Arial"/>
          <w:sz w:val="22"/>
        </w:rPr>
        <w:t>«Exceptuada» no significa ilimitada: si la actividad encubre empleo habitual, afecta a deberes o cae en una prohibición material, no se salva por su etiqueta.</w:t>
      </w:r>
    </w:p>
    <w:p>
      <w:pPr>
        <w:pStyle w:val="Heading2"/>
        <w:keepNext/>
      </w:pPr>
      <w:r>
        <w:rPr>
          <w:rFonts w:ascii="Arial" w:hAnsi="Arial" w:cs="Arial"/>
          <w:sz w:val="25"/>
        </w:rPr>
        <w:t>7.5. Procedimiento y consecuencias</w:t>
      </w:r>
    </w:p>
    <w:p>
      <w:pPr>
        <w:jc w:val="both"/>
      </w:pPr>
      <w:r>
        <w:rPr>
          <w:rFonts w:ascii="Arial" w:hAnsi="Arial" w:cs="Arial"/>
          <w:sz w:val="22"/>
        </w:rPr>
        <w:t>Autorizaciones y reconocimientos se inscriben en los registros de personal. La autorización de un segundo puesto público exige inscripción para que puedan acreditarse haberes. El incumplimiento se sanciona conforme al régimen disciplinario; el TREBEP tipifica como muy grave el incumplimiento de incompatibilidades cuando dé lugar a una situación de incompatibilidad. Una actividad declarada compatible no excusa faltas de asistencia, retrasos, negligencia o menor rendimiento. La autorización o reconocimiento puede revocarse si una resolución disciplinaria califica los hechos como falta grave o muy grave.</w:t>
      </w:r>
    </w:p>
    <w:p>
      <w:pPr>
        <w:pStyle w:val="Heading1"/>
        <w:keepNext/>
      </w:pPr>
      <w:r>
        <w:rPr>
          <w:rFonts w:ascii="Arial" w:hAnsi="Arial" w:cs="Arial"/>
          <w:sz w:val="30"/>
        </w:rPr>
        <w:t>8. Régimen disciplinario</w:t>
      </w:r>
    </w:p>
    <w:p>
      <w:pPr>
        <w:pStyle w:val="Heading2"/>
        <w:keepNext/>
      </w:pPr>
      <w:r>
        <w:rPr>
          <w:rFonts w:ascii="Arial" w:hAnsi="Arial" w:cs="Arial"/>
          <w:sz w:val="25"/>
        </w:rPr>
        <w:t>8.1. Responsabilidad y ámbito</w:t>
      </w:r>
    </w:p>
    <w:p>
      <w:pPr>
        <w:jc w:val="both"/>
      </w:pPr>
      <w:r>
        <w:rPr>
          <w:rFonts w:ascii="Arial" w:hAnsi="Arial" w:cs="Arial"/>
          <w:sz w:val="22"/>
        </w:rPr>
        <w:t>Funcionarios y personal laboral quedan sujetos al régimen disciplinario del título VII TREBEP y normas de desarrollo; para laborales se aplica también legislación laboral. Responde quien comete la infracción, quien induce a otro a realizarla y quien encubre faltas consumadas muy graves o graves cuando del encubrimiento derive daño grave para Administración o ciudadanía.</w:t>
      </w:r>
    </w:p>
    <w:p>
      <w:pPr>
        <w:jc w:val="both"/>
      </w:pPr>
      <w:r>
        <w:rPr>
          <w:rFonts w:ascii="Arial" w:hAnsi="Arial" w:cs="Arial"/>
          <w:sz w:val="22"/>
        </w:rPr>
        <w:t>La disciplina protege el correcto servicio público, no es una vía para castigar discrepancias legítimas ni duplica automáticamente la responsabilidad penal o patrimonial. Un hecho puede generar responsabilidades compatibles, pero deben respetarse legalidad, culpabilidad y prohibición de doble sanción cuando coincidan sujeto, hecho y fundamento.</w:t>
      </w:r>
    </w:p>
    <w:p>
      <w:pPr>
        <w:pStyle w:val="Heading2"/>
        <w:keepNext/>
      </w:pPr>
      <w:r>
        <w:rPr>
          <w:rFonts w:ascii="Arial" w:hAnsi="Arial" w:cs="Arial"/>
          <w:sz w:val="25"/>
        </w:rPr>
        <w:t>8.2. Principios</w:t>
      </w:r>
    </w:p>
    <w:p>
      <w:pPr>
        <w:jc w:val="both"/>
      </w:pPr>
      <w:r>
        <w:rPr>
          <w:rFonts w:ascii="Arial" w:hAnsi="Arial" w:cs="Arial"/>
          <w:sz w:val="22"/>
        </w:rPr>
        <w:t>El artículo 94 TREBEP recoge:</w:t>
      </w:r>
    </w:p>
    <w:p>
      <w:pPr>
        <w:pStyle w:val="ListBullet"/>
      </w:pPr>
      <w:r>
        <w:rPr>
          <w:rFonts w:ascii="Arial" w:hAnsi="Arial" w:cs="Arial"/>
          <w:sz w:val="22"/>
        </w:rPr>
        <w:t>legalidad y tipicidad, mediante predeterminación normativa de faltas y sanciones;</w:t>
      </w:r>
    </w:p>
    <w:p>
      <w:pPr>
        <w:pStyle w:val="ListBullet"/>
      </w:pPr>
      <w:r>
        <w:rPr>
          <w:rFonts w:ascii="Arial" w:hAnsi="Arial" w:cs="Arial"/>
          <w:sz w:val="22"/>
        </w:rPr>
        <w:t>irretroactividad de disposiciones sancionadoras desfavorables y retroactividad de las favorables;</w:t>
      </w:r>
    </w:p>
    <w:p>
      <w:pPr>
        <w:pStyle w:val="ListBullet"/>
      </w:pPr>
      <w:r>
        <w:rPr>
          <w:rFonts w:ascii="Arial" w:hAnsi="Arial" w:cs="Arial"/>
          <w:sz w:val="22"/>
        </w:rPr>
        <w:t>proporcionalidad, aplicable a clasificación y sanción;</w:t>
      </w:r>
    </w:p>
    <w:p>
      <w:pPr>
        <w:pStyle w:val="ListBullet"/>
      </w:pPr>
      <w:r>
        <w:rPr>
          <w:rFonts w:ascii="Arial" w:hAnsi="Arial" w:cs="Arial"/>
          <w:sz w:val="22"/>
        </w:rPr>
        <w:t>culpabilidad;</w:t>
      </w:r>
    </w:p>
    <w:p>
      <w:pPr>
        <w:pStyle w:val="ListBullet"/>
      </w:pPr>
      <w:r>
        <w:rPr>
          <w:rFonts w:ascii="Arial" w:hAnsi="Arial" w:cs="Arial"/>
          <w:sz w:val="22"/>
        </w:rPr>
        <w:t>presunción de inocencia.</w:t>
      </w:r>
    </w:p>
    <w:p>
      <w:pPr>
        <w:jc w:val="both"/>
      </w:pPr>
      <w:r>
        <w:rPr>
          <w:rFonts w:ascii="Arial" w:hAnsi="Arial" w:cs="Arial"/>
          <w:sz w:val="22"/>
        </w:rPr>
        <w:t>Si durante la instrucción aparecen indicios fundados de criminalidad, se suspende la tramitación y se pone el hecho en conocimiento del Ministerio Fiscal. Los hechos declarados probados por resolución judicial firme vinculan a la Administración. Esta regla básica posterior desplaza cualquier lectura incompatible del antiguo reglamento disciplinario.</w:t>
      </w:r>
    </w:p>
    <w:p>
      <w:pPr>
        <w:pStyle w:val="Heading2"/>
        <w:keepNext/>
      </w:pPr>
      <w:r>
        <w:rPr>
          <w:rFonts w:ascii="Arial" w:hAnsi="Arial" w:cs="Arial"/>
          <w:sz w:val="25"/>
        </w:rPr>
        <w:t>8.3. Faltas muy graves</w:t>
      </w:r>
    </w:p>
    <w:p>
      <w:pPr>
        <w:jc w:val="both"/>
      </w:pPr>
      <w:r>
        <w:rPr>
          <w:rFonts w:ascii="Arial" w:hAnsi="Arial" w:cs="Arial"/>
          <w:sz w:val="22"/>
        </w:rPr>
        <w:t>El artículo 95.2 TREBEP tipifica como muy graves:</w:t>
      </w:r>
    </w:p>
    <w:p>
      <w:pPr>
        <w:spacing w:after="40"/>
        <w:ind w:left="369" w:hanging="227"/>
      </w:pPr>
      <w:r>
        <w:rPr>
          <w:rFonts w:ascii="Arial" w:hAnsi="Arial" w:cs="Arial"/>
          <w:sz w:val="22"/>
        </w:rPr>
        <w:t>1. Incumplir el deber de respeto a Constitución y estatutos de autonomía en ejercicio de la función.</w:t>
      </w:r>
    </w:p>
    <w:p>
      <w:pPr>
        <w:spacing w:after="40"/>
        <w:ind w:left="369" w:hanging="227"/>
      </w:pPr>
      <w:r>
        <w:rPr>
          <w:rFonts w:ascii="Arial" w:hAnsi="Arial" w:cs="Arial"/>
          <w:sz w:val="22"/>
        </w:rPr>
        <w:t>2. Actuar causando discriminación legalmente descrita y practicar los distintos tipos de acoso incluidos en el precepto.</w:t>
      </w:r>
    </w:p>
    <w:p>
      <w:pPr>
        <w:spacing w:after="40"/>
        <w:ind w:left="369" w:hanging="227"/>
      </w:pPr>
      <w:r>
        <w:rPr>
          <w:rFonts w:ascii="Arial" w:hAnsi="Arial" w:cs="Arial"/>
          <w:sz w:val="22"/>
        </w:rPr>
        <w:t>3. Abandonar el servicio o no hacerse cargo voluntariamente de tareas o funciones encomendadas.</w:t>
      </w:r>
    </w:p>
    <w:p>
      <w:pPr>
        <w:spacing w:after="40"/>
        <w:ind w:left="369" w:hanging="227"/>
      </w:pPr>
      <w:r>
        <w:rPr>
          <w:rFonts w:ascii="Arial" w:hAnsi="Arial" w:cs="Arial"/>
          <w:sz w:val="22"/>
        </w:rPr>
        <w:t>4. Adoptar acuerdos manifiestamente ilegales que causen perjuicio grave.</w:t>
      </w:r>
    </w:p>
    <w:p>
      <w:pPr>
        <w:spacing w:after="40"/>
        <w:ind w:left="369" w:hanging="227"/>
      </w:pPr>
      <w:r>
        <w:rPr>
          <w:rFonts w:ascii="Arial" w:hAnsi="Arial" w:cs="Arial"/>
          <w:sz w:val="22"/>
        </w:rPr>
        <w:t>5. Publicar o utilizar indebidamente documentación o información conocida por el cargo.</w:t>
      </w:r>
    </w:p>
    <w:p>
      <w:pPr>
        <w:spacing w:after="40"/>
        <w:ind w:left="369" w:hanging="227"/>
      </w:pPr>
      <w:r>
        <w:rPr>
          <w:rFonts w:ascii="Arial" w:hAnsi="Arial" w:cs="Arial"/>
          <w:sz w:val="22"/>
        </w:rPr>
        <w:t>6. Negligencia en custodia de secretos oficiales declarados por ley o clasificados que cause publicación o difusión.</w:t>
      </w:r>
    </w:p>
    <w:p>
      <w:pPr>
        <w:spacing w:after="40"/>
        <w:ind w:left="369" w:hanging="227"/>
      </w:pPr>
      <w:r>
        <w:rPr>
          <w:rFonts w:ascii="Arial" w:hAnsi="Arial" w:cs="Arial"/>
          <w:sz w:val="22"/>
        </w:rPr>
        <w:t>7. Incumplimiento notorio de funciones esenciales o tareas encomendadas.</w:t>
      </w:r>
    </w:p>
    <w:p>
      <w:pPr>
        <w:spacing w:after="40"/>
        <w:ind w:left="369" w:hanging="227"/>
      </w:pPr>
      <w:r>
        <w:rPr>
          <w:rFonts w:ascii="Arial" w:hAnsi="Arial" w:cs="Arial"/>
          <w:sz w:val="22"/>
        </w:rPr>
        <w:t>8. Violar imparcialidad usando facultades para influir en procesos electorales.</w:t>
      </w:r>
    </w:p>
    <w:p>
      <w:pPr>
        <w:spacing w:after="40"/>
        <w:ind w:left="369" w:hanging="227"/>
      </w:pPr>
      <w:r>
        <w:rPr>
          <w:rFonts w:ascii="Arial" w:hAnsi="Arial" w:cs="Arial"/>
          <w:sz w:val="22"/>
        </w:rPr>
        <w:t>9. Desobediencia abierta a órdenes o instrucciones, salvo que sean manifiestamente ilegales.</w:t>
      </w:r>
    </w:p>
    <w:p>
      <w:pPr>
        <w:spacing w:after="40"/>
        <w:ind w:left="369" w:hanging="227"/>
      </w:pPr>
      <w:r>
        <w:rPr>
          <w:rFonts w:ascii="Arial" w:hAnsi="Arial" w:cs="Arial"/>
          <w:sz w:val="22"/>
        </w:rPr>
        <w:t>10. Prevalerse de la condición de empleado para obtener beneficio indebido propio o ajeno.</w:t>
      </w:r>
    </w:p>
    <w:p>
      <w:pPr>
        <w:spacing w:after="40"/>
        <w:ind w:left="369" w:hanging="227"/>
      </w:pPr>
      <w:r>
        <w:rPr>
          <w:rFonts w:ascii="Arial" w:hAnsi="Arial" w:cs="Arial"/>
          <w:sz w:val="22"/>
        </w:rPr>
        <w:t>11. Obstaculizar libertades públicas y derechos sindicales.</w:t>
      </w:r>
    </w:p>
    <w:p>
      <w:pPr>
        <w:spacing w:after="40"/>
        <w:ind w:left="369" w:hanging="227"/>
      </w:pPr>
      <w:r>
        <w:rPr>
          <w:rFonts w:ascii="Arial" w:hAnsi="Arial" w:cs="Arial"/>
          <w:sz w:val="22"/>
        </w:rPr>
        <w:t>12. Realizar actos dirigidos a coartar el libre ejercicio de huelga.</w:t>
      </w:r>
    </w:p>
    <w:p>
      <w:pPr>
        <w:spacing w:after="40"/>
        <w:ind w:left="369" w:hanging="227"/>
      </w:pPr>
      <w:r>
        <w:rPr>
          <w:rFonts w:ascii="Arial" w:hAnsi="Arial" w:cs="Arial"/>
          <w:sz w:val="22"/>
        </w:rPr>
        <w:t>13. Incumplir la obligación de atender servicios esenciales en huelga.</w:t>
      </w:r>
    </w:p>
    <w:p>
      <w:pPr>
        <w:spacing w:after="40"/>
        <w:ind w:left="369" w:hanging="227"/>
      </w:pPr>
      <w:r>
        <w:rPr>
          <w:rFonts w:ascii="Arial" w:hAnsi="Arial" w:cs="Arial"/>
          <w:sz w:val="22"/>
        </w:rPr>
        <w:t>14. Incumplir normas de incompatibilidad cuando resulte una situación incompatible.</w:t>
      </w:r>
    </w:p>
    <w:p>
      <w:pPr>
        <w:spacing w:after="40"/>
        <w:ind w:left="369" w:hanging="227"/>
      </w:pPr>
      <w:r>
        <w:rPr>
          <w:rFonts w:ascii="Arial" w:hAnsi="Arial" w:cs="Arial"/>
          <w:sz w:val="22"/>
        </w:rPr>
        <w:t>15. Incomparecer injustificadamente ante comisiones de investigación de Cortes Generales o asambleas autonómicas.</w:t>
      </w:r>
    </w:p>
    <w:p>
      <w:pPr>
        <w:spacing w:after="40"/>
        <w:ind w:left="369" w:hanging="227"/>
      </w:pPr>
      <w:r>
        <w:rPr>
          <w:rFonts w:ascii="Arial" w:hAnsi="Arial" w:cs="Arial"/>
          <w:sz w:val="22"/>
        </w:rPr>
        <w:t>16. Acoso laboral.</w:t>
      </w:r>
    </w:p>
    <w:p>
      <w:pPr>
        <w:spacing w:after="40"/>
        <w:ind w:left="369" w:hanging="227"/>
      </w:pPr>
      <w:r>
        <w:rPr>
          <w:rFonts w:ascii="Arial" w:hAnsi="Arial" w:cs="Arial"/>
          <w:sz w:val="22"/>
        </w:rPr>
        <w:t>17. Las demás calificadas como tales por ley de las Cortes o asamblea autonómica o por convenio colectivo en el personal laboral.</w:t>
      </w:r>
    </w:p>
    <w:p>
      <w:pPr>
        <w:jc w:val="both"/>
      </w:pPr>
      <w:r>
        <w:rPr>
          <w:rFonts w:ascii="Arial" w:hAnsi="Arial" w:cs="Arial"/>
          <w:sz w:val="22"/>
        </w:rPr>
        <w:t>Las faltas graves se establecen por ley estatal o autonómica o por convenio colectivo para laborales, atendiendo al grado de vulneración de la legalidad, gravedad del daño al interés público, patrimonio o ciudadanía y descrédito para la imagen pública. Las leves se determinan por leyes de función pública de desarrollo.</w:t>
      </w:r>
    </w:p>
    <w:p>
      <w:pPr>
        <w:spacing w:after="100"/>
        <w:ind w:left="340" w:right="227"/>
        <w:shd w:fill="EAF2F8"/>
      </w:pPr>
      <w:r>
        <w:rPr>
          <w:rFonts w:ascii="Arial" w:hAnsi="Arial" w:cs="Arial"/>
          <w:b/>
          <w:sz w:val="20"/>
        </w:rPr>
        <w:t>Trampa frecuente:</w:t>
      </w:r>
      <w:r>
        <w:rPr>
          <w:rFonts w:ascii="Arial" w:hAnsi="Arial" w:cs="Arial"/>
          <w:sz w:val="20"/>
        </w:rPr>
        <w:t xml:space="preserve"> no todo incumplimiento de incompatibilidades es automáticamente muy grave; el tipo básico exige que dé lugar a una </w:t>
      </w:r>
      <w:r>
        <w:rPr>
          <w:rFonts w:ascii="Arial" w:hAnsi="Arial" w:cs="Arial"/>
          <w:b/>
          <w:sz w:val="20"/>
        </w:rPr>
        <w:t>situación de incompatibilidad</w:t>
      </w:r>
      <w:r>
        <w:rPr>
          <w:rFonts w:ascii="Arial" w:hAnsi="Arial" w:cs="Arial"/>
          <w:sz w:val="20"/>
        </w:rPr>
        <w:t>.</w:t>
      </w:r>
    </w:p>
    <w:p>
      <w:pPr>
        <w:pStyle w:val="Heading2"/>
        <w:keepNext/>
      </w:pPr>
      <w:r>
        <w:rPr>
          <w:rFonts w:ascii="Arial" w:hAnsi="Arial" w:cs="Arial"/>
          <w:sz w:val="25"/>
        </w:rPr>
        <w:t>8.4. Sanciones</w:t>
      </w:r>
    </w:p>
    <w:p>
      <w:pPr>
        <w:jc w:val="both"/>
      </w:pPr>
      <w:r>
        <w:rPr>
          <w:rFonts w:ascii="Arial" w:hAnsi="Arial" w:cs="Arial"/>
          <w:sz w:val="22"/>
        </w:rPr>
        <w:t>El artículo 96 permite:</w:t>
      </w:r>
    </w:p>
    <w:tbl>
      <w:tblPr>
        <w:tblStyle w:val="TableGrid"/>
        <w:tblW w:type="dxa" w:w="9026"/>
        <w:jc w:val="left"/>
        <w:tblLayout w:type="fixed"/>
        <w:tblLook w:firstColumn="1" w:firstRow="1" w:lastColumn="0" w:lastRow="0" w:noHBand="0" w:noVBand="1" w:val="04A0"/>
        <w:tblInd w:w="120" w:type="dxa"/>
      </w:tblPr>
      <w:tblGrid>
        <w:gridCol w:w="3717"/>
        <w:gridCol w:w="5309"/>
      </w:tblGrid>
      <w:tr>
        <w:trPr>
          <w:tblHeader w:val="true"/>
        </w:trPr>
        <w:tc>
          <w:tcPr>
            <w:tcW w:type="dxa" w:w="371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Sanción</w:t>
            </w:r>
          </w:p>
        </w:tc>
        <w:tc>
          <w:tcPr>
            <w:tcW w:type="dxa" w:w="530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Rasgos</w:t>
            </w:r>
          </w:p>
        </w:tc>
      </w:tr>
      <w:tr>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Separación del servicio</w:t>
            </w:r>
          </w:p>
        </w:tc>
        <w:tc>
          <w:tcPr>
            <w:tcW w:type="dxa" w:w="5309"/>
            <w:tcMar>
              <w:top w:w="80" w:type="dxa"/>
              <w:start w:w="120" w:type="dxa"/>
              <w:bottom w:w="80" w:type="dxa"/>
              <w:end w:w="120" w:type="dxa"/>
            </w:tcMar>
            <w:vAlign w:val="center"/>
          </w:tcPr>
          <w:p>
            <w:pPr>
              <w:spacing w:before="0" w:after="0" w:line="240" w:lineRule="auto"/>
              <w:jc w:val="left"/>
            </w:pPr>
            <w:r/>
            <w:r>
              <w:rPr>
                <w:rFonts w:ascii="Arial" w:hAnsi="Arial" w:cs="Arial"/>
                <w:sz w:val="18"/>
              </w:rPr>
              <w:t>Solo funcionarios y solo por falta muy grave; en interinos comporta revocación del nombramiento</w:t>
            </w:r>
          </w:p>
        </w:tc>
      </w:tr>
      <w:tr>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Despido disciplinario</w:t>
            </w:r>
          </w:p>
        </w:tc>
        <w:tc>
          <w:tcPr>
            <w:tcW w:type="dxa" w:w="5309"/>
            <w:tcMar>
              <w:top w:w="80" w:type="dxa"/>
              <w:start w:w="120" w:type="dxa"/>
              <w:bottom w:w="80" w:type="dxa"/>
              <w:end w:w="120" w:type="dxa"/>
            </w:tcMar>
            <w:vAlign w:val="center"/>
          </w:tcPr>
          <w:p>
            <w:pPr>
              <w:spacing w:before="0" w:after="0" w:line="240" w:lineRule="auto"/>
              <w:jc w:val="left"/>
            </w:pPr>
            <w:r/>
            <w:r>
              <w:rPr>
                <w:rFonts w:ascii="Arial" w:hAnsi="Arial" w:cs="Arial"/>
                <w:sz w:val="18"/>
              </w:rPr>
              <w:t>Personal laboral, solo por falta muy grave; inhabilita para nuevo contrato con funciones análogas</w:t>
            </w:r>
          </w:p>
        </w:tc>
      </w:tr>
      <w:tr>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Suspensión firme de funciones o de empleo y sueldo</w:t>
            </w:r>
          </w:p>
        </w:tc>
        <w:tc>
          <w:tcPr>
            <w:tcW w:type="dxa" w:w="5309"/>
            <w:tcMar>
              <w:top w:w="80" w:type="dxa"/>
              <w:start w:w="120" w:type="dxa"/>
              <w:bottom w:w="80" w:type="dxa"/>
              <w:end w:w="120" w:type="dxa"/>
            </w:tcMar>
            <w:vAlign w:val="center"/>
          </w:tcPr>
          <w:p>
            <w:pPr>
              <w:spacing w:before="0" w:after="0" w:line="240" w:lineRule="auto"/>
              <w:jc w:val="left"/>
            </w:pPr>
            <w:r/>
            <w:r>
              <w:rPr>
                <w:rFonts w:ascii="Arial" w:hAnsi="Arial" w:cs="Arial"/>
                <w:sz w:val="18"/>
              </w:rPr>
              <w:t>Máximo de seis años</w:t>
            </w:r>
          </w:p>
        </w:tc>
      </w:tr>
      <w:tr>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Traslado forzoso</w:t>
            </w:r>
          </w:p>
        </w:tc>
        <w:tc>
          <w:tcPr>
            <w:tcW w:type="dxa" w:w="5309"/>
            <w:tcMar>
              <w:top w:w="80" w:type="dxa"/>
              <w:start w:w="120" w:type="dxa"/>
              <w:bottom w:w="80" w:type="dxa"/>
              <w:end w:w="120" w:type="dxa"/>
            </w:tcMar>
            <w:vAlign w:val="center"/>
          </w:tcPr>
          <w:p>
            <w:pPr>
              <w:spacing w:before="0" w:after="0" w:line="240" w:lineRule="auto"/>
              <w:jc w:val="left"/>
            </w:pPr>
            <w:r/>
            <w:r>
              <w:rPr>
                <w:rFonts w:ascii="Arial" w:hAnsi="Arial" w:cs="Arial"/>
                <w:sz w:val="18"/>
              </w:rPr>
              <w:t>Con o sin cambio de localidad, por el período establecido</w:t>
            </w:r>
          </w:p>
        </w:tc>
      </w:tr>
      <w:tr>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Demérito</w:t>
            </w:r>
          </w:p>
        </w:tc>
        <w:tc>
          <w:tcPr>
            <w:tcW w:type="dxa" w:w="5309"/>
            <w:tcMar>
              <w:top w:w="80" w:type="dxa"/>
              <w:start w:w="120" w:type="dxa"/>
              <w:bottom w:w="80" w:type="dxa"/>
              <w:end w:w="120" w:type="dxa"/>
            </w:tcMar>
            <w:vAlign w:val="center"/>
          </w:tcPr>
          <w:p>
            <w:pPr>
              <w:spacing w:before="0" w:after="0" w:line="240" w:lineRule="auto"/>
              <w:jc w:val="left"/>
            </w:pPr>
            <w:r/>
            <w:r>
              <w:rPr>
                <w:rFonts w:ascii="Arial" w:hAnsi="Arial" w:cs="Arial"/>
                <w:sz w:val="18"/>
              </w:rPr>
              <w:t>Penalización a efectos de carrera, promoción o movilidad voluntaria</w:t>
            </w:r>
          </w:p>
        </w:tc>
      </w:tr>
      <w:tr>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Apercibimiento</w:t>
            </w:r>
          </w:p>
        </w:tc>
        <w:tc>
          <w:tcPr>
            <w:tcW w:type="dxa" w:w="5309"/>
            <w:tcMar>
              <w:top w:w="80" w:type="dxa"/>
              <w:start w:w="120" w:type="dxa"/>
              <w:bottom w:w="80" w:type="dxa"/>
              <w:end w:w="120" w:type="dxa"/>
            </w:tcMar>
            <w:vAlign w:val="center"/>
          </w:tcPr>
          <w:p>
            <w:pPr>
              <w:spacing w:before="0" w:after="0" w:line="240" w:lineRule="auto"/>
              <w:jc w:val="left"/>
            </w:pPr>
            <w:r/>
            <w:r>
              <w:rPr>
                <w:rFonts w:ascii="Arial" w:hAnsi="Arial" w:cs="Arial"/>
                <w:sz w:val="18"/>
              </w:rPr>
              <w:t>Reacción disciplinaria de menor intensidad</w:t>
            </w:r>
          </w:p>
        </w:tc>
      </w:tr>
      <w:tr>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Otras</w:t>
            </w:r>
          </w:p>
        </w:tc>
        <w:tc>
          <w:tcPr>
            <w:tcW w:type="dxa" w:w="5309"/>
            <w:tcMar>
              <w:top w:w="80" w:type="dxa"/>
              <w:start w:w="120" w:type="dxa"/>
              <w:bottom w:w="80" w:type="dxa"/>
              <w:end w:w="120" w:type="dxa"/>
            </w:tcMar>
            <w:vAlign w:val="center"/>
          </w:tcPr>
          <w:p>
            <w:pPr>
              <w:spacing w:before="0" w:after="0" w:line="240" w:lineRule="auto"/>
              <w:jc w:val="left"/>
            </w:pPr>
            <w:r/>
            <w:r>
              <w:rPr>
                <w:rFonts w:ascii="Arial" w:hAnsi="Arial" w:cs="Arial"/>
                <w:sz w:val="18"/>
              </w:rPr>
              <w:t>Solo las establecidas por ley</w:t>
            </w:r>
          </w:p>
        </w:tc>
      </w:tr>
    </w:tbl>
    <w:p>
      <w:pPr>
        <w:spacing w:after="40"/>
      </w:pPr>
    </w:p>
    <w:p>
      <w:pPr>
        <w:jc w:val="both"/>
      </w:pPr>
      <w:r>
        <w:rPr>
          <w:rFonts w:ascii="Arial" w:hAnsi="Arial" w:cs="Arial"/>
          <w:sz w:val="22"/>
        </w:rPr>
        <w:t>Si el despido disciplinario de personal laboral fijo por falta muy grave se declara improcedente, procede su readmisión. La sanción se gradúa según intencionalidad, descuido o negligencia, daño al interés público, reiteración o reincidencia y grado de participación.</w:t>
      </w:r>
    </w:p>
    <w:p>
      <w:pPr>
        <w:pStyle w:val="Heading2"/>
        <w:keepNext/>
      </w:pPr>
      <w:r>
        <w:rPr>
          <w:rFonts w:ascii="Arial" w:hAnsi="Arial" w:cs="Arial"/>
          <w:sz w:val="25"/>
        </w:rPr>
        <w:t>8.5. Prescripción</w:t>
      </w:r>
    </w:p>
    <w:tbl>
      <w:tblPr>
        <w:tblStyle w:val="TableGrid"/>
        <w:tblW w:type="dxa" w:w="9026"/>
        <w:jc w:val="left"/>
        <w:tblLayout w:type="fixed"/>
        <w:tblLook w:firstColumn="1" w:firstRow="1" w:lastColumn="0" w:lastRow="0" w:noHBand="0" w:noVBand="1" w:val="04A0"/>
        <w:tblInd w:w="120" w:type="dxa"/>
      </w:tblPr>
      <w:tblGrid>
        <w:gridCol w:w="1533"/>
        <w:gridCol w:w="3576"/>
        <w:gridCol w:w="3917"/>
      </w:tblGrid>
      <w:tr>
        <w:trPr>
          <w:tblHeader w:val="true"/>
        </w:trPr>
        <w:tc>
          <w:tcPr>
            <w:tcW w:type="dxa" w:w="153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Categoría</w:t>
            </w:r>
          </w:p>
        </w:tc>
        <w:tc>
          <w:tcPr>
            <w:tcW w:type="dxa" w:w="357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Prescripción de la falta</w:t>
            </w:r>
          </w:p>
        </w:tc>
        <w:tc>
          <w:tcPr>
            <w:tcW w:type="dxa" w:w="391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Prescripción de la sanción</w:t>
            </w:r>
          </w:p>
        </w:tc>
      </w:tr>
      <w:tr>
        <w:tc>
          <w:tcPr>
            <w:tcW w:type="dxa" w:w="1533"/>
            <w:tcMar>
              <w:top w:w="80" w:type="dxa"/>
              <w:start w:w="120" w:type="dxa"/>
              <w:bottom w:w="80" w:type="dxa"/>
              <w:end w:w="120" w:type="dxa"/>
            </w:tcMar>
            <w:vAlign w:val="center"/>
          </w:tcPr>
          <w:p>
            <w:pPr>
              <w:spacing w:before="0" w:after="0" w:line="240" w:lineRule="auto"/>
              <w:jc w:val="left"/>
            </w:pPr>
            <w:r/>
            <w:r>
              <w:rPr>
                <w:rFonts w:ascii="Arial" w:hAnsi="Arial" w:cs="Arial"/>
                <w:sz w:val="18"/>
              </w:rPr>
              <w:t>Muy grave</w:t>
            </w:r>
          </w:p>
        </w:tc>
        <w:tc>
          <w:tcPr>
            <w:tcW w:type="dxa" w:w="3576"/>
            <w:tcMar>
              <w:top w:w="80" w:type="dxa"/>
              <w:start w:w="120" w:type="dxa"/>
              <w:bottom w:w="80" w:type="dxa"/>
              <w:end w:w="120" w:type="dxa"/>
            </w:tcMar>
            <w:vAlign w:val="center"/>
          </w:tcPr>
          <w:p>
            <w:pPr>
              <w:spacing w:before="0" w:after="0" w:line="240" w:lineRule="auto"/>
              <w:jc w:val="center"/>
            </w:pPr>
            <w:r/>
            <w:r>
              <w:rPr>
                <w:rFonts w:ascii="Arial" w:hAnsi="Arial" w:cs="Arial"/>
                <w:sz w:val="18"/>
              </w:rPr>
              <w:t>3 años</w:t>
            </w:r>
          </w:p>
        </w:tc>
        <w:tc>
          <w:tcPr>
            <w:tcW w:type="dxa" w:w="3917"/>
            <w:tcMar>
              <w:top w:w="80" w:type="dxa"/>
              <w:start w:w="120" w:type="dxa"/>
              <w:bottom w:w="80" w:type="dxa"/>
              <w:end w:w="120" w:type="dxa"/>
            </w:tcMar>
            <w:vAlign w:val="center"/>
          </w:tcPr>
          <w:p>
            <w:pPr>
              <w:spacing w:before="0" w:after="0" w:line="240" w:lineRule="auto"/>
              <w:jc w:val="center"/>
            </w:pPr>
            <w:r/>
            <w:r>
              <w:rPr>
                <w:rFonts w:ascii="Arial" w:hAnsi="Arial" w:cs="Arial"/>
                <w:sz w:val="18"/>
              </w:rPr>
              <w:t>3 años</w:t>
            </w:r>
          </w:p>
        </w:tc>
      </w:tr>
      <w:tr>
        <w:tc>
          <w:tcPr>
            <w:tcW w:type="dxa" w:w="1533"/>
            <w:tcMar>
              <w:top w:w="80" w:type="dxa"/>
              <w:start w:w="120" w:type="dxa"/>
              <w:bottom w:w="80" w:type="dxa"/>
              <w:end w:w="120" w:type="dxa"/>
            </w:tcMar>
            <w:vAlign w:val="center"/>
          </w:tcPr>
          <w:p>
            <w:pPr>
              <w:spacing w:before="0" w:after="0" w:line="240" w:lineRule="auto"/>
              <w:jc w:val="left"/>
            </w:pPr>
            <w:r/>
            <w:r>
              <w:rPr>
                <w:rFonts w:ascii="Arial" w:hAnsi="Arial" w:cs="Arial"/>
                <w:sz w:val="18"/>
              </w:rPr>
              <w:t>Grave</w:t>
            </w:r>
          </w:p>
        </w:tc>
        <w:tc>
          <w:tcPr>
            <w:tcW w:type="dxa" w:w="3576"/>
            <w:tcMar>
              <w:top w:w="80" w:type="dxa"/>
              <w:start w:w="120" w:type="dxa"/>
              <w:bottom w:w="80" w:type="dxa"/>
              <w:end w:w="120" w:type="dxa"/>
            </w:tcMar>
            <w:vAlign w:val="center"/>
          </w:tcPr>
          <w:p>
            <w:pPr>
              <w:spacing w:before="0" w:after="0" w:line="240" w:lineRule="auto"/>
              <w:jc w:val="center"/>
            </w:pPr>
            <w:r/>
            <w:r>
              <w:rPr>
                <w:rFonts w:ascii="Arial" w:hAnsi="Arial" w:cs="Arial"/>
                <w:sz w:val="18"/>
              </w:rPr>
              <w:t>2 años</w:t>
            </w:r>
          </w:p>
        </w:tc>
        <w:tc>
          <w:tcPr>
            <w:tcW w:type="dxa" w:w="3917"/>
            <w:tcMar>
              <w:top w:w="80" w:type="dxa"/>
              <w:start w:w="120" w:type="dxa"/>
              <w:bottom w:w="80" w:type="dxa"/>
              <w:end w:w="120" w:type="dxa"/>
            </w:tcMar>
            <w:vAlign w:val="center"/>
          </w:tcPr>
          <w:p>
            <w:pPr>
              <w:spacing w:before="0" w:after="0" w:line="240" w:lineRule="auto"/>
              <w:jc w:val="center"/>
            </w:pPr>
            <w:r/>
            <w:r>
              <w:rPr>
                <w:rFonts w:ascii="Arial" w:hAnsi="Arial" w:cs="Arial"/>
                <w:sz w:val="18"/>
              </w:rPr>
              <w:t>2 años</w:t>
            </w:r>
          </w:p>
        </w:tc>
      </w:tr>
      <w:tr>
        <w:tc>
          <w:tcPr>
            <w:tcW w:type="dxa" w:w="1533"/>
            <w:tcMar>
              <w:top w:w="80" w:type="dxa"/>
              <w:start w:w="120" w:type="dxa"/>
              <w:bottom w:w="80" w:type="dxa"/>
              <w:end w:w="120" w:type="dxa"/>
            </w:tcMar>
            <w:vAlign w:val="center"/>
          </w:tcPr>
          <w:p>
            <w:pPr>
              <w:spacing w:before="0" w:after="0" w:line="240" w:lineRule="auto"/>
              <w:jc w:val="left"/>
            </w:pPr>
            <w:r/>
            <w:r>
              <w:rPr>
                <w:rFonts w:ascii="Arial" w:hAnsi="Arial" w:cs="Arial"/>
                <w:sz w:val="18"/>
              </w:rPr>
              <w:t>Leve</w:t>
            </w:r>
          </w:p>
        </w:tc>
        <w:tc>
          <w:tcPr>
            <w:tcW w:type="dxa" w:w="3576"/>
            <w:tcMar>
              <w:top w:w="80" w:type="dxa"/>
              <w:start w:w="120" w:type="dxa"/>
              <w:bottom w:w="80" w:type="dxa"/>
              <w:end w:w="120" w:type="dxa"/>
            </w:tcMar>
            <w:vAlign w:val="center"/>
          </w:tcPr>
          <w:p>
            <w:pPr>
              <w:spacing w:before="0" w:after="0" w:line="240" w:lineRule="auto"/>
              <w:jc w:val="center"/>
            </w:pPr>
            <w:r/>
            <w:r>
              <w:rPr>
                <w:rFonts w:ascii="Arial" w:hAnsi="Arial" w:cs="Arial"/>
                <w:sz w:val="18"/>
              </w:rPr>
              <w:t>6 meses</w:t>
            </w:r>
          </w:p>
        </w:tc>
        <w:tc>
          <w:tcPr>
            <w:tcW w:type="dxa" w:w="3917"/>
            <w:tcMar>
              <w:top w:w="80" w:type="dxa"/>
              <w:start w:w="120" w:type="dxa"/>
              <w:bottom w:w="80" w:type="dxa"/>
              <w:end w:w="120" w:type="dxa"/>
            </w:tcMar>
            <w:vAlign w:val="center"/>
          </w:tcPr>
          <w:p>
            <w:pPr>
              <w:spacing w:before="0" w:after="0" w:line="240" w:lineRule="auto"/>
              <w:jc w:val="center"/>
            </w:pPr>
            <w:r/>
            <w:r>
              <w:rPr>
                <w:rFonts w:ascii="Arial" w:hAnsi="Arial" w:cs="Arial"/>
                <w:sz w:val="18"/>
              </w:rPr>
              <w:t>1 año</w:t>
            </w:r>
          </w:p>
        </w:tc>
      </w:tr>
    </w:tbl>
    <w:p>
      <w:pPr>
        <w:spacing w:after="40"/>
      </w:pPr>
    </w:p>
    <w:p>
      <w:pPr>
        <w:jc w:val="both"/>
      </w:pPr>
      <w:r>
        <w:rPr>
          <w:rFonts w:ascii="Arial" w:hAnsi="Arial" w:cs="Arial"/>
          <w:sz w:val="22"/>
        </w:rPr>
        <w:t>El plazo de la falta empieza desde su comisión y, en infracciones continuadas, desde que cesa. El de la sanción comienza desde la firmeza de la resolución sancionadora. Es una trampa clásica que la falta leve prescribe a los seis meses, mientras su sanción lo hace al año.</w:t>
      </w:r>
    </w:p>
    <w:p>
      <w:pPr>
        <w:pStyle w:val="Heading2"/>
        <w:keepNext/>
      </w:pPr>
      <w:r>
        <w:rPr>
          <w:rFonts w:ascii="Arial" w:hAnsi="Arial" w:cs="Arial"/>
          <w:sz w:val="25"/>
        </w:rPr>
        <w:t>8.6. Procedimiento y medidas provisionales</w:t>
      </w:r>
    </w:p>
    <w:p>
      <w:pPr>
        <w:jc w:val="both"/>
      </w:pPr>
      <w:r>
        <w:rPr>
          <w:rFonts w:ascii="Arial" w:hAnsi="Arial" w:cs="Arial"/>
          <w:sz w:val="22"/>
        </w:rPr>
        <w:t>No puede imponerse sanción por falta grave o muy grave sin procedimiento previamente establecido. Las leves requieren procedimiento sumario con audiencia. El procedimiento debe respetar eficacia, celeridad, economía, derechos y garantías de defensa y una debida separación entre fase instructora y sancionadora, encomendada a órganos distintos.</w:t>
      </w:r>
    </w:p>
    <w:p>
      <w:pPr>
        <w:jc w:val="both"/>
      </w:pPr>
      <w:r>
        <w:rPr>
          <w:rFonts w:ascii="Arial" w:hAnsi="Arial" w:cs="Arial"/>
          <w:sz w:val="22"/>
        </w:rPr>
        <w:t>En la AGE, el esquema del Real Decreto 33/1986, leído conforme al TREBEP, incluye:</w:t>
      </w:r>
    </w:p>
    <w:p>
      <w:pPr>
        <w:spacing w:after="40"/>
        <w:ind w:left="369" w:hanging="227"/>
      </w:pPr>
      <w:r>
        <w:rPr>
          <w:rFonts w:ascii="Arial" w:hAnsi="Arial" w:cs="Arial"/>
          <w:sz w:val="22"/>
        </w:rPr>
        <w:t xml:space="preserve">1. </w:t>
      </w:r>
      <w:r>
        <w:rPr>
          <w:rFonts w:ascii="Arial" w:hAnsi="Arial" w:cs="Arial"/>
          <w:b/>
          <w:sz w:val="22"/>
        </w:rPr>
        <w:t>Iniciación de oficio</w:t>
      </w:r>
      <w:r>
        <w:rPr>
          <w:rFonts w:ascii="Arial" w:hAnsi="Arial" w:cs="Arial"/>
          <w:sz w:val="22"/>
        </w:rPr>
        <w:t>, por acuerdo del órgano competente, a iniciativa propia, orden superior, moción razonada o denuncia.</w:t>
      </w:r>
    </w:p>
    <w:p>
      <w:pPr>
        <w:spacing w:after="40"/>
        <w:ind w:left="369" w:hanging="227"/>
      </w:pPr>
      <w:r>
        <w:rPr>
          <w:rFonts w:ascii="Arial" w:hAnsi="Arial" w:cs="Arial"/>
          <w:sz w:val="22"/>
        </w:rPr>
        <w:t xml:space="preserve">2. </w:t>
      </w:r>
      <w:r>
        <w:rPr>
          <w:rFonts w:ascii="Arial" w:hAnsi="Arial" w:cs="Arial"/>
          <w:b/>
          <w:sz w:val="22"/>
        </w:rPr>
        <w:t>Nombramiento de instructor</w:t>
      </w:r>
      <w:r>
        <w:rPr>
          <w:rFonts w:ascii="Arial" w:hAnsi="Arial" w:cs="Arial"/>
          <w:sz w:val="22"/>
        </w:rPr>
        <w:t xml:space="preserve"> y, cuando proceda, secretario; deben respetarse abstención y recusación.</w:t>
      </w:r>
    </w:p>
    <w:p>
      <w:pPr>
        <w:spacing w:after="40"/>
        <w:ind w:left="369" w:hanging="227"/>
      </w:pPr>
      <w:r>
        <w:rPr>
          <w:rFonts w:ascii="Arial" w:hAnsi="Arial" w:cs="Arial"/>
          <w:sz w:val="22"/>
        </w:rPr>
        <w:t xml:space="preserve">3. </w:t>
      </w:r>
      <w:r>
        <w:rPr>
          <w:rFonts w:ascii="Arial" w:hAnsi="Arial" w:cs="Arial"/>
          <w:b/>
          <w:sz w:val="22"/>
        </w:rPr>
        <w:t>Actuaciones instructoras</w:t>
      </w:r>
      <w:r>
        <w:rPr>
          <w:rFonts w:ascii="Arial" w:hAnsi="Arial" w:cs="Arial"/>
          <w:sz w:val="22"/>
        </w:rPr>
        <w:t xml:space="preserve"> para determinar hechos y responsabilidades.</w:t>
      </w:r>
    </w:p>
    <w:p>
      <w:pPr>
        <w:spacing w:after="40"/>
        <w:ind w:left="369" w:hanging="227"/>
      </w:pPr>
      <w:r>
        <w:rPr>
          <w:rFonts w:ascii="Arial" w:hAnsi="Arial" w:cs="Arial"/>
          <w:sz w:val="22"/>
        </w:rPr>
        <w:t xml:space="preserve">4. </w:t>
      </w:r>
      <w:r>
        <w:rPr>
          <w:rFonts w:ascii="Arial" w:hAnsi="Arial" w:cs="Arial"/>
          <w:b/>
          <w:sz w:val="22"/>
        </w:rPr>
        <w:t>Pliego de cargos</w:t>
      </w:r>
      <w:r>
        <w:rPr>
          <w:rFonts w:ascii="Arial" w:hAnsi="Arial" w:cs="Arial"/>
          <w:sz w:val="22"/>
        </w:rPr>
        <w:t>, claro, preciso y numerado, con hechos imputados, posible calificación y sanciones. Se formula ordinariamente dentro del mes siguiente a la incoación, ampliable justificadamente.</w:t>
      </w:r>
    </w:p>
    <w:p>
      <w:pPr>
        <w:spacing w:after="40"/>
        <w:ind w:left="369" w:hanging="227"/>
      </w:pPr>
      <w:r>
        <w:rPr>
          <w:rFonts w:ascii="Arial" w:hAnsi="Arial" w:cs="Arial"/>
          <w:sz w:val="22"/>
        </w:rPr>
        <w:t xml:space="preserve">5. </w:t>
      </w:r>
      <w:r>
        <w:rPr>
          <w:rFonts w:ascii="Arial" w:hAnsi="Arial" w:cs="Arial"/>
          <w:b/>
          <w:sz w:val="22"/>
        </w:rPr>
        <w:t>Contestación</w:t>
      </w:r>
      <w:r>
        <w:rPr>
          <w:rFonts w:ascii="Arial" w:hAnsi="Arial" w:cs="Arial"/>
          <w:sz w:val="22"/>
        </w:rPr>
        <w:t xml:space="preserve"> del expedientado en diez días, con alegaciones, documentos y solicitud de prueba.</w:t>
      </w:r>
    </w:p>
    <w:p>
      <w:pPr>
        <w:spacing w:after="40"/>
        <w:ind w:left="369" w:hanging="227"/>
      </w:pPr>
      <w:r>
        <w:rPr>
          <w:rFonts w:ascii="Arial" w:hAnsi="Arial" w:cs="Arial"/>
          <w:sz w:val="22"/>
        </w:rPr>
        <w:t xml:space="preserve">6. </w:t>
      </w:r>
      <w:r>
        <w:rPr>
          <w:rFonts w:ascii="Arial" w:hAnsi="Arial" w:cs="Arial"/>
          <w:b/>
          <w:sz w:val="22"/>
        </w:rPr>
        <w:t>Prueba</w:t>
      </w:r>
      <w:r>
        <w:rPr>
          <w:rFonts w:ascii="Arial" w:hAnsi="Arial" w:cs="Arial"/>
          <w:sz w:val="22"/>
        </w:rPr>
        <w:t>, por período de un mes cuando sea necesaria; el rechazo de pruebas debe motivarse.</w:t>
      </w:r>
    </w:p>
    <w:p>
      <w:pPr>
        <w:spacing w:after="40"/>
        <w:ind w:left="369" w:hanging="227"/>
      </w:pPr>
      <w:r>
        <w:rPr>
          <w:rFonts w:ascii="Arial" w:hAnsi="Arial" w:cs="Arial"/>
          <w:sz w:val="22"/>
        </w:rPr>
        <w:t xml:space="preserve">7. </w:t>
      </w:r>
      <w:r>
        <w:rPr>
          <w:rFonts w:ascii="Arial" w:hAnsi="Arial" w:cs="Arial"/>
          <w:b/>
          <w:sz w:val="22"/>
        </w:rPr>
        <w:t>Vista del expediente</w:t>
      </w:r>
      <w:r>
        <w:rPr>
          <w:rFonts w:ascii="Arial" w:hAnsi="Arial" w:cs="Arial"/>
          <w:sz w:val="22"/>
        </w:rPr>
        <w:t>, con diez días para alegaciones.</w:t>
      </w:r>
    </w:p>
    <w:p>
      <w:pPr>
        <w:spacing w:after="40"/>
        <w:ind w:left="369" w:hanging="227"/>
      </w:pPr>
      <w:r>
        <w:rPr>
          <w:rFonts w:ascii="Arial" w:hAnsi="Arial" w:cs="Arial"/>
          <w:sz w:val="22"/>
        </w:rPr>
        <w:t xml:space="preserve">8. </w:t>
      </w:r>
      <w:r>
        <w:rPr>
          <w:rFonts w:ascii="Arial" w:hAnsi="Arial" w:cs="Arial"/>
          <w:b/>
          <w:sz w:val="22"/>
        </w:rPr>
        <w:t>Propuesta de resolución</w:t>
      </w:r>
      <w:r>
        <w:rPr>
          <w:rFonts w:ascii="Arial" w:hAnsi="Arial" w:cs="Arial"/>
          <w:sz w:val="22"/>
        </w:rPr>
        <w:t xml:space="preserve"> del instructor, ordinariamente en los diez días siguientes, con hechos, valoración, falta, responsabilidad y sanción o archivo.</w:t>
      </w:r>
    </w:p>
    <w:p>
      <w:pPr>
        <w:spacing w:after="40"/>
        <w:ind w:left="369" w:hanging="227"/>
      </w:pPr>
      <w:r>
        <w:rPr>
          <w:rFonts w:ascii="Arial" w:hAnsi="Arial" w:cs="Arial"/>
          <w:sz w:val="22"/>
        </w:rPr>
        <w:t xml:space="preserve">9. </w:t>
      </w:r>
      <w:r>
        <w:rPr>
          <w:rFonts w:ascii="Arial" w:hAnsi="Arial" w:cs="Arial"/>
          <w:b/>
          <w:sz w:val="22"/>
        </w:rPr>
        <w:t>Audiencia sobre la propuesta</w:t>
      </w:r>
      <w:r>
        <w:rPr>
          <w:rFonts w:ascii="Arial" w:hAnsi="Arial" w:cs="Arial"/>
          <w:sz w:val="22"/>
        </w:rPr>
        <w:t>, durante diez días.</w:t>
      </w:r>
    </w:p>
    <w:p>
      <w:pPr>
        <w:spacing w:after="40"/>
        <w:ind w:left="369" w:hanging="227"/>
      </w:pPr>
      <w:r>
        <w:rPr>
          <w:rFonts w:ascii="Arial" w:hAnsi="Arial" w:cs="Arial"/>
          <w:sz w:val="22"/>
        </w:rPr>
        <w:t xml:space="preserve">10. </w:t>
      </w:r>
      <w:r>
        <w:rPr>
          <w:rFonts w:ascii="Arial" w:hAnsi="Arial" w:cs="Arial"/>
          <w:b/>
          <w:sz w:val="22"/>
        </w:rPr>
        <w:t>Resolución motivada</w:t>
      </w:r>
      <w:r>
        <w:rPr>
          <w:rFonts w:ascii="Arial" w:hAnsi="Arial" w:cs="Arial"/>
          <w:sz w:val="22"/>
        </w:rPr>
        <w:t xml:space="preserve"> por órgano competente, congruente con hechos determinados en el procedimiento. Puede variar su calificación jurídica dando las garantías necesarias, pero no introducir hechos nuevos sancionadores sin contradicción.</w:t>
      </w:r>
    </w:p>
    <w:p>
      <w:pPr>
        <w:jc w:val="both"/>
      </w:pPr>
      <w:r>
        <w:rPr>
          <w:rFonts w:ascii="Arial" w:hAnsi="Arial" w:cs="Arial"/>
          <w:sz w:val="22"/>
        </w:rPr>
        <w:t>El órgano competente puede adoptar medidas provisionales motivadas para asegurar eficacia de la resolución. La suspensión provisional como medida cautelar no excede de seis meses salvo paralización imputable al interesado. Durante ella se conservan retribuciones básicas y, en su caso, prestaciones familiares. Si la suspensión definitiva es superior, se abona la diferencia; si no se transforma en sanción, la Administración restituye derechos y diferencia retributiva y computa el período como servicio activo. La prisión provisional u otras medidas judiciales que impidan trabajar permiten prolongarla mientras duren.</w:t>
      </w:r>
    </w:p>
    <w:p>
      <w:pPr>
        <w:jc w:val="both"/>
      </w:pPr>
      <w:r>
        <w:rPr>
          <w:rFonts w:ascii="Arial" w:hAnsi="Arial" w:cs="Arial"/>
          <w:sz w:val="22"/>
        </w:rPr>
        <w:t>La resolución debe notificarse con indicación de recursos. La presunción de inocencia impone que la carga de acreditar hechos y culpabilidad recaiga en la Administración; no basta una sospecha ni una responsabilidad objetiva.</w:t>
      </w:r>
    </w:p>
    <w:p>
      <w:pPr>
        <w:pStyle w:val="Heading1"/>
        <w:keepNext/>
      </w:pPr>
      <w:r>
        <w:rPr>
          <w:rFonts w:ascii="Arial" w:hAnsi="Arial" w:cs="Arial"/>
          <w:sz w:val="30"/>
        </w:rPr>
        <w:t>9. Cuadros de integración</w:t>
      </w:r>
    </w:p>
    <w:p>
      <w:pPr>
        <w:pStyle w:val="Heading2"/>
        <w:keepNext/>
      </w:pPr>
      <w:r>
        <w:rPr>
          <w:rFonts w:ascii="Arial" w:hAnsi="Arial" w:cs="Arial"/>
          <w:sz w:val="25"/>
        </w:rPr>
        <w:t>9.1. Vínculo, función y estabilidad</w:t>
      </w:r>
    </w:p>
    <w:tbl>
      <w:tblPr>
        <w:tblStyle w:val="TableGrid"/>
        <w:tblW w:type="dxa" w:w="9026"/>
        <w:jc w:val="left"/>
        <w:tblLayout w:type="fixed"/>
        <w:tblLook w:firstColumn="1" w:firstRow="1" w:lastColumn="0" w:lastRow="0" w:noHBand="0" w:noVBand="1" w:val="04A0"/>
        <w:tblInd w:w="120" w:type="dxa"/>
      </w:tblPr>
      <w:tblGrid>
        <w:gridCol w:w="1043"/>
        <w:gridCol w:w="1670"/>
        <w:gridCol w:w="2661"/>
        <w:gridCol w:w="1200"/>
        <w:gridCol w:w="2452"/>
      </w:tblGrid>
      <w:tr>
        <w:trPr>
          <w:tblHeader w:val="true"/>
        </w:trPr>
        <w:tc>
          <w:tcPr>
            <w:tcW w:type="dxa" w:w="104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Figura</w:t>
            </w:r>
          </w:p>
        </w:tc>
        <w:tc>
          <w:tcPr>
            <w:tcW w:type="dxa" w:w="167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Instrumento</w:t>
            </w:r>
          </w:p>
        </w:tc>
        <w:tc>
          <w:tcPr>
            <w:tcW w:type="dxa" w:w="266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Funciones</w:t>
            </w:r>
          </w:p>
        </w:tc>
        <w:tc>
          <w:tcPr>
            <w:tcW w:type="dxa" w:w="12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Duración</w:t>
            </w:r>
          </w:p>
        </w:tc>
        <w:tc>
          <w:tcPr>
            <w:tcW w:type="dxa" w:w="245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Acceso</w:t>
            </w:r>
          </w:p>
        </w:tc>
      </w:tr>
      <w:tr>
        <w:tc>
          <w:tcPr>
            <w:tcW w:type="dxa" w:w="1043"/>
            <w:tcMar>
              <w:top w:w="80" w:type="dxa"/>
              <w:start w:w="120" w:type="dxa"/>
              <w:bottom w:w="80" w:type="dxa"/>
              <w:end w:w="120" w:type="dxa"/>
            </w:tcMar>
            <w:vAlign w:val="center"/>
          </w:tcPr>
          <w:p>
            <w:pPr>
              <w:spacing w:before="0" w:after="0" w:line="240" w:lineRule="auto"/>
              <w:jc w:val="left"/>
            </w:pPr>
            <w:r/>
            <w:r>
              <w:rPr>
                <w:rFonts w:ascii="Arial" w:hAnsi="Arial" w:cs="Arial"/>
                <w:sz w:val="18"/>
              </w:rPr>
              <w:t>Funcionario de carrera</w:t>
            </w:r>
          </w:p>
        </w:tc>
        <w:tc>
          <w:tcPr>
            <w:tcW w:type="dxa" w:w="1670"/>
            <w:tcMar>
              <w:top w:w="80" w:type="dxa"/>
              <w:start w:w="120" w:type="dxa"/>
              <w:bottom w:w="80" w:type="dxa"/>
              <w:end w:w="120" w:type="dxa"/>
            </w:tcMar>
            <w:vAlign w:val="center"/>
          </w:tcPr>
          <w:p>
            <w:pPr>
              <w:spacing w:before="0" w:after="0" w:line="240" w:lineRule="auto"/>
              <w:jc w:val="left"/>
            </w:pPr>
            <w:r/>
            <w:r>
              <w:rPr>
                <w:rFonts w:ascii="Arial" w:hAnsi="Arial" w:cs="Arial"/>
                <w:sz w:val="18"/>
              </w:rPr>
              <w:t>Nombramiento legal</w:t>
            </w:r>
          </w:p>
        </w:tc>
        <w:tc>
          <w:tcPr>
            <w:tcW w:type="dxa" w:w="2661"/>
            <w:tcMar>
              <w:top w:w="80" w:type="dxa"/>
              <w:start w:w="120" w:type="dxa"/>
              <w:bottom w:w="80" w:type="dxa"/>
              <w:end w:w="120" w:type="dxa"/>
            </w:tcMar>
            <w:vAlign w:val="center"/>
          </w:tcPr>
          <w:p>
            <w:pPr>
              <w:spacing w:before="0" w:after="0" w:line="240" w:lineRule="auto"/>
              <w:jc w:val="left"/>
            </w:pPr>
            <w:r/>
            <w:r>
              <w:rPr>
                <w:rFonts w:ascii="Arial" w:hAnsi="Arial" w:cs="Arial"/>
                <w:sz w:val="18"/>
              </w:rPr>
              <w:t>Profesionales permanentes; reserva de potestades según ley</w:t>
            </w:r>
          </w:p>
        </w:tc>
        <w:tc>
          <w:tcPr>
            <w:tcW w:type="dxa" w:w="1200"/>
            <w:tcMar>
              <w:top w:w="80" w:type="dxa"/>
              <w:start w:w="120" w:type="dxa"/>
              <w:bottom w:w="80" w:type="dxa"/>
              <w:end w:w="120" w:type="dxa"/>
            </w:tcMar>
            <w:vAlign w:val="center"/>
          </w:tcPr>
          <w:p>
            <w:pPr>
              <w:spacing w:before="0" w:after="0" w:line="240" w:lineRule="auto"/>
              <w:jc w:val="center"/>
            </w:pPr>
            <w:r/>
            <w:r>
              <w:rPr>
                <w:rFonts w:ascii="Arial" w:hAnsi="Arial" w:cs="Arial"/>
                <w:sz w:val="18"/>
              </w:rPr>
              <w:t>Permanente</w:t>
            </w:r>
          </w:p>
        </w:tc>
        <w:tc>
          <w:tcPr>
            <w:tcW w:type="dxa" w:w="2452"/>
            <w:tcMar>
              <w:top w:w="80" w:type="dxa"/>
              <w:start w:w="120" w:type="dxa"/>
              <w:bottom w:w="80" w:type="dxa"/>
              <w:end w:w="120" w:type="dxa"/>
            </w:tcMar>
            <w:vAlign w:val="center"/>
          </w:tcPr>
          <w:p>
            <w:pPr>
              <w:spacing w:before="0" w:after="0" w:line="240" w:lineRule="auto"/>
              <w:jc w:val="left"/>
            </w:pPr>
            <w:r/>
            <w:r>
              <w:rPr>
                <w:rFonts w:ascii="Arial" w:hAnsi="Arial" w:cs="Arial"/>
                <w:sz w:val="18"/>
              </w:rPr>
              <w:t>Igualdad, mérito, capacidad y publicidad</w:t>
            </w:r>
          </w:p>
        </w:tc>
      </w:tr>
      <w:tr>
        <w:tc>
          <w:tcPr>
            <w:tcW w:type="dxa" w:w="1043"/>
            <w:tcMar>
              <w:top w:w="80" w:type="dxa"/>
              <w:start w:w="120" w:type="dxa"/>
              <w:bottom w:w="80" w:type="dxa"/>
              <w:end w:w="120" w:type="dxa"/>
            </w:tcMar>
            <w:vAlign w:val="center"/>
          </w:tcPr>
          <w:p>
            <w:pPr>
              <w:spacing w:before="0" w:after="0" w:line="240" w:lineRule="auto"/>
              <w:jc w:val="left"/>
            </w:pPr>
            <w:r/>
            <w:r>
              <w:rPr>
                <w:rFonts w:ascii="Arial" w:hAnsi="Arial" w:cs="Arial"/>
                <w:sz w:val="18"/>
              </w:rPr>
              <w:t>Interino</w:t>
            </w:r>
          </w:p>
        </w:tc>
        <w:tc>
          <w:tcPr>
            <w:tcW w:type="dxa" w:w="1670"/>
            <w:tcMar>
              <w:top w:w="80" w:type="dxa"/>
              <w:start w:w="120" w:type="dxa"/>
              <w:bottom w:w="80" w:type="dxa"/>
              <w:end w:w="120" w:type="dxa"/>
            </w:tcMar>
            <w:vAlign w:val="center"/>
          </w:tcPr>
          <w:p>
            <w:pPr>
              <w:spacing w:before="0" w:after="0" w:line="240" w:lineRule="auto"/>
              <w:jc w:val="left"/>
            </w:pPr>
            <w:r/>
            <w:r>
              <w:rPr>
                <w:rFonts w:ascii="Arial" w:hAnsi="Arial" w:cs="Arial"/>
                <w:sz w:val="18"/>
              </w:rPr>
              <w:t>Nombramiento temporal</w:t>
            </w:r>
          </w:p>
        </w:tc>
        <w:tc>
          <w:tcPr>
            <w:tcW w:type="dxa" w:w="2661"/>
            <w:tcMar>
              <w:top w:w="80" w:type="dxa"/>
              <w:start w:w="120" w:type="dxa"/>
              <w:bottom w:w="80" w:type="dxa"/>
              <w:end w:w="120" w:type="dxa"/>
            </w:tcMar>
            <w:vAlign w:val="center"/>
          </w:tcPr>
          <w:p>
            <w:pPr>
              <w:spacing w:before="0" w:after="0" w:line="240" w:lineRule="auto"/>
              <w:jc w:val="left"/>
            </w:pPr>
            <w:r/>
            <w:r>
              <w:rPr>
                <w:rFonts w:ascii="Arial" w:hAnsi="Arial" w:cs="Arial"/>
                <w:sz w:val="18"/>
              </w:rPr>
              <w:t>Propias de carrera por causa tasada</w:t>
            </w:r>
          </w:p>
        </w:tc>
        <w:tc>
          <w:tcPr>
            <w:tcW w:type="dxa" w:w="1200"/>
            <w:tcMar>
              <w:top w:w="80" w:type="dxa"/>
              <w:start w:w="120" w:type="dxa"/>
              <w:bottom w:w="80" w:type="dxa"/>
              <w:end w:w="120" w:type="dxa"/>
            </w:tcMar>
            <w:vAlign w:val="center"/>
          </w:tcPr>
          <w:p>
            <w:pPr>
              <w:spacing w:before="0" w:after="0" w:line="240" w:lineRule="auto"/>
              <w:jc w:val="center"/>
            </w:pPr>
            <w:r/>
            <w:r>
              <w:rPr>
                <w:rFonts w:ascii="Arial" w:hAnsi="Arial" w:cs="Arial"/>
                <w:sz w:val="18"/>
              </w:rPr>
              <w:t>Temporal</w:t>
            </w:r>
          </w:p>
        </w:tc>
        <w:tc>
          <w:tcPr>
            <w:tcW w:type="dxa" w:w="2452"/>
            <w:tcMar>
              <w:top w:w="80" w:type="dxa"/>
              <w:start w:w="120" w:type="dxa"/>
              <w:bottom w:w="80" w:type="dxa"/>
              <w:end w:w="120" w:type="dxa"/>
            </w:tcMar>
            <w:vAlign w:val="center"/>
          </w:tcPr>
          <w:p>
            <w:pPr>
              <w:spacing w:before="0" w:after="0" w:line="240" w:lineRule="auto"/>
              <w:jc w:val="left"/>
            </w:pPr>
            <w:r/>
            <w:r>
              <w:rPr>
                <w:rFonts w:ascii="Arial" w:hAnsi="Arial" w:cs="Arial"/>
                <w:sz w:val="18"/>
              </w:rPr>
              <w:t>Procedimiento público y ágil</w:t>
            </w:r>
          </w:p>
        </w:tc>
      </w:tr>
      <w:tr>
        <w:tc>
          <w:tcPr>
            <w:tcW w:type="dxa" w:w="1043"/>
            <w:tcMar>
              <w:top w:w="80" w:type="dxa"/>
              <w:start w:w="120" w:type="dxa"/>
              <w:bottom w:w="80" w:type="dxa"/>
              <w:end w:w="120" w:type="dxa"/>
            </w:tcMar>
            <w:vAlign w:val="center"/>
          </w:tcPr>
          <w:p>
            <w:pPr>
              <w:spacing w:before="0" w:after="0" w:line="240" w:lineRule="auto"/>
              <w:jc w:val="left"/>
            </w:pPr>
            <w:r/>
            <w:r>
              <w:rPr>
                <w:rFonts w:ascii="Arial" w:hAnsi="Arial" w:cs="Arial"/>
                <w:sz w:val="18"/>
              </w:rPr>
              <w:t>Laboral</w:t>
            </w:r>
          </w:p>
        </w:tc>
        <w:tc>
          <w:tcPr>
            <w:tcW w:type="dxa" w:w="1670"/>
            <w:tcMar>
              <w:top w:w="80" w:type="dxa"/>
              <w:start w:w="120" w:type="dxa"/>
              <w:bottom w:w="80" w:type="dxa"/>
              <w:end w:w="120" w:type="dxa"/>
            </w:tcMar>
            <w:vAlign w:val="center"/>
          </w:tcPr>
          <w:p>
            <w:pPr>
              <w:spacing w:before="0" w:after="0" w:line="240" w:lineRule="auto"/>
              <w:jc w:val="left"/>
            </w:pPr>
            <w:r/>
            <w:r>
              <w:rPr>
                <w:rFonts w:ascii="Arial" w:hAnsi="Arial" w:cs="Arial"/>
                <w:sz w:val="18"/>
              </w:rPr>
              <w:t>Contrato escrito</w:t>
            </w:r>
          </w:p>
        </w:tc>
        <w:tc>
          <w:tcPr>
            <w:tcW w:type="dxa" w:w="2661"/>
            <w:tcMar>
              <w:top w:w="80" w:type="dxa"/>
              <w:start w:w="120" w:type="dxa"/>
              <w:bottom w:w="80" w:type="dxa"/>
              <w:end w:w="120" w:type="dxa"/>
            </w:tcMar>
            <w:vAlign w:val="center"/>
          </w:tcPr>
          <w:p>
            <w:pPr>
              <w:spacing w:before="0" w:after="0" w:line="240" w:lineRule="auto"/>
              <w:jc w:val="left"/>
            </w:pPr>
            <w:r/>
            <w:r>
              <w:rPr>
                <w:rFonts w:ascii="Arial" w:hAnsi="Arial" w:cs="Arial"/>
                <w:sz w:val="18"/>
              </w:rPr>
              <w:t>Puestos permitidos por ley</w:t>
            </w:r>
          </w:p>
        </w:tc>
        <w:tc>
          <w:tcPr>
            <w:tcW w:type="dxa" w:w="1200"/>
            <w:tcMar>
              <w:top w:w="80" w:type="dxa"/>
              <w:start w:w="120" w:type="dxa"/>
              <w:bottom w:w="80" w:type="dxa"/>
              <w:end w:w="120" w:type="dxa"/>
            </w:tcMar>
            <w:vAlign w:val="center"/>
          </w:tcPr>
          <w:p>
            <w:pPr>
              <w:spacing w:before="0" w:after="0" w:line="240" w:lineRule="auto"/>
              <w:jc w:val="left"/>
            </w:pPr>
            <w:r/>
            <w:r>
              <w:rPr>
                <w:rFonts w:ascii="Arial" w:hAnsi="Arial" w:cs="Arial"/>
                <w:sz w:val="18"/>
              </w:rPr>
              <w:t>Fijo, indefinido o temporal</w:t>
            </w:r>
          </w:p>
        </w:tc>
        <w:tc>
          <w:tcPr>
            <w:tcW w:type="dxa" w:w="2452"/>
            <w:tcMar>
              <w:top w:w="80" w:type="dxa"/>
              <w:start w:w="120" w:type="dxa"/>
              <w:bottom w:w="80" w:type="dxa"/>
              <w:end w:w="120" w:type="dxa"/>
            </w:tcMar>
            <w:vAlign w:val="center"/>
          </w:tcPr>
          <w:p>
            <w:pPr>
              <w:spacing w:before="0" w:after="0" w:line="240" w:lineRule="auto"/>
              <w:jc w:val="left"/>
            </w:pPr>
            <w:r/>
            <w:r>
              <w:rPr>
                <w:rFonts w:ascii="Arial" w:hAnsi="Arial" w:cs="Arial"/>
                <w:sz w:val="18"/>
              </w:rPr>
              <w:t>Principios constitucionales</w:t>
            </w:r>
          </w:p>
        </w:tc>
      </w:tr>
      <w:tr>
        <w:tc>
          <w:tcPr>
            <w:tcW w:type="dxa" w:w="1043"/>
            <w:tcMar>
              <w:top w:w="80" w:type="dxa"/>
              <w:start w:w="120" w:type="dxa"/>
              <w:bottom w:w="80" w:type="dxa"/>
              <w:end w:w="120" w:type="dxa"/>
            </w:tcMar>
            <w:vAlign w:val="center"/>
          </w:tcPr>
          <w:p>
            <w:pPr>
              <w:spacing w:before="0" w:after="0" w:line="240" w:lineRule="auto"/>
              <w:jc w:val="left"/>
            </w:pPr>
            <w:r/>
            <w:r>
              <w:rPr>
                <w:rFonts w:ascii="Arial" w:hAnsi="Arial" w:cs="Arial"/>
                <w:sz w:val="18"/>
              </w:rPr>
              <w:t>Eventual</w:t>
            </w:r>
          </w:p>
        </w:tc>
        <w:tc>
          <w:tcPr>
            <w:tcW w:type="dxa" w:w="1670"/>
            <w:tcMar>
              <w:top w:w="80" w:type="dxa"/>
              <w:start w:w="120" w:type="dxa"/>
              <w:bottom w:w="80" w:type="dxa"/>
              <w:end w:w="120" w:type="dxa"/>
            </w:tcMar>
            <w:vAlign w:val="center"/>
          </w:tcPr>
          <w:p>
            <w:pPr>
              <w:spacing w:before="0" w:after="0" w:line="240" w:lineRule="auto"/>
              <w:jc w:val="left"/>
            </w:pPr>
            <w:r/>
            <w:r>
              <w:rPr>
                <w:rFonts w:ascii="Arial" w:hAnsi="Arial" w:cs="Arial"/>
                <w:sz w:val="18"/>
              </w:rPr>
              <w:t>Nombramiento libre</w:t>
            </w:r>
          </w:p>
        </w:tc>
        <w:tc>
          <w:tcPr>
            <w:tcW w:type="dxa" w:w="2661"/>
            <w:tcMar>
              <w:top w:w="80" w:type="dxa"/>
              <w:start w:w="120" w:type="dxa"/>
              <w:bottom w:w="80" w:type="dxa"/>
              <w:end w:w="120" w:type="dxa"/>
            </w:tcMar>
            <w:vAlign w:val="center"/>
          </w:tcPr>
          <w:p>
            <w:pPr>
              <w:spacing w:before="0" w:after="0" w:line="240" w:lineRule="auto"/>
              <w:jc w:val="left"/>
            </w:pPr>
            <w:r/>
            <w:r>
              <w:rPr>
                <w:rFonts w:ascii="Arial" w:hAnsi="Arial" w:cs="Arial"/>
                <w:sz w:val="18"/>
              </w:rPr>
              <w:t>Confianza o asesoramiento especial</w:t>
            </w:r>
          </w:p>
        </w:tc>
        <w:tc>
          <w:tcPr>
            <w:tcW w:type="dxa" w:w="1200"/>
            <w:tcMar>
              <w:top w:w="80" w:type="dxa"/>
              <w:start w:w="120" w:type="dxa"/>
              <w:bottom w:w="80" w:type="dxa"/>
              <w:end w:w="120" w:type="dxa"/>
            </w:tcMar>
            <w:vAlign w:val="center"/>
          </w:tcPr>
          <w:p>
            <w:pPr>
              <w:spacing w:before="0" w:after="0" w:line="240" w:lineRule="auto"/>
              <w:jc w:val="center"/>
            </w:pPr>
            <w:r/>
            <w:r>
              <w:rPr>
                <w:rFonts w:ascii="Arial" w:hAnsi="Arial" w:cs="Arial"/>
                <w:sz w:val="18"/>
              </w:rPr>
              <w:t>No permanente</w:t>
            </w:r>
          </w:p>
        </w:tc>
        <w:tc>
          <w:tcPr>
            <w:tcW w:type="dxa" w:w="2452"/>
            <w:tcMar>
              <w:top w:w="80" w:type="dxa"/>
              <w:start w:w="120" w:type="dxa"/>
              <w:bottom w:w="80" w:type="dxa"/>
              <w:end w:w="120" w:type="dxa"/>
            </w:tcMar>
            <w:vAlign w:val="center"/>
          </w:tcPr>
          <w:p>
            <w:pPr>
              <w:spacing w:before="0" w:after="0" w:line="240" w:lineRule="auto"/>
              <w:jc w:val="left"/>
            </w:pPr>
            <w:r/>
            <w:r>
              <w:rPr>
                <w:rFonts w:ascii="Arial" w:hAnsi="Arial" w:cs="Arial"/>
                <w:sz w:val="18"/>
              </w:rPr>
              <w:t>Nombramiento y cese libres</w:t>
            </w:r>
          </w:p>
        </w:tc>
      </w:tr>
      <w:tr>
        <w:tc>
          <w:tcPr>
            <w:tcW w:type="dxa" w:w="1043"/>
            <w:tcMar>
              <w:top w:w="80" w:type="dxa"/>
              <w:start w:w="120" w:type="dxa"/>
              <w:bottom w:w="80" w:type="dxa"/>
              <w:end w:w="120" w:type="dxa"/>
            </w:tcMar>
            <w:vAlign w:val="center"/>
          </w:tcPr>
          <w:p>
            <w:pPr>
              <w:spacing w:before="0" w:after="0" w:line="240" w:lineRule="auto"/>
              <w:jc w:val="left"/>
            </w:pPr>
            <w:r/>
            <w:r>
              <w:rPr>
                <w:rFonts w:ascii="Arial" w:hAnsi="Arial" w:cs="Arial"/>
                <w:sz w:val="18"/>
              </w:rPr>
              <w:t>Directivo profesional</w:t>
            </w:r>
          </w:p>
        </w:tc>
        <w:tc>
          <w:tcPr>
            <w:tcW w:type="dxa" w:w="1670"/>
            <w:tcMar>
              <w:top w:w="80" w:type="dxa"/>
              <w:start w:w="120" w:type="dxa"/>
              <w:bottom w:w="80" w:type="dxa"/>
              <w:end w:w="120" w:type="dxa"/>
            </w:tcMar>
            <w:vAlign w:val="center"/>
          </w:tcPr>
          <w:p>
            <w:pPr>
              <w:spacing w:before="0" w:after="0" w:line="240" w:lineRule="auto"/>
              <w:jc w:val="left"/>
            </w:pPr>
            <w:r/>
            <w:r>
              <w:rPr>
                <w:rFonts w:ascii="Arial" w:hAnsi="Arial" w:cs="Arial"/>
                <w:sz w:val="18"/>
              </w:rPr>
              <w:t>Designación o contrato según vínculo</w:t>
            </w:r>
          </w:p>
        </w:tc>
        <w:tc>
          <w:tcPr>
            <w:tcW w:type="dxa" w:w="2661"/>
            <w:tcMar>
              <w:top w:w="80" w:type="dxa"/>
              <w:start w:w="120" w:type="dxa"/>
              <w:bottom w:w="80" w:type="dxa"/>
              <w:end w:w="120" w:type="dxa"/>
            </w:tcMar>
            <w:vAlign w:val="center"/>
          </w:tcPr>
          <w:p>
            <w:pPr>
              <w:spacing w:before="0" w:after="0" w:line="240" w:lineRule="auto"/>
              <w:jc w:val="left"/>
            </w:pPr>
            <w:r/>
            <w:r>
              <w:rPr>
                <w:rFonts w:ascii="Arial" w:hAnsi="Arial" w:cs="Arial"/>
                <w:sz w:val="18"/>
              </w:rPr>
              <w:t>Dirección profesional</w:t>
            </w:r>
          </w:p>
        </w:tc>
        <w:tc>
          <w:tcPr>
            <w:tcW w:type="dxa" w:w="1200"/>
            <w:tcMar>
              <w:top w:w="80" w:type="dxa"/>
              <w:start w:w="120" w:type="dxa"/>
              <w:bottom w:w="80" w:type="dxa"/>
              <w:end w:w="120" w:type="dxa"/>
            </w:tcMar>
            <w:vAlign w:val="center"/>
          </w:tcPr>
          <w:p>
            <w:pPr>
              <w:spacing w:before="0" w:after="0" w:line="240" w:lineRule="auto"/>
              <w:jc w:val="left"/>
            </w:pPr>
            <w:r/>
            <w:r>
              <w:rPr>
                <w:rFonts w:ascii="Arial" w:hAnsi="Arial" w:cs="Arial"/>
                <w:sz w:val="18"/>
              </w:rPr>
              <w:t>Según régimen aplicable</w:t>
            </w:r>
          </w:p>
        </w:tc>
        <w:tc>
          <w:tcPr>
            <w:tcW w:type="dxa" w:w="2452"/>
            <w:tcMar>
              <w:top w:w="80" w:type="dxa"/>
              <w:start w:w="120" w:type="dxa"/>
              <w:bottom w:w="80" w:type="dxa"/>
              <w:end w:w="120" w:type="dxa"/>
            </w:tcMar>
            <w:vAlign w:val="center"/>
          </w:tcPr>
          <w:p>
            <w:pPr>
              <w:spacing w:before="0" w:after="0" w:line="240" w:lineRule="auto"/>
              <w:jc w:val="left"/>
            </w:pPr>
            <w:r/>
            <w:r>
              <w:rPr>
                <w:rFonts w:ascii="Arial" w:hAnsi="Arial" w:cs="Arial"/>
                <w:sz w:val="18"/>
              </w:rPr>
              <w:t>Mérito, capacidad, idoneidad, publicidad y concurrencia</w:t>
            </w:r>
          </w:p>
        </w:tc>
      </w:tr>
    </w:tbl>
    <w:p>
      <w:pPr>
        <w:spacing w:after="40"/>
      </w:pPr>
    </w:p>
    <w:p>
      <w:pPr>
        <w:pStyle w:val="Heading2"/>
        <w:keepNext/>
      </w:pPr>
      <w:r>
        <w:rPr>
          <w:rFonts w:ascii="Arial" w:hAnsi="Arial" w:cs="Arial"/>
          <w:sz w:val="25"/>
        </w:rPr>
        <w:t>9.2. Compatibilidad y disciplina</w:t>
      </w:r>
    </w:p>
    <w:tbl>
      <w:tblPr>
        <w:tblStyle w:val="TableGrid"/>
        <w:tblW w:type="dxa" w:w="9026"/>
        <w:jc w:val="left"/>
        <w:tblLayout w:type="fixed"/>
        <w:tblLook w:firstColumn="1" w:firstRow="1" w:lastColumn="0" w:lastRow="0" w:noHBand="0" w:noVBand="1" w:val="04A0"/>
        <w:tblInd w:w="120" w:type="dxa"/>
      </w:tblPr>
      <w:tblGrid>
        <w:gridCol w:w="4012"/>
        <w:gridCol w:w="5014"/>
      </w:tblGrid>
      <w:tr>
        <w:trPr>
          <w:tblHeader w:val="true"/>
        </w:trPr>
        <w:tc>
          <w:tcPr>
            <w:tcW w:type="dxa" w:w="401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Situación</w:t>
            </w:r>
          </w:p>
        </w:tc>
        <w:tc>
          <w:tcPr>
            <w:tcW w:type="dxa" w:w="501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Regla correcta</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Segundo puesto público</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Prohibido como regla; autorización previa solo en supuestos legales</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Actividad privada profesional</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Reconocimiento previo, salvo actividad exceptuada</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Asunto en que intervino el empleado hace menos de dos años</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Actividad privada prohibida</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Participación en tribunal selectivo</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Actividad exceptuada</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Falta grave o muy grave</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Exige procedimiento con separación instructor/sancionador</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Indicios fundados de delito</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Suspender expediente y trasladar al Ministerio Fiscal</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Que una conducta cause daño</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Influye en tipo o graduación, pero no sustituye tipicidad y culpabilidad</w:t>
            </w:r>
          </w:p>
        </w:tc>
      </w:tr>
    </w:tbl>
    <w:p>
      <w:pPr>
        <w:spacing w:after="40"/>
      </w:pPr>
    </w:p>
    <w:p>
      <w:pPr>
        <w:pStyle w:val="Heading1"/>
        <w:keepNext/>
      </w:pPr>
      <w:r>
        <w:rPr>
          <w:rFonts w:ascii="Arial" w:hAnsi="Arial" w:cs="Arial"/>
          <w:sz w:val="30"/>
        </w:rPr>
        <w:t>10. Trampas frecuentes de examen</w:t>
      </w:r>
    </w:p>
    <w:p>
      <w:pPr>
        <w:spacing w:after="40"/>
        <w:ind w:left="369" w:hanging="227"/>
      </w:pPr>
      <w:r>
        <w:rPr>
          <w:rFonts w:ascii="Arial" w:hAnsi="Arial" w:cs="Arial"/>
          <w:sz w:val="22"/>
        </w:rPr>
        <w:t xml:space="preserve">1. </w:t>
      </w:r>
      <w:r>
        <w:rPr>
          <w:rFonts w:ascii="Arial" w:hAnsi="Arial" w:cs="Arial"/>
          <w:b/>
          <w:sz w:val="22"/>
        </w:rPr>
        <w:t>Empleado público no equivale a funcionario.</w:t>
      </w:r>
      <w:r>
        <w:rPr>
          <w:rFonts w:ascii="Arial" w:hAnsi="Arial" w:cs="Arial"/>
          <w:sz w:val="22"/>
        </w:rPr>
        <w:t xml:space="preserve"> El personal laboral y eventual también lo son.</w:t>
      </w:r>
    </w:p>
    <w:p>
      <w:pPr>
        <w:spacing w:after="40"/>
        <w:ind w:left="369" w:hanging="227"/>
      </w:pPr>
      <w:r>
        <w:rPr>
          <w:rFonts w:ascii="Arial" w:hAnsi="Arial" w:cs="Arial"/>
          <w:sz w:val="22"/>
        </w:rPr>
        <w:t xml:space="preserve">2. </w:t>
      </w:r>
      <w:r>
        <w:rPr>
          <w:rFonts w:ascii="Arial" w:hAnsi="Arial" w:cs="Arial"/>
          <w:b/>
          <w:sz w:val="22"/>
        </w:rPr>
        <w:t>El eventual no cubre necesidades estructurales</w:t>
      </w:r>
      <w:r>
        <w:rPr>
          <w:rFonts w:ascii="Arial" w:hAnsi="Arial" w:cs="Arial"/>
          <w:sz w:val="22"/>
        </w:rPr>
        <w:t xml:space="preserve"> y su servicio no es mérito de acceso o promoción.</w:t>
      </w:r>
    </w:p>
    <w:p>
      <w:pPr>
        <w:spacing w:after="40"/>
        <w:ind w:left="369" w:hanging="227"/>
      </w:pPr>
      <w:r>
        <w:rPr>
          <w:rFonts w:ascii="Arial" w:hAnsi="Arial" w:cs="Arial"/>
          <w:sz w:val="22"/>
        </w:rPr>
        <w:t xml:space="preserve">3. </w:t>
      </w:r>
      <w:r>
        <w:rPr>
          <w:rFonts w:ascii="Arial" w:hAnsi="Arial" w:cs="Arial"/>
          <w:b/>
          <w:sz w:val="22"/>
        </w:rPr>
        <w:t>Interino por vacante: tres años</w:t>
      </w:r>
      <w:r>
        <w:rPr>
          <w:rFonts w:ascii="Arial" w:hAnsi="Arial" w:cs="Arial"/>
          <w:sz w:val="22"/>
        </w:rPr>
        <w:t xml:space="preserve"> como regla; programa temporal: tres años ampliables doce meses; acumulación: nueve en dieciocho.</w:t>
      </w:r>
    </w:p>
    <w:p>
      <w:pPr>
        <w:spacing w:after="40"/>
        <w:ind w:left="369" w:hanging="227"/>
      </w:pPr>
      <w:r>
        <w:rPr>
          <w:rFonts w:ascii="Arial" w:hAnsi="Arial" w:cs="Arial"/>
          <w:sz w:val="22"/>
        </w:rPr>
        <w:t xml:space="preserve">4. </w:t>
      </w:r>
      <w:r>
        <w:rPr>
          <w:rFonts w:ascii="Arial" w:hAnsi="Arial" w:cs="Arial"/>
          <w:b/>
          <w:sz w:val="22"/>
        </w:rPr>
        <w:t>Inamovilidad es de la condición</w:t>
      </w:r>
      <w:r>
        <w:rPr>
          <w:rFonts w:ascii="Arial" w:hAnsi="Arial" w:cs="Arial"/>
          <w:sz w:val="22"/>
        </w:rPr>
        <w:t>, no garantía perpetua sobre un puesto.</w:t>
      </w:r>
    </w:p>
    <w:p>
      <w:pPr>
        <w:spacing w:after="40"/>
        <w:ind w:left="369" w:hanging="227"/>
      </w:pPr>
      <w:r>
        <w:rPr>
          <w:rFonts w:ascii="Arial" w:hAnsi="Arial" w:cs="Arial"/>
          <w:sz w:val="22"/>
        </w:rPr>
        <w:t xml:space="preserve">5. </w:t>
      </w:r>
      <w:r>
        <w:rPr>
          <w:rFonts w:ascii="Arial" w:hAnsi="Arial" w:cs="Arial"/>
          <w:b/>
          <w:sz w:val="22"/>
        </w:rPr>
        <w:t>Carrera horizontal no cambia de puesto</w:t>
      </w:r>
      <w:r>
        <w:rPr>
          <w:rFonts w:ascii="Arial" w:hAnsi="Arial" w:cs="Arial"/>
          <w:sz w:val="22"/>
        </w:rPr>
        <w:t>; carrera vertical sí progresa mediante provisión.</w:t>
      </w:r>
    </w:p>
    <w:p>
      <w:pPr>
        <w:spacing w:after="40"/>
        <w:ind w:left="369" w:hanging="227"/>
      </w:pPr>
      <w:r>
        <w:rPr>
          <w:rFonts w:ascii="Arial" w:hAnsi="Arial" w:cs="Arial"/>
          <w:sz w:val="22"/>
        </w:rPr>
        <w:t xml:space="preserve">6. </w:t>
      </w:r>
      <w:r>
        <w:rPr>
          <w:rFonts w:ascii="Arial" w:hAnsi="Arial" w:cs="Arial"/>
          <w:b/>
          <w:sz w:val="22"/>
        </w:rPr>
        <w:t>Promoción interna vertical cambia a subgrupo superior</w:t>
      </w:r>
      <w:r>
        <w:rPr>
          <w:rFonts w:ascii="Arial" w:hAnsi="Arial" w:cs="Arial"/>
          <w:sz w:val="22"/>
        </w:rPr>
        <w:t>; la horizontal accede a otro cuerpo del mismo subgrupo.</w:t>
      </w:r>
    </w:p>
    <w:p>
      <w:pPr>
        <w:spacing w:after="40"/>
        <w:ind w:left="369" w:hanging="227"/>
      </w:pPr>
      <w:r>
        <w:rPr>
          <w:rFonts w:ascii="Arial" w:hAnsi="Arial" w:cs="Arial"/>
          <w:sz w:val="22"/>
        </w:rPr>
        <w:t xml:space="preserve">7. </w:t>
      </w:r>
      <w:r>
        <w:rPr>
          <w:rFonts w:ascii="Arial" w:hAnsi="Arial" w:cs="Arial"/>
          <w:b/>
          <w:sz w:val="22"/>
        </w:rPr>
        <w:t>Compatibilidad pública se autoriza</w:t>
      </w:r>
      <w:r>
        <w:rPr>
          <w:rFonts w:ascii="Arial" w:hAnsi="Arial" w:cs="Arial"/>
          <w:sz w:val="22"/>
        </w:rPr>
        <w:t>; la privada se reconoce. Ambas deben ser previas.</w:t>
      </w:r>
    </w:p>
    <w:p>
      <w:pPr>
        <w:spacing w:after="40"/>
        <w:ind w:left="369" w:hanging="227"/>
      </w:pPr>
      <w:r>
        <w:rPr>
          <w:rFonts w:ascii="Arial" w:hAnsi="Arial" w:cs="Arial"/>
          <w:sz w:val="22"/>
        </w:rPr>
        <w:t xml:space="preserve">8. </w:t>
      </w:r>
      <w:r>
        <w:rPr>
          <w:rFonts w:ascii="Arial" w:hAnsi="Arial" w:cs="Arial"/>
          <w:b/>
          <w:sz w:val="22"/>
        </w:rPr>
        <w:t>La declaración de interés público no basta</w:t>
      </w:r>
      <w:r>
        <w:rPr>
          <w:rFonts w:ascii="Arial" w:hAnsi="Arial" w:cs="Arial"/>
          <w:sz w:val="22"/>
        </w:rPr>
        <w:t>: aún hace falta autorización individual.</w:t>
      </w:r>
    </w:p>
    <w:p>
      <w:pPr>
        <w:spacing w:after="40"/>
        <w:ind w:left="369" w:hanging="227"/>
      </w:pPr>
      <w:r>
        <w:rPr>
          <w:rFonts w:ascii="Arial" w:hAnsi="Arial" w:cs="Arial"/>
          <w:sz w:val="22"/>
        </w:rPr>
        <w:t xml:space="preserve">9. </w:t>
      </w:r>
      <w:r>
        <w:rPr>
          <w:rFonts w:ascii="Arial" w:hAnsi="Arial" w:cs="Arial"/>
          <w:b/>
          <w:sz w:val="22"/>
        </w:rPr>
        <w:t>Las actividades del artículo 19 están exceptuadas</w:t>
      </w:r>
      <w:r>
        <w:rPr>
          <w:rFonts w:ascii="Arial" w:hAnsi="Arial" w:cs="Arial"/>
          <w:sz w:val="22"/>
        </w:rPr>
        <w:t>, pero continúan sometidas a las prohibiciones materiales y al cumplimiento del puesto.</w:t>
      </w:r>
    </w:p>
    <w:p>
      <w:pPr>
        <w:spacing w:after="40"/>
        <w:ind w:left="369" w:hanging="227"/>
      </w:pPr>
      <w:r>
        <w:rPr>
          <w:rFonts w:ascii="Arial" w:hAnsi="Arial" w:cs="Arial"/>
          <w:sz w:val="22"/>
        </w:rPr>
        <w:t xml:space="preserve">10. </w:t>
      </w:r>
      <w:r>
        <w:rPr>
          <w:rFonts w:ascii="Arial" w:hAnsi="Arial" w:cs="Arial"/>
          <w:b/>
          <w:sz w:val="22"/>
        </w:rPr>
        <w:t>Separación del servicio: funcionario y falta muy grave.</w:t>
      </w:r>
      <w:r>
        <w:rPr>
          <w:rFonts w:ascii="Arial" w:hAnsi="Arial" w:cs="Arial"/>
          <w:sz w:val="22"/>
        </w:rPr>
        <w:t xml:space="preserve"> El equivalente laboral es despido disciplinario.</w:t>
      </w:r>
    </w:p>
    <w:p>
      <w:pPr>
        <w:spacing w:after="40"/>
        <w:ind w:left="369" w:hanging="227"/>
      </w:pPr>
      <w:r>
        <w:rPr>
          <w:rFonts w:ascii="Arial" w:hAnsi="Arial" w:cs="Arial"/>
          <w:sz w:val="22"/>
        </w:rPr>
        <w:t xml:space="preserve">11. </w:t>
      </w:r>
      <w:r>
        <w:rPr>
          <w:rFonts w:ascii="Arial" w:hAnsi="Arial" w:cs="Arial"/>
          <w:b/>
          <w:sz w:val="22"/>
        </w:rPr>
        <w:t>Suspensión firme máxima: seis años.</w:t>
      </w:r>
      <w:r>
        <w:rPr>
          <w:rFonts w:ascii="Arial" w:hAnsi="Arial" w:cs="Arial"/>
          <w:sz w:val="22"/>
        </w:rPr>
        <w:t xml:space="preserve"> La cautelar tiene como regla máximo de seis meses.</w:t>
      </w:r>
    </w:p>
    <w:p>
      <w:pPr>
        <w:spacing w:after="40"/>
        <w:ind w:left="369" w:hanging="227"/>
      </w:pPr>
      <w:r>
        <w:rPr>
          <w:rFonts w:ascii="Arial" w:hAnsi="Arial" w:cs="Arial"/>
          <w:sz w:val="22"/>
        </w:rPr>
        <w:t xml:space="preserve">12. </w:t>
      </w:r>
      <w:r>
        <w:rPr>
          <w:rFonts w:ascii="Arial" w:hAnsi="Arial" w:cs="Arial"/>
          <w:b/>
          <w:sz w:val="22"/>
        </w:rPr>
        <w:t>Prescripción asimétrica de leves:</w:t>
      </w:r>
      <w:r>
        <w:rPr>
          <w:rFonts w:ascii="Arial" w:hAnsi="Arial" w:cs="Arial"/>
          <w:sz w:val="22"/>
        </w:rPr>
        <w:t xml:space="preserve"> falta, seis meses; sanción, un año.</w:t>
      </w:r>
    </w:p>
    <w:p>
      <w:pPr>
        <w:spacing w:after="40"/>
        <w:ind w:left="369" w:hanging="227"/>
      </w:pPr>
      <w:r>
        <w:rPr>
          <w:rFonts w:ascii="Arial" w:hAnsi="Arial" w:cs="Arial"/>
          <w:sz w:val="22"/>
        </w:rPr>
        <w:t xml:space="preserve">13. </w:t>
      </w:r>
      <w:r>
        <w:rPr>
          <w:rFonts w:ascii="Arial" w:hAnsi="Arial" w:cs="Arial"/>
          <w:b/>
          <w:sz w:val="22"/>
        </w:rPr>
        <w:t>Una orden manifiestamente ilegal no debe obedecerse.</w:t>
      </w:r>
    </w:p>
    <w:p>
      <w:pPr>
        <w:spacing w:after="40"/>
        <w:ind w:left="369" w:hanging="227"/>
      </w:pPr>
      <w:r>
        <w:rPr>
          <w:rFonts w:ascii="Arial" w:hAnsi="Arial" w:cs="Arial"/>
          <w:sz w:val="22"/>
        </w:rPr>
        <w:t xml:space="preserve">14. </w:t>
      </w:r>
      <w:r>
        <w:rPr>
          <w:rFonts w:ascii="Arial" w:hAnsi="Arial" w:cs="Arial"/>
          <w:b/>
          <w:sz w:val="22"/>
        </w:rPr>
        <w:t>Los hechos penales firmes vinculan</w:t>
      </w:r>
      <w:r>
        <w:rPr>
          <w:rFonts w:ascii="Arial" w:hAnsi="Arial" w:cs="Arial"/>
          <w:sz w:val="22"/>
        </w:rPr>
        <w:t>, pero la calificación jurídica disciplinaria corresponde a la Administración dentro de su competencia.</w:t>
      </w:r>
    </w:p>
    <w:p>
      <w:pPr>
        <w:pStyle w:val="Heading1"/>
        <w:keepNext/>
      </w:pPr>
      <w:r>
        <w:rPr>
          <w:rFonts w:ascii="Arial" w:hAnsi="Arial" w:cs="Arial"/>
          <w:sz w:val="30"/>
        </w:rPr>
        <w:t>11. Resumen de repaso</w:t>
      </w:r>
    </w:p>
    <w:p>
      <w:pPr>
        <w:jc w:val="both"/>
      </w:pPr>
      <w:r>
        <w:rPr>
          <w:rFonts w:ascii="Arial" w:hAnsi="Arial" w:cs="Arial"/>
          <w:sz w:val="22"/>
        </w:rPr>
        <w:t>El empleado público desempeña funciones retribuidas al servicio de intereses generales. El TREBEP distingue carrera, interino, laboral y eventual. El funcionario de carrera tiene nombramiento legal y vínculo estatutario permanente; el interino responde a necesidad y urgencia por causa tasada; el laboral tiene contrato; el eventual solo realiza confianza o asesoramiento. El directivo profesional se selecciona por mérito, capacidad e idoneidad.</w:t>
      </w:r>
    </w:p>
    <w:p>
      <w:pPr>
        <w:jc w:val="both"/>
      </w:pPr>
      <w:r>
        <w:rPr>
          <w:rFonts w:ascii="Arial" w:hAnsi="Arial" w:cs="Arial"/>
          <w:sz w:val="22"/>
        </w:rPr>
        <w:t>Los derechos abarcan función efectiva, carrera, remuneración, defensa, formación, dignidad, igualdad, conciliación, privacidad digital, seguridad, permisos y derechos colectivos. Solo la carrera posee inamovilidad en la condición. Los deberes se articulan en servicio al interés general, objetividad, integridad, imparcialidad, diligencia, confidencialidad, austeridad, accesibilidad y respeto.</w:t>
      </w:r>
    </w:p>
    <w:p>
      <w:pPr>
        <w:jc w:val="both"/>
      </w:pPr>
      <w:r>
        <w:rPr>
          <w:rFonts w:ascii="Arial" w:hAnsi="Arial" w:cs="Arial"/>
          <w:sz w:val="22"/>
        </w:rPr>
        <w:t>La carrera puede ser horizontal, vertical, promoción interna vertical u horizontal. La promoción interna exige requisitos de ingreso, dos años efectivos en el subgrupo inferior y superación del proceso. La evaluación del desempeño debe ser objetiva y puede afectar a carrera, formación, provisión y complementos.</w:t>
      </w:r>
    </w:p>
    <w:p>
      <w:pPr>
        <w:jc w:val="both"/>
      </w:pPr>
      <w:r>
        <w:rPr>
          <w:rFonts w:ascii="Arial" w:hAnsi="Arial" w:cs="Arial"/>
          <w:sz w:val="22"/>
        </w:rPr>
        <w:t>La Ley 53/1984 parte de un solo puesto público. La segunda actividad pública necesita autorización previa y supuesto legal; la privada, reconocimiento previo salvo excepciones. Nunca cabe comprometer imparcialidad, cumplir peor el puesto o intervenir privadamente en asuntos públicos propios.</w:t>
      </w:r>
    </w:p>
    <w:p>
      <w:pPr>
        <w:jc w:val="both"/>
      </w:pPr>
      <w:r>
        <w:rPr>
          <w:rFonts w:ascii="Arial" w:hAnsi="Arial" w:cs="Arial"/>
          <w:sz w:val="22"/>
        </w:rPr>
        <w:t>La potestad disciplinaria se sujeta a legalidad, tipicidad, irretroactividad desfavorable, retroactividad favorable, proporcionalidad, culpabilidad y presunción de inocencia. Las sanciones incluyen separación, despido, suspensión, traslado, demérito y apercibimiento. Las faltas prescriben 3 años, 2 años y 6 meses; sus sanciones, 3 años, 2 años y 1 año. Graves y muy graves requieren procedimiento, defensa y separación orgánica de instrucción y sanción.</w:t>
      </w:r>
    </w:p>
    <w:p>
      <w:pPr>
        <w:pStyle w:val="Heading1"/>
        <w:keepNext/>
      </w:pPr>
      <w:r>
        <w:rPr>
          <w:rFonts w:ascii="Arial" w:hAnsi="Arial" w:cs="Arial"/>
          <w:sz w:val="30"/>
        </w:rPr>
        <w:t>12. Datos preguntables</w:t>
      </w:r>
    </w:p>
    <w:p>
      <w:pPr>
        <w:pStyle w:val="ListBullet"/>
      </w:pPr>
      <w:r>
        <w:rPr>
          <w:rFonts w:ascii="Arial" w:hAnsi="Arial" w:cs="Arial"/>
          <w:sz w:val="22"/>
        </w:rPr>
        <w:t xml:space="preserve">Clases del artículo 8.2: </w:t>
      </w:r>
      <w:r>
        <w:rPr>
          <w:rFonts w:ascii="Arial" w:hAnsi="Arial" w:cs="Arial"/>
          <w:b/>
          <w:sz w:val="22"/>
        </w:rPr>
        <w:t>cuatro</w:t>
      </w:r>
      <w:r>
        <w:rPr>
          <w:rFonts w:ascii="Arial" w:hAnsi="Arial" w:cs="Arial"/>
          <w:sz w:val="22"/>
        </w:rPr>
        <w:t>.</w:t>
      </w:r>
    </w:p>
    <w:p>
      <w:pPr>
        <w:pStyle w:val="ListBullet"/>
      </w:pPr>
      <w:r>
        <w:rPr>
          <w:rFonts w:ascii="Arial" w:hAnsi="Arial" w:cs="Arial"/>
          <w:sz w:val="22"/>
        </w:rPr>
        <w:t xml:space="preserve">Interinidad por vacante: </w:t>
      </w:r>
      <w:r>
        <w:rPr>
          <w:rFonts w:ascii="Arial" w:hAnsi="Arial" w:cs="Arial"/>
          <w:b/>
          <w:sz w:val="22"/>
        </w:rPr>
        <w:t>tres años</w:t>
      </w:r>
      <w:r>
        <w:rPr>
          <w:rFonts w:ascii="Arial" w:hAnsi="Arial" w:cs="Arial"/>
          <w:sz w:val="22"/>
        </w:rPr>
        <w:t>.</w:t>
      </w:r>
    </w:p>
    <w:p>
      <w:pPr>
        <w:pStyle w:val="ListBullet"/>
      </w:pPr>
      <w:r>
        <w:rPr>
          <w:rFonts w:ascii="Arial" w:hAnsi="Arial" w:cs="Arial"/>
          <w:sz w:val="22"/>
        </w:rPr>
        <w:t xml:space="preserve">Programa temporal: </w:t>
      </w:r>
      <w:r>
        <w:rPr>
          <w:rFonts w:ascii="Arial" w:hAnsi="Arial" w:cs="Arial"/>
          <w:b/>
          <w:sz w:val="22"/>
        </w:rPr>
        <w:t>tres años + posible ampliación de doce meses</w:t>
      </w:r>
      <w:r>
        <w:rPr>
          <w:rFonts w:ascii="Arial" w:hAnsi="Arial" w:cs="Arial"/>
          <w:sz w:val="22"/>
        </w:rPr>
        <w:t>.</w:t>
      </w:r>
    </w:p>
    <w:p>
      <w:pPr>
        <w:pStyle w:val="ListBullet"/>
      </w:pPr>
      <w:r>
        <w:rPr>
          <w:rFonts w:ascii="Arial" w:hAnsi="Arial" w:cs="Arial"/>
          <w:sz w:val="22"/>
        </w:rPr>
        <w:t xml:space="preserve">Acumulación de tareas: </w:t>
      </w:r>
      <w:r>
        <w:rPr>
          <w:rFonts w:ascii="Arial" w:hAnsi="Arial" w:cs="Arial"/>
          <w:b/>
          <w:sz w:val="22"/>
        </w:rPr>
        <w:t>nueve meses dentro de dieciocho</w:t>
      </w:r>
      <w:r>
        <w:rPr>
          <w:rFonts w:ascii="Arial" w:hAnsi="Arial" w:cs="Arial"/>
          <w:sz w:val="22"/>
        </w:rPr>
        <w:t>.</w:t>
      </w:r>
    </w:p>
    <w:p>
      <w:pPr>
        <w:pStyle w:val="ListBullet"/>
      </w:pPr>
      <w:r>
        <w:rPr>
          <w:rFonts w:ascii="Arial" w:hAnsi="Arial" w:cs="Arial"/>
          <w:sz w:val="22"/>
        </w:rPr>
        <w:t xml:space="preserve">Promoción interna: </w:t>
      </w:r>
      <w:r>
        <w:rPr>
          <w:rFonts w:ascii="Arial" w:hAnsi="Arial" w:cs="Arial"/>
          <w:b/>
          <w:sz w:val="22"/>
        </w:rPr>
        <w:t>dos años</w:t>
      </w:r>
      <w:r>
        <w:rPr>
          <w:rFonts w:ascii="Arial" w:hAnsi="Arial" w:cs="Arial"/>
          <w:sz w:val="22"/>
        </w:rPr>
        <w:t xml:space="preserve"> de servicios efectivos en subgrupo inferior.</w:t>
      </w:r>
    </w:p>
    <w:p>
      <w:pPr>
        <w:pStyle w:val="ListBullet"/>
      </w:pPr>
      <w:r>
        <w:rPr>
          <w:rFonts w:ascii="Arial" w:hAnsi="Arial" w:cs="Arial"/>
          <w:sz w:val="22"/>
        </w:rPr>
        <w:t xml:space="preserve">Tramos horizontales AGE: </w:t>
      </w:r>
      <w:r>
        <w:rPr>
          <w:rFonts w:ascii="Arial" w:hAnsi="Arial" w:cs="Arial"/>
          <w:b/>
          <w:sz w:val="22"/>
        </w:rPr>
        <w:t>cuatro</w:t>
      </w:r>
      <w:r>
        <w:rPr>
          <w:rFonts w:ascii="Arial" w:hAnsi="Arial" w:cs="Arial"/>
          <w:sz w:val="22"/>
        </w:rPr>
        <w:t xml:space="preserve">; mínimo </w:t>
      </w:r>
      <w:r>
        <w:rPr>
          <w:rFonts w:ascii="Arial" w:hAnsi="Arial" w:cs="Arial"/>
          <w:b/>
          <w:sz w:val="22"/>
        </w:rPr>
        <w:t>cinco años</w:t>
      </w:r>
      <w:r>
        <w:rPr>
          <w:rFonts w:ascii="Arial" w:hAnsi="Arial" w:cs="Arial"/>
          <w:sz w:val="22"/>
        </w:rPr>
        <w:t xml:space="preserve"> para el primero y </w:t>
      </w:r>
      <w:r>
        <w:rPr>
          <w:rFonts w:ascii="Arial" w:hAnsi="Arial" w:cs="Arial"/>
          <w:b/>
          <w:sz w:val="22"/>
        </w:rPr>
        <w:t>seis</w:t>
      </w:r>
      <w:r>
        <w:rPr>
          <w:rFonts w:ascii="Arial" w:hAnsi="Arial" w:cs="Arial"/>
          <w:sz w:val="22"/>
        </w:rPr>
        <w:t xml:space="preserve"> para cada siguiente.</w:t>
      </w:r>
    </w:p>
    <w:p>
      <w:pPr>
        <w:pStyle w:val="ListBullet"/>
      </w:pPr>
      <w:r>
        <w:rPr>
          <w:rFonts w:ascii="Arial" w:hAnsi="Arial" w:cs="Arial"/>
          <w:sz w:val="22"/>
        </w:rPr>
        <w:t xml:space="preserve">Actividad docente oficial exceptuada: máximo </w:t>
      </w:r>
      <w:r>
        <w:rPr>
          <w:rFonts w:ascii="Arial" w:hAnsi="Arial" w:cs="Arial"/>
          <w:b/>
          <w:sz w:val="22"/>
        </w:rPr>
        <w:t>75 horas anuales</w:t>
      </w:r>
      <w:r>
        <w:rPr>
          <w:rFonts w:ascii="Arial" w:hAnsi="Arial" w:cs="Arial"/>
          <w:sz w:val="22"/>
        </w:rPr>
        <w:t>, si no es habitual.</w:t>
      </w:r>
    </w:p>
    <w:p>
      <w:pPr>
        <w:pStyle w:val="ListBullet"/>
      </w:pPr>
      <w:r>
        <w:rPr>
          <w:rFonts w:ascii="Arial" w:hAnsi="Arial" w:cs="Arial"/>
          <w:sz w:val="22"/>
        </w:rPr>
        <w:t xml:space="preserve">Participación prohibida en capital de empresas relacionadas: superior al </w:t>
      </w:r>
      <w:r>
        <w:rPr>
          <w:rFonts w:ascii="Arial" w:hAnsi="Arial" w:cs="Arial"/>
          <w:b/>
          <w:sz w:val="22"/>
        </w:rPr>
        <w:t>10 %</w:t>
      </w:r>
      <w:r>
        <w:rPr>
          <w:rFonts w:ascii="Arial" w:hAnsi="Arial" w:cs="Arial"/>
          <w:sz w:val="22"/>
        </w:rPr>
        <w:t>.</w:t>
      </w:r>
    </w:p>
    <w:p>
      <w:pPr>
        <w:pStyle w:val="ListBullet"/>
      </w:pPr>
      <w:r>
        <w:rPr>
          <w:rFonts w:ascii="Arial" w:hAnsi="Arial" w:cs="Arial"/>
          <w:sz w:val="22"/>
        </w:rPr>
        <w:t xml:space="preserve">Resolución de compatibilidad privada: </w:t>
      </w:r>
      <w:r>
        <w:rPr>
          <w:rFonts w:ascii="Arial" w:hAnsi="Arial" w:cs="Arial"/>
          <w:b/>
          <w:sz w:val="22"/>
        </w:rPr>
        <w:t>dos meses</w:t>
      </w:r>
      <w:r>
        <w:rPr>
          <w:rFonts w:ascii="Arial" w:hAnsi="Arial" w:cs="Arial"/>
          <w:sz w:val="22"/>
        </w:rPr>
        <w:t>.</w:t>
      </w:r>
    </w:p>
    <w:p>
      <w:pPr>
        <w:pStyle w:val="ListBullet"/>
      </w:pPr>
      <w:r>
        <w:rPr>
          <w:rFonts w:ascii="Arial" w:hAnsi="Arial" w:cs="Arial"/>
          <w:sz w:val="22"/>
        </w:rPr>
        <w:t xml:space="preserve">Suspensión firme: hasta </w:t>
      </w:r>
      <w:r>
        <w:rPr>
          <w:rFonts w:ascii="Arial" w:hAnsi="Arial" w:cs="Arial"/>
          <w:b/>
          <w:sz w:val="22"/>
        </w:rPr>
        <w:t>seis años</w:t>
      </w:r>
      <w:r>
        <w:rPr>
          <w:rFonts w:ascii="Arial" w:hAnsi="Arial" w:cs="Arial"/>
          <w:sz w:val="22"/>
        </w:rPr>
        <w:t>.</w:t>
      </w:r>
    </w:p>
    <w:p>
      <w:pPr>
        <w:pStyle w:val="ListBullet"/>
      </w:pPr>
      <w:r>
        <w:rPr>
          <w:rFonts w:ascii="Arial" w:hAnsi="Arial" w:cs="Arial"/>
          <w:sz w:val="22"/>
        </w:rPr>
        <w:t xml:space="preserve">Suspensión provisional: regla de hasta </w:t>
      </w:r>
      <w:r>
        <w:rPr>
          <w:rFonts w:ascii="Arial" w:hAnsi="Arial" w:cs="Arial"/>
          <w:b/>
          <w:sz w:val="22"/>
        </w:rPr>
        <w:t>seis meses</w:t>
      </w:r>
      <w:r>
        <w:rPr>
          <w:rFonts w:ascii="Arial" w:hAnsi="Arial" w:cs="Arial"/>
          <w:sz w:val="22"/>
        </w:rPr>
        <w:t>.</w:t>
      </w:r>
    </w:p>
    <w:p>
      <w:pPr>
        <w:pStyle w:val="ListBullet"/>
      </w:pPr>
      <w:r>
        <w:rPr>
          <w:rFonts w:ascii="Arial" w:hAnsi="Arial" w:cs="Arial"/>
          <w:sz w:val="22"/>
        </w:rPr>
        <w:t xml:space="preserve">Prescripción de faltas: </w:t>
      </w:r>
      <w:r>
        <w:rPr>
          <w:rFonts w:ascii="Arial" w:hAnsi="Arial" w:cs="Arial"/>
          <w:b/>
          <w:sz w:val="22"/>
        </w:rPr>
        <w:t>3 años / 2 años / 6 meses</w:t>
      </w:r>
      <w:r>
        <w:rPr>
          <w:rFonts w:ascii="Arial" w:hAnsi="Arial" w:cs="Arial"/>
          <w:sz w:val="22"/>
        </w:rPr>
        <w:t>.</w:t>
      </w:r>
    </w:p>
    <w:p>
      <w:pPr>
        <w:pStyle w:val="ListBullet"/>
      </w:pPr>
      <w:r>
        <w:rPr>
          <w:rFonts w:ascii="Arial" w:hAnsi="Arial" w:cs="Arial"/>
          <w:sz w:val="22"/>
        </w:rPr>
        <w:t xml:space="preserve">Prescripción de sanciones: </w:t>
      </w:r>
      <w:r>
        <w:rPr>
          <w:rFonts w:ascii="Arial" w:hAnsi="Arial" w:cs="Arial"/>
          <w:b/>
          <w:sz w:val="22"/>
        </w:rPr>
        <w:t>3 años / 2 años / 1 año</w:t>
      </w:r>
      <w:r>
        <w:rPr>
          <w:rFonts w:ascii="Arial" w:hAnsi="Arial" w:cs="Arial"/>
          <w:sz w:val="22"/>
        </w:rPr>
        <w:t>.</w:t>
      </w:r>
    </w:p>
    <w:p>
      <w:pPr>
        <w:pStyle w:val="ListBullet"/>
      </w:pPr>
      <w:r>
        <w:rPr>
          <w:rFonts w:ascii="Arial" w:hAnsi="Arial" w:cs="Arial"/>
          <w:sz w:val="22"/>
        </w:rPr>
        <w:t xml:space="preserve">Permisos por nacimiento y equivalentes: </w:t>
      </w:r>
      <w:r>
        <w:rPr>
          <w:rFonts w:ascii="Arial" w:hAnsi="Arial" w:cs="Arial"/>
          <w:b/>
          <w:sz w:val="22"/>
        </w:rPr>
        <w:t>19 semanas</w:t>
      </w:r>
      <w:r>
        <w:rPr>
          <w:rFonts w:ascii="Arial" w:hAnsi="Arial" w:cs="Arial"/>
          <w:sz w:val="22"/>
        </w:rPr>
        <w:t xml:space="preserve">; monoparentalidad, </w:t>
      </w:r>
      <w:r>
        <w:rPr>
          <w:rFonts w:ascii="Arial" w:hAnsi="Arial" w:cs="Arial"/>
          <w:b/>
          <w:sz w:val="22"/>
        </w:rPr>
        <w:t>32</w:t>
      </w:r>
      <w:r>
        <w:rPr>
          <w:rFonts w:ascii="Arial" w:hAnsi="Arial" w:cs="Arial"/>
          <w:sz w:val="22"/>
        </w:rPr>
        <w:t>.</w:t>
      </w:r>
    </w:p>
    <w:p>
      <w:pPr>
        <w:pStyle w:val="Heading1"/>
        <w:keepNext/>
      </w:pPr>
      <w:r>
        <w:rPr>
          <w:rFonts w:ascii="Arial" w:hAnsi="Arial" w:cs="Arial"/>
          <w:sz w:val="30"/>
        </w:rPr>
        <w:t>13. Fuentes oficiales</w:t>
      </w:r>
    </w:p>
    <w:p>
      <w:pPr>
        <w:pStyle w:val="ListBullet"/>
      </w:pPr>
      <w:r>
        <w:rPr>
          <w:rFonts w:ascii="Arial" w:hAnsi="Arial" w:cs="Arial"/>
          <w:sz w:val="22"/>
        </w:rPr>
        <w:t>Constitución Española (https://www.boe.es/buscar/act.php?id=BOE-A-1978-31229).</w:t>
      </w:r>
    </w:p>
    <w:p>
      <w:pPr>
        <w:pStyle w:val="ListBullet"/>
      </w:pPr>
      <w:r>
        <w:rPr>
          <w:rFonts w:ascii="Arial" w:hAnsi="Arial" w:cs="Arial"/>
          <w:sz w:val="22"/>
        </w:rPr>
        <w:t>Texto refundido del Estatuto Básico del Empleado Público, Real Decreto Legislativo 5/2015 (https://www.boe.es/buscar/act.php?id=BOE-A-2015-11719).</w:t>
      </w:r>
    </w:p>
    <w:p>
      <w:pPr>
        <w:pStyle w:val="ListBullet"/>
      </w:pPr>
      <w:r>
        <w:rPr>
          <w:rFonts w:ascii="Arial" w:hAnsi="Arial" w:cs="Arial"/>
          <w:sz w:val="22"/>
        </w:rPr>
        <w:t>Ley 53/1984, de incompatibilidades del personal al servicio de las Administraciones Públicas (https://www.boe.es/buscar/act.php?id=BOE-A-1985-151).</w:t>
      </w:r>
    </w:p>
    <w:p>
      <w:pPr>
        <w:pStyle w:val="ListBullet"/>
      </w:pPr>
      <w:r>
        <w:rPr>
          <w:rFonts w:ascii="Arial" w:hAnsi="Arial" w:cs="Arial"/>
          <w:sz w:val="22"/>
        </w:rPr>
        <w:t>Real Decreto 33/1986, Reglamento de Régimen Disciplinario de los Funcionarios de la AGE (https://www.boe.es/buscar/act.php?id=BOE-A-1986-1216).</w:t>
      </w:r>
    </w:p>
    <w:p>
      <w:pPr>
        <w:pStyle w:val="ListBullet"/>
      </w:pPr>
      <w:r>
        <w:rPr>
          <w:rFonts w:ascii="Arial" w:hAnsi="Arial" w:cs="Arial"/>
          <w:sz w:val="22"/>
        </w:rPr>
        <w:t>Real Decreto-ley 6/2023, libro segundo sobre función pública de la AGE (https://www.boe.es/buscar/act.php?id=BOE-A-2023-25758).</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G19</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Real Decreto Legislativo 5/2015 (4).</w:t>
      </w:r>
    </w:p>
    <w:p>
      <w:pPr>
        <w:jc w:val="both"/>
      </w:pPr>
      <w:r>
        <w:rPr>
          <w:rFonts w:ascii="Arial" w:hAnsi="Arial" w:cs="Arial"/>
          <w:b/>
          <w:sz w:val="22"/>
        </w:rPr>
        <w:t>Artículos o preceptos más repetidos:</w:t>
      </w:r>
      <w:r>
        <w:rPr>
          <w:rFonts w:ascii="Arial" w:hAnsi="Arial" w:cs="Arial"/>
          <w:sz w:val="22"/>
        </w:rPr>
        <w:t xml:space="preserve"> 8 (1); 39 (1).</w:t>
      </w:r>
    </w:p>
    <w:p>
      <w:pPr>
        <w:jc w:val="both"/>
      </w:pPr>
      <w:r>
        <w:rPr>
          <w:rFonts w:ascii="Arial" w:hAnsi="Arial" w:cs="Arial"/>
          <w:b/>
          <w:sz w:val="22"/>
        </w:rPr>
        <w:t>Formas de pregunta predominantes:</w:t>
      </w:r>
      <w:r>
        <w:rPr>
          <w:rFonts w:ascii="Arial" w:hAnsi="Arial" w:cs="Arial"/>
          <w:sz w:val="22"/>
        </w:rPr>
        <w:t xml:space="preserve"> Artículos literales (4); Órganos (1).</w:t>
      </w:r>
    </w:p>
    <w:p>
      <w:pPr>
        <w:pStyle w:val="Heading2"/>
        <w:keepNext/>
      </w:pPr>
      <w:r>
        <w:rPr>
          <w:rFonts w:ascii="Arial" w:hAnsi="Arial" w:cs="Arial"/>
          <w:sz w:val="25"/>
        </w:rPr>
        <w:t>Patrones observados</w:t>
      </w:r>
    </w:p>
    <w:p>
      <w:pPr>
        <w:pStyle w:val="ListBullet"/>
      </w:pPr>
      <w:r>
        <w:rPr>
          <w:rFonts w:ascii="Arial" w:hAnsi="Arial" w:cs="Arial"/>
          <w:b/>
          <w:sz w:val="22"/>
        </w:rPr>
        <w:t>2024, teoría 19:</w:t>
      </w:r>
      <w:r>
        <w:rPr>
          <w:rFonts w:ascii="Arial" w:hAnsi="Arial" w:cs="Arial"/>
          <w:sz w:val="22"/>
        </w:rPr>
        <w:t xml:space="preserve"> Según el artículo 8 del Real Decreto Legislativo 5/2015, de 30 de octubre, por el que se aprueba el texto refundido de la Ley del Estatuto Básico del Empleado Público (TREBEP) ¿quiénes desempeñan funciones…</w:t>
      </w:r>
    </w:p>
    <w:p>
      <w:pPr>
        <w:pStyle w:val="ListBullet"/>
      </w:pPr>
      <w:r>
        <w:rPr>
          <w:rFonts w:ascii="Arial" w:hAnsi="Arial" w:cs="Arial"/>
          <w:b/>
          <w:sz w:val="22"/>
        </w:rPr>
        <w:t>2025, teoría 19:</w:t>
      </w:r>
      <w:r>
        <w:rPr>
          <w:rFonts w:ascii="Arial" w:hAnsi="Arial" w:cs="Arial"/>
          <w:sz w:val="22"/>
        </w:rPr>
        <w:t xml:space="preserve"> Respecto a la renuncia voluntaria a la condición de funcionario recogida en el art. 64 del Real Decreto Legislativo 5/2015, de 30 de octubre, por el que se aprueba el texto refundido de la Ley del Estatuto…</w:t>
      </w:r>
    </w:p>
    <w:p>
      <w:pPr>
        <w:pStyle w:val="ListBullet"/>
      </w:pPr>
      <w:r>
        <w:rPr>
          <w:rFonts w:ascii="Arial" w:hAnsi="Arial" w:cs="Arial"/>
          <w:b/>
          <w:sz w:val="22"/>
        </w:rPr>
        <w:t>2025, teoría 19:</w:t>
      </w:r>
      <w:r>
        <w:rPr>
          <w:rFonts w:ascii="Arial" w:hAnsi="Arial" w:cs="Arial"/>
          <w:sz w:val="22"/>
        </w:rPr>
        <w:t xml:space="preserve"> Conforme a 10 previsto en el artículo 39 del Real Decreto Legislativo 512015, de 30 de octubre, por eI que se aprueba el texto refundido de la Ley del Estatuto Básico del Empleado Público, los órganos…</w:t>
      </w:r>
    </w:p>
    <w:p>
      <w:pPr>
        <w:pStyle w:val="ListBullet"/>
      </w:pPr>
      <w:r>
        <w:rPr>
          <w:rFonts w:ascii="Arial" w:hAnsi="Arial" w:cs="Arial"/>
          <w:b/>
          <w:sz w:val="22"/>
        </w:rPr>
        <w:t>2025, teoría 19:</w:t>
      </w:r>
      <w:r>
        <w:rPr>
          <w:rFonts w:ascii="Arial" w:hAnsi="Arial" w:cs="Arial"/>
          <w:sz w:val="22"/>
        </w:rPr>
        <w:t xml:space="preserve"> De conformidad con lo previsto en el Régimen disciplinario de los empleados públicos del Título VII del Real Decreto Legislativo 5/2015, de 30 de octubre, por el que se aprueba el texto refundido de la Ley…</w:t>
      </w:r>
    </w:p>
    <w:p>
      <w:pPr>
        <w:pStyle w:val="ListBullet"/>
      </w:pPr>
      <w:r>
        <w:rPr>
          <w:rFonts w:ascii="Arial" w:hAnsi="Arial" w:cs="Arial"/>
          <w:b/>
          <w:sz w:val="22"/>
        </w:rPr>
        <w:t>2026, teoría 24:</w:t>
      </w:r>
      <w:r>
        <w:rPr>
          <w:rFonts w:ascii="Arial" w:hAnsi="Arial" w:cs="Arial"/>
          <w:sz w:val="22"/>
        </w:rPr>
        <w:t xml:space="preserve"> Respecto a los derechos retributivos de los empleados públicos regulados en el Real Decreto Legislativo 5/2015, de 30 de octubre, por eI que se aprueba eI texto refundido de la Ley del Estatuto Básico del…</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G19 · Tema 19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19. El personal al servicio de las Administraciones Públicas - concepto y clases. Derechos y deberes de los funcionarios. La carrera administrat…</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