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2</w:t>
      </w:r>
    </w:p>
    <w:p>
      <w:pPr>
        <w:keepNext/>
        <w:spacing w:before="0" w:after="280"/>
        <w:pBdr>
          <w:bottom w:val="single" w:sz="12" w:space="1" w:color="2F75B5"/>
        </w:pBdr>
      </w:pPr>
      <w:r>
        <w:rPr>
          <w:rFonts w:ascii="Arial" w:hAnsi="Arial" w:cs="Arial"/>
          <w:b/>
          <w:color w:val="17365D"/>
          <w:sz w:val="40"/>
        </w:rPr>
        <w:t>Derechos y deberes fundamentales. Su garantía y suspensión.</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El título I de la Constitución, artículos 10 a 55, reúne las reglas generales sobre la persona, los derechos y libertades, los deberes constitucionales, los principios sociales, sus garantías y los supuestos excepcionales de suspensión. No todos sus preceptos tienen idéntica protección: la ubicación de cada derecho determina la reserva de ley, la vía judicial, el recurso de amparo y el procedimiento de reforma aplicable.</w:t>
      </w:r>
    </w:p>
    <w:p>
      <w:pPr>
        <w:pStyle w:val="Heading1"/>
        <w:keepNext/>
      </w:pPr>
      <w:r>
        <w:rPr>
          <w:rFonts w:ascii="Arial" w:hAnsi="Arial" w:cs="Arial"/>
          <w:sz w:val="30"/>
        </w:rPr>
        <w:t>1. Sistema constitucional de derechos</w:t>
      </w:r>
    </w:p>
    <w:p>
      <w:pPr>
        <w:pStyle w:val="Heading2"/>
        <w:keepNext/>
      </w:pPr>
      <w:r>
        <w:rPr>
          <w:rFonts w:ascii="Arial" w:hAnsi="Arial" w:cs="Arial"/>
          <w:sz w:val="25"/>
        </w:rPr>
        <w:t>1.1. Dignidad e interpretación: artículo 10</w:t>
      </w:r>
    </w:p>
    <w:p>
      <w:pPr>
        <w:jc w:val="both"/>
      </w:pPr>
      <w:r>
        <w:rPr>
          <w:rFonts w:ascii="Arial" w:hAnsi="Arial" w:cs="Arial"/>
          <w:sz w:val="22"/>
        </w:rPr>
        <w:t>El artículo 10.1 declara fundamento del orden político y de la paz social:</w:t>
      </w:r>
    </w:p>
    <w:p>
      <w:pPr>
        <w:pStyle w:val="ListBullet"/>
      </w:pPr>
      <w:r>
        <w:rPr>
          <w:rFonts w:ascii="Arial" w:hAnsi="Arial" w:cs="Arial"/>
          <w:sz w:val="22"/>
        </w:rPr>
        <w:t>La dignidad de la persona.</w:t>
      </w:r>
    </w:p>
    <w:p>
      <w:pPr>
        <w:pStyle w:val="ListBullet"/>
      </w:pPr>
      <w:r>
        <w:rPr>
          <w:rFonts w:ascii="Arial" w:hAnsi="Arial" w:cs="Arial"/>
          <w:sz w:val="22"/>
        </w:rPr>
        <w:t>Los derechos inviolables que le son inherentes.</w:t>
      </w:r>
    </w:p>
    <w:p>
      <w:pPr>
        <w:pStyle w:val="ListBullet"/>
      </w:pPr>
      <w:r>
        <w:rPr>
          <w:rFonts w:ascii="Arial" w:hAnsi="Arial" w:cs="Arial"/>
          <w:sz w:val="22"/>
        </w:rPr>
        <w:t>El libre desarrollo de la personalidad.</w:t>
      </w:r>
    </w:p>
    <w:p>
      <w:pPr>
        <w:pStyle w:val="ListBullet"/>
      </w:pPr>
      <w:r>
        <w:rPr>
          <w:rFonts w:ascii="Arial" w:hAnsi="Arial" w:cs="Arial"/>
          <w:sz w:val="22"/>
        </w:rPr>
        <w:t>El respeto a la ley.</w:t>
      </w:r>
    </w:p>
    <w:p>
      <w:pPr>
        <w:pStyle w:val="ListBullet"/>
      </w:pPr>
      <w:r>
        <w:rPr>
          <w:rFonts w:ascii="Arial" w:hAnsi="Arial" w:cs="Arial"/>
          <w:sz w:val="22"/>
        </w:rPr>
        <w:t>El respeto a los derechos de los demás.</w:t>
      </w:r>
    </w:p>
    <w:p>
      <w:pPr>
        <w:jc w:val="both"/>
      </w:pPr>
      <w:r>
        <w:rPr>
          <w:rFonts w:ascii="Arial" w:hAnsi="Arial" w:cs="Arial"/>
          <w:sz w:val="22"/>
        </w:rPr>
        <w:t>La dignidad es el punto de partida del sistema, pero no aparece por sí sola en la lista de derechos susceptibles de recurso de amparo. Sirve como fundamento e interpretación de los derechos concretos.</w:t>
      </w:r>
    </w:p>
    <w:p>
      <w:pPr>
        <w:jc w:val="both"/>
      </w:pPr>
      <w:r>
        <w:rPr>
          <w:rFonts w:ascii="Arial" w:hAnsi="Arial" w:cs="Arial"/>
          <w:sz w:val="22"/>
        </w:rPr>
        <w:t>El artículo 10.2 contiene una regla interpretativa: las normas sobre derechos fundamentales y libertades reconocidos por la Constitución se interpretarán conforme a la Declaración Universal de Derechos Humanos y a los tratados y acuerdos internacionales sobre esas materias ratificados por España. Esta regla no convierte automáticamente cada disposición internacional en un nuevo derecho constitucional autónomo; obliga a emplearla para determinar el sentido y alcance de los derechos reconocidos por la Constitución.</w:t>
      </w:r>
    </w:p>
    <w:p>
      <w:pPr>
        <w:pStyle w:val="Heading2"/>
        <w:keepNext/>
      </w:pPr>
      <w:r>
        <w:rPr>
          <w:rFonts w:ascii="Arial" w:hAnsi="Arial" w:cs="Arial"/>
          <w:sz w:val="25"/>
        </w:rPr>
        <w:t>1.2. Estructura del título I</w:t>
      </w:r>
    </w:p>
    <w:tbl>
      <w:tblPr>
        <w:tblStyle w:val="TableGrid"/>
        <w:tblW w:type="dxa" w:w="9026"/>
        <w:jc w:val="left"/>
        <w:tblLayout w:type="fixed"/>
        <w:tblLook w:firstColumn="1" w:firstRow="1" w:lastColumn="0" w:lastRow="0" w:noHBand="0" w:noVBand="1" w:val="04A0"/>
        <w:tblInd w:w="120" w:type="dxa"/>
      </w:tblPr>
      <w:tblGrid>
        <w:gridCol w:w="1934"/>
        <w:gridCol w:w="1160"/>
        <w:gridCol w:w="5932"/>
      </w:tblGrid>
      <w:tr>
        <w:trPr>
          <w:tblHeader w:val="true"/>
        </w:trPr>
        <w:tc>
          <w:tcPr>
            <w:tcW w:type="dxa" w:w="193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Parte</w:t>
            </w:r>
          </w:p>
        </w:tc>
        <w:tc>
          <w:tcPr>
            <w:tcW w:type="dxa" w:w="116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Artículos</w:t>
            </w:r>
          </w:p>
        </w:tc>
        <w:tc>
          <w:tcPr>
            <w:tcW w:type="dxa" w:w="593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Contenido</w:t>
            </w:r>
          </w:p>
        </w:tc>
      </w:tr>
      <w:tr>
        <w:tc>
          <w:tcPr>
            <w:tcW w:type="dxa" w:w="1934"/>
            <w:tcMar>
              <w:top w:w="80" w:type="dxa"/>
              <w:start w:w="120" w:type="dxa"/>
              <w:bottom w:w="80" w:type="dxa"/>
              <w:end w:w="120" w:type="dxa"/>
            </w:tcMar>
            <w:vAlign w:val="center"/>
          </w:tcPr>
          <w:p>
            <w:pPr>
              <w:spacing w:before="0" w:after="0" w:line="240" w:lineRule="auto"/>
              <w:jc w:val="left"/>
            </w:pPr>
            <w:r/>
            <w:r>
              <w:rPr>
                <w:rFonts w:ascii="Arial" w:hAnsi="Arial" w:cs="Arial"/>
                <w:sz w:val="18"/>
              </w:rPr>
              <w:t>Artículo inicial</w:t>
            </w:r>
          </w:p>
        </w:tc>
        <w:tc>
          <w:tcPr>
            <w:tcW w:type="dxa" w:w="1160"/>
            <w:tcMar>
              <w:top w:w="80" w:type="dxa"/>
              <w:start w:w="120" w:type="dxa"/>
              <w:bottom w:w="80" w:type="dxa"/>
              <w:end w:w="120" w:type="dxa"/>
            </w:tcMar>
            <w:vAlign w:val="center"/>
          </w:tcPr>
          <w:p>
            <w:pPr>
              <w:spacing w:before="0" w:after="0" w:line="240" w:lineRule="auto"/>
              <w:jc w:val="center"/>
            </w:pPr>
            <w:r/>
            <w:r>
              <w:rPr>
                <w:rFonts w:ascii="Arial" w:hAnsi="Arial" w:cs="Arial"/>
                <w:sz w:val="18"/>
              </w:rPr>
              <w:t>10</w:t>
            </w:r>
          </w:p>
        </w:tc>
        <w:tc>
          <w:tcPr>
            <w:tcW w:type="dxa" w:w="5932"/>
            <w:tcMar>
              <w:top w:w="80" w:type="dxa"/>
              <w:start w:w="120" w:type="dxa"/>
              <w:bottom w:w="80" w:type="dxa"/>
              <w:end w:w="120" w:type="dxa"/>
            </w:tcMar>
            <w:vAlign w:val="center"/>
          </w:tcPr>
          <w:p>
            <w:pPr>
              <w:spacing w:before="0" w:after="0" w:line="240" w:lineRule="auto"/>
              <w:jc w:val="left"/>
            </w:pPr>
            <w:r/>
            <w:r>
              <w:rPr>
                <w:rFonts w:ascii="Arial" w:hAnsi="Arial" w:cs="Arial"/>
                <w:sz w:val="18"/>
              </w:rPr>
              <w:t>Dignidad e interpretación</w:t>
            </w:r>
          </w:p>
        </w:tc>
      </w:tr>
      <w:tr>
        <w:tc>
          <w:tcPr>
            <w:tcW w:type="dxa" w:w="1934"/>
            <w:tcMar>
              <w:top w:w="80" w:type="dxa"/>
              <w:start w:w="120" w:type="dxa"/>
              <w:bottom w:w="80" w:type="dxa"/>
              <w:end w:w="120" w:type="dxa"/>
            </w:tcMar>
            <w:vAlign w:val="center"/>
          </w:tcPr>
          <w:p>
            <w:pPr>
              <w:spacing w:before="0" w:after="0" w:line="240" w:lineRule="auto"/>
              <w:jc w:val="left"/>
            </w:pPr>
            <w:r/>
            <w:r>
              <w:rPr>
                <w:rFonts w:ascii="Arial" w:hAnsi="Arial" w:cs="Arial"/>
                <w:sz w:val="18"/>
              </w:rPr>
              <w:t>Capítulo I</w:t>
            </w:r>
          </w:p>
        </w:tc>
        <w:tc>
          <w:tcPr>
            <w:tcW w:type="dxa" w:w="1160"/>
            <w:tcMar>
              <w:top w:w="80" w:type="dxa"/>
              <w:start w:w="120" w:type="dxa"/>
              <w:bottom w:w="80" w:type="dxa"/>
              <w:end w:w="120" w:type="dxa"/>
            </w:tcMar>
            <w:vAlign w:val="center"/>
          </w:tcPr>
          <w:p>
            <w:pPr>
              <w:spacing w:before="0" w:after="0" w:line="240" w:lineRule="auto"/>
              <w:jc w:val="center"/>
            </w:pPr>
            <w:r/>
            <w:r>
              <w:rPr>
                <w:rFonts w:ascii="Arial" w:hAnsi="Arial" w:cs="Arial"/>
                <w:sz w:val="18"/>
              </w:rPr>
              <w:t>11-13</w:t>
            </w:r>
          </w:p>
        </w:tc>
        <w:tc>
          <w:tcPr>
            <w:tcW w:type="dxa" w:w="5932"/>
            <w:tcMar>
              <w:top w:w="80" w:type="dxa"/>
              <w:start w:w="120" w:type="dxa"/>
              <w:bottom w:w="80" w:type="dxa"/>
              <w:end w:w="120" w:type="dxa"/>
            </w:tcMar>
            <w:vAlign w:val="center"/>
          </w:tcPr>
          <w:p>
            <w:pPr>
              <w:spacing w:before="0" w:after="0" w:line="240" w:lineRule="auto"/>
              <w:jc w:val="left"/>
            </w:pPr>
            <w:r/>
            <w:r>
              <w:rPr>
                <w:rFonts w:ascii="Arial" w:hAnsi="Arial" w:cs="Arial"/>
                <w:sz w:val="18"/>
              </w:rPr>
              <w:t>Españoles y extranjeros</w:t>
            </w:r>
          </w:p>
        </w:tc>
      </w:tr>
      <w:tr>
        <w:tc>
          <w:tcPr>
            <w:tcW w:type="dxa" w:w="1934"/>
            <w:tcMar>
              <w:top w:w="80" w:type="dxa"/>
              <w:start w:w="120" w:type="dxa"/>
              <w:bottom w:w="80" w:type="dxa"/>
              <w:end w:w="120" w:type="dxa"/>
            </w:tcMar>
            <w:vAlign w:val="center"/>
          </w:tcPr>
          <w:p>
            <w:pPr>
              <w:spacing w:before="0" w:after="0" w:line="240" w:lineRule="auto"/>
              <w:jc w:val="left"/>
            </w:pPr>
            <w:r/>
            <w:r>
              <w:rPr>
                <w:rFonts w:ascii="Arial" w:hAnsi="Arial" w:cs="Arial"/>
                <w:sz w:val="18"/>
              </w:rPr>
              <w:t>Capítulo II</w:t>
            </w:r>
          </w:p>
        </w:tc>
        <w:tc>
          <w:tcPr>
            <w:tcW w:type="dxa" w:w="1160"/>
            <w:tcMar>
              <w:top w:w="80" w:type="dxa"/>
              <w:start w:w="120" w:type="dxa"/>
              <w:bottom w:w="80" w:type="dxa"/>
              <w:end w:w="120" w:type="dxa"/>
            </w:tcMar>
            <w:vAlign w:val="center"/>
          </w:tcPr>
          <w:p>
            <w:pPr>
              <w:spacing w:before="0" w:after="0" w:line="240" w:lineRule="auto"/>
              <w:jc w:val="center"/>
            </w:pPr>
            <w:r/>
            <w:r>
              <w:rPr>
                <w:rFonts w:ascii="Arial" w:hAnsi="Arial" w:cs="Arial"/>
                <w:sz w:val="18"/>
              </w:rPr>
              <w:t>14-38</w:t>
            </w:r>
          </w:p>
        </w:tc>
        <w:tc>
          <w:tcPr>
            <w:tcW w:type="dxa" w:w="5932"/>
            <w:tcMar>
              <w:top w:w="80" w:type="dxa"/>
              <w:start w:w="120" w:type="dxa"/>
              <w:bottom w:w="80" w:type="dxa"/>
              <w:end w:w="120" w:type="dxa"/>
            </w:tcMar>
            <w:vAlign w:val="center"/>
          </w:tcPr>
          <w:p>
            <w:pPr>
              <w:spacing w:before="0" w:after="0" w:line="240" w:lineRule="auto"/>
              <w:jc w:val="left"/>
            </w:pPr>
            <w:r/>
            <w:r>
              <w:rPr>
                <w:rFonts w:ascii="Arial" w:hAnsi="Arial" w:cs="Arial"/>
                <w:sz w:val="18"/>
              </w:rPr>
              <w:t>Derechos y libertades</w:t>
            </w:r>
          </w:p>
        </w:tc>
      </w:tr>
      <w:tr>
        <w:tc>
          <w:tcPr>
            <w:tcW w:type="dxa" w:w="1934"/>
            <w:tcMar>
              <w:top w:w="80" w:type="dxa"/>
              <w:start w:w="120" w:type="dxa"/>
              <w:bottom w:w="80" w:type="dxa"/>
              <w:end w:w="120" w:type="dxa"/>
            </w:tcMar>
            <w:vAlign w:val="center"/>
          </w:tcPr>
          <w:p>
            <w:pPr>
              <w:spacing w:before="0" w:after="0" w:line="240" w:lineRule="auto"/>
              <w:jc w:val="left"/>
            </w:pPr>
            <w:r/>
            <w:r>
              <w:rPr>
                <w:rFonts w:ascii="Arial" w:hAnsi="Arial" w:cs="Arial"/>
                <w:sz w:val="18"/>
              </w:rPr>
              <w:t>Capítulo III</w:t>
            </w:r>
          </w:p>
        </w:tc>
        <w:tc>
          <w:tcPr>
            <w:tcW w:type="dxa" w:w="1160"/>
            <w:tcMar>
              <w:top w:w="80" w:type="dxa"/>
              <w:start w:w="120" w:type="dxa"/>
              <w:bottom w:w="80" w:type="dxa"/>
              <w:end w:w="120" w:type="dxa"/>
            </w:tcMar>
            <w:vAlign w:val="center"/>
          </w:tcPr>
          <w:p>
            <w:pPr>
              <w:spacing w:before="0" w:after="0" w:line="240" w:lineRule="auto"/>
              <w:jc w:val="center"/>
            </w:pPr>
            <w:r/>
            <w:r>
              <w:rPr>
                <w:rFonts w:ascii="Arial" w:hAnsi="Arial" w:cs="Arial"/>
                <w:sz w:val="18"/>
              </w:rPr>
              <w:t>39-52</w:t>
            </w:r>
          </w:p>
        </w:tc>
        <w:tc>
          <w:tcPr>
            <w:tcW w:type="dxa" w:w="5932"/>
            <w:tcMar>
              <w:top w:w="80" w:type="dxa"/>
              <w:start w:w="120" w:type="dxa"/>
              <w:bottom w:w="80" w:type="dxa"/>
              <w:end w:w="120" w:type="dxa"/>
            </w:tcMar>
            <w:vAlign w:val="center"/>
          </w:tcPr>
          <w:p>
            <w:pPr>
              <w:spacing w:before="0" w:after="0" w:line="240" w:lineRule="auto"/>
              <w:jc w:val="left"/>
            </w:pPr>
            <w:r/>
            <w:r>
              <w:rPr>
                <w:rFonts w:ascii="Arial" w:hAnsi="Arial" w:cs="Arial"/>
                <w:sz w:val="18"/>
              </w:rPr>
              <w:t>Principios rectores de la política social y económica</w:t>
            </w:r>
          </w:p>
        </w:tc>
      </w:tr>
      <w:tr>
        <w:tc>
          <w:tcPr>
            <w:tcW w:type="dxa" w:w="1934"/>
            <w:tcMar>
              <w:top w:w="80" w:type="dxa"/>
              <w:start w:w="120" w:type="dxa"/>
              <w:bottom w:w="80" w:type="dxa"/>
              <w:end w:w="120" w:type="dxa"/>
            </w:tcMar>
            <w:vAlign w:val="center"/>
          </w:tcPr>
          <w:p>
            <w:pPr>
              <w:spacing w:before="0" w:after="0" w:line="240" w:lineRule="auto"/>
              <w:jc w:val="left"/>
            </w:pPr>
            <w:r/>
            <w:r>
              <w:rPr>
                <w:rFonts w:ascii="Arial" w:hAnsi="Arial" w:cs="Arial"/>
                <w:sz w:val="18"/>
              </w:rPr>
              <w:t>Capítulo IV</w:t>
            </w:r>
          </w:p>
        </w:tc>
        <w:tc>
          <w:tcPr>
            <w:tcW w:type="dxa" w:w="1160"/>
            <w:tcMar>
              <w:top w:w="80" w:type="dxa"/>
              <w:start w:w="120" w:type="dxa"/>
              <w:bottom w:w="80" w:type="dxa"/>
              <w:end w:w="120" w:type="dxa"/>
            </w:tcMar>
            <w:vAlign w:val="center"/>
          </w:tcPr>
          <w:p>
            <w:pPr>
              <w:spacing w:before="0" w:after="0" w:line="240" w:lineRule="auto"/>
              <w:jc w:val="center"/>
            </w:pPr>
            <w:r/>
            <w:r>
              <w:rPr>
                <w:rFonts w:ascii="Arial" w:hAnsi="Arial" w:cs="Arial"/>
                <w:sz w:val="18"/>
              </w:rPr>
              <w:t>53-54</w:t>
            </w:r>
          </w:p>
        </w:tc>
        <w:tc>
          <w:tcPr>
            <w:tcW w:type="dxa" w:w="5932"/>
            <w:tcMar>
              <w:top w:w="80" w:type="dxa"/>
              <w:start w:w="120" w:type="dxa"/>
              <w:bottom w:w="80" w:type="dxa"/>
              <w:end w:w="120" w:type="dxa"/>
            </w:tcMar>
            <w:vAlign w:val="center"/>
          </w:tcPr>
          <w:p>
            <w:pPr>
              <w:spacing w:before="0" w:after="0" w:line="240" w:lineRule="auto"/>
              <w:jc w:val="center"/>
            </w:pPr>
            <w:r/>
            <w:r>
              <w:rPr>
                <w:rFonts w:ascii="Arial" w:hAnsi="Arial" w:cs="Arial"/>
                <w:sz w:val="18"/>
              </w:rPr>
              <w:t>Garantías</w:t>
            </w:r>
          </w:p>
        </w:tc>
      </w:tr>
      <w:tr>
        <w:tc>
          <w:tcPr>
            <w:tcW w:type="dxa" w:w="1934"/>
            <w:tcMar>
              <w:top w:w="80" w:type="dxa"/>
              <w:start w:w="120" w:type="dxa"/>
              <w:bottom w:w="80" w:type="dxa"/>
              <w:end w:w="120" w:type="dxa"/>
            </w:tcMar>
            <w:vAlign w:val="center"/>
          </w:tcPr>
          <w:p>
            <w:pPr>
              <w:spacing w:before="0" w:after="0" w:line="240" w:lineRule="auto"/>
              <w:jc w:val="left"/>
            </w:pPr>
            <w:r/>
            <w:r>
              <w:rPr>
                <w:rFonts w:ascii="Arial" w:hAnsi="Arial" w:cs="Arial"/>
                <w:sz w:val="18"/>
              </w:rPr>
              <w:t>Capítulo V</w:t>
            </w:r>
          </w:p>
        </w:tc>
        <w:tc>
          <w:tcPr>
            <w:tcW w:type="dxa" w:w="1160"/>
            <w:tcMar>
              <w:top w:w="80" w:type="dxa"/>
              <w:start w:w="120" w:type="dxa"/>
              <w:bottom w:w="80" w:type="dxa"/>
              <w:end w:w="120" w:type="dxa"/>
            </w:tcMar>
            <w:vAlign w:val="center"/>
          </w:tcPr>
          <w:p>
            <w:pPr>
              <w:spacing w:before="0" w:after="0" w:line="240" w:lineRule="auto"/>
              <w:jc w:val="center"/>
            </w:pPr>
            <w:r/>
            <w:r>
              <w:rPr>
                <w:rFonts w:ascii="Arial" w:hAnsi="Arial" w:cs="Arial"/>
                <w:sz w:val="18"/>
              </w:rPr>
              <w:t>55</w:t>
            </w:r>
          </w:p>
        </w:tc>
        <w:tc>
          <w:tcPr>
            <w:tcW w:type="dxa" w:w="5932"/>
            <w:tcMar>
              <w:top w:w="80" w:type="dxa"/>
              <w:start w:w="120" w:type="dxa"/>
              <w:bottom w:w="80" w:type="dxa"/>
              <w:end w:w="120" w:type="dxa"/>
            </w:tcMar>
            <w:vAlign w:val="center"/>
          </w:tcPr>
          <w:p>
            <w:pPr>
              <w:spacing w:before="0" w:after="0" w:line="240" w:lineRule="auto"/>
              <w:jc w:val="center"/>
            </w:pPr>
            <w:r/>
            <w:r>
              <w:rPr>
                <w:rFonts w:ascii="Arial" w:hAnsi="Arial" w:cs="Arial"/>
                <w:sz w:val="18"/>
              </w:rPr>
              <w:t>Suspensión</w:t>
            </w:r>
          </w:p>
        </w:tc>
      </w:tr>
    </w:tbl>
    <w:p>
      <w:pPr>
        <w:spacing w:after="40"/>
      </w:pPr>
    </w:p>
    <w:p>
      <w:pPr>
        <w:jc w:val="both"/>
      </w:pPr>
      <w:r>
        <w:rPr>
          <w:rFonts w:ascii="Arial" w:hAnsi="Arial" w:cs="Arial"/>
          <w:sz w:val="22"/>
        </w:rPr>
        <w:t>El capítulo II se subdivide en:</w:t>
      </w:r>
    </w:p>
    <w:p>
      <w:pPr>
        <w:pStyle w:val="ListBullet"/>
      </w:pPr>
      <w:r>
        <w:rPr>
          <w:rFonts w:ascii="Arial" w:hAnsi="Arial" w:cs="Arial"/>
          <w:sz w:val="22"/>
        </w:rPr>
        <w:t>Artículo 14: igualdad y no discriminación.</w:t>
      </w:r>
    </w:p>
    <w:p>
      <w:pPr>
        <w:pStyle w:val="ListBullet"/>
      </w:pPr>
      <w:r>
        <w:rPr>
          <w:rFonts w:ascii="Arial" w:hAnsi="Arial" w:cs="Arial"/>
          <w:sz w:val="22"/>
        </w:rPr>
        <w:t>Sección 1.ª, artículos 15 a 29: derechos fundamentales y libertades públicas.</w:t>
      </w:r>
    </w:p>
    <w:p>
      <w:pPr>
        <w:pStyle w:val="ListBullet"/>
      </w:pPr>
      <w:r>
        <w:rPr>
          <w:rFonts w:ascii="Arial" w:hAnsi="Arial" w:cs="Arial"/>
          <w:sz w:val="22"/>
        </w:rPr>
        <w:t>Sección 2.ª, artículos 30 a 38: derechos y deberes de los ciudadanos.</w:t>
      </w:r>
    </w:p>
    <w:p>
      <w:pPr>
        <w:jc w:val="both"/>
      </w:pPr>
      <w:r>
        <w:rPr>
          <w:rFonts w:ascii="Arial" w:hAnsi="Arial" w:cs="Arial"/>
          <w:sz w:val="22"/>
        </w:rPr>
        <w:t>Esta clasificación produce tres niveles básicos de garantía:</w:t>
      </w:r>
    </w:p>
    <w:tbl>
      <w:tblPr>
        <w:tblStyle w:val="TableGrid"/>
        <w:tblW w:type="dxa" w:w="9026"/>
        <w:jc w:val="left"/>
        <w:tblLayout w:type="fixed"/>
        <w:tblLook w:firstColumn="1" w:firstRow="1" w:lastColumn="0" w:lastRow="0" w:noHBand="0" w:noVBand="1" w:val="04A0"/>
        <w:tblInd w:w="120" w:type="dxa"/>
      </w:tblPr>
      <w:tblGrid>
        <w:gridCol w:w="3203"/>
        <w:gridCol w:w="5823"/>
      </w:tblGrid>
      <w:tr>
        <w:trPr>
          <w:tblHeader w:val="true"/>
        </w:trPr>
        <w:tc>
          <w:tcPr>
            <w:tcW w:type="dxa" w:w="320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Grupo</w:t>
            </w:r>
          </w:p>
        </w:tc>
        <w:tc>
          <w:tcPr>
            <w:tcW w:type="dxa" w:w="582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Protección principal</w:t>
            </w:r>
          </w:p>
        </w:tc>
      </w:tr>
      <w:tr>
        <w:tc>
          <w:tcPr>
            <w:tcW w:type="dxa" w:w="3203"/>
            <w:tcMar>
              <w:top w:w="80" w:type="dxa"/>
              <w:start w:w="120" w:type="dxa"/>
              <w:bottom w:w="80" w:type="dxa"/>
              <w:end w:w="120" w:type="dxa"/>
            </w:tcMar>
            <w:vAlign w:val="center"/>
          </w:tcPr>
          <w:p>
            <w:pPr>
              <w:spacing w:before="0" w:after="0" w:line="240" w:lineRule="auto"/>
              <w:jc w:val="left"/>
            </w:pPr>
            <w:r/>
            <w:r>
              <w:rPr>
                <w:rFonts w:ascii="Arial" w:hAnsi="Arial" w:cs="Arial"/>
                <w:sz w:val="18"/>
              </w:rPr>
              <w:t>Artículo 14 y sección 1.ª, artículos 15-29</w:t>
            </w:r>
          </w:p>
        </w:tc>
        <w:tc>
          <w:tcPr>
            <w:tcW w:type="dxa" w:w="5823"/>
            <w:tcMar>
              <w:top w:w="80" w:type="dxa"/>
              <w:start w:w="120" w:type="dxa"/>
              <w:bottom w:w="80" w:type="dxa"/>
              <w:end w:w="120" w:type="dxa"/>
            </w:tcMar>
            <w:vAlign w:val="center"/>
          </w:tcPr>
          <w:p>
            <w:pPr>
              <w:spacing w:before="0" w:after="0" w:line="240" w:lineRule="auto"/>
              <w:jc w:val="left"/>
            </w:pPr>
            <w:r/>
            <w:r>
              <w:rPr>
                <w:rFonts w:ascii="Arial" w:hAnsi="Arial" w:cs="Arial"/>
                <w:sz w:val="18"/>
              </w:rPr>
              <w:t>Vinculación, reserva de ley y contenido esencial; procedimiento judicial preferente y sumario; amparo constitucional; desarrollo mediante ley orgánica; reforma agravada para la sección 1.ª</w:t>
            </w:r>
          </w:p>
        </w:tc>
      </w:tr>
      <w:tr>
        <w:tc>
          <w:tcPr>
            <w:tcW w:type="dxa" w:w="3203"/>
            <w:tcMar>
              <w:top w:w="80" w:type="dxa"/>
              <w:start w:w="120" w:type="dxa"/>
              <w:bottom w:w="80" w:type="dxa"/>
              <w:end w:w="120" w:type="dxa"/>
            </w:tcMar>
            <w:vAlign w:val="center"/>
          </w:tcPr>
          <w:p>
            <w:pPr>
              <w:spacing w:before="0" w:after="0" w:line="240" w:lineRule="auto"/>
              <w:jc w:val="left"/>
            </w:pPr>
            <w:r/>
            <w:r>
              <w:rPr>
                <w:rFonts w:ascii="Arial" w:hAnsi="Arial" w:cs="Arial"/>
                <w:sz w:val="18"/>
              </w:rPr>
              <w:t>Sección 2.ª, artículos 30-38</w:t>
            </w:r>
          </w:p>
        </w:tc>
        <w:tc>
          <w:tcPr>
            <w:tcW w:type="dxa" w:w="5823"/>
            <w:tcMar>
              <w:top w:w="80" w:type="dxa"/>
              <w:start w:w="120" w:type="dxa"/>
              <w:bottom w:w="80" w:type="dxa"/>
              <w:end w:w="120" w:type="dxa"/>
            </w:tcMar>
            <w:vAlign w:val="center"/>
          </w:tcPr>
          <w:p>
            <w:pPr>
              <w:spacing w:before="0" w:after="0" w:line="240" w:lineRule="auto"/>
              <w:jc w:val="left"/>
            </w:pPr>
            <w:r/>
            <w:r>
              <w:rPr>
                <w:rFonts w:ascii="Arial" w:hAnsi="Arial" w:cs="Arial"/>
                <w:sz w:val="18"/>
              </w:rPr>
              <w:t>Vinculación, reserva de ley y respeto al contenido esencial; el artículo 30.2 tiene además amparo</w:t>
            </w:r>
          </w:p>
        </w:tc>
      </w:tr>
      <w:tr>
        <w:tc>
          <w:tcPr>
            <w:tcW w:type="dxa" w:w="3203"/>
            <w:tcMar>
              <w:top w:w="80" w:type="dxa"/>
              <w:start w:w="120" w:type="dxa"/>
              <w:bottom w:w="80" w:type="dxa"/>
              <w:end w:w="120" w:type="dxa"/>
            </w:tcMar>
            <w:vAlign w:val="center"/>
          </w:tcPr>
          <w:p>
            <w:pPr>
              <w:spacing w:before="0" w:after="0" w:line="240" w:lineRule="auto"/>
              <w:jc w:val="left"/>
            </w:pPr>
            <w:r/>
            <w:r>
              <w:rPr>
                <w:rFonts w:ascii="Arial" w:hAnsi="Arial" w:cs="Arial"/>
                <w:sz w:val="18"/>
              </w:rPr>
              <w:t>Capítulo III, artículos 39-52</w:t>
            </w:r>
          </w:p>
        </w:tc>
        <w:tc>
          <w:tcPr>
            <w:tcW w:type="dxa" w:w="5823"/>
            <w:tcMar>
              <w:top w:w="80" w:type="dxa"/>
              <w:start w:w="120" w:type="dxa"/>
              <w:bottom w:w="80" w:type="dxa"/>
              <w:end w:w="120" w:type="dxa"/>
            </w:tcMar>
            <w:vAlign w:val="center"/>
          </w:tcPr>
          <w:p>
            <w:pPr>
              <w:spacing w:before="0" w:after="0" w:line="240" w:lineRule="auto"/>
              <w:jc w:val="left"/>
            </w:pPr>
            <w:r/>
            <w:r>
              <w:rPr>
                <w:rFonts w:ascii="Arial" w:hAnsi="Arial" w:cs="Arial"/>
                <w:sz w:val="18"/>
              </w:rPr>
              <w:t>Informan legislación, práctica judicial y poderes públicos; alegación judicial según sus leyes de desarrollo</w:t>
            </w:r>
          </w:p>
        </w:tc>
      </w:tr>
    </w:tbl>
    <w:p>
      <w:pPr>
        <w:spacing w:after="40"/>
      </w:pPr>
    </w:p>
    <w:p>
      <w:pPr>
        <w:pStyle w:val="Heading1"/>
        <w:keepNext/>
      </w:pPr>
      <w:r>
        <w:rPr>
          <w:rFonts w:ascii="Arial" w:hAnsi="Arial" w:cs="Arial"/>
          <w:sz w:val="30"/>
        </w:rPr>
        <w:t>2. Españoles y extranjeros</w:t>
      </w:r>
    </w:p>
    <w:p>
      <w:pPr>
        <w:pStyle w:val="Heading2"/>
        <w:keepNext/>
      </w:pPr>
      <w:r>
        <w:rPr>
          <w:rFonts w:ascii="Arial" w:hAnsi="Arial" w:cs="Arial"/>
          <w:sz w:val="25"/>
        </w:rPr>
        <w:t>2.1. Nacionalidad: artículo 11</w:t>
      </w:r>
    </w:p>
    <w:p>
      <w:pPr>
        <w:jc w:val="both"/>
      </w:pPr>
      <w:r>
        <w:rPr>
          <w:rFonts w:ascii="Arial" w:hAnsi="Arial" w:cs="Arial"/>
          <w:sz w:val="22"/>
        </w:rPr>
        <w:t>La nacionalidad española se adquiere, conserva y pierde de acuerdo con la ley. Ningún español de origen puede ser privado de su nacionalidad.</w:t>
      </w:r>
    </w:p>
    <w:p>
      <w:pPr>
        <w:jc w:val="both"/>
      </w:pPr>
      <w:r>
        <w:rPr>
          <w:rFonts w:ascii="Arial" w:hAnsi="Arial" w:cs="Arial"/>
          <w:sz w:val="22"/>
        </w:rPr>
        <w:t>El Estado puede concertar tratados de doble nacionalidad con países iberoamericanos o con aquellos que hayan tenido o tengan particular vinculación con España. En esos países, aunque no reconozcan a sus ciudadanos un derecho recíproco, los españoles pueden naturalizarse sin perder su nacionalidad de origen.</w:t>
      </w:r>
    </w:p>
    <w:p>
      <w:pPr>
        <w:jc w:val="both"/>
      </w:pPr>
      <w:r>
        <w:rPr>
          <w:rFonts w:ascii="Arial" w:hAnsi="Arial" w:cs="Arial"/>
          <w:sz w:val="22"/>
        </w:rPr>
        <w:t>Debe distinguirse:</w:t>
      </w:r>
    </w:p>
    <w:p>
      <w:pPr>
        <w:pStyle w:val="ListBullet"/>
      </w:pPr>
      <w:r>
        <w:rPr>
          <w:rFonts w:ascii="Arial" w:hAnsi="Arial" w:cs="Arial"/>
          <w:sz w:val="22"/>
        </w:rPr>
        <w:t xml:space="preserve">La prohibición constitucional de privación afecta al español </w:t>
      </w:r>
      <w:r>
        <w:rPr>
          <w:rFonts w:ascii="Arial" w:hAnsi="Arial" w:cs="Arial"/>
          <w:b/>
          <w:sz w:val="22"/>
        </w:rPr>
        <w:t>de origen</w:t>
      </w:r>
      <w:r>
        <w:rPr>
          <w:rFonts w:ascii="Arial" w:hAnsi="Arial" w:cs="Arial"/>
          <w:sz w:val="22"/>
        </w:rPr>
        <w:t>.</w:t>
      </w:r>
    </w:p>
    <w:p>
      <w:pPr>
        <w:pStyle w:val="ListBullet"/>
      </w:pPr>
      <w:r>
        <w:rPr>
          <w:rFonts w:ascii="Arial" w:hAnsi="Arial" w:cs="Arial"/>
          <w:sz w:val="22"/>
        </w:rPr>
        <w:t>La regulación detallada de adquisición, opción, conservación, pérdida y recuperación corresponde a la ley.</w:t>
      </w:r>
    </w:p>
    <w:p>
      <w:pPr>
        <w:pStyle w:val="ListBullet"/>
      </w:pPr>
      <w:r>
        <w:rPr>
          <w:rFonts w:ascii="Arial" w:hAnsi="Arial" w:cs="Arial"/>
          <w:sz w:val="22"/>
        </w:rPr>
        <w:t>La doble nacionalidad convencional no equivale a que toda adquisición de otra nacionalidad resulte irrelevante.</w:t>
      </w:r>
    </w:p>
    <w:p>
      <w:pPr>
        <w:pStyle w:val="Heading2"/>
        <w:keepNext/>
      </w:pPr>
      <w:r>
        <w:rPr>
          <w:rFonts w:ascii="Arial" w:hAnsi="Arial" w:cs="Arial"/>
          <w:sz w:val="25"/>
        </w:rPr>
        <w:t>2.2. Mayoría de edad: artículo 12</w:t>
      </w:r>
    </w:p>
    <w:p>
      <w:pPr>
        <w:jc w:val="both"/>
      </w:pPr>
      <w:r>
        <w:rPr>
          <w:rFonts w:ascii="Arial" w:hAnsi="Arial" w:cs="Arial"/>
          <w:sz w:val="22"/>
        </w:rPr>
        <w:t>Los españoles son mayores de edad a los dieciocho años. La mayoría de edad constitucional no debe confundirse con edades específicas que las leyes puedan exigir para determinados actos o cargos.</w:t>
      </w:r>
    </w:p>
    <w:p>
      <w:pPr>
        <w:pStyle w:val="Heading2"/>
        <w:keepNext/>
      </w:pPr>
      <w:r>
        <w:rPr>
          <w:rFonts w:ascii="Arial" w:hAnsi="Arial" w:cs="Arial"/>
          <w:sz w:val="25"/>
        </w:rPr>
        <w:t>2.3. Extranjeros: artículo 13</w:t>
      </w:r>
    </w:p>
    <w:p>
      <w:pPr>
        <w:jc w:val="both"/>
      </w:pPr>
      <w:r>
        <w:rPr>
          <w:rFonts w:ascii="Arial" w:hAnsi="Arial" w:cs="Arial"/>
          <w:sz w:val="22"/>
        </w:rPr>
        <w:t>Los extranjeros gozan en España de las libertades públicas garantizadas por el título I en los términos que establezcan los tratados y la ley.</w:t>
      </w:r>
    </w:p>
    <w:p>
      <w:pPr>
        <w:jc w:val="both"/>
      </w:pPr>
      <w:r>
        <w:rPr>
          <w:rFonts w:ascii="Arial" w:hAnsi="Arial" w:cs="Arial"/>
          <w:sz w:val="22"/>
        </w:rPr>
        <w:t>Solamente los españoles son titulares de los derechos del artículo 23, salvo lo que, atendiendo a criterios de reciprocidad, pueda establecerse por tratado o ley para el sufragio activo y pasivo en elecciones municipales. La mención al sufragio pasivo procede de la reforma constitucional de 1992.</w:t>
      </w:r>
    </w:p>
    <w:p>
      <w:pPr>
        <w:jc w:val="both"/>
      </w:pPr>
      <w:r>
        <w:rPr>
          <w:rFonts w:ascii="Arial" w:hAnsi="Arial" w:cs="Arial"/>
          <w:sz w:val="22"/>
        </w:rPr>
        <w:t>La extradición solo se concede en cumplimiento de tratado o ley y atendiendo al principio de reciprocidad. Quedan excluidos los delitos políticos, pero los actos de terrorismo no se consideran delitos políticos a esos efectos.</w:t>
      </w:r>
    </w:p>
    <w:p>
      <w:pPr>
        <w:jc w:val="both"/>
      </w:pPr>
      <w:r>
        <w:rPr>
          <w:rFonts w:ascii="Arial" w:hAnsi="Arial" w:cs="Arial"/>
          <w:sz w:val="22"/>
        </w:rPr>
        <w:t>La ley establece los términos en que ciudadanos de otros países y apátridas pueden gozar del derecho de asilo en España.</w:t>
      </w:r>
    </w:p>
    <w:p>
      <w:pPr>
        <w:pStyle w:val="Heading1"/>
        <w:keepNext/>
      </w:pPr>
      <w:r>
        <w:rPr>
          <w:rFonts w:ascii="Arial" w:hAnsi="Arial" w:cs="Arial"/>
          <w:sz w:val="30"/>
        </w:rPr>
        <w:t>3. Igualdad ante la ley</w:t>
      </w:r>
    </w:p>
    <w:p>
      <w:pPr>
        <w:jc w:val="both"/>
      </w:pPr>
      <w:r>
        <w:rPr>
          <w:rFonts w:ascii="Arial" w:hAnsi="Arial" w:cs="Arial"/>
          <w:sz w:val="22"/>
        </w:rPr>
        <w:t>El artículo 14 proclama que los españoles son iguales ante la ley, sin que pueda prevalecer discriminación por:</w:t>
      </w:r>
    </w:p>
    <w:p>
      <w:pPr>
        <w:pStyle w:val="ListBullet"/>
      </w:pPr>
      <w:r>
        <w:rPr>
          <w:rFonts w:ascii="Arial" w:hAnsi="Arial" w:cs="Arial"/>
          <w:sz w:val="22"/>
        </w:rPr>
        <w:t>Nacimiento.</w:t>
      </w:r>
    </w:p>
    <w:p>
      <w:pPr>
        <w:pStyle w:val="ListBullet"/>
      </w:pPr>
      <w:r>
        <w:rPr>
          <w:rFonts w:ascii="Arial" w:hAnsi="Arial" w:cs="Arial"/>
          <w:sz w:val="22"/>
        </w:rPr>
        <w:t>Raza.</w:t>
      </w:r>
    </w:p>
    <w:p>
      <w:pPr>
        <w:pStyle w:val="ListBullet"/>
      </w:pPr>
      <w:r>
        <w:rPr>
          <w:rFonts w:ascii="Arial" w:hAnsi="Arial" w:cs="Arial"/>
          <w:sz w:val="22"/>
        </w:rPr>
        <w:t>Sexo.</w:t>
      </w:r>
    </w:p>
    <w:p>
      <w:pPr>
        <w:pStyle w:val="ListBullet"/>
      </w:pPr>
      <w:r>
        <w:rPr>
          <w:rFonts w:ascii="Arial" w:hAnsi="Arial" w:cs="Arial"/>
          <w:sz w:val="22"/>
        </w:rPr>
        <w:t>Religión.</w:t>
      </w:r>
    </w:p>
    <w:p>
      <w:pPr>
        <w:pStyle w:val="ListBullet"/>
      </w:pPr>
      <w:r>
        <w:rPr>
          <w:rFonts w:ascii="Arial" w:hAnsi="Arial" w:cs="Arial"/>
          <w:sz w:val="22"/>
        </w:rPr>
        <w:t>Opinión.</w:t>
      </w:r>
    </w:p>
    <w:p>
      <w:pPr>
        <w:pStyle w:val="ListBullet"/>
      </w:pPr>
      <w:r>
        <w:rPr>
          <w:rFonts w:ascii="Arial" w:hAnsi="Arial" w:cs="Arial"/>
          <w:sz w:val="22"/>
        </w:rPr>
        <w:t>Cualquier otra condición o circunstancia personal o social.</w:t>
      </w:r>
    </w:p>
    <w:p>
      <w:pPr>
        <w:jc w:val="both"/>
      </w:pPr>
      <w:r>
        <w:rPr>
          <w:rFonts w:ascii="Arial" w:hAnsi="Arial" w:cs="Arial"/>
          <w:sz w:val="22"/>
        </w:rPr>
        <w:t>La enumeración es abierta. La cláusula final permite abarcar otros factores. Las diferencias de trato necesitan justificación objetiva, razonable y proporcionada.</w:t>
      </w:r>
    </w:p>
    <w:p>
      <w:pPr>
        <w:jc w:val="both"/>
      </w:pPr>
      <w:r>
        <w:rPr>
          <w:rFonts w:ascii="Arial" w:hAnsi="Arial" w:cs="Arial"/>
          <w:sz w:val="22"/>
        </w:rPr>
        <w:t>El artículo 14 está fuera de las dos secciones del capítulo II, pero disfruta de la protección reforzada del artículo 53.2: procedimiento preferente y sumario y recurso de amparo.</w:t>
      </w:r>
    </w:p>
    <w:p>
      <w:pPr>
        <w:jc w:val="both"/>
      </w:pPr>
      <w:r>
        <w:rPr>
          <w:rFonts w:ascii="Arial" w:hAnsi="Arial" w:cs="Arial"/>
          <w:sz w:val="22"/>
        </w:rPr>
        <w:t>La igualdad formal del artículo 14 se complementa con la igualdad real y efectiva del artículo 9.2. La primera prohíbe discriminaciones y diferencias arbitrarias; la segunda exige a los poderes públicos promover condiciones y remover obstáculos.</w:t>
      </w:r>
    </w:p>
    <w:p>
      <w:pPr>
        <w:pStyle w:val="Heading1"/>
        <w:keepNext/>
      </w:pPr>
      <w:r>
        <w:rPr>
          <w:rFonts w:ascii="Arial" w:hAnsi="Arial" w:cs="Arial"/>
          <w:sz w:val="30"/>
        </w:rPr>
        <w:t>4. Derechos fundamentales y libertades públicas: artículos 15 a 29</w:t>
      </w:r>
    </w:p>
    <w:p>
      <w:pPr>
        <w:pStyle w:val="Heading2"/>
        <w:keepNext/>
      </w:pPr>
      <w:r>
        <w:rPr>
          <w:rFonts w:ascii="Arial" w:hAnsi="Arial" w:cs="Arial"/>
          <w:sz w:val="25"/>
        </w:rPr>
        <w:t>4.1. Vida e integridad: artículo 15</w:t>
      </w:r>
    </w:p>
    <w:p>
      <w:pPr>
        <w:jc w:val="both"/>
      </w:pPr>
      <w:r>
        <w:rPr>
          <w:rFonts w:ascii="Arial" w:hAnsi="Arial" w:cs="Arial"/>
          <w:sz w:val="22"/>
        </w:rPr>
        <w:t>Todos tienen derecho a la vida y a la integridad física y moral. Nadie puede ser sometido a tortura ni a penas o tratos inhumanos o degradantes.</w:t>
      </w:r>
    </w:p>
    <w:p>
      <w:pPr>
        <w:jc w:val="both"/>
      </w:pPr>
      <w:r>
        <w:rPr>
          <w:rFonts w:ascii="Arial" w:hAnsi="Arial" w:cs="Arial"/>
          <w:sz w:val="22"/>
        </w:rPr>
        <w:t>El texto constitucional declara abolida la pena de muerte, salvo lo que pudieran disponer las leyes penales militares para tiempos de guerra. Esa salvedad permanece en la redacción literal de la Constitución. Sin embargo, la Ley Orgánica 11/1995 abolió también la pena de muerte en tiempo de guerra en la legislación penal militar.</w:t>
      </w:r>
    </w:p>
    <w:p>
      <w:pPr>
        <w:pStyle w:val="Heading2"/>
        <w:keepNext/>
      </w:pPr>
      <w:r>
        <w:rPr>
          <w:rFonts w:ascii="Arial" w:hAnsi="Arial" w:cs="Arial"/>
          <w:sz w:val="25"/>
        </w:rPr>
        <w:t>4.2. Libertad ideológica y religiosa: artículo 16</w:t>
      </w:r>
    </w:p>
    <w:p>
      <w:pPr>
        <w:jc w:val="both"/>
      </w:pPr>
      <w:r>
        <w:rPr>
          <w:rFonts w:ascii="Arial" w:hAnsi="Arial" w:cs="Arial"/>
          <w:sz w:val="22"/>
        </w:rPr>
        <w:t>Se garantiza la libertad ideológica, religiosa y de culto de individuos y comunidades, sin más limitación en sus manifestaciones que la necesaria para mantener el orden público protegido por la ley.</w:t>
      </w:r>
    </w:p>
    <w:p>
      <w:pPr>
        <w:jc w:val="both"/>
      </w:pPr>
      <w:r>
        <w:rPr>
          <w:rFonts w:ascii="Arial" w:hAnsi="Arial" w:cs="Arial"/>
          <w:sz w:val="22"/>
        </w:rPr>
        <w:t>Nadie puede ser obligado a declarar sobre su ideología, religión o creencias. Ninguna confesión tiene carácter estatal. Los poderes públicos tendrán en cuenta las creencias religiosas de la sociedad española y mantendrán las consiguientes relaciones de cooperación con la Iglesia católica y las demás confesiones.</w:t>
      </w:r>
    </w:p>
    <w:p>
      <w:pPr>
        <w:jc w:val="both"/>
      </w:pPr>
      <w:r>
        <w:rPr>
          <w:rFonts w:ascii="Arial" w:hAnsi="Arial" w:cs="Arial"/>
          <w:sz w:val="22"/>
        </w:rPr>
        <w:t>La aconfesionalidad no supone ignorar el fenómeno religioso ni establece una religión estatal. La Constitución combina neutralidad y cooperación.</w:t>
      </w:r>
    </w:p>
    <w:p>
      <w:pPr>
        <w:pStyle w:val="Heading2"/>
        <w:keepNext/>
      </w:pPr>
      <w:r>
        <w:rPr>
          <w:rFonts w:ascii="Arial" w:hAnsi="Arial" w:cs="Arial"/>
          <w:sz w:val="25"/>
        </w:rPr>
        <w:t>4.3. Libertad y seguridad: artículo 17</w:t>
      </w:r>
    </w:p>
    <w:p>
      <w:pPr>
        <w:jc w:val="both"/>
      </w:pPr>
      <w:r>
        <w:rPr>
          <w:rFonts w:ascii="Arial" w:hAnsi="Arial" w:cs="Arial"/>
          <w:sz w:val="22"/>
        </w:rPr>
        <w:t>Toda persona tiene derecho a la libertad y a la seguridad. Nadie puede ser privado de libertad salvo con observancia de la Constitución y en los casos y forma previstos por la ley.</w:t>
      </w:r>
    </w:p>
    <w:p>
      <w:pPr>
        <w:jc w:val="both"/>
      </w:pPr>
      <w:r>
        <w:rPr>
          <w:rFonts w:ascii="Arial" w:hAnsi="Arial" w:cs="Arial"/>
          <w:sz w:val="22"/>
        </w:rPr>
        <w:t>La detención preventiva:</w:t>
      </w:r>
    </w:p>
    <w:p>
      <w:pPr>
        <w:pStyle w:val="ListBullet"/>
      </w:pPr>
      <w:r>
        <w:rPr>
          <w:rFonts w:ascii="Arial" w:hAnsi="Arial" w:cs="Arial"/>
          <w:sz w:val="22"/>
        </w:rPr>
        <w:t>Solo puede durar el tiempo estrictamente necesario para realizar las averiguaciones dirigidas al esclarecimiento de los hechos.</w:t>
      </w:r>
    </w:p>
    <w:p>
      <w:pPr>
        <w:pStyle w:val="ListBullet"/>
      </w:pPr>
      <w:r>
        <w:rPr>
          <w:rFonts w:ascii="Arial" w:hAnsi="Arial" w:cs="Arial"/>
          <w:sz w:val="22"/>
        </w:rPr>
        <w:t xml:space="preserve">En todo caso, dentro del plazo máximo de </w:t>
      </w:r>
      <w:r>
        <w:rPr>
          <w:rFonts w:ascii="Arial" w:hAnsi="Arial" w:cs="Arial"/>
          <w:b/>
          <w:sz w:val="22"/>
        </w:rPr>
        <w:t>setenta y dos horas</w:t>
      </w:r>
      <w:r>
        <w:rPr>
          <w:rFonts w:ascii="Arial" w:hAnsi="Arial" w:cs="Arial"/>
          <w:sz w:val="22"/>
        </w:rPr>
        <w:t>, el detenido debe ser puesto en libertad o a disposición judicial.</w:t>
      </w:r>
    </w:p>
    <w:p>
      <w:pPr>
        <w:jc w:val="both"/>
      </w:pPr>
      <w:r>
        <w:rPr>
          <w:rFonts w:ascii="Arial" w:hAnsi="Arial" w:cs="Arial"/>
          <w:sz w:val="22"/>
        </w:rPr>
        <w:t>Toda persona detenida debe ser informada inmediatamente, de forma comprensible, de sus derechos y de las razones de su detención. No puede ser obligada a declarar. Se garantiza asistencia de abogado en diligencias policiales y judiciales, en los términos legales.</w:t>
      </w:r>
    </w:p>
    <w:p>
      <w:pPr>
        <w:jc w:val="both"/>
      </w:pPr>
      <w:r>
        <w:rPr>
          <w:rFonts w:ascii="Arial" w:hAnsi="Arial" w:cs="Arial"/>
          <w:sz w:val="22"/>
        </w:rPr>
        <w:t xml:space="preserve">La ley regula un procedimiento de </w:t>
      </w:r>
      <w:r>
        <w:rPr>
          <w:rFonts w:ascii="Arial" w:hAnsi="Arial" w:cs="Arial"/>
          <w:b/>
          <w:sz w:val="22"/>
        </w:rPr>
        <w:t>habeas corpus</w:t>
      </w:r>
      <w:r>
        <w:rPr>
          <w:rFonts w:ascii="Arial" w:hAnsi="Arial" w:cs="Arial"/>
          <w:sz w:val="22"/>
        </w:rPr>
        <w:t xml:space="preserve"> para producir la inmediata puesta a disposición judicial de toda persona detenida ilegalmente. También determina el plazo máximo de la prisión provisional.</w:t>
      </w:r>
    </w:p>
    <w:p>
      <w:pPr>
        <w:jc w:val="both"/>
      </w:pPr>
      <w:r>
        <w:rPr>
          <w:rFonts w:ascii="Arial" w:hAnsi="Arial" w:cs="Arial"/>
          <w:sz w:val="22"/>
        </w:rPr>
        <w:t>La Ley Orgánica 6/1984 configura el habeas corpus como un procedimiento rápido. Pueden instarlo, entre otros, la persona privada de libertad, determinados familiares, representantes legales de menores o personas con medidas de apoyo pertinentes, el Ministerio Fiscal y el Defensor del Pueblo; el juez también puede iniciarlo de oficio. Desde el auto de incoación, las actuaciones y la resolución deben realizarse en veinticuatro horas.</w:t>
      </w:r>
    </w:p>
    <w:p>
      <w:pPr>
        <w:pStyle w:val="Heading2"/>
        <w:keepNext/>
      </w:pPr>
      <w:r>
        <w:rPr>
          <w:rFonts w:ascii="Arial" w:hAnsi="Arial" w:cs="Arial"/>
          <w:sz w:val="25"/>
        </w:rPr>
        <w:t>4.4. Honor, intimidad, domicilio, comunicaciones e informática: artículo 18</w:t>
      </w:r>
    </w:p>
    <w:p>
      <w:pPr>
        <w:jc w:val="both"/>
      </w:pPr>
      <w:r>
        <w:rPr>
          <w:rFonts w:ascii="Arial" w:hAnsi="Arial" w:cs="Arial"/>
          <w:sz w:val="22"/>
        </w:rPr>
        <w:t>El artículo 18 reúne cuatro garantías:</w:t>
      </w:r>
    </w:p>
    <w:p>
      <w:pPr>
        <w:spacing w:after="40"/>
        <w:ind w:left="369" w:hanging="227"/>
      </w:pPr>
      <w:r>
        <w:rPr>
          <w:rFonts w:ascii="Arial" w:hAnsi="Arial" w:cs="Arial"/>
          <w:sz w:val="22"/>
        </w:rPr>
        <w:t>1. Derecho al honor, a la intimidad personal y familiar y a la propia imagen.</w:t>
      </w:r>
    </w:p>
    <w:p>
      <w:pPr>
        <w:spacing w:after="40"/>
        <w:ind w:left="369" w:hanging="227"/>
      </w:pPr>
      <w:r>
        <w:rPr>
          <w:rFonts w:ascii="Arial" w:hAnsi="Arial" w:cs="Arial"/>
          <w:sz w:val="22"/>
        </w:rPr>
        <w:t>2. Inviolabilidad del domicilio: ninguna entrada o registro puede realizarse sin consentimiento del titular o resolución judicial, salvo flagrante delito.</w:t>
      </w:r>
    </w:p>
    <w:p>
      <w:pPr>
        <w:spacing w:after="40"/>
        <w:ind w:left="369" w:hanging="227"/>
      </w:pPr>
      <w:r>
        <w:rPr>
          <w:rFonts w:ascii="Arial" w:hAnsi="Arial" w:cs="Arial"/>
          <w:sz w:val="22"/>
        </w:rPr>
        <w:t>3. Secreto de comunicaciones, especialmente postales, telegráficas y telefónicas, salvo resolución judicial.</w:t>
      </w:r>
    </w:p>
    <w:p>
      <w:pPr>
        <w:spacing w:after="40"/>
        <w:ind w:left="369" w:hanging="227"/>
      </w:pPr>
      <w:r>
        <w:rPr>
          <w:rFonts w:ascii="Arial" w:hAnsi="Arial" w:cs="Arial"/>
          <w:sz w:val="22"/>
        </w:rPr>
        <w:t>4. Mandato al legislador para limitar el uso de la informática a fin de garantizar honor e intimidad personal y familiar y el pleno ejercicio de los derechos.</w:t>
      </w:r>
    </w:p>
    <w:p>
      <w:pPr>
        <w:jc w:val="both"/>
      </w:pPr>
      <w:r>
        <w:rPr>
          <w:rFonts w:ascii="Arial" w:hAnsi="Arial" w:cs="Arial"/>
          <w:sz w:val="22"/>
        </w:rPr>
        <w:t>No deben confundirse las excepciones. El delito flagrante aparece como excepción expresa para la entrada domiciliaria, no como excepción literal autónoma al secreto de las comunicaciones. En ambos ámbitos la resolución judicial constituye garantía central.</w:t>
      </w:r>
    </w:p>
    <w:p>
      <w:pPr>
        <w:pStyle w:val="Heading2"/>
        <w:keepNext/>
      </w:pPr>
      <w:r>
        <w:rPr>
          <w:rFonts w:ascii="Arial" w:hAnsi="Arial" w:cs="Arial"/>
          <w:sz w:val="25"/>
        </w:rPr>
        <w:t>4.5. Residencia y circulación: artículo 19</w:t>
      </w:r>
    </w:p>
    <w:p>
      <w:pPr>
        <w:jc w:val="both"/>
      </w:pPr>
      <w:r>
        <w:rPr>
          <w:rFonts w:ascii="Arial" w:hAnsi="Arial" w:cs="Arial"/>
          <w:sz w:val="22"/>
        </w:rPr>
        <w:t>Los españoles tienen derecho a elegir libremente residencia y a circular por el territorio nacional. También tienen derecho a entrar y salir libremente de España en los términos que establezca la ley.</w:t>
      </w:r>
    </w:p>
    <w:p>
      <w:pPr>
        <w:jc w:val="both"/>
      </w:pPr>
      <w:r>
        <w:rPr>
          <w:rFonts w:ascii="Arial" w:hAnsi="Arial" w:cs="Arial"/>
          <w:sz w:val="22"/>
        </w:rPr>
        <w:t>El derecho a entrar y salir no puede limitarse por motivos políticos o ideológicos. El artículo 19 se refiere literalmente a los españoles; el régimen de circulación de extranjeros se integra con el artículo 13, el Derecho de la Unión y las leyes.</w:t>
      </w:r>
    </w:p>
    <w:p>
      <w:pPr>
        <w:pStyle w:val="Heading2"/>
        <w:keepNext/>
      </w:pPr>
      <w:r>
        <w:rPr>
          <w:rFonts w:ascii="Arial" w:hAnsi="Arial" w:cs="Arial"/>
          <w:sz w:val="25"/>
        </w:rPr>
        <w:t>4.6. Expresión e información: artículo 20</w:t>
      </w:r>
    </w:p>
    <w:p>
      <w:pPr>
        <w:jc w:val="both"/>
      </w:pPr>
      <w:r>
        <w:rPr>
          <w:rFonts w:ascii="Arial" w:hAnsi="Arial" w:cs="Arial"/>
          <w:sz w:val="22"/>
        </w:rPr>
        <w:t>Se reconocen y protegen:</w:t>
      </w:r>
    </w:p>
    <w:p>
      <w:pPr>
        <w:pStyle w:val="ListBullet"/>
      </w:pPr>
      <w:r>
        <w:rPr>
          <w:rFonts w:ascii="Arial" w:hAnsi="Arial" w:cs="Arial"/>
          <w:sz w:val="22"/>
        </w:rPr>
        <w:t>Expresar y difundir libremente pensamientos, ideas y opiniones mediante palabra, escrito o cualquier medio.</w:t>
      </w:r>
    </w:p>
    <w:p>
      <w:pPr>
        <w:pStyle w:val="ListBullet"/>
      </w:pPr>
      <w:r>
        <w:rPr>
          <w:rFonts w:ascii="Arial" w:hAnsi="Arial" w:cs="Arial"/>
          <w:sz w:val="22"/>
        </w:rPr>
        <w:t>Producción y creación literaria, artística, científica y técnica.</w:t>
      </w:r>
    </w:p>
    <w:p>
      <w:pPr>
        <w:pStyle w:val="ListBullet"/>
      </w:pPr>
      <w:r>
        <w:rPr>
          <w:rFonts w:ascii="Arial" w:hAnsi="Arial" w:cs="Arial"/>
          <w:sz w:val="22"/>
        </w:rPr>
        <w:t>Libertad de cátedra.</w:t>
      </w:r>
    </w:p>
    <w:p>
      <w:pPr>
        <w:pStyle w:val="ListBullet"/>
      </w:pPr>
      <w:r>
        <w:rPr>
          <w:rFonts w:ascii="Arial" w:hAnsi="Arial" w:cs="Arial"/>
          <w:sz w:val="22"/>
        </w:rPr>
        <w:t>Comunicar o recibir libremente información veraz por cualquier medio.</w:t>
      </w:r>
    </w:p>
    <w:p>
      <w:pPr>
        <w:jc w:val="both"/>
      </w:pPr>
      <w:r>
        <w:rPr>
          <w:rFonts w:ascii="Arial" w:hAnsi="Arial" w:cs="Arial"/>
          <w:sz w:val="22"/>
        </w:rPr>
        <w:t>La ley regula la cláusula de conciencia y el secreto profesional en el ejercicio de las libertades informativas.</w:t>
      </w:r>
    </w:p>
    <w:p>
      <w:pPr>
        <w:jc w:val="both"/>
      </w:pPr>
      <w:r>
        <w:rPr>
          <w:rFonts w:ascii="Arial" w:hAnsi="Arial" w:cs="Arial"/>
          <w:sz w:val="22"/>
        </w:rPr>
        <w:t>El ejercicio de estos derechos no puede restringirse mediante censura previa. La ley regula la organización y control parlamentario de medios de comunicación social dependientes del Estado o de cualquier ente público y garantiza acceso de grupos sociales y políticos significativos, respetando pluralismo y lenguas.</w:t>
      </w:r>
    </w:p>
    <w:p>
      <w:pPr>
        <w:jc w:val="both"/>
      </w:pPr>
      <w:r>
        <w:rPr>
          <w:rFonts w:ascii="Arial" w:hAnsi="Arial" w:cs="Arial"/>
          <w:sz w:val="22"/>
        </w:rPr>
        <w:t>Sus límites están en el respeto a los derechos del título I, las leyes que los desarrollen y, especialmente, honor, intimidad, propia imagen y protección de juventud e infancia. El secuestro de publicaciones, grabaciones y otros medios de información solo puede acordarse por resolución judicial.</w:t>
      </w:r>
    </w:p>
    <w:p>
      <w:pPr>
        <w:jc w:val="both"/>
      </w:pPr>
      <w:r>
        <w:rPr>
          <w:rFonts w:ascii="Arial" w:hAnsi="Arial" w:cs="Arial"/>
          <w:sz w:val="22"/>
        </w:rPr>
        <w:t xml:space="preserve">La Constitución exige </w:t>
      </w:r>
      <w:r>
        <w:rPr>
          <w:rFonts w:ascii="Arial" w:hAnsi="Arial" w:cs="Arial"/>
          <w:b/>
          <w:sz w:val="22"/>
        </w:rPr>
        <w:t>veracidad</w:t>
      </w:r>
      <w:r>
        <w:rPr>
          <w:rFonts w:ascii="Arial" w:hAnsi="Arial" w:cs="Arial"/>
          <w:sz w:val="22"/>
        </w:rPr>
        <w:t xml:space="preserve"> a la información, no a las ideas u opiniones.</w:t>
      </w:r>
    </w:p>
    <w:p>
      <w:pPr>
        <w:pStyle w:val="Heading2"/>
        <w:keepNext/>
      </w:pPr>
      <w:r>
        <w:rPr>
          <w:rFonts w:ascii="Arial" w:hAnsi="Arial" w:cs="Arial"/>
          <w:sz w:val="25"/>
        </w:rPr>
        <w:t>4.7. Reunión y manifestación: artículo 21</w:t>
      </w:r>
    </w:p>
    <w:p>
      <w:pPr>
        <w:jc w:val="both"/>
      </w:pPr>
      <w:r>
        <w:rPr>
          <w:rFonts w:ascii="Arial" w:hAnsi="Arial" w:cs="Arial"/>
          <w:sz w:val="22"/>
        </w:rPr>
        <w:t>Se reconoce el derecho de reunión pacífica y sin armas. Su ejercicio no necesita autorización previa.</w:t>
      </w:r>
    </w:p>
    <w:p>
      <w:pPr>
        <w:jc w:val="both"/>
      </w:pPr>
      <w:r>
        <w:rPr>
          <w:rFonts w:ascii="Arial" w:hAnsi="Arial" w:cs="Arial"/>
          <w:sz w:val="22"/>
        </w:rPr>
        <w:t>En reuniones en lugares de tránsito público y manifestaciones se dará comunicación previa a la autoridad. Esta solo puede prohibirlas cuando existan razones fundadas de alteración del orden público con peligro para personas o bienes.</w:t>
      </w:r>
    </w:p>
    <w:p>
      <w:pPr>
        <w:jc w:val="both"/>
      </w:pPr>
      <w:r>
        <w:rPr>
          <w:rFonts w:ascii="Arial" w:hAnsi="Arial" w:cs="Arial"/>
          <w:sz w:val="22"/>
        </w:rPr>
        <w:t>Comunicación previa no equivale a autorización. La prohibición exige una causa constitucional concreta, no una valoración genérica de oportunidad.</w:t>
      </w:r>
    </w:p>
    <w:p>
      <w:pPr>
        <w:pStyle w:val="Heading2"/>
        <w:keepNext/>
      </w:pPr>
      <w:r>
        <w:rPr>
          <w:rFonts w:ascii="Arial" w:hAnsi="Arial" w:cs="Arial"/>
          <w:sz w:val="25"/>
        </w:rPr>
        <w:t>4.8. Asociación: artículo 22</w:t>
      </w:r>
    </w:p>
    <w:p>
      <w:pPr>
        <w:jc w:val="both"/>
      </w:pPr>
      <w:r>
        <w:rPr>
          <w:rFonts w:ascii="Arial" w:hAnsi="Arial" w:cs="Arial"/>
          <w:sz w:val="22"/>
        </w:rPr>
        <w:t>Se reconoce el derecho de asociación.</w:t>
      </w:r>
    </w:p>
    <w:p>
      <w:pPr>
        <w:pStyle w:val="ListBullet"/>
      </w:pPr>
      <w:r>
        <w:rPr>
          <w:rFonts w:ascii="Arial" w:hAnsi="Arial" w:cs="Arial"/>
          <w:sz w:val="22"/>
        </w:rPr>
        <w:t>Son ilegales las asociaciones que persigan fines o utilicen medios tipificados como delito.</w:t>
      </w:r>
    </w:p>
    <w:p>
      <w:pPr>
        <w:pStyle w:val="ListBullet"/>
      </w:pPr>
      <w:r>
        <w:rPr>
          <w:rFonts w:ascii="Arial" w:hAnsi="Arial" w:cs="Arial"/>
          <w:sz w:val="22"/>
        </w:rPr>
        <w:t>Deben inscribirse en un registro a los solos efectos de publicidad.</w:t>
      </w:r>
    </w:p>
    <w:p>
      <w:pPr>
        <w:pStyle w:val="ListBullet"/>
      </w:pPr>
      <w:r>
        <w:rPr>
          <w:rFonts w:ascii="Arial" w:hAnsi="Arial" w:cs="Arial"/>
          <w:sz w:val="22"/>
        </w:rPr>
        <w:t>Solo pueden ser disueltas o suspendidas por resolución judicial motivada.</w:t>
      </w:r>
    </w:p>
    <w:p>
      <w:pPr>
        <w:pStyle w:val="ListBullet"/>
      </w:pPr>
      <w:r>
        <w:rPr>
          <w:rFonts w:ascii="Arial" w:hAnsi="Arial" w:cs="Arial"/>
          <w:sz w:val="22"/>
        </w:rPr>
        <w:t>Se prohíben asociaciones secretas y de carácter paramilitar.</w:t>
      </w:r>
    </w:p>
    <w:p>
      <w:pPr>
        <w:jc w:val="both"/>
      </w:pPr>
      <w:r>
        <w:rPr>
          <w:rFonts w:ascii="Arial" w:hAnsi="Arial" w:cs="Arial"/>
          <w:sz w:val="22"/>
        </w:rPr>
        <w:t>La inscripción general no tiene carácter de autorización constitutiva del derecho. Debe distinguirse la ilegalidad penal del apartado 2, la garantía judicial del apartado 4 y las prohibiciones directas del apartado 5.</w:t>
      </w:r>
    </w:p>
    <w:p>
      <w:pPr>
        <w:pStyle w:val="Heading2"/>
        <w:keepNext/>
      </w:pPr>
      <w:r>
        <w:rPr>
          <w:rFonts w:ascii="Arial" w:hAnsi="Arial" w:cs="Arial"/>
          <w:sz w:val="25"/>
        </w:rPr>
        <w:t>4.9. Participación y acceso a cargos: artículo 23</w:t>
      </w:r>
    </w:p>
    <w:p>
      <w:pPr>
        <w:jc w:val="both"/>
      </w:pPr>
      <w:r>
        <w:rPr>
          <w:rFonts w:ascii="Arial" w:hAnsi="Arial" w:cs="Arial"/>
          <w:sz w:val="22"/>
        </w:rPr>
        <w:t>Los ciudadanos tienen derecho:</w:t>
      </w:r>
    </w:p>
    <w:p>
      <w:pPr>
        <w:pStyle w:val="ListBullet"/>
      </w:pPr>
      <w:r>
        <w:rPr>
          <w:rFonts w:ascii="Arial" w:hAnsi="Arial" w:cs="Arial"/>
          <w:sz w:val="22"/>
        </w:rPr>
        <w:t>A participar en asuntos públicos directamente o mediante representantes libremente elegidos en elecciones periódicas por sufragio universal.</w:t>
      </w:r>
    </w:p>
    <w:p>
      <w:pPr>
        <w:pStyle w:val="ListBullet"/>
      </w:pPr>
      <w:r>
        <w:rPr>
          <w:rFonts w:ascii="Arial" w:hAnsi="Arial" w:cs="Arial"/>
          <w:sz w:val="22"/>
        </w:rPr>
        <w:t>A acceder en condiciones de igualdad a funciones y cargos públicos con los requisitos que señalen las leyes.</w:t>
      </w:r>
    </w:p>
    <w:p>
      <w:pPr>
        <w:jc w:val="both"/>
      </w:pPr>
      <w:r>
        <w:rPr>
          <w:rFonts w:ascii="Arial" w:hAnsi="Arial" w:cs="Arial"/>
          <w:sz w:val="22"/>
        </w:rPr>
        <w:t>El artículo 13.2 reserva estos derechos a los españoles, salvo sufragio activo y pasivo municipal reconocido a extranjeros bajo reciprocidad por tratado o ley.</w:t>
      </w:r>
    </w:p>
    <w:p>
      <w:pPr>
        <w:pStyle w:val="Heading2"/>
        <w:keepNext/>
      </w:pPr>
      <w:r>
        <w:rPr>
          <w:rFonts w:ascii="Arial" w:hAnsi="Arial" w:cs="Arial"/>
          <w:sz w:val="25"/>
        </w:rPr>
        <w:t>4.10. Tutela judicial efectiva: artículo 24</w:t>
      </w:r>
    </w:p>
    <w:p>
      <w:pPr>
        <w:jc w:val="both"/>
      </w:pPr>
      <w:r>
        <w:rPr>
          <w:rFonts w:ascii="Arial" w:hAnsi="Arial" w:cs="Arial"/>
          <w:sz w:val="22"/>
        </w:rPr>
        <w:t>Todas las personas tienen derecho a obtener tutela efectiva de jueces y tribunales en el ejercicio de sus derechos e intereses legítimos, sin que pueda producirse indefensión.</w:t>
      </w:r>
    </w:p>
    <w:p>
      <w:pPr>
        <w:jc w:val="both"/>
      </w:pPr>
      <w:r>
        <w:rPr>
          <w:rFonts w:ascii="Arial" w:hAnsi="Arial" w:cs="Arial"/>
          <w:sz w:val="22"/>
        </w:rPr>
        <w:t>El apartado 2 reconoce:</w:t>
      </w:r>
    </w:p>
    <w:p>
      <w:pPr>
        <w:pStyle w:val="ListBullet"/>
      </w:pPr>
      <w:r>
        <w:rPr>
          <w:rFonts w:ascii="Arial" w:hAnsi="Arial" w:cs="Arial"/>
          <w:sz w:val="22"/>
        </w:rPr>
        <w:t>Juez ordinario predeterminado por la ley.</w:t>
      </w:r>
    </w:p>
    <w:p>
      <w:pPr>
        <w:pStyle w:val="ListBullet"/>
      </w:pPr>
      <w:r>
        <w:rPr>
          <w:rFonts w:ascii="Arial" w:hAnsi="Arial" w:cs="Arial"/>
          <w:sz w:val="22"/>
        </w:rPr>
        <w:t>Defensa y asistencia letrada.</w:t>
      </w:r>
    </w:p>
    <w:p>
      <w:pPr>
        <w:pStyle w:val="ListBullet"/>
      </w:pPr>
      <w:r>
        <w:rPr>
          <w:rFonts w:ascii="Arial" w:hAnsi="Arial" w:cs="Arial"/>
          <w:sz w:val="22"/>
        </w:rPr>
        <w:t>Información de la acusación.</w:t>
      </w:r>
    </w:p>
    <w:p>
      <w:pPr>
        <w:pStyle w:val="ListBullet"/>
      </w:pPr>
      <w:r>
        <w:rPr>
          <w:rFonts w:ascii="Arial" w:hAnsi="Arial" w:cs="Arial"/>
          <w:sz w:val="22"/>
        </w:rPr>
        <w:t>Proceso público sin dilaciones indebidas y con todas las garantías.</w:t>
      </w:r>
    </w:p>
    <w:p>
      <w:pPr>
        <w:pStyle w:val="ListBullet"/>
      </w:pPr>
      <w:r>
        <w:rPr>
          <w:rFonts w:ascii="Arial" w:hAnsi="Arial" w:cs="Arial"/>
          <w:sz w:val="22"/>
        </w:rPr>
        <w:t>Utilización de medios de prueba pertinentes.</w:t>
      </w:r>
    </w:p>
    <w:p>
      <w:pPr>
        <w:pStyle w:val="ListBullet"/>
      </w:pPr>
      <w:r>
        <w:rPr>
          <w:rFonts w:ascii="Arial" w:hAnsi="Arial" w:cs="Arial"/>
          <w:sz w:val="22"/>
        </w:rPr>
        <w:t>Derecho a no declarar contra sí mismo.</w:t>
      </w:r>
    </w:p>
    <w:p>
      <w:pPr>
        <w:pStyle w:val="ListBullet"/>
      </w:pPr>
      <w:r>
        <w:rPr>
          <w:rFonts w:ascii="Arial" w:hAnsi="Arial" w:cs="Arial"/>
          <w:sz w:val="22"/>
        </w:rPr>
        <w:t>Derecho a no confesarse culpable.</w:t>
      </w:r>
    </w:p>
    <w:p>
      <w:pPr>
        <w:pStyle w:val="ListBullet"/>
      </w:pPr>
      <w:r>
        <w:rPr>
          <w:rFonts w:ascii="Arial" w:hAnsi="Arial" w:cs="Arial"/>
          <w:sz w:val="22"/>
        </w:rPr>
        <w:t>Presunción de inocencia.</w:t>
      </w:r>
    </w:p>
    <w:p>
      <w:pPr>
        <w:jc w:val="both"/>
      </w:pPr>
      <w:r>
        <w:rPr>
          <w:rFonts w:ascii="Arial" w:hAnsi="Arial" w:cs="Arial"/>
          <w:sz w:val="22"/>
        </w:rPr>
        <w:t>La ley regula los casos en que, por parentesco o secreto profesional, no se está obligado a declarar sobre hechos presuntamente delictivos.</w:t>
      </w:r>
    </w:p>
    <w:p>
      <w:pPr>
        <w:pStyle w:val="Heading2"/>
        <w:keepNext/>
      </w:pPr>
      <w:r>
        <w:rPr>
          <w:rFonts w:ascii="Arial" w:hAnsi="Arial" w:cs="Arial"/>
          <w:sz w:val="25"/>
        </w:rPr>
        <w:t>4.11. Legalidad sancionadora y penas: artículo 25</w:t>
      </w:r>
    </w:p>
    <w:p>
      <w:pPr>
        <w:jc w:val="both"/>
      </w:pPr>
      <w:r>
        <w:rPr>
          <w:rFonts w:ascii="Arial" w:hAnsi="Arial" w:cs="Arial"/>
          <w:sz w:val="22"/>
        </w:rPr>
        <w:t>Nadie puede ser condenado o sancionado por acciones u omisiones que al producirse no constituyeran delito, falta o infracción administrativa según la legislación vigente en aquel momento.</w:t>
      </w:r>
    </w:p>
    <w:p>
      <w:pPr>
        <w:jc w:val="both"/>
      </w:pPr>
      <w:r>
        <w:rPr>
          <w:rFonts w:ascii="Arial" w:hAnsi="Arial" w:cs="Arial"/>
          <w:sz w:val="22"/>
        </w:rPr>
        <w:t>Las penas privativas de libertad y medidas de seguridad se orientan hacia reeducación y reinserción social y no pueden consistir en trabajos forzados. La persona condenada a prisión conserva los derechos fundamentales del capítulo, salvo los limitados expresamente por el fallo, el sentido de la pena y la ley penitenciaria. Tiene derecho a trabajo remunerado y beneficios de Seguridad Social, acceso a cultura y desarrollo integral de personalidad.</w:t>
      </w:r>
    </w:p>
    <w:p>
      <w:pPr>
        <w:jc w:val="both"/>
      </w:pPr>
      <w:r>
        <w:rPr>
          <w:rFonts w:ascii="Arial" w:hAnsi="Arial" w:cs="Arial"/>
          <w:sz w:val="22"/>
        </w:rPr>
        <w:t>La Administración civil no puede imponer sanciones que, directa o subsidiariamente, impliquen privación de libertad.</w:t>
      </w:r>
    </w:p>
    <w:p>
      <w:pPr>
        <w:pStyle w:val="Heading2"/>
        <w:keepNext/>
      </w:pPr>
      <w:r>
        <w:rPr>
          <w:rFonts w:ascii="Arial" w:hAnsi="Arial" w:cs="Arial"/>
          <w:sz w:val="25"/>
        </w:rPr>
        <w:t>4.12. Prohibición de tribunales de honor: artículo 26</w:t>
      </w:r>
    </w:p>
    <w:p>
      <w:pPr>
        <w:jc w:val="both"/>
      </w:pPr>
      <w:r>
        <w:rPr>
          <w:rFonts w:ascii="Arial" w:hAnsi="Arial" w:cs="Arial"/>
          <w:sz w:val="22"/>
        </w:rPr>
        <w:t>Se prohíben los tribunales de honor en la Administración civil y en las organizaciones profesionales. La prohibición literal no se formula para cualquier ámbito imaginable, sino para esos dos.</w:t>
      </w:r>
    </w:p>
    <w:p>
      <w:pPr>
        <w:pStyle w:val="Heading2"/>
        <w:keepNext/>
      </w:pPr>
      <w:r>
        <w:rPr>
          <w:rFonts w:ascii="Arial" w:hAnsi="Arial" w:cs="Arial"/>
          <w:sz w:val="25"/>
        </w:rPr>
        <w:t>4.13. Educación: artículo 27</w:t>
      </w:r>
    </w:p>
    <w:p>
      <w:pPr>
        <w:jc w:val="both"/>
      </w:pPr>
      <w:r>
        <w:rPr>
          <w:rFonts w:ascii="Arial" w:hAnsi="Arial" w:cs="Arial"/>
          <w:sz w:val="22"/>
        </w:rPr>
        <w:t>Todos tienen derecho a la educación y se reconoce libertad de enseñanza. La educación tiene por objeto el pleno desarrollo de la personalidad en el respeto a los principios democráticos de convivencia y a los derechos y libertades.</w:t>
      </w:r>
    </w:p>
    <w:p>
      <w:pPr>
        <w:jc w:val="both"/>
      </w:pPr>
      <w:r>
        <w:rPr>
          <w:rFonts w:ascii="Arial" w:hAnsi="Arial" w:cs="Arial"/>
          <w:sz w:val="22"/>
        </w:rPr>
        <w:t>El artículo comprende:</w:t>
      </w:r>
    </w:p>
    <w:p>
      <w:pPr>
        <w:pStyle w:val="ListBullet"/>
      </w:pPr>
      <w:r>
        <w:rPr>
          <w:rFonts w:ascii="Arial" w:hAnsi="Arial" w:cs="Arial"/>
          <w:sz w:val="22"/>
        </w:rPr>
        <w:t>Derecho de los padres a que sus hijos reciban formación religiosa y moral conforme a sus convicciones.</w:t>
      </w:r>
    </w:p>
    <w:p>
      <w:pPr>
        <w:pStyle w:val="ListBullet"/>
      </w:pPr>
      <w:r>
        <w:rPr>
          <w:rFonts w:ascii="Arial" w:hAnsi="Arial" w:cs="Arial"/>
          <w:sz w:val="22"/>
        </w:rPr>
        <w:t>Enseñanza básica obligatoria y gratuita.</w:t>
      </w:r>
    </w:p>
    <w:p>
      <w:pPr>
        <w:pStyle w:val="ListBullet"/>
      </w:pPr>
      <w:r>
        <w:rPr>
          <w:rFonts w:ascii="Arial" w:hAnsi="Arial" w:cs="Arial"/>
          <w:sz w:val="22"/>
        </w:rPr>
        <w:t>Programación general de la enseñanza con participación efectiva de sectores afectados y creación de centros.</w:t>
      </w:r>
    </w:p>
    <w:p>
      <w:pPr>
        <w:pStyle w:val="ListBullet"/>
      </w:pPr>
      <w:r>
        <w:rPr>
          <w:rFonts w:ascii="Arial" w:hAnsi="Arial" w:cs="Arial"/>
          <w:sz w:val="22"/>
        </w:rPr>
        <w:t>Libertad de creación de centros docentes dentro de principios constitucionales.</w:t>
      </w:r>
    </w:p>
    <w:p>
      <w:pPr>
        <w:pStyle w:val="ListBullet"/>
      </w:pPr>
      <w:r>
        <w:rPr>
          <w:rFonts w:ascii="Arial" w:hAnsi="Arial" w:cs="Arial"/>
          <w:sz w:val="22"/>
        </w:rPr>
        <w:t>Participación de profesorado, familias y alumnado, cuando proceda, en control y gestión de centros sostenidos con fondos públicos.</w:t>
      </w:r>
    </w:p>
    <w:p>
      <w:pPr>
        <w:pStyle w:val="ListBullet"/>
      </w:pPr>
      <w:r>
        <w:rPr>
          <w:rFonts w:ascii="Arial" w:hAnsi="Arial" w:cs="Arial"/>
          <w:sz w:val="22"/>
        </w:rPr>
        <w:t>Inspección y homologación del sistema por los poderes públicos.</w:t>
      </w:r>
    </w:p>
    <w:p>
      <w:pPr>
        <w:pStyle w:val="ListBullet"/>
      </w:pPr>
      <w:r>
        <w:rPr>
          <w:rFonts w:ascii="Arial" w:hAnsi="Arial" w:cs="Arial"/>
          <w:sz w:val="22"/>
        </w:rPr>
        <w:t>Ayuda a centros que reúnan requisitos legales.</w:t>
      </w:r>
    </w:p>
    <w:p>
      <w:pPr>
        <w:pStyle w:val="ListBullet"/>
      </w:pPr>
      <w:r>
        <w:rPr>
          <w:rFonts w:ascii="Arial" w:hAnsi="Arial" w:cs="Arial"/>
          <w:sz w:val="22"/>
        </w:rPr>
        <w:t>Autonomía universitaria en los términos que establezca la ley.</w:t>
      </w:r>
    </w:p>
    <w:p>
      <w:pPr>
        <w:jc w:val="both"/>
      </w:pPr>
      <w:r>
        <w:rPr>
          <w:rFonts w:ascii="Arial" w:hAnsi="Arial" w:cs="Arial"/>
          <w:sz w:val="22"/>
        </w:rPr>
        <w:t>Obligatoriedad y gratuidad constitucionales se predican expresamente de la enseñanza básica.</w:t>
      </w:r>
    </w:p>
    <w:p>
      <w:pPr>
        <w:pStyle w:val="Heading2"/>
        <w:keepNext/>
      </w:pPr>
      <w:r>
        <w:rPr>
          <w:rFonts w:ascii="Arial" w:hAnsi="Arial" w:cs="Arial"/>
          <w:sz w:val="25"/>
        </w:rPr>
        <w:t>4.14. Libertad sindical y huelga: artículo 28</w:t>
      </w:r>
    </w:p>
    <w:p>
      <w:pPr>
        <w:jc w:val="both"/>
      </w:pPr>
      <w:r>
        <w:rPr>
          <w:rFonts w:ascii="Arial" w:hAnsi="Arial" w:cs="Arial"/>
          <w:sz w:val="22"/>
        </w:rPr>
        <w:t>Todos tienen derecho a sindicarse libremente. La ley puede limitar o exceptuar su ejercicio a Fuerzas o Institutos armados y demás cuerpos sometidos a disciplina militar, y regula peculiaridades para funcionarios públicos.</w:t>
      </w:r>
    </w:p>
    <w:p>
      <w:pPr>
        <w:jc w:val="both"/>
      </w:pPr>
      <w:r>
        <w:rPr>
          <w:rFonts w:ascii="Arial" w:hAnsi="Arial" w:cs="Arial"/>
          <w:sz w:val="22"/>
        </w:rPr>
        <w:t>La libertad sindical incluye fundar sindicatos, afiliarse al elegido, formar confederaciones y fundar organizaciones sindicales internacionales o afiliarse a ellas. Nadie puede ser obligado a afiliarse.</w:t>
      </w:r>
    </w:p>
    <w:p>
      <w:pPr>
        <w:jc w:val="both"/>
      </w:pPr>
      <w:r>
        <w:rPr>
          <w:rFonts w:ascii="Arial" w:hAnsi="Arial" w:cs="Arial"/>
          <w:sz w:val="22"/>
        </w:rPr>
        <w:t>Se reconoce el derecho de huelga de los trabajadores para defender sus intereses. La ley que lo regule debe establecer garantías precisas para asegurar el mantenimiento de servicios esenciales de la comunidad.</w:t>
      </w:r>
    </w:p>
    <w:p>
      <w:pPr>
        <w:pStyle w:val="Heading2"/>
        <w:keepNext/>
      </w:pPr>
      <w:r>
        <w:rPr>
          <w:rFonts w:ascii="Arial" w:hAnsi="Arial" w:cs="Arial"/>
          <w:sz w:val="25"/>
        </w:rPr>
        <w:t>4.15. Petición: artículo 29</w:t>
      </w:r>
    </w:p>
    <w:p>
      <w:pPr>
        <w:jc w:val="both"/>
      </w:pPr>
      <w:r>
        <w:rPr>
          <w:rFonts w:ascii="Arial" w:hAnsi="Arial" w:cs="Arial"/>
          <w:sz w:val="22"/>
        </w:rPr>
        <w:t>Todos los españoles tienen derecho de petición individual y colectiva, por escrito, en la forma y con los efectos que determine la ley.</w:t>
      </w:r>
    </w:p>
    <w:p>
      <w:pPr>
        <w:jc w:val="both"/>
      </w:pPr>
      <w:r>
        <w:rPr>
          <w:rFonts w:ascii="Arial" w:hAnsi="Arial" w:cs="Arial"/>
          <w:sz w:val="22"/>
        </w:rPr>
        <w:t>Los miembros de Fuerzas o Institutos armados o cuerpos sometidos a disciplina militar solo pueden ejercerlo individualmente y conforme a su legislación específica.</w:t>
      </w:r>
    </w:p>
    <w:p>
      <w:pPr>
        <w:jc w:val="both"/>
      </w:pPr>
      <w:r>
        <w:rPr>
          <w:rFonts w:ascii="Arial" w:hAnsi="Arial" w:cs="Arial"/>
          <w:sz w:val="22"/>
        </w:rPr>
        <w:t>No debe confundirse petición con recurso administrativo, denuncia, queja o solicitud de reconocimiento de un derecho. La petición permite dirigirse a los poderes públicos, pero su contenido y efectos se rigen por su legislación específica.</w:t>
      </w:r>
    </w:p>
    <w:p>
      <w:pPr>
        <w:pStyle w:val="Heading1"/>
        <w:keepNext/>
      </w:pPr>
      <w:r>
        <w:rPr>
          <w:rFonts w:ascii="Arial" w:hAnsi="Arial" w:cs="Arial"/>
          <w:sz w:val="30"/>
        </w:rPr>
        <w:t>5. Derechos y deberes de los ciudadanos: artículos 30 a 38</w:t>
      </w:r>
    </w:p>
    <w:p>
      <w:pPr>
        <w:pStyle w:val="Heading2"/>
        <w:keepNext/>
      </w:pPr>
      <w:r>
        <w:rPr>
          <w:rFonts w:ascii="Arial" w:hAnsi="Arial" w:cs="Arial"/>
          <w:sz w:val="25"/>
        </w:rPr>
        <w:t>5.1. Defensa, objeción y deberes en emergencias: artículo 30</w:t>
      </w:r>
    </w:p>
    <w:p>
      <w:pPr>
        <w:jc w:val="both"/>
      </w:pPr>
      <w:r>
        <w:rPr>
          <w:rFonts w:ascii="Arial" w:hAnsi="Arial" w:cs="Arial"/>
          <w:sz w:val="22"/>
        </w:rPr>
        <w:t>Los españoles tienen derecho y deber de defender España. La ley fija obligaciones militares, regula con garantías la objeción de conciencia y las demás causas de exención del servicio militar obligatorio, y puede imponer una prestación social sustitutoria.</w:t>
      </w:r>
    </w:p>
    <w:p>
      <w:pPr>
        <w:jc w:val="both"/>
      </w:pPr>
      <w:r>
        <w:rPr>
          <w:rFonts w:ascii="Arial" w:hAnsi="Arial" w:cs="Arial"/>
          <w:sz w:val="22"/>
        </w:rPr>
        <w:t>Puede establecerse un servicio civil para fines de interés general. Mediante ley pueden regularse deberes ciudadanos en casos de grave riesgo, catástrofe o calamidad pública.</w:t>
      </w:r>
    </w:p>
    <w:p>
      <w:pPr>
        <w:jc w:val="both"/>
      </w:pPr>
      <w:r>
        <w:rPr>
          <w:rFonts w:ascii="Arial" w:hAnsi="Arial" w:cs="Arial"/>
          <w:sz w:val="22"/>
        </w:rPr>
        <w:t>El derecho a la objeción de conciencia del artículo 30.2 está incluido expresamente en el ámbito del recurso de amparo por el artículo 53.2, aunque se ubica en la sección 2.ª.</w:t>
      </w:r>
    </w:p>
    <w:p>
      <w:pPr>
        <w:pStyle w:val="Heading2"/>
        <w:keepNext/>
      </w:pPr>
      <w:r>
        <w:rPr>
          <w:rFonts w:ascii="Arial" w:hAnsi="Arial" w:cs="Arial"/>
          <w:sz w:val="25"/>
        </w:rPr>
        <w:t>5.2. Sistema tributario y gasto: artículo 31</w:t>
      </w:r>
    </w:p>
    <w:p>
      <w:pPr>
        <w:jc w:val="both"/>
      </w:pPr>
      <w:r>
        <w:rPr>
          <w:rFonts w:ascii="Arial" w:hAnsi="Arial" w:cs="Arial"/>
          <w:sz w:val="22"/>
        </w:rPr>
        <w:t>Todos contribuirán al sostenimiento de los gastos públicos según su capacidad económica mediante un sistema tributario:</w:t>
      </w:r>
    </w:p>
    <w:p>
      <w:pPr>
        <w:pStyle w:val="ListBullet"/>
      </w:pPr>
      <w:r>
        <w:rPr>
          <w:rFonts w:ascii="Arial" w:hAnsi="Arial" w:cs="Arial"/>
          <w:sz w:val="22"/>
        </w:rPr>
        <w:t>Justo.</w:t>
      </w:r>
    </w:p>
    <w:p>
      <w:pPr>
        <w:pStyle w:val="ListBullet"/>
      </w:pPr>
      <w:r>
        <w:rPr>
          <w:rFonts w:ascii="Arial" w:hAnsi="Arial" w:cs="Arial"/>
          <w:sz w:val="22"/>
        </w:rPr>
        <w:t>Inspirado en igualdad y progresividad.</w:t>
      </w:r>
    </w:p>
    <w:p>
      <w:pPr>
        <w:pStyle w:val="ListBullet"/>
      </w:pPr>
      <w:r>
        <w:rPr>
          <w:rFonts w:ascii="Arial" w:hAnsi="Arial" w:cs="Arial"/>
          <w:sz w:val="22"/>
        </w:rPr>
        <w:t>Sin alcance confiscatorio.</w:t>
      </w:r>
    </w:p>
    <w:p>
      <w:pPr>
        <w:jc w:val="both"/>
      </w:pPr>
      <w:r>
        <w:rPr>
          <w:rFonts w:ascii="Arial" w:hAnsi="Arial" w:cs="Arial"/>
          <w:sz w:val="22"/>
        </w:rPr>
        <w:t>El gasto público realizará una asignación equitativa de recursos. Su programación y ejecución responderán a eficiencia y economía. Solo pueden establecerse prestaciones personales o patrimoniales de carácter público con arreglo a la ley.</w:t>
      </w:r>
    </w:p>
    <w:p>
      <w:pPr>
        <w:jc w:val="both"/>
      </w:pPr>
      <w:r>
        <w:rPr>
          <w:rFonts w:ascii="Arial" w:hAnsi="Arial" w:cs="Arial"/>
          <w:sz w:val="22"/>
        </w:rPr>
        <w:t>Progresividad se exige al sistema tributario en su conjunto. No implica que cada tributo aislado deba ser progresivo.</w:t>
      </w:r>
    </w:p>
    <w:p>
      <w:pPr>
        <w:pStyle w:val="Heading2"/>
        <w:keepNext/>
      </w:pPr>
      <w:r>
        <w:rPr>
          <w:rFonts w:ascii="Arial" w:hAnsi="Arial" w:cs="Arial"/>
          <w:sz w:val="25"/>
        </w:rPr>
        <w:t>5.3. Matrimonio: artículo 32</w:t>
      </w:r>
    </w:p>
    <w:p>
      <w:pPr>
        <w:jc w:val="both"/>
      </w:pPr>
      <w:r>
        <w:rPr>
          <w:rFonts w:ascii="Arial" w:hAnsi="Arial" w:cs="Arial"/>
          <w:sz w:val="22"/>
        </w:rPr>
        <w:t>El hombre y la mujer tienen derecho a contraer matrimonio con plena igualdad jurídica. La ley regula formas, edad y capacidad, derechos y deberes, causas de separación y disolución y sus efectos.</w:t>
      </w:r>
    </w:p>
    <w:p>
      <w:pPr>
        <w:pStyle w:val="Heading2"/>
        <w:keepNext/>
      </w:pPr>
      <w:r>
        <w:rPr>
          <w:rFonts w:ascii="Arial" w:hAnsi="Arial" w:cs="Arial"/>
          <w:sz w:val="25"/>
        </w:rPr>
        <w:t>5.4. Propiedad y herencia: artículo 33</w:t>
      </w:r>
    </w:p>
    <w:p>
      <w:pPr>
        <w:jc w:val="both"/>
      </w:pPr>
      <w:r>
        <w:rPr>
          <w:rFonts w:ascii="Arial" w:hAnsi="Arial" w:cs="Arial"/>
          <w:sz w:val="22"/>
        </w:rPr>
        <w:t>Se reconoce propiedad privada y herencia. Su función social delimita el contenido de estos derechos de acuerdo con las leyes.</w:t>
      </w:r>
    </w:p>
    <w:p>
      <w:pPr>
        <w:jc w:val="both"/>
      </w:pPr>
      <w:r>
        <w:rPr>
          <w:rFonts w:ascii="Arial" w:hAnsi="Arial" w:cs="Arial"/>
          <w:sz w:val="22"/>
        </w:rPr>
        <w:t>Nadie puede ser privado de bienes y derechos salvo:</w:t>
      </w:r>
    </w:p>
    <w:p>
      <w:pPr>
        <w:pStyle w:val="ListBullet"/>
      </w:pPr>
      <w:r>
        <w:rPr>
          <w:rFonts w:ascii="Arial" w:hAnsi="Arial" w:cs="Arial"/>
          <w:sz w:val="22"/>
        </w:rPr>
        <w:t>Por causa justificada de utilidad pública o interés social.</w:t>
      </w:r>
    </w:p>
    <w:p>
      <w:pPr>
        <w:pStyle w:val="ListBullet"/>
      </w:pPr>
      <w:r>
        <w:rPr>
          <w:rFonts w:ascii="Arial" w:hAnsi="Arial" w:cs="Arial"/>
          <w:sz w:val="22"/>
        </w:rPr>
        <w:t>Mediante la correspondiente indemnización.</w:t>
      </w:r>
    </w:p>
    <w:p>
      <w:pPr>
        <w:pStyle w:val="ListBullet"/>
      </w:pPr>
      <w:r>
        <w:rPr>
          <w:rFonts w:ascii="Arial" w:hAnsi="Arial" w:cs="Arial"/>
          <w:sz w:val="22"/>
        </w:rPr>
        <w:t>Conforme a lo dispuesto por las leyes.</w:t>
      </w:r>
    </w:p>
    <w:p>
      <w:pPr>
        <w:jc w:val="both"/>
      </w:pPr>
      <w:r>
        <w:rPr>
          <w:rFonts w:ascii="Arial" w:hAnsi="Arial" w:cs="Arial"/>
          <w:sz w:val="22"/>
        </w:rPr>
        <w:t>La función social delimita el contenido ordinario; la privación singular exige causa, indemnización y procedimiento legal.</w:t>
      </w:r>
    </w:p>
    <w:p>
      <w:pPr>
        <w:pStyle w:val="Heading2"/>
        <w:keepNext/>
      </w:pPr>
      <w:r>
        <w:rPr>
          <w:rFonts w:ascii="Arial" w:hAnsi="Arial" w:cs="Arial"/>
          <w:sz w:val="25"/>
        </w:rPr>
        <w:t>5.5. Fundación: artículo 34</w:t>
      </w:r>
    </w:p>
    <w:p>
      <w:pPr>
        <w:jc w:val="both"/>
      </w:pPr>
      <w:r>
        <w:rPr>
          <w:rFonts w:ascii="Arial" w:hAnsi="Arial" w:cs="Arial"/>
          <w:sz w:val="22"/>
        </w:rPr>
        <w:t>Se reconoce el derecho de fundación para fines de interés general, con arreglo a la ley. También se aplican a las fundaciones las reglas del artículo 22.2 y 22.4: ilegalidad si fines o medios son delictivos y necesidad de resolución judicial motivada para disolución o suspensión.</w:t>
      </w:r>
    </w:p>
    <w:p>
      <w:pPr>
        <w:pStyle w:val="Heading2"/>
        <w:keepNext/>
      </w:pPr>
      <w:r>
        <w:rPr>
          <w:rFonts w:ascii="Arial" w:hAnsi="Arial" w:cs="Arial"/>
          <w:sz w:val="25"/>
        </w:rPr>
        <w:t>5.6. Trabajo: artículo 35</w:t>
      </w:r>
    </w:p>
    <w:p>
      <w:pPr>
        <w:jc w:val="both"/>
      </w:pPr>
      <w:r>
        <w:rPr>
          <w:rFonts w:ascii="Arial" w:hAnsi="Arial" w:cs="Arial"/>
          <w:sz w:val="22"/>
        </w:rPr>
        <w:t>Todos los españoles tienen deber de trabajar y derecho al trabajo, libre elección de profesión u oficio, promoción mediante trabajo y remuneración suficiente para satisfacer necesidades propias y familiares, sin discriminación por razón de sexo.</w:t>
      </w:r>
    </w:p>
    <w:p>
      <w:pPr>
        <w:jc w:val="both"/>
      </w:pPr>
      <w:r>
        <w:rPr>
          <w:rFonts w:ascii="Arial" w:hAnsi="Arial" w:cs="Arial"/>
          <w:sz w:val="22"/>
        </w:rPr>
        <w:t>La ley regula un estatuto de los trabajadores.</w:t>
      </w:r>
    </w:p>
    <w:p>
      <w:pPr>
        <w:pStyle w:val="Heading2"/>
        <w:keepNext/>
      </w:pPr>
      <w:r>
        <w:rPr>
          <w:rFonts w:ascii="Arial" w:hAnsi="Arial" w:cs="Arial"/>
          <w:sz w:val="25"/>
        </w:rPr>
        <w:t>5.7. Colegios profesionales: artículo 36</w:t>
      </w:r>
    </w:p>
    <w:p>
      <w:pPr>
        <w:jc w:val="both"/>
      </w:pPr>
      <w:r>
        <w:rPr>
          <w:rFonts w:ascii="Arial" w:hAnsi="Arial" w:cs="Arial"/>
          <w:sz w:val="22"/>
        </w:rPr>
        <w:t>La ley regula las peculiaridades del régimen jurídico de colegios profesionales y el ejercicio de profesiones tituladas. Su estructura interna y funcionamiento deben ser democráticos.</w:t>
      </w:r>
    </w:p>
    <w:p>
      <w:pPr>
        <w:pStyle w:val="Heading2"/>
        <w:keepNext/>
      </w:pPr>
      <w:r>
        <w:rPr>
          <w:rFonts w:ascii="Arial" w:hAnsi="Arial" w:cs="Arial"/>
          <w:sz w:val="25"/>
        </w:rPr>
        <w:t>5.8. Negociación y conflicto colectivo: artículo 37</w:t>
      </w:r>
    </w:p>
    <w:p>
      <w:pPr>
        <w:jc w:val="both"/>
      </w:pPr>
      <w:r>
        <w:rPr>
          <w:rFonts w:ascii="Arial" w:hAnsi="Arial" w:cs="Arial"/>
          <w:sz w:val="22"/>
        </w:rPr>
        <w:t>La ley garantiza el derecho a negociación colectiva laboral entre representantes de trabajadores y empresarios y la fuerza vinculante de los convenios.</w:t>
      </w:r>
    </w:p>
    <w:p>
      <w:pPr>
        <w:jc w:val="both"/>
      </w:pPr>
      <w:r>
        <w:rPr>
          <w:rFonts w:ascii="Arial" w:hAnsi="Arial" w:cs="Arial"/>
          <w:sz w:val="22"/>
        </w:rPr>
        <w:t>También reconoce a trabajadores y empresarios el derecho a adoptar medidas de conflicto colectivo. La ley reguladora debe incluir garantías para asegurar el funcionamiento de servicios esenciales.</w:t>
      </w:r>
    </w:p>
    <w:p>
      <w:pPr>
        <w:jc w:val="both"/>
      </w:pPr>
      <w:r>
        <w:rPr>
          <w:rFonts w:ascii="Arial" w:hAnsi="Arial" w:cs="Arial"/>
          <w:sz w:val="22"/>
        </w:rPr>
        <w:t>La huelga del artículo 28.2 pertenece a la sección 1.ª; las medidas de conflicto colectivo del artículo 37.2 están en la sección 2.ª. Su ubicación y garantías no son idénticas.</w:t>
      </w:r>
    </w:p>
    <w:p>
      <w:pPr>
        <w:pStyle w:val="Heading2"/>
        <w:keepNext/>
      </w:pPr>
      <w:r>
        <w:rPr>
          <w:rFonts w:ascii="Arial" w:hAnsi="Arial" w:cs="Arial"/>
          <w:sz w:val="25"/>
        </w:rPr>
        <w:t>5.9. Libertad de empresa: artículo 38</w:t>
      </w:r>
    </w:p>
    <w:p>
      <w:pPr>
        <w:jc w:val="both"/>
      </w:pPr>
      <w:r>
        <w:rPr>
          <w:rFonts w:ascii="Arial" w:hAnsi="Arial" w:cs="Arial"/>
          <w:sz w:val="22"/>
        </w:rPr>
        <w:t>Se reconoce libertad de empresa en el marco de la economía de mercado. Los poderes públicos garantizan y protegen su ejercicio y la defensa de productividad, de acuerdo con exigencias de la economía general y, en su caso, de la planificación.</w:t>
      </w:r>
    </w:p>
    <w:p>
      <w:pPr>
        <w:jc w:val="both"/>
      </w:pPr>
      <w:r>
        <w:rPr>
          <w:rFonts w:ascii="Arial" w:hAnsi="Arial" w:cs="Arial"/>
          <w:sz w:val="22"/>
        </w:rPr>
        <w:t>No es una libertad ajena a toda regulación: el propio artículo la integra con economía general y planificación, y el título VII admite iniciativa e intervención públicas.</w:t>
      </w:r>
    </w:p>
    <w:p>
      <w:pPr>
        <w:pStyle w:val="Heading1"/>
        <w:keepNext/>
      </w:pPr>
      <w:r>
        <w:rPr>
          <w:rFonts w:ascii="Arial" w:hAnsi="Arial" w:cs="Arial"/>
          <w:sz w:val="30"/>
        </w:rPr>
        <w:t>6. Principios rectores de la política social y económica</w:t>
      </w:r>
    </w:p>
    <w:p>
      <w:pPr>
        <w:jc w:val="both"/>
      </w:pPr>
      <w:r>
        <w:rPr>
          <w:rFonts w:ascii="Arial" w:hAnsi="Arial" w:cs="Arial"/>
          <w:sz w:val="22"/>
        </w:rPr>
        <w:t>Los artículos 39 a 52 orientan la legislación y la actuación pública:</w:t>
      </w:r>
    </w:p>
    <w:tbl>
      <w:tblPr>
        <w:tblStyle w:val="TableGrid"/>
        <w:tblW w:type="dxa" w:w="9026"/>
        <w:jc w:val="left"/>
        <w:tblLayout w:type="fixed"/>
        <w:tblLook w:firstColumn="1" w:firstRow="1" w:lastColumn="0" w:lastRow="0" w:noHBand="0" w:noVBand="1" w:val="04A0"/>
        <w:tblInd w:w="120" w:type="dxa"/>
      </w:tblPr>
      <w:tblGrid>
        <w:gridCol w:w="1062"/>
        <w:gridCol w:w="7964"/>
      </w:tblGrid>
      <w:tr>
        <w:trPr>
          <w:tblHeader w:val="true"/>
        </w:trPr>
        <w:tc>
          <w:tcPr>
            <w:tcW w:type="dxa" w:w="106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Artículo</w:t>
            </w:r>
          </w:p>
        </w:tc>
        <w:tc>
          <w:tcPr>
            <w:tcW w:type="dxa" w:w="796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Materia</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39</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Familia, hijos y madres; deberes de asistencia</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40</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Progreso, distribución de renta, empleo, formación, seguridad laboral y descanso</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41</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Régimen público de Seguridad Social</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42</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Salvaguarda de derechos de trabajadores españoles en el extranjero y retorno</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43</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Protección de la salud, salud pública, educación física, deporte y ocio</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44</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Cultura e investigación científica y técnica</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45</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Medio ambiente y deber de conservarlo</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46</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Patrimonio histórico, cultural y artístico</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47</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Vivienda y regulación del suelo</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48</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Participación de la juventud</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49</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Personas con discapacidad</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50</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Personas mayores</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51</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Consumidores y usuarios</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52</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Organizaciones profesionales</w:t>
            </w:r>
          </w:p>
        </w:tc>
      </w:tr>
    </w:tbl>
    <w:p>
      <w:pPr>
        <w:spacing w:after="40"/>
      </w:pPr>
    </w:p>
    <w:p>
      <w:pPr>
        <w:pStyle w:val="Heading2"/>
        <w:keepNext/>
      </w:pPr>
      <w:r>
        <w:rPr>
          <w:rFonts w:ascii="Arial" w:hAnsi="Arial" w:cs="Arial"/>
          <w:sz w:val="25"/>
        </w:rPr>
        <w:t>6.1. Protección social</w:t>
      </w:r>
    </w:p>
    <w:p>
      <w:pPr>
        <w:jc w:val="both"/>
      </w:pPr>
      <w:r>
        <w:rPr>
          <w:rFonts w:ascii="Arial" w:hAnsi="Arial" w:cs="Arial"/>
          <w:sz w:val="22"/>
        </w:rPr>
        <w:t>El artículo 39 asegura protección social, económica y jurídica de la familia y protección integral de hijos, iguales ante la ley con independencia de filiación, y de madres cualquiera que sea su estado civil. La ley posibilitará investigar la paternidad y los padres deben asistir a los hijos.</w:t>
      </w:r>
    </w:p>
    <w:p>
      <w:pPr>
        <w:jc w:val="both"/>
      </w:pPr>
      <w:r>
        <w:rPr>
          <w:rFonts w:ascii="Arial" w:hAnsi="Arial" w:cs="Arial"/>
          <w:sz w:val="22"/>
        </w:rPr>
        <w:t>El artículo 40 exige progreso social y económico, distribución más equitativa de renta y política de pleno empleo. También obliga a fomentar formación profesional, seguridad e higiene y descanso mediante jornada limitada y vacaciones retribuidas.</w:t>
      </w:r>
    </w:p>
    <w:p>
      <w:pPr>
        <w:jc w:val="both"/>
      </w:pPr>
      <w:r>
        <w:rPr>
          <w:rFonts w:ascii="Arial" w:hAnsi="Arial" w:cs="Arial"/>
          <w:sz w:val="22"/>
        </w:rPr>
        <w:t>El artículo 41 ordena mantener un régimen público de Seguridad Social para todos los ciudadanos, que garantice asistencia y prestaciones suficientes ante situaciones de necesidad, especialmente desempleo. La asistencia y prestaciones complementarias son libres.</w:t>
      </w:r>
    </w:p>
    <w:p>
      <w:pPr>
        <w:pStyle w:val="Heading2"/>
        <w:keepNext/>
      </w:pPr>
      <w:r>
        <w:rPr>
          <w:rFonts w:ascii="Arial" w:hAnsi="Arial" w:cs="Arial"/>
          <w:sz w:val="25"/>
        </w:rPr>
        <w:t>6.2. Salud, cultura y medio ambiente</w:t>
      </w:r>
    </w:p>
    <w:p>
      <w:pPr>
        <w:jc w:val="both"/>
      </w:pPr>
      <w:r>
        <w:rPr>
          <w:rFonts w:ascii="Arial" w:hAnsi="Arial" w:cs="Arial"/>
          <w:sz w:val="22"/>
        </w:rPr>
        <w:t>El artículo 43 reconoce protección de la salud y encomienda a los poderes públicos organizar y tutelar salud pública mediante medidas preventivas y prestaciones y servicios necesarios. La ley establece derechos y deberes. También se fomentan educación sanitaria, educación física, deporte y utilización adecuada del ocio.</w:t>
      </w:r>
    </w:p>
    <w:p>
      <w:pPr>
        <w:jc w:val="both"/>
      </w:pPr>
      <w:r>
        <w:rPr>
          <w:rFonts w:ascii="Arial" w:hAnsi="Arial" w:cs="Arial"/>
          <w:sz w:val="22"/>
        </w:rPr>
        <w:t>El artículo 44 garantiza acceso a cultura y promueve ciencia e investigación científica y técnica en beneficio del interés general.</w:t>
      </w:r>
    </w:p>
    <w:p>
      <w:pPr>
        <w:jc w:val="both"/>
      </w:pPr>
      <w:r>
        <w:rPr>
          <w:rFonts w:ascii="Arial" w:hAnsi="Arial" w:cs="Arial"/>
          <w:sz w:val="22"/>
        </w:rPr>
        <w:t>El artículo 45 reconoce medio ambiente adecuado y deber de conservarlo. Los poderes públicos velan por uso racional de recursos y restauración ambiental; la ley establece sanciones y reparación del daño.</w:t>
      </w:r>
    </w:p>
    <w:p>
      <w:pPr>
        <w:pStyle w:val="Heading2"/>
        <w:keepNext/>
      </w:pPr>
      <w:r>
        <w:rPr>
          <w:rFonts w:ascii="Arial" w:hAnsi="Arial" w:cs="Arial"/>
          <w:sz w:val="25"/>
        </w:rPr>
        <w:t>6.3. Vivienda, juventud, discapacidad y mayores</w:t>
      </w:r>
    </w:p>
    <w:p>
      <w:pPr>
        <w:jc w:val="both"/>
      </w:pPr>
      <w:r>
        <w:rPr>
          <w:rFonts w:ascii="Arial" w:hAnsi="Arial" w:cs="Arial"/>
          <w:sz w:val="22"/>
        </w:rPr>
        <w:t>El artículo 47 reconoce el derecho a vivienda digna y adecuada. Los poderes públicos promoverán condiciones y normas para hacerlo efectivo, regularán suelo conforme al interés general para impedir especulación y harán participar a la comunidad en plusvalías generadas por acción urbanística pública.</w:t>
      </w:r>
    </w:p>
    <w:p>
      <w:pPr>
        <w:jc w:val="both"/>
      </w:pPr>
      <w:r>
        <w:rPr>
          <w:rFonts w:ascii="Arial" w:hAnsi="Arial" w:cs="Arial"/>
          <w:sz w:val="22"/>
        </w:rPr>
        <w:t>El artículo 48 ordena promover condiciones para participación libre y eficaz de juventud en desarrollo político, social, económico y cultural.</w:t>
      </w:r>
    </w:p>
    <w:p>
      <w:pPr>
        <w:pStyle w:val="Heading3"/>
        <w:keepNext/>
      </w:pPr>
      <w:r>
        <w:rPr>
          <w:rFonts w:ascii="Arial" w:hAnsi="Arial" w:cs="Arial"/>
          <w:sz w:val="23"/>
        </w:rPr>
        <w:t>Reforma del artículo 49 en 2024</w:t>
      </w:r>
    </w:p>
    <w:p>
      <w:pPr>
        <w:jc w:val="both"/>
      </w:pPr>
      <w:r>
        <w:rPr>
          <w:rFonts w:ascii="Arial" w:hAnsi="Arial" w:cs="Arial"/>
          <w:sz w:val="22"/>
        </w:rPr>
        <w:t>Desde el 17 de febrero de 2024, el artículo 49 contiene dos apartados:</w:t>
      </w:r>
    </w:p>
    <w:p>
      <w:pPr>
        <w:spacing w:after="40"/>
        <w:ind w:left="369" w:hanging="227"/>
      </w:pPr>
      <w:r>
        <w:rPr>
          <w:rFonts w:ascii="Arial" w:hAnsi="Arial" w:cs="Arial"/>
          <w:sz w:val="22"/>
        </w:rPr>
        <w:t>1. Las personas con discapacidad ejercen los derechos del título I en condiciones de libertad e igualdad reales y efectivas. La ley regulará la protección especial necesaria.</w:t>
      </w:r>
    </w:p>
    <w:p>
      <w:pPr>
        <w:spacing w:after="40"/>
        <w:ind w:left="369" w:hanging="227"/>
      </w:pPr>
      <w:r>
        <w:rPr>
          <w:rFonts w:ascii="Arial" w:hAnsi="Arial" w:cs="Arial"/>
          <w:sz w:val="22"/>
        </w:rPr>
        <w:t>2. Los poderes públicos impulsarán políticas que garanticen plena autonomía personal e inclusión social en entornos universalmente accesibles. Fomentarán la participación de sus organizaciones y atenderán particularmente las necesidades de mujeres y menores con discapacidad.</w:t>
      </w:r>
    </w:p>
    <w:p>
      <w:pPr>
        <w:jc w:val="both"/>
      </w:pPr>
      <w:r>
        <w:rPr>
          <w:rFonts w:ascii="Arial" w:hAnsi="Arial" w:cs="Arial"/>
          <w:sz w:val="22"/>
        </w:rPr>
        <w:t>La reforma sustituyó la terminología anterior y reforzó un enfoque de derechos, autonomía, inclusión, accesibilidad y participación.</w:t>
      </w:r>
    </w:p>
    <w:p>
      <w:pPr>
        <w:jc w:val="both"/>
      </w:pPr>
      <w:r>
        <w:rPr>
          <w:rFonts w:ascii="Arial" w:hAnsi="Arial" w:cs="Arial"/>
          <w:sz w:val="22"/>
        </w:rPr>
        <w:t>El artículo 50 exige pensiones adecuadas y periódicamente actualizadas que garanticen suficiencia económica a las personas mayores. También promueve su bienestar mediante servicios sociales que atiendan problemas específicos de salud, vivienda, cultura y ocio, con independencia de obligaciones familiares.</w:t>
      </w:r>
    </w:p>
    <w:p>
      <w:pPr>
        <w:pStyle w:val="Heading2"/>
        <w:keepNext/>
      </w:pPr>
      <w:r>
        <w:rPr>
          <w:rFonts w:ascii="Arial" w:hAnsi="Arial" w:cs="Arial"/>
          <w:sz w:val="25"/>
        </w:rPr>
        <w:t>6.4. Consumidores y organizaciones profesionales</w:t>
      </w:r>
    </w:p>
    <w:p>
      <w:pPr>
        <w:jc w:val="both"/>
      </w:pPr>
      <w:r>
        <w:rPr>
          <w:rFonts w:ascii="Arial" w:hAnsi="Arial" w:cs="Arial"/>
          <w:sz w:val="22"/>
        </w:rPr>
        <w:t>El artículo 51 ordena garantizar defensa de consumidores y usuarios, protegiendo mediante procedimientos eficaces su seguridad, salud y legítimos intereses económicos. Los poderes públicos promoverán información y educación, fomentarán organizaciones y las oirán en cuestiones que las afecten. La ley regulará comercio interior y autorización de productos dentro de este marco.</w:t>
      </w:r>
    </w:p>
    <w:p>
      <w:pPr>
        <w:jc w:val="both"/>
      </w:pPr>
      <w:r>
        <w:rPr>
          <w:rFonts w:ascii="Arial" w:hAnsi="Arial" w:cs="Arial"/>
          <w:sz w:val="22"/>
        </w:rPr>
        <w:t>El artículo 52 dispone que la ley regulará organizaciones profesionales que contribuyan a defender intereses económicos propios. Su estructura interna y funcionamiento deben ser democráticos.</w:t>
      </w:r>
    </w:p>
    <w:p>
      <w:pPr>
        <w:pStyle w:val="Heading1"/>
        <w:keepNext/>
      </w:pPr>
      <w:r>
        <w:rPr>
          <w:rFonts w:ascii="Arial" w:hAnsi="Arial" w:cs="Arial"/>
          <w:sz w:val="30"/>
        </w:rPr>
        <w:t>7. Garantías de los derechos</w:t>
      </w:r>
    </w:p>
    <w:p>
      <w:pPr>
        <w:pStyle w:val="Heading2"/>
        <w:keepNext/>
      </w:pPr>
      <w:r>
        <w:rPr>
          <w:rFonts w:ascii="Arial" w:hAnsi="Arial" w:cs="Arial"/>
          <w:sz w:val="25"/>
        </w:rPr>
        <w:t>7.1. Garantía normativa</w:t>
      </w:r>
    </w:p>
    <w:p>
      <w:pPr>
        <w:jc w:val="both"/>
      </w:pPr>
      <w:r>
        <w:rPr>
          <w:rFonts w:ascii="Arial" w:hAnsi="Arial" w:cs="Arial"/>
          <w:sz w:val="22"/>
        </w:rPr>
        <w:t>El artículo 53.1 establece que los derechos y libertades del capítulo II:</w:t>
      </w:r>
    </w:p>
    <w:p>
      <w:pPr>
        <w:pStyle w:val="ListBullet"/>
      </w:pPr>
      <w:r>
        <w:rPr>
          <w:rFonts w:ascii="Arial" w:hAnsi="Arial" w:cs="Arial"/>
          <w:sz w:val="22"/>
        </w:rPr>
        <w:t>Vinculan a todos los poderes públicos.</w:t>
      </w:r>
    </w:p>
    <w:p>
      <w:pPr>
        <w:pStyle w:val="ListBullet"/>
      </w:pPr>
      <w:r>
        <w:rPr>
          <w:rFonts w:ascii="Arial" w:hAnsi="Arial" w:cs="Arial"/>
          <w:sz w:val="22"/>
        </w:rPr>
        <w:t>Solo pueden regularse por ley.</w:t>
      </w:r>
    </w:p>
    <w:p>
      <w:pPr>
        <w:pStyle w:val="ListBullet"/>
      </w:pPr>
      <w:r>
        <w:rPr>
          <w:rFonts w:ascii="Arial" w:hAnsi="Arial" w:cs="Arial"/>
          <w:sz w:val="22"/>
        </w:rPr>
        <w:t>La ley debe respetar su contenido esencial.</w:t>
      </w:r>
    </w:p>
    <w:p>
      <w:pPr>
        <w:pStyle w:val="ListBullet"/>
      </w:pPr>
      <w:r>
        <w:rPr>
          <w:rFonts w:ascii="Arial" w:hAnsi="Arial" w:cs="Arial"/>
          <w:sz w:val="22"/>
        </w:rPr>
        <w:t>Se tutelan a través del recurso de inconstitucionalidad conforme al artículo 161.1.a.</w:t>
      </w:r>
    </w:p>
    <w:p>
      <w:pPr>
        <w:jc w:val="both"/>
      </w:pPr>
      <w:r>
        <w:rPr>
          <w:rFonts w:ascii="Arial" w:hAnsi="Arial" w:cs="Arial"/>
          <w:sz w:val="22"/>
        </w:rPr>
        <w:t>La reserva de ley impide que un reglamento independiente configure libremente el ejercicio de esos derechos. El reglamento puede colaborar cuando la ley lo habilita y delimita, pero no sustituirla en materias reservadas.</w:t>
      </w:r>
    </w:p>
    <w:p>
      <w:pPr>
        <w:jc w:val="both"/>
      </w:pPr>
      <w:r>
        <w:rPr>
          <w:rFonts w:ascii="Arial" w:hAnsi="Arial" w:cs="Arial"/>
          <w:sz w:val="22"/>
        </w:rPr>
        <w:t>El artículo 81.1 exige ley orgánica para el desarrollo de derechos fundamentales y libertades públicas. Esa exigencia se conecta estrictamente con la sección 1.ª del capítulo II. La aprobación, modificación o derogación de ley orgánica requiere mayoría absoluta del Congreso en votación final sobre el conjunto.</w:t>
      </w:r>
    </w:p>
    <w:p>
      <w:pPr>
        <w:jc w:val="both"/>
      </w:pPr>
      <w:r>
        <w:rPr>
          <w:rFonts w:ascii="Arial" w:hAnsi="Arial" w:cs="Arial"/>
          <w:sz w:val="22"/>
        </w:rPr>
        <w:t>Otras garantías normativas:</w:t>
      </w:r>
    </w:p>
    <w:p>
      <w:pPr>
        <w:pStyle w:val="ListBullet"/>
      </w:pPr>
      <w:r>
        <w:rPr>
          <w:rFonts w:ascii="Arial" w:hAnsi="Arial" w:cs="Arial"/>
          <w:sz w:val="22"/>
        </w:rPr>
        <w:t>El decreto-ley no puede afectar a derechos, deberes y libertades de los ciudadanos regulados en el título I, artículo 86.1.</w:t>
      </w:r>
    </w:p>
    <w:p>
      <w:pPr>
        <w:pStyle w:val="ListBullet"/>
      </w:pPr>
      <w:r>
        <w:rPr>
          <w:rFonts w:ascii="Arial" w:hAnsi="Arial" w:cs="Arial"/>
          <w:sz w:val="22"/>
        </w:rPr>
        <w:t>La sección 1.ª del capítulo II solo puede reformarse por el procedimiento agravado del artículo 168.</w:t>
      </w:r>
    </w:p>
    <w:p>
      <w:pPr>
        <w:pStyle w:val="ListBullet"/>
      </w:pPr>
      <w:r>
        <w:rPr>
          <w:rFonts w:ascii="Arial" w:hAnsi="Arial" w:cs="Arial"/>
          <w:sz w:val="22"/>
        </w:rPr>
        <w:t>El artículo 10.2 impone interpretación conforme a instrumentos internacionales ratificados.</w:t>
      </w:r>
    </w:p>
    <w:p>
      <w:pPr>
        <w:pStyle w:val="ListBullet"/>
      </w:pPr>
      <w:r>
        <w:rPr>
          <w:rFonts w:ascii="Arial" w:hAnsi="Arial" w:cs="Arial"/>
          <w:sz w:val="22"/>
        </w:rPr>
        <w:t>Jueces y tribunales no aplican reglamentos contrarios a la Constitución o la ley.</w:t>
      </w:r>
    </w:p>
    <w:p>
      <w:pPr>
        <w:pStyle w:val="ListBullet"/>
      </w:pPr>
      <w:r>
        <w:rPr>
          <w:rFonts w:ascii="Arial" w:hAnsi="Arial" w:cs="Arial"/>
          <w:sz w:val="22"/>
        </w:rPr>
        <w:t>Leyes y normas con fuerza de ley pueden ser sometidas al control del Tribunal Constitucional.</w:t>
      </w:r>
    </w:p>
    <w:p>
      <w:pPr>
        <w:pStyle w:val="Heading2"/>
        <w:keepNext/>
      </w:pPr>
      <w:r>
        <w:rPr>
          <w:rFonts w:ascii="Arial" w:hAnsi="Arial" w:cs="Arial"/>
          <w:sz w:val="25"/>
        </w:rPr>
        <w:t>7.2. Garantía judicial ordinaria y reforzada</w:t>
      </w:r>
    </w:p>
    <w:p>
      <w:pPr>
        <w:jc w:val="both"/>
      </w:pPr>
      <w:r>
        <w:rPr>
          <w:rFonts w:ascii="Arial" w:hAnsi="Arial" w:cs="Arial"/>
          <w:sz w:val="22"/>
        </w:rPr>
        <w:t>Todos los derechos e intereses legítimos reciben tutela judicial conforme al artículo 24. Además, cualquier ciudadano puede recabar tutela de las libertades y derechos del artículo 14 y de la sección 1.ª ante tribunales ordinarios mediante procedimiento basado en preferencia y sumariedad.</w:t>
      </w:r>
    </w:p>
    <w:p>
      <w:pPr>
        <w:jc w:val="both"/>
      </w:pPr>
      <w:r>
        <w:rPr>
          <w:rFonts w:ascii="Arial" w:hAnsi="Arial" w:cs="Arial"/>
          <w:sz w:val="22"/>
        </w:rPr>
        <w:t>En el orden contencioso-administrativo, la Ley 29/1998 regula un procedimiento especial para protección de derechos fundamentales. Los demás órdenes jurisdiccionales disponen de cauces correspondientes.</w:t>
      </w:r>
    </w:p>
    <w:p>
      <w:pPr>
        <w:pStyle w:val="Heading2"/>
        <w:keepNext/>
      </w:pPr>
      <w:r>
        <w:rPr>
          <w:rFonts w:ascii="Arial" w:hAnsi="Arial" w:cs="Arial"/>
          <w:sz w:val="25"/>
        </w:rPr>
        <w:t>7.3. Recurso de amparo constitucional</w:t>
      </w:r>
    </w:p>
    <w:p>
      <w:pPr>
        <w:jc w:val="both"/>
      </w:pPr>
      <w:r>
        <w:rPr>
          <w:rFonts w:ascii="Arial" w:hAnsi="Arial" w:cs="Arial"/>
          <w:sz w:val="22"/>
        </w:rPr>
        <w:t>El amparo protege frente a vulneraciones de:</w:t>
      </w:r>
    </w:p>
    <w:p>
      <w:pPr>
        <w:pStyle w:val="ListBullet"/>
      </w:pPr>
      <w:r>
        <w:rPr>
          <w:rFonts w:ascii="Arial" w:hAnsi="Arial" w:cs="Arial"/>
          <w:sz w:val="22"/>
        </w:rPr>
        <w:t>Artículo 14.</w:t>
      </w:r>
    </w:p>
    <w:p>
      <w:pPr>
        <w:pStyle w:val="ListBullet"/>
      </w:pPr>
      <w:r>
        <w:rPr>
          <w:rFonts w:ascii="Arial" w:hAnsi="Arial" w:cs="Arial"/>
          <w:sz w:val="22"/>
        </w:rPr>
        <w:t>Artículos 15 a 29.</w:t>
      </w:r>
    </w:p>
    <w:p>
      <w:pPr>
        <w:pStyle w:val="ListBullet"/>
      </w:pPr>
      <w:r>
        <w:rPr>
          <w:rFonts w:ascii="Arial" w:hAnsi="Arial" w:cs="Arial"/>
          <w:sz w:val="22"/>
        </w:rPr>
        <w:t>Objeción de conciencia del artículo 30.2.</w:t>
      </w:r>
    </w:p>
    <w:p>
      <w:pPr>
        <w:jc w:val="both"/>
      </w:pPr>
      <w:r>
        <w:rPr>
          <w:rFonts w:ascii="Arial" w:hAnsi="Arial" w:cs="Arial"/>
          <w:sz w:val="22"/>
        </w:rPr>
        <w:t>No protege directamente todos los derechos del título I. Propiedad, trabajo, libertad de empresa o los principios rectores no acceden al amparo por su sola invocación, sin perjuicio de que una actuación relacionada pueda vulnerar además un derecho susceptible de amparo, como igualdad o tutela judicial.</w:t>
      </w:r>
    </w:p>
    <w:p>
      <w:pPr>
        <w:jc w:val="both"/>
      </w:pPr>
      <w:r>
        <w:rPr>
          <w:rFonts w:ascii="Arial" w:hAnsi="Arial" w:cs="Arial"/>
          <w:sz w:val="22"/>
        </w:rPr>
        <w:t>Están legitimados para interponerlo, según el artículo 162.1.b:</w:t>
      </w:r>
    </w:p>
    <w:p>
      <w:pPr>
        <w:pStyle w:val="ListBullet"/>
      </w:pPr>
      <w:r>
        <w:rPr>
          <w:rFonts w:ascii="Arial" w:hAnsi="Arial" w:cs="Arial"/>
          <w:sz w:val="22"/>
        </w:rPr>
        <w:t>Toda persona natural o jurídica que invoque interés legítimo.</w:t>
      </w:r>
    </w:p>
    <w:p>
      <w:pPr>
        <w:pStyle w:val="ListBullet"/>
      </w:pPr>
      <w:r>
        <w:rPr>
          <w:rFonts w:ascii="Arial" w:hAnsi="Arial" w:cs="Arial"/>
          <w:sz w:val="22"/>
        </w:rPr>
        <w:t>Defensor del Pueblo.</w:t>
      </w:r>
    </w:p>
    <w:p>
      <w:pPr>
        <w:pStyle w:val="ListBullet"/>
      </w:pPr>
      <w:r>
        <w:rPr>
          <w:rFonts w:ascii="Arial" w:hAnsi="Arial" w:cs="Arial"/>
          <w:sz w:val="22"/>
        </w:rPr>
        <w:t>Ministerio Fiscal.</w:t>
      </w:r>
    </w:p>
    <w:p>
      <w:pPr>
        <w:jc w:val="both"/>
      </w:pPr>
      <w:r>
        <w:rPr>
          <w:rFonts w:ascii="Arial" w:hAnsi="Arial" w:cs="Arial"/>
          <w:sz w:val="22"/>
        </w:rPr>
        <w:t>La Ley Orgánica del Tribunal Constitucional distingue el origen de la lesión:</w:t>
      </w:r>
    </w:p>
    <w:tbl>
      <w:tblPr>
        <w:tblStyle w:val="TableGrid"/>
        <w:tblW w:type="dxa" w:w="9026"/>
        <w:jc w:val="left"/>
        <w:tblLayout w:type="fixed"/>
        <w:tblLook w:firstColumn="1" w:firstRow="1" w:lastColumn="0" w:lastRow="0" w:noHBand="0" w:noVBand="1" w:val="04A0"/>
        <w:tblInd w:w="120" w:type="dxa"/>
      </w:tblPr>
      <w:tblGrid>
        <w:gridCol w:w="4264"/>
        <w:gridCol w:w="900"/>
        <w:gridCol w:w="3862"/>
      </w:tblGrid>
      <w:tr>
        <w:trPr>
          <w:tblHeader w:val="true"/>
        </w:trPr>
        <w:tc>
          <w:tcPr>
            <w:tcW w:type="dxa" w:w="426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Acto del que procede</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Artículo LOTC</w:t>
            </w:r>
          </w:p>
        </w:tc>
        <w:tc>
          <w:tcPr>
            <w:tcW w:type="dxa" w:w="386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Plazo</w:t>
            </w:r>
          </w:p>
        </w:tc>
      </w:tr>
      <w:tr>
        <w:tc>
          <w:tcPr>
            <w:tcW w:type="dxa" w:w="4264"/>
            <w:tcMar>
              <w:top w:w="80" w:type="dxa"/>
              <w:start w:w="120" w:type="dxa"/>
              <w:bottom w:w="80" w:type="dxa"/>
              <w:end w:w="120" w:type="dxa"/>
            </w:tcMar>
            <w:vAlign w:val="center"/>
          </w:tcPr>
          <w:p>
            <w:pPr>
              <w:spacing w:before="0" w:after="0" w:line="240" w:lineRule="auto"/>
              <w:jc w:val="left"/>
            </w:pPr>
            <w:r/>
            <w:r>
              <w:rPr>
                <w:rFonts w:ascii="Arial" w:hAnsi="Arial" w:cs="Arial"/>
                <w:sz w:val="18"/>
              </w:rPr>
              <w:t>Acto parlamentario sin valor de ley</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42</w:t>
            </w:r>
          </w:p>
        </w:tc>
        <w:tc>
          <w:tcPr>
            <w:tcW w:type="dxa" w:w="3862"/>
            <w:tcMar>
              <w:top w:w="80" w:type="dxa"/>
              <w:start w:w="120" w:type="dxa"/>
              <w:bottom w:w="80" w:type="dxa"/>
              <w:end w:w="120" w:type="dxa"/>
            </w:tcMar>
            <w:vAlign w:val="center"/>
          </w:tcPr>
          <w:p>
            <w:pPr>
              <w:spacing w:before="0" w:after="0" w:line="240" w:lineRule="auto"/>
              <w:jc w:val="left"/>
            </w:pPr>
            <w:r/>
            <w:r>
              <w:rPr>
                <w:rFonts w:ascii="Arial" w:hAnsi="Arial" w:cs="Arial"/>
                <w:sz w:val="18"/>
              </w:rPr>
              <w:t>Tres meses desde firmeza interna</w:t>
            </w:r>
          </w:p>
        </w:tc>
      </w:tr>
      <w:tr>
        <w:tc>
          <w:tcPr>
            <w:tcW w:type="dxa" w:w="4264"/>
            <w:tcMar>
              <w:top w:w="80" w:type="dxa"/>
              <w:start w:w="120" w:type="dxa"/>
              <w:bottom w:w="80" w:type="dxa"/>
              <w:end w:w="120" w:type="dxa"/>
            </w:tcMar>
            <w:vAlign w:val="center"/>
          </w:tcPr>
          <w:p>
            <w:pPr>
              <w:spacing w:before="0" w:after="0" w:line="240" w:lineRule="auto"/>
              <w:jc w:val="left"/>
            </w:pPr>
            <w:r/>
            <w:r>
              <w:rPr>
                <w:rFonts w:ascii="Arial" w:hAnsi="Arial" w:cs="Arial"/>
                <w:sz w:val="18"/>
              </w:rPr>
              <w:t>Actuación del Gobierno, Administración o sus agentes, tras vía judicial</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43</w:t>
            </w:r>
          </w:p>
        </w:tc>
        <w:tc>
          <w:tcPr>
            <w:tcW w:type="dxa" w:w="3862"/>
            <w:tcMar>
              <w:top w:w="80" w:type="dxa"/>
              <w:start w:w="120" w:type="dxa"/>
              <w:bottom w:w="80" w:type="dxa"/>
              <w:end w:w="120" w:type="dxa"/>
            </w:tcMar>
            <w:vAlign w:val="center"/>
          </w:tcPr>
          <w:p>
            <w:pPr>
              <w:spacing w:before="0" w:after="0" w:line="240" w:lineRule="auto"/>
              <w:jc w:val="left"/>
            </w:pPr>
            <w:r/>
            <w:r>
              <w:rPr>
                <w:rFonts w:ascii="Arial" w:hAnsi="Arial" w:cs="Arial"/>
                <w:sz w:val="18"/>
              </w:rPr>
              <w:t>Veinte días desde notificación de la resolución judicial previa</w:t>
            </w:r>
          </w:p>
        </w:tc>
      </w:tr>
      <w:tr>
        <w:tc>
          <w:tcPr>
            <w:tcW w:type="dxa" w:w="4264"/>
            <w:tcMar>
              <w:top w:w="80" w:type="dxa"/>
              <w:start w:w="120" w:type="dxa"/>
              <w:bottom w:w="80" w:type="dxa"/>
              <w:end w:w="120" w:type="dxa"/>
            </w:tcMar>
            <w:vAlign w:val="center"/>
          </w:tcPr>
          <w:p>
            <w:pPr>
              <w:spacing w:before="0" w:after="0" w:line="240" w:lineRule="auto"/>
              <w:jc w:val="left"/>
            </w:pPr>
            <w:r/>
            <w:r>
              <w:rPr>
                <w:rFonts w:ascii="Arial" w:hAnsi="Arial" w:cs="Arial"/>
                <w:sz w:val="18"/>
              </w:rPr>
              <w:t>Acto u omisión judicial</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44</w:t>
            </w:r>
          </w:p>
        </w:tc>
        <w:tc>
          <w:tcPr>
            <w:tcW w:type="dxa" w:w="3862"/>
            <w:tcMar>
              <w:top w:w="80" w:type="dxa"/>
              <w:start w:w="120" w:type="dxa"/>
              <w:bottom w:w="80" w:type="dxa"/>
              <w:end w:w="120" w:type="dxa"/>
            </w:tcMar>
            <w:vAlign w:val="center"/>
          </w:tcPr>
          <w:p>
            <w:pPr>
              <w:spacing w:before="0" w:after="0" w:line="240" w:lineRule="auto"/>
              <w:jc w:val="left"/>
            </w:pPr>
            <w:r/>
            <w:r>
              <w:rPr>
                <w:rFonts w:ascii="Arial" w:hAnsi="Arial" w:cs="Arial"/>
                <w:sz w:val="18"/>
              </w:rPr>
              <w:t>Treinta días desde notificación de la resolución judicial</w:t>
            </w:r>
          </w:p>
        </w:tc>
      </w:tr>
    </w:tbl>
    <w:p>
      <w:pPr>
        <w:spacing w:after="40"/>
      </w:pPr>
    </w:p>
    <w:p>
      <w:pPr>
        <w:jc w:val="both"/>
      </w:pPr>
      <w:r>
        <w:rPr>
          <w:rFonts w:ascii="Arial" w:hAnsi="Arial" w:cs="Arial"/>
          <w:sz w:val="22"/>
        </w:rPr>
        <w:t xml:space="preserve">En los supuestos que lo exigen deben agotarse los medios judiciales y denunciarse la lesión tan pronto como exista oportunidad. La demanda debe justificar la </w:t>
      </w:r>
      <w:r>
        <w:rPr>
          <w:rFonts w:ascii="Arial" w:hAnsi="Arial" w:cs="Arial"/>
          <w:b/>
          <w:sz w:val="22"/>
        </w:rPr>
        <w:t>especial trascendencia constitucional</w:t>
      </w:r>
      <w:r>
        <w:rPr>
          <w:rFonts w:ascii="Arial" w:hAnsi="Arial" w:cs="Arial"/>
          <w:sz w:val="22"/>
        </w:rPr>
        <w:t xml:space="preserve"> del recurso.</w:t>
      </w:r>
    </w:p>
    <w:p>
      <w:pPr>
        <w:jc w:val="both"/>
      </w:pPr>
      <w:r>
        <w:rPr>
          <w:rFonts w:ascii="Arial" w:hAnsi="Arial" w:cs="Arial"/>
          <w:sz w:val="22"/>
        </w:rPr>
        <w:t>El amparo no es una nueva instancia sobre hechos y legalidad ordinaria. La sentencia puede reconocer el derecho, anular el acto y restablecer al recurrente. Su interposición no suspende por sí sola el acto impugnado, sin perjuicio de las medidas cautelares previstas legalmente.</w:t>
      </w:r>
    </w:p>
    <w:p>
      <w:pPr>
        <w:pStyle w:val="Heading2"/>
        <w:keepNext/>
      </w:pPr>
      <w:r>
        <w:rPr>
          <w:rFonts w:ascii="Arial" w:hAnsi="Arial" w:cs="Arial"/>
          <w:sz w:val="25"/>
        </w:rPr>
        <w:t>7.4. Defensor del Pueblo</w:t>
      </w:r>
    </w:p>
    <w:p>
      <w:pPr>
        <w:jc w:val="both"/>
      </w:pPr>
      <w:r>
        <w:rPr>
          <w:rFonts w:ascii="Arial" w:hAnsi="Arial" w:cs="Arial"/>
          <w:sz w:val="22"/>
        </w:rPr>
        <w:t>El artículo 54 dispone que una ley orgánica regulará el Defensor del Pueblo como alto comisionado de las Cortes Generales, designado por estas para defender los derechos del título I. Puede supervisar la actividad de la Administración y dar cuenta a las Cortes.</w:t>
      </w:r>
    </w:p>
    <w:p>
      <w:pPr>
        <w:jc w:val="both"/>
      </w:pPr>
      <w:r>
        <w:rPr>
          <w:rFonts w:ascii="Arial" w:hAnsi="Arial" w:cs="Arial"/>
          <w:sz w:val="22"/>
        </w:rPr>
        <w:t>La Ley Orgánica 3/1981 establece, entre otros elementos:</w:t>
      </w:r>
    </w:p>
    <w:p>
      <w:pPr>
        <w:pStyle w:val="ListBullet"/>
      </w:pPr>
      <w:r>
        <w:rPr>
          <w:rFonts w:ascii="Arial" w:hAnsi="Arial" w:cs="Arial"/>
          <w:sz w:val="22"/>
        </w:rPr>
        <w:t>Elección por las Cortes Generales por cinco años.</w:t>
      </w:r>
    </w:p>
    <w:p>
      <w:pPr>
        <w:pStyle w:val="ListBullet"/>
      </w:pPr>
      <w:r>
        <w:rPr>
          <w:rFonts w:ascii="Arial" w:hAnsi="Arial" w:cs="Arial"/>
          <w:sz w:val="22"/>
        </w:rPr>
        <w:t>En la primera propuesta, tres quintos del Congreso y posterior ratificación por tres quintos del Senado. Si no se alcanzan esas mayorías, las propuestas sucesivas requieren de nuevo tres quintos del Congreso, pero basta mayoría absoluta del Senado.</w:t>
      </w:r>
    </w:p>
    <w:p>
      <w:pPr>
        <w:pStyle w:val="ListBullet"/>
      </w:pPr>
      <w:r>
        <w:rPr>
          <w:rFonts w:ascii="Arial" w:hAnsi="Arial" w:cs="Arial"/>
          <w:sz w:val="22"/>
        </w:rPr>
        <w:t>Independencia: no recibe instrucciones y desempeña funciones con autonomía.</w:t>
      </w:r>
    </w:p>
    <w:p>
      <w:pPr>
        <w:pStyle w:val="ListBullet"/>
      </w:pPr>
      <w:r>
        <w:rPr>
          <w:rFonts w:ascii="Arial" w:hAnsi="Arial" w:cs="Arial"/>
          <w:sz w:val="22"/>
        </w:rPr>
        <w:t>Facultad de investigar actos y resoluciones de Administración y sus agentes.</w:t>
      </w:r>
    </w:p>
    <w:p>
      <w:pPr>
        <w:pStyle w:val="ListBullet"/>
      </w:pPr>
      <w:r>
        <w:rPr>
          <w:rFonts w:ascii="Arial" w:hAnsi="Arial" w:cs="Arial"/>
          <w:sz w:val="22"/>
        </w:rPr>
        <w:t>Legitimación para recursos de inconstitucionalidad y amparo.</w:t>
      </w:r>
    </w:p>
    <w:p>
      <w:pPr>
        <w:pStyle w:val="ListBullet"/>
      </w:pPr>
      <w:r>
        <w:rPr>
          <w:rFonts w:ascii="Arial" w:hAnsi="Arial" w:cs="Arial"/>
          <w:sz w:val="22"/>
        </w:rPr>
        <w:t>Deber de presentar informe anual y posibilidad de informes extraordinarios.</w:t>
      </w:r>
    </w:p>
    <w:p>
      <w:pPr>
        <w:jc w:val="both"/>
      </w:pPr>
      <w:r>
        <w:rPr>
          <w:rFonts w:ascii="Arial" w:hAnsi="Arial" w:cs="Arial"/>
          <w:sz w:val="22"/>
        </w:rPr>
        <w:t>El Defensor supervisa y formula advertencias, recomendaciones, recordatorios de deberes legales o sugerencias. No sustituye a jueces ni anula directamente actos administrativos.</w:t>
      </w:r>
    </w:p>
    <w:p>
      <w:pPr>
        <w:pStyle w:val="Heading2"/>
        <w:keepNext/>
      </w:pPr>
      <w:r>
        <w:rPr>
          <w:rFonts w:ascii="Arial" w:hAnsi="Arial" w:cs="Arial"/>
          <w:sz w:val="25"/>
        </w:rPr>
        <w:t>7.5. Ministerio Fiscal y control de constitucionalidad</w:t>
      </w:r>
    </w:p>
    <w:p>
      <w:pPr>
        <w:jc w:val="both"/>
      </w:pPr>
      <w:r>
        <w:rPr>
          <w:rFonts w:ascii="Arial" w:hAnsi="Arial" w:cs="Arial"/>
          <w:sz w:val="22"/>
        </w:rPr>
        <w:t>El Ministerio Fiscal promueve la acción de la justicia en defensa de legalidad, derechos ciudadanos e interés público y vela por independencia de tribunales. Está legitimado para el amparo.</w:t>
      </w:r>
    </w:p>
    <w:p>
      <w:pPr>
        <w:jc w:val="both"/>
      </w:pPr>
      <w:r>
        <w:rPr>
          <w:rFonts w:ascii="Arial" w:hAnsi="Arial" w:cs="Arial"/>
          <w:sz w:val="22"/>
        </w:rPr>
        <w:t>El recurso y la cuestión de inconstitucionalidad protegen objetivamente la supremacía constitucional. El recurso puede plantearse por sujetos del artículo 162.1.a; la cuestión la promueve un órgano judicial cuando una norma con rango de ley aplicable y relevante para decidir puede ser contraria a la Constitución. Una persona no interpone directamente una cuestión de inconstitucionalidad, aunque puede alegar la duda ante el órgano judicial.</w:t>
      </w:r>
    </w:p>
    <w:p>
      <w:pPr>
        <w:pStyle w:val="Heading2"/>
        <w:keepNext/>
      </w:pPr>
      <w:r>
        <w:rPr>
          <w:rFonts w:ascii="Arial" w:hAnsi="Arial" w:cs="Arial"/>
          <w:sz w:val="25"/>
        </w:rPr>
        <w:t>7.6. Garantía de los principios rectores</w:t>
      </w:r>
    </w:p>
    <w:p>
      <w:pPr>
        <w:jc w:val="both"/>
      </w:pPr>
      <w:r>
        <w:rPr>
          <w:rFonts w:ascii="Arial" w:hAnsi="Arial" w:cs="Arial"/>
          <w:sz w:val="22"/>
        </w:rPr>
        <w:t>El artículo 53.3 establece que reconocimiento, respeto y protección de los principios del capítulo III:</w:t>
      </w:r>
    </w:p>
    <w:p>
      <w:pPr>
        <w:pStyle w:val="ListBullet"/>
      </w:pPr>
      <w:r>
        <w:rPr>
          <w:rFonts w:ascii="Arial" w:hAnsi="Arial" w:cs="Arial"/>
          <w:sz w:val="22"/>
        </w:rPr>
        <w:t>Informarán la legislación positiva.</w:t>
      </w:r>
    </w:p>
    <w:p>
      <w:pPr>
        <w:pStyle w:val="ListBullet"/>
      </w:pPr>
      <w:r>
        <w:rPr>
          <w:rFonts w:ascii="Arial" w:hAnsi="Arial" w:cs="Arial"/>
          <w:sz w:val="22"/>
        </w:rPr>
        <w:t>Informarán la práctica judicial.</w:t>
      </w:r>
    </w:p>
    <w:p>
      <w:pPr>
        <w:pStyle w:val="ListBullet"/>
      </w:pPr>
      <w:r>
        <w:rPr>
          <w:rFonts w:ascii="Arial" w:hAnsi="Arial" w:cs="Arial"/>
          <w:sz w:val="22"/>
        </w:rPr>
        <w:t>Informarán la actuación de los poderes públicos.</w:t>
      </w:r>
    </w:p>
    <w:p>
      <w:pPr>
        <w:pStyle w:val="ListBullet"/>
      </w:pPr>
      <w:r>
        <w:rPr>
          <w:rFonts w:ascii="Arial" w:hAnsi="Arial" w:cs="Arial"/>
          <w:sz w:val="22"/>
        </w:rPr>
        <w:t>Solo podrán alegarse ante jurisdicción ordinaria según dispongan leyes que los desarrollen.</w:t>
      </w:r>
    </w:p>
    <w:p>
      <w:pPr>
        <w:jc w:val="both"/>
      </w:pPr>
      <w:r>
        <w:rPr>
          <w:rFonts w:ascii="Arial" w:hAnsi="Arial" w:cs="Arial"/>
          <w:sz w:val="22"/>
        </w:rPr>
        <w:t>No son declaraciones sin valor jurídico, pero su forma de exigibilidad es distinta de los derechos del capítulo II. El legislador tiene margen de configuración, respetando sus mandatos constitucionales.</w:t>
      </w:r>
    </w:p>
    <w:p>
      <w:pPr>
        <w:pStyle w:val="Heading1"/>
        <w:keepNext/>
      </w:pPr>
      <w:r>
        <w:rPr>
          <w:rFonts w:ascii="Arial" w:hAnsi="Arial" w:cs="Arial"/>
          <w:sz w:val="30"/>
        </w:rPr>
        <w:t>8. Suspensión general de derechos</w:t>
      </w:r>
    </w:p>
    <w:p>
      <w:pPr>
        <w:pStyle w:val="Heading2"/>
        <w:keepNext/>
      </w:pPr>
      <w:r>
        <w:rPr>
          <w:rFonts w:ascii="Arial" w:hAnsi="Arial" w:cs="Arial"/>
          <w:sz w:val="25"/>
        </w:rPr>
        <w:t>8.1. Artículos 55 y 116</w:t>
      </w:r>
    </w:p>
    <w:p>
      <w:pPr>
        <w:jc w:val="both"/>
      </w:pPr>
      <w:r>
        <w:rPr>
          <w:rFonts w:ascii="Arial" w:hAnsi="Arial" w:cs="Arial"/>
          <w:sz w:val="22"/>
        </w:rPr>
        <w:t>La suspensión general se conecta con estados de excepción y sitio. El artículo 55.1 permite suspender determinados derechos cuando se acuerde la declaración de esos estados en los términos constitucionales.</w:t>
      </w:r>
    </w:p>
    <w:p>
      <w:pPr>
        <w:jc w:val="both"/>
      </w:pPr>
      <w:r>
        <w:rPr>
          <w:rFonts w:ascii="Arial" w:hAnsi="Arial" w:cs="Arial"/>
          <w:sz w:val="22"/>
        </w:rPr>
        <w:t>El estado de alarma no aparece en el artículo 55.1 como causa de suspensión de derechos. Puede permitir limitaciones y medidas extraordinarias previstas por la Ley Orgánica 4/1981, pero no una suspensión formal del catálogo del artículo 55.1.</w:t>
      </w:r>
    </w:p>
    <w:p>
      <w:pPr>
        <w:jc w:val="both"/>
      </w:pPr>
      <w:r>
        <w:rPr>
          <w:rFonts w:ascii="Arial" w:hAnsi="Arial" w:cs="Arial"/>
          <w:sz w:val="22"/>
        </w:rPr>
        <w:t>La Ley Orgánica 4/1981 parte de varios principios comunes:</w:t>
      </w:r>
    </w:p>
    <w:p>
      <w:pPr>
        <w:pStyle w:val="ListBullet"/>
      </w:pPr>
      <w:r>
        <w:rPr>
          <w:rFonts w:ascii="Arial" w:hAnsi="Arial" w:cs="Arial"/>
          <w:sz w:val="22"/>
        </w:rPr>
        <w:t>Circunstancias extraordinarias que hagan imposible mantener normalidad con poderes ordinarios.</w:t>
      </w:r>
    </w:p>
    <w:p>
      <w:pPr>
        <w:pStyle w:val="ListBullet"/>
      </w:pPr>
      <w:r>
        <w:rPr>
          <w:rFonts w:ascii="Arial" w:hAnsi="Arial" w:cs="Arial"/>
          <w:sz w:val="22"/>
        </w:rPr>
        <w:t>Medidas estrictamente indispensables.</w:t>
      </w:r>
    </w:p>
    <w:p>
      <w:pPr>
        <w:pStyle w:val="ListBullet"/>
      </w:pPr>
      <w:r>
        <w:rPr>
          <w:rFonts w:ascii="Arial" w:hAnsi="Arial" w:cs="Arial"/>
          <w:sz w:val="22"/>
        </w:rPr>
        <w:t>Duración indispensable.</w:t>
      </w:r>
    </w:p>
    <w:p>
      <w:pPr>
        <w:pStyle w:val="ListBullet"/>
      </w:pPr>
      <w:r>
        <w:rPr>
          <w:rFonts w:ascii="Arial" w:hAnsi="Arial" w:cs="Arial"/>
          <w:sz w:val="22"/>
        </w:rPr>
        <w:t>Aplicación proporcionada.</w:t>
      </w:r>
    </w:p>
    <w:p>
      <w:pPr>
        <w:pStyle w:val="ListBullet"/>
      </w:pPr>
      <w:r>
        <w:rPr>
          <w:rFonts w:ascii="Arial" w:hAnsi="Arial" w:cs="Arial"/>
          <w:sz w:val="22"/>
        </w:rPr>
        <w:t>Publicación inmediata en el BOE.</w:t>
      </w:r>
    </w:p>
    <w:p>
      <w:pPr>
        <w:pStyle w:val="ListBullet"/>
      </w:pPr>
      <w:r>
        <w:rPr>
          <w:rFonts w:ascii="Arial" w:hAnsi="Arial" w:cs="Arial"/>
          <w:sz w:val="22"/>
        </w:rPr>
        <w:t>Mantenimiento del funcionamiento normal de poderes constitucionales.</w:t>
      </w:r>
    </w:p>
    <w:p>
      <w:pPr>
        <w:pStyle w:val="ListBullet"/>
      </w:pPr>
      <w:r>
        <w:rPr>
          <w:rFonts w:ascii="Arial" w:hAnsi="Arial" w:cs="Arial"/>
          <w:sz w:val="22"/>
        </w:rPr>
        <w:t>Impugnabilidad judicial de actos y disposiciones administrativos.</w:t>
      </w:r>
    </w:p>
    <w:p>
      <w:pPr>
        <w:pStyle w:val="ListBullet"/>
      </w:pPr>
      <w:r>
        <w:rPr>
          <w:rFonts w:ascii="Arial" w:hAnsi="Arial" w:cs="Arial"/>
          <w:sz w:val="22"/>
        </w:rPr>
        <w:t>Derecho a indemnización cuando proceda por daños no imputables sufridos directamente.</w:t>
      </w:r>
    </w:p>
    <w:p>
      <w:pPr>
        <w:pStyle w:val="Heading2"/>
        <w:keepNext/>
      </w:pPr>
      <w:r>
        <w:rPr>
          <w:rFonts w:ascii="Arial" w:hAnsi="Arial" w:cs="Arial"/>
          <w:sz w:val="25"/>
        </w:rPr>
        <w:t>8.2. Derechos suspendibles</w:t>
      </w:r>
    </w:p>
    <w:tbl>
      <w:tblPr>
        <w:tblStyle w:val="TableGrid"/>
        <w:tblW w:type="dxa" w:w="9026"/>
        <w:jc w:val="left"/>
        <w:tblLayout w:type="fixed"/>
        <w:tblLook w:firstColumn="1" w:firstRow="1" w:lastColumn="0" w:lastRow="0" w:noHBand="0" w:noVBand="1" w:val="04A0"/>
        <w:tblInd w:w="120" w:type="dxa"/>
      </w:tblPr>
      <w:tblGrid>
        <w:gridCol w:w="900"/>
        <w:gridCol w:w="2497"/>
        <w:gridCol w:w="5629"/>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Precepto</w:t>
            </w:r>
          </w:p>
        </w:tc>
        <w:tc>
          <w:tcPr>
            <w:tcW w:type="dxa" w:w="249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Derecho o garantía</w:t>
            </w:r>
          </w:p>
        </w:tc>
        <w:tc>
          <w:tcPr>
            <w:tcW w:type="dxa" w:w="562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Excepción o precisión</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17</w:t>
            </w:r>
          </w:p>
        </w:tc>
        <w:tc>
          <w:tcPr>
            <w:tcW w:type="dxa" w:w="2497"/>
            <w:tcMar>
              <w:top w:w="80" w:type="dxa"/>
              <w:start w:w="120" w:type="dxa"/>
              <w:bottom w:w="80" w:type="dxa"/>
              <w:end w:w="120" w:type="dxa"/>
            </w:tcMar>
            <w:vAlign w:val="center"/>
          </w:tcPr>
          <w:p>
            <w:pPr>
              <w:spacing w:before="0" w:after="0" w:line="240" w:lineRule="auto"/>
              <w:jc w:val="left"/>
            </w:pPr>
            <w:r/>
            <w:r>
              <w:rPr>
                <w:rFonts w:ascii="Arial" w:hAnsi="Arial" w:cs="Arial"/>
                <w:sz w:val="18"/>
              </w:rPr>
              <w:t>Libertad y seguridad</w:t>
            </w:r>
          </w:p>
        </w:tc>
        <w:tc>
          <w:tcPr>
            <w:tcW w:type="dxa" w:w="5629"/>
            <w:tcMar>
              <w:top w:w="80" w:type="dxa"/>
              <w:start w:w="120" w:type="dxa"/>
              <w:bottom w:w="80" w:type="dxa"/>
              <w:end w:w="120" w:type="dxa"/>
            </w:tcMar>
            <w:vAlign w:val="center"/>
          </w:tcPr>
          <w:p>
            <w:pPr>
              <w:spacing w:before="0" w:after="0" w:line="240" w:lineRule="auto"/>
              <w:jc w:val="left"/>
            </w:pPr>
            <w:r/>
            <w:r>
              <w:rPr>
                <w:rFonts w:ascii="Arial" w:hAnsi="Arial" w:cs="Arial"/>
                <w:sz w:val="18"/>
              </w:rPr>
              <w:t>En excepción no se suspende el apartado 17.3; en sitio puede autorizarse también su suspensión</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18.2</w:t>
            </w:r>
          </w:p>
        </w:tc>
        <w:tc>
          <w:tcPr>
            <w:tcW w:type="dxa" w:w="2497"/>
            <w:tcMar>
              <w:top w:w="80" w:type="dxa"/>
              <w:start w:w="120" w:type="dxa"/>
              <w:bottom w:w="80" w:type="dxa"/>
              <w:end w:w="120" w:type="dxa"/>
            </w:tcMar>
            <w:vAlign w:val="center"/>
          </w:tcPr>
          <w:p>
            <w:pPr>
              <w:spacing w:before="0" w:after="0" w:line="240" w:lineRule="auto"/>
              <w:jc w:val="left"/>
            </w:pPr>
            <w:r/>
            <w:r>
              <w:rPr>
                <w:rFonts w:ascii="Arial" w:hAnsi="Arial" w:cs="Arial"/>
                <w:sz w:val="18"/>
              </w:rPr>
              <w:t>Inviolabilidad del domicilio</w:t>
            </w:r>
          </w:p>
        </w:tc>
        <w:tc>
          <w:tcPr>
            <w:tcW w:type="dxa" w:w="5629"/>
            <w:tcMar>
              <w:top w:w="80" w:type="dxa"/>
              <w:start w:w="120" w:type="dxa"/>
              <w:bottom w:w="80" w:type="dxa"/>
              <w:end w:w="120" w:type="dxa"/>
            </w:tcMar>
            <w:vAlign w:val="center"/>
          </w:tcPr>
          <w:p>
            <w:pPr>
              <w:spacing w:before="0" w:after="0" w:line="240" w:lineRule="auto"/>
              <w:jc w:val="left"/>
            </w:pPr>
            <w:r/>
            <w:r>
              <w:rPr>
                <w:rFonts w:ascii="Arial" w:hAnsi="Arial" w:cs="Arial"/>
                <w:sz w:val="18"/>
              </w:rPr>
              <w:t>Entrada y registro bajo condiciones de la declaración y de la ley orgánica</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18.3</w:t>
            </w:r>
          </w:p>
        </w:tc>
        <w:tc>
          <w:tcPr>
            <w:tcW w:type="dxa" w:w="2497"/>
            <w:tcMar>
              <w:top w:w="80" w:type="dxa"/>
              <w:start w:w="120" w:type="dxa"/>
              <w:bottom w:w="80" w:type="dxa"/>
              <w:end w:w="120" w:type="dxa"/>
            </w:tcMar>
            <w:vAlign w:val="center"/>
          </w:tcPr>
          <w:p>
            <w:pPr>
              <w:spacing w:before="0" w:after="0" w:line="240" w:lineRule="auto"/>
              <w:jc w:val="left"/>
            </w:pPr>
            <w:r/>
            <w:r>
              <w:rPr>
                <w:rFonts w:ascii="Arial" w:hAnsi="Arial" w:cs="Arial"/>
                <w:sz w:val="18"/>
              </w:rPr>
              <w:t>Secreto de comunicaciones</w:t>
            </w:r>
          </w:p>
        </w:tc>
        <w:tc>
          <w:tcPr>
            <w:tcW w:type="dxa" w:w="5629"/>
            <w:tcMar>
              <w:top w:w="80" w:type="dxa"/>
              <w:start w:w="120" w:type="dxa"/>
              <w:bottom w:w="80" w:type="dxa"/>
              <w:end w:w="120" w:type="dxa"/>
            </w:tcMar>
            <w:vAlign w:val="center"/>
          </w:tcPr>
          <w:p>
            <w:pPr>
              <w:spacing w:before="0" w:after="0" w:line="240" w:lineRule="auto"/>
              <w:jc w:val="left"/>
            </w:pPr>
            <w:r/>
            <w:r>
              <w:rPr>
                <w:rFonts w:ascii="Arial" w:hAnsi="Arial" w:cs="Arial"/>
                <w:sz w:val="18"/>
              </w:rPr>
              <w:t>Intervención bajo condiciones excepcionales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19</w:t>
            </w:r>
          </w:p>
        </w:tc>
        <w:tc>
          <w:tcPr>
            <w:tcW w:type="dxa" w:w="2497"/>
            <w:tcMar>
              <w:top w:w="80" w:type="dxa"/>
              <w:start w:w="120" w:type="dxa"/>
              <w:bottom w:w="80" w:type="dxa"/>
              <w:end w:w="120" w:type="dxa"/>
            </w:tcMar>
            <w:vAlign w:val="center"/>
          </w:tcPr>
          <w:p>
            <w:pPr>
              <w:spacing w:before="0" w:after="0" w:line="240" w:lineRule="auto"/>
              <w:jc w:val="left"/>
            </w:pPr>
            <w:r/>
            <w:r>
              <w:rPr>
                <w:rFonts w:ascii="Arial" w:hAnsi="Arial" w:cs="Arial"/>
                <w:sz w:val="18"/>
              </w:rPr>
              <w:t>Residencia y circulación</w:t>
            </w:r>
          </w:p>
        </w:tc>
        <w:tc>
          <w:tcPr>
            <w:tcW w:type="dxa" w:w="5629"/>
            <w:tcMar>
              <w:top w:w="80" w:type="dxa"/>
              <w:start w:w="120" w:type="dxa"/>
              <w:bottom w:w="80" w:type="dxa"/>
              <w:end w:w="120" w:type="dxa"/>
            </w:tcMar>
            <w:vAlign w:val="center"/>
          </w:tcPr>
          <w:p>
            <w:pPr>
              <w:spacing w:before="0" w:after="0" w:line="240" w:lineRule="auto"/>
              <w:jc w:val="left"/>
            </w:pPr>
            <w:r/>
            <w:r>
              <w:rPr>
                <w:rFonts w:ascii="Arial" w:hAnsi="Arial" w:cs="Arial"/>
                <w:sz w:val="18"/>
              </w:rPr>
              <w:t>Puede suspenderse</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20.1.a</w:t>
            </w:r>
          </w:p>
        </w:tc>
        <w:tc>
          <w:tcPr>
            <w:tcW w:type="dxa" w:w="2497"/>
            <w:tcMar>
              <w:top w:w="80" w:type="dxa"/>
              <w:start w:w="120" w:type="dxa"/>
              <w:bottom w:w="80" w:type="dxa"/>
              <w:end w:w="120" w:type="dxa"/>
            </w:tcMar>
            <w:vAlign w:val="center"/>
          </w:tcPr>
          <w:p>
            <w:pPr>
              <w:spacing w:before="0" w:after="0" w:line="240" w:lineRule="auto"/>
              <w:jc w:val="left"/>
            </w:pPr>
            <w:r/>
            <w:r>
              <w:rPr>
                <w:rFonts w:ascii="Arial" w:hAnsi="Arial" w:cs="Arial"/>
                <w:sz w:val="18"/>
              </w:rPr>
              <w:t>Expresión y difusión</w:t>
            </w:r>
          </w:p>
        </w:tc>
        <w:tc>
          <w:tcPr>
            <w:tcW w:type="dxa" w:w="5629"/>
            <w:tcMar>
              <w:top w:w="80" w:type="dxa"/>
              <w:start w:w="120" w:type="dxa"/>
              <w:bottom w:w="80" w:type="dxa"/>
              <w:end w:w="120" w:type="dxa"/>
            </w:tcMar>
            <w:vAlign w:val="center"/>
          </w:tcPr>
          <w:p>
            <w:pPr>
              <w:spacing w:before="0" w:after="0" w:line="240" w:lineRule="auto"/>
              <w:jc w:val="left"/>
            </w:pPr>
            <w:r/>
            <w:r>
              <w:rPr>
                <w:rFonts w:ascii="Arial" w:hAnsi="Arial" w:cs="Arial"/>
                <w:sz w:val="18"/>
              </w:rPr>
              <w:t>Puede suspenderse</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20.1.d</w:t>
            </w:r>
          </w:p>
        </w:tc>
        <w:tc>
          <w:tcPr>
            <w:tcW w:type="dxa" w:w="2497"/>
            <w:tcMar>
              <w:top w:w="80" w:type="dxa"/>
              <w:start w:w="120" w:type="dxa"/>
              <w:bottom w:w="80" w:type="dxa"/>
              <w:end w:w="120" w:type="dxa"/>
            </w:tcMar>
            <w:vAlign w:val="center"/>
          </w:tcPr>
          <w:p>
            <w:pPr>
              <w:spacing w:before="0" w:after="0" w:line="240" w:lineRule="auto"/>
              <w:jc w:val="center"/>
            </w:pPr>
            <w:r/>
            <w:r>
              <w:rPr>
                <w:rFonts w:ascii="Arial" w:hAnsi="Arial" w:cs="Arial"/>
                <w:sz w:val="18"/>
              </w:rPr>
              <w:t>Información</w:t>
            </w:r>
          </w:p>
        </w:tc>
        <w:tc>
          <w:tcPr>
            <w:tcW w:type="dxa" w:w="5629"/>
            <w:tcMar>
              <w:top w:w="80" w:type="dxa"/>
              <w:start w:w="120" w:type="dxa"/>
              <w:bottom w:w="80" w:type="dxa"/>
              <w:end w:w="120" w:type="dxa"/>
            </w:tcMar>
            <w:vAlign w:val="center"/>
          </w:tcPr>
          <w:p>
            <w:pPr>
              <w:spacing w:before="0" w:after="0" w:line="240" w:lineRule="auto"/>
              <w:jc w:val="left"/>
            </w:pPr>
            <w:r/>
            <w:r>
              <w:rPr>
                <w:rFonts w:ascii="Arial" w:hAnsi="Arial" w:cs="Arial"/>
                <w:sz w:val="18"/>
              </w:rPr>
              <w:t>Puede suspenderse</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20.5</w:t>
            </w:r>
          </w:p>
        </w:tc>
        <w:tc>
          <w:tcPr>
            <w:tcW w:type="dxa" w:w="2497"/>
            <w:tcMar>
              <w:top w:w="80" w:type="dxa"/>
              <w:start w:w="120" w:type="dxa"/>
              <w:bottom w:w="80" w:type="dxa"/>
              <w:end w:w="120" w:type="dxa"/>
            </w:tcMar>
            <w:vAlign w:val="center"/>
          </w:tcPr>
          <w:p>
            <w:pPr>
              <w:spacing w:before="0" w:after="0" w:line="240" w:lineRule="auto"/>
              <w:jc w:val="left"/>
            </w:pPr>
            <w:r/>
            <w:r>
              <w:rPr>
                <w:rFonts w:ascii="Arial" w:hAnsi="Arial" w:cs="Arial"/>
                <w:sz w:val="18"/>
              </w:rPr>
              <w:t>Secuestro solo judicial</w:t>
            </w:r>
          </w:p>
        </w:tc>
        <w:tc>
          <w:tcPr>
            <w:tcW w:type="dxa" w:w="5629"/>
            <w:tcMar>
              <w:top w:w="80" w:type="dxa"/>
              <w:start w:w="120" w:type="dxa"/>
              <w:bottom w:w="80" w:type="dxa"/>
              <w:end w:w="120" w:type="dxa"/>
            </w:tcMar>
            <w:vAlign w:val="center"/>
          </w:tcPr>
          <w:p>
            <w:pPr>
              <w:spacing w:before="0" w:after="0" w:line="240" w:lineRule="auto"/>
              <w:jc w:val="left"/>
            </w:pPr>
            <w:r/>
            <w:r>
              <w:rPr>
                <w:rFonts w:ascii="Arial" w:hAnsi="Arial" w:cs="Arial"/>
                <w:sz w:val="18"/>
              </w:rPr>
              <w:t>Puede suspenderse</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21</w:t>
            </w:r>
          </w:p>
        </w:tc>
        <w:tc>
          <w:tcPr>
            <w:tcW w:type="dxa" w:w="2497"/>
            <w:tcMar>
              <w:top w:w="80" w:type="dxa"/>
              <w:start w:w="120" w:type="dxa"/>
              <w:bottom w:w="80" w:type="dxa"/>
              <w:end w:w="120" w:type="dxa"/>
            </w:tcMar>
            <w:vAlign w:val="center"/>
          </w:tcPr>
          <w:p>
            <w:pPr>
              <w:spacing w:before="0" w:after="0" w:line="240" w:lineRule="auto"/>
              <w:jc w:val="center"/>
            </w:pPr>
            <w:r/>
            <w:r>
              <w:rPr>
                <w:rFonts w:ascii="Arial" w:hAnsi="Arial" w:cs="Arial"/>
                <w:sz w:val="18"/>
              </w:rPr>
              <w:t>Reunión</w:t>
            </w:r>
          </w:p>
        </w:tc>
        <w:tc>
          <w:tcPr>
            <w:tcW w:type="dxa" w:w="5629"/>
            <w:tcMar>
              <w:top w:w="80" w:type="dxa"/>
              <w:start w:w="120" w:type="dxa"/>
              <w:bottom w:w="80" w:type="dxa"/>
              <w:end w:w="120" w:type="dxa"/>
            </w:tcMar>
            <w:vAlign w:val="center"/>
          </w:tcPr>
          <w:p>
            <w:pPr>
              <w:spacing w:before="0" w:after="0" w:line="240" w:lineRule="auto"/>
              <w:jc w:val="left"/>
            </w:pPr>
            <w:r/>
            <w:r>
              <w:rPr>
                <w:rFonts w:ascii="Arial" w:hAnsi="Arial" w:cs="Arial"/>
                <w:sz w:val="18"/>
              </w:rPr>
              <w:t>Puede suspenderse</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28.2</w:t>
            </w:r>
          </w:p>
        </w:tc>
        <w:tc>
          <w:tcPr>
            <w:tcW w:type="dxa" w:w="2497"/>
            <w:tcMar>
              <w:top w:w="80" w:type="dxa"/>
              <w:start w:w="120" w:type="dxa"/>
              <w:bottom w:w="80" w:type="dxa"/>
              <w:end w:w="120" w:type="dxa"/>
            </w:tcMar>
            <w:vAlign w:val="center"/>
          </w:tcPr>
          <w:p>
            <w:pPr>
              <w:spacing w:before="0" w:after="0" w:line="240" w:lineRule="auto"/>
              <w:jc w:val="center"/>
            </w:pPr>
            <w:r/>
            <w:r>
              <w:rPr>
                <w:rFonts w:ascii="Arial" w:hAnsi="Arial" w:cs="Arial"/>
                <w:sz w:val="18"/>
              </w:rPr>
              <w:t>Huelga</w:t>
            </w:r>
          </w:p>
        </w:tc>
        <w:tc>
          <w:tcPr>
            <w:tcW w:type="dxa" w:w="5629"/>
            <w:tcMar>
              <w:top w:w="80" w:type="dxa"/>
              <w:start w:w="120" w:type="dxa"/>
              <w:bottom w:w="80" w:type="dxa"/>
              <w:end w:w="120" w:type="dxa"/>
            </w:tcMar>
            <w:vAlign w:val="center"/>
          </w:tcPr>
          <w:p>
            <w:pPr>
              <w:spacing w:before="0" w:after="0" w:line="240" w:lineRule="auto"/>
              <w:jc w:val="left"/>
            </w:pPr>
            <w:r/>
            <w:r>
              <w:rPr>
                <w:rFonts w:ascii="Arial" w:hAnsi="Arial" w:cs="Arial"/>
                <w:sz w:val="18"/>
              </w:rPr>
              <w:t>Puede suspenderse</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37.2</w:t>
            </w:r>
          </w:p>
        </w:tc>
        <w:tc>
          <w:tcPr>
            <w:tcW w:type="dxa" w:w="2497"/>
            <w:tcMar>
              <w:top w:w="80" w:type="dxa"/>
              <w:start w:w="120" w:type="dxa"/>
              <w:bottom w:w="80" w:type="dxa"/>
              <w:end w:w="120" w:type="dxa"/>
            </w:tcMar>
            <w:vAlign w:val="center"/>
          </w:tcPr>
          <w:p>
            <w:pPr>
              <w:spacing w:before="0" w:after="0" w:line="240" w:lineRule="auto"/>
              <w:jc w:val="left"/>
            </w:pPr>
            <w:r/>
            <w:r>
              <w:rPr>
                <w:rFonts w:ascii="Arial" w:hAnsi="Arial" w:cs="Arial"/>
                <w:sz w:val="18"/>
              </w:rPr>
              <w:t>Conflicto colectivo</w:t>
            </w:r>
          </w:p>
        </w:tc>
        <w:tc>
          <w:tcPr>
            <w:tcW w:type="dxa" w:w="5629"/>
            <w:tcMar>
              <w:top w:w="80" w:type="dxa"/>
              <w:start w:w="120" w:type="dxa"/>
              <w:bottom w:w="80" w:type="dxa"/>
              <w:end w:w="120" w:type="dxa"/>
            </w:tcMar>
            <w:vAlign w:val="center"/>
          </w:tcPr>
          <w:p>
            <w:pPr>
              <w:spacing w:before="0" w:after="0" w:line="240" w:lineRule="auto"/>
              <w:jc w:val="left"/>
            </w:pPr>
            <w:r/>
            <w:r>
              <w:rPr>
                <w:rFonts w:ascii="Arial" w:hAnsi="Arial" w:cs="Arial"/>
                <w:sz w:val="18"/>
              </w:rPr>
              <w:t>Puede suspenderse</w:t>
            </w:r>
          </w:p>
        </w:tc>
      </w:tr>
    </w:tbl>
    <w:p>
      <w:pPr>
        <w:spacing w:after="40"/>
      </w:pPr>
    </w:p>
    <w:p>
      <w:pPr>
        <w:jc w:val="both"/>
      </w:pPr>
      <w:r>
        <w:rPr>
          <w:rFonts w:ascii="Arial" w:hAnsi="Arial" w:cs="Arial"/>
          <w:sz w:val="22"/>
        </w:rPr>
        <w:t>No se suspenden por esta cláusula, entre otros, la vida e integridad del artículo 15, la libertad ideológica del 16, la tutela judicial del 24 o la legalidad sancionadora del 25.</w:t>
      </w:r>
    </w:p>
    <w:p>
      <w:pPr>
        <w:pStyle w:val="Heading2"/>
        <w:keepNext/>
      </w:pPr>
      <w:r>
        <w:rPr>
          <w:rFonts w:ascii="Arial" w:hAnsi="Arial" w:cs="Arial"/>
          <w:sz w:val="25"/>
        </w:rPr>
        <w:t>8.3. Estado de alarma</w:t>
      </w:r>
    </w:p>
    <w:p>
      <w:pPr>
        <w:jc w:val="both"/>
      </w:pPr>
      <w:r>
        <w:rPr>
          <w:rFonts w:ascii="Arial" w:hAnsi="Arial" w:cs="Arial"/>
          <w:sz w:val="22"/>
        </w:rPr>
        <w:t>El Gobierno lo declara mediante decreto acordado en Consejo de Ministros por un máximo de quince días. Debe dar cuenta inmediatamente al Congreso. Solo puede prorrogarse con autorización expresa del Congreso, que fija alcance y condiciones.</w:t>
      </w:r>
    </w:p>
    <w:p>
      <w:pPr>
        <w:jc w:val="both"/>
      </w:pPr>
      <w:r>
        <w:rPr>
          <w:rFonts w:ascii="Arial" w:hAnsi="Arial" w:cs="Arial"/>
          <w:sz w:val="22"/>
        </w:rPr>
        <w:t>La Ley Orgánica 4/1981 contempla, entre otros supuestos, catástrofes, calamidades, crisis sanitarias, ciertas paralizaciones de servicios esenciales y desabastecimiento de productos de primera necesidad.</w:t>
      </w:r>
    </w:p>
    <w:p>
      <w:pPr>
        <w:jc w:val="both"/>
      </w:pPr>
      <w:r>
        <w:rPr>
          <w:rFonts w:ascii="Arial" w:hAnsi="Arial" w:cs="Arial"/>
          <w:sz w:val="22"/>
        </w:rPr>
        <w:t>Entre las medidas posibles figuran:</w:t>
      </w:r>
    </w:p>
    <w:p>
      <w:pPr>
        <w:pStyle w:val="ListBullet"/>
      </w:pPr>
      <w:r>
        <w:rPr>
          <w:rFonts w:ascii="Arial" w:hAnsi="Arial" w:cs="Arial"/>
          <w:sz w:val="22"/>
        </w:rPr>
        <w:t>Limitar circulación o permanencia en horas y lugares determinados o condicionarlas.</w:t>
      </w:r>
    </w:p>
    <w:p>
      <w:pPr>
        <w:pStyle w:val="ListBullet"/>
      </w:pPr>
      <w:r>
        <w:rPr>
          <w:rFonts w:ascii="Arial" w:hAnsi="Arial" w:cs="Arial"/>
          <w:sz w:val="22"/>
        </w:rPr>
        <w:t>Requisas temporales y prestaciones personales obligatorias.</w:t>
      </w:r>
    </w:p>
    <w:p>
      <w:pPr>
        <w:pStyle w:val="ListBullet"/>
      </w:pPr>
      <w:r>
        <w:rPr>
          <w:rFonts w:ascii="Arial" w:hAnsi="Arial" w:cs="Arial"/>
          <w:sz w:val="22"/>
        </w:rPr>
        <w:t>Intervenir u ocupar transitoriamente industrias, fábricas, talleres, explotaciones o locales, excepto domicilios privados.</w:t>
      </w:r>
    </w:p>
    <w:p>
      <w:pPr>
        <w:pStyle w:val="ListBullet"/>
      </w:pPr>
      <w:r>
        <w:rPr>
          <w:rFonts w:ascii="Arial" w:hAnsi="Arial" w:cs="Arial"/>
          <w:sz w:val="22"/>
        </w:rPr>
        <w:t>Limitar o racionar servicios o consumo de artículos de primera necesidad.</w:t>
      </w:r>
    </w:p>
    <w:p>
      <w:pPr>
        <w:pStyle w:val="ListBullet"/>
      </w:pPr>
      <w:r>
        <w:rPr>
          <w:rFonts w:ascii="Arial" w:hAnsi="Arial" w:cs="Arial"/>
          <w:sz w:val="22"/>
        </w:rPr>
        <w:t>Dar órdenes para asegurar abastecimiento y funcionamiento de servicios y centros afectados.</w:t>
      </w:r>
    </w:p>
    <w:p>
      <w:pPr>
        <w:jc w:val="both"/>
      </w:pPr>
      <w:r>
        <w:rPr>
          <w:rFonts w:ascii="Arial" w:hAnsi="Arial" w:cs="Arial"/>
          <w:sz w:val="22"/>
        </w:rPr>
        <w:t>Son limitaciones extraordinarias, pero el artículo 55.1 no califica el estado de alarma como supuesto de suspensión formal de derechos.</w:t>
      </w:r>
    </w:p>
    <w:p>
      <w:pPr>
        <w:pStyle w:val="Heading2"/>
        <w:keepNext/>
      </w:pPr>
      <w:r>
        <w:rPr>
          <w:rFonts w:ascii="Arial" w:hAnsi="Arial" w:cs="Arial"/>
          <w:sz w:val="25"/>
        </w:rPr>
        <w:t>8.4. Estado de excepción</w:t>
      </w:r>
    </w:p>
    <w:p>
      <w:pPr>
        <w:jc w:val="both"/>
      </w:pPr>
      <w:r>
        <w:rPr>
          <w:rFonts w:ascii="Arial" w:hAnsi="Arial" w:cs="Arial"/>
          <w:sz w:val="22"/>
        </w:rPr>
        <w:t>El Gobierno debe solicitar previamente autorización al Congreso. La solicitud precisa derechos cuya suspensión pide, medidas, ámbito territorial, duración y cuantía máxima de sanciones pecuniarias. El Congreso puede aprobarla o introducir modificaciones. Después el Gobierno declara el estado por decreto.</w:t>
      </w:r>
    </w:p>
    <w:p>
      <w:pPr>
        <w:jc w:val="both"/>
      </w:pPr>
      <w:r>
        <w:rPr>
          <w:rFonts w:ascii="Arial" w:hAnsi="Arial" w:cs="Arial"/>
          <w:sz w:val="22"/>
        </w:rPr>
        <w:t xml:space="preserve">Duración máxima inicial: </w:t>
      </w:r>
      <w:r>
        <w:rPr>
          <w:rFonts w:ascii="Arial" w:hAnsi="Arial" w:cs="Arial"/>
          <w:b/>
          <w:sz w:val="22"/>
        </w:rPr>
        <w:t>treinta días</w:t>
      </w:r>
      <w:r>
        <w:rPr>
          <w:rFonts w:ascii="Arial" w:hAnsi="Arial" w:cs="Arial"/>
          <w:sz w:val="22"/>
        </w:rPr>
        <w:t>. Puede prorrogarse por otro plazo de hasta treinta días con los mismos requisitos.</w:t>
      </w:r>
    </w:p>
    <w:p>
      <w:pPr>
        <w:jc w:val="both"/>
      </w:pPr>
      <w:r>
        <w:rPr>
          <w:rFonts w:ascii="Arial" w:hAnsi="Arial" w:cs="Arial"/>
          <w:sz w:val="22"/>
        </w:rPr>
        <w:t>Procede cuando el libre ejercicio de derechos, el funcionamiento de instituciones democráticas, servicios públicos esenciales u otro aspecto del orden público estén tan gravemente alterados que las potestades ordinarias sean insuficientes.</w:t>
      </w:r>
    </w:p>
    <w:p>
      <w:pPr>
        <w:jc w:val="both"/>
      </w:pPr>
      <w:r>
        <w:rPr>
          <w:rFonts w:ascii="Arial" w:hAnsi="Arial" w:cs="Arial"/>
          <w:sz w:val="22"/>
        </w:rPr>
        <w:t>La Ley Orgánica permite, si la autorización comprende los derechos correspondientes:</w:t>
      </w:r>
    </w:p>
    <w:p>
      <w:pPr>
        <w:pStyle w:val="ListBullet"/>
      </w:pPr>
      <w:r>
        <w:rPr>
          <w:rFonts w:ascii="Arial" w:hAnsi="Arial" w:cs="Arial"/>
          <w:sz w:val="22"/>
        </w:rPr>
        <w:t>Detenciones cuando existan sospechas fundadas de que una persona vaya a provocar alteraciones del orden público, con plazo máximo de diez días y comunicación al juez competente en veinticuatro horas.</w:t>
      </w:r>
    </w:p>
    <w:p>
      <w:pPr>
        <w:pStyle w:val="ListBullet"/>
      </w:pPr>
      <w:r>
        <w:rPr>
          <w:rFonts w:ascii="Arial" w:hAnsi="Arial" w:cs="Arial"/>
          <w:sz w:val="22"/>
        </w:rPr>
        <w:t>Entradas y registros domiciliarios si son necesarios para esclarecer hechos presuntamente delictivos o mantener orden público, con garantías y comunicación judicial.</w:t>
      </w:r>
    </w:p>
    <w:p>
      <w:pPr>
        <w:pStyle w:val="ListBullet"/>
      </w:pPr>
      <w:r>
        <w:rPr>
          <w:rFonts w:ascii="Arial" w:hAnsi="Arial" w:cs="Arial"/>
          <w:sz w:val="22"/>
        </w:rPr>
        <w:t>Intervención de comunicaciones si resulta necesaria, comunicada inmediatamente por escrito motivado al juez.</w:t>
      </w:r>
    </w:p>
    <w:p>
      <w:pPr>
        <w:pStyle w:val="ListBullet"/>
      </w:pPr>
      <w:r>
        <w:rPr>
          <w:rFonts w:ascii="Arial" w:hAnsi="Arial" w:cs="Arial"/>
          <w:sz w:val="22"/>
        </w:rPr>
        <w:t>Prohibiciones o condiciones de circulación, controles de identidad y delimitación de zonas de protección.</w:t>
      </w:r>
    </w:p>
    <w:p>
      <w:pPr>
        <w:pStyle w:val="ListBullet"/>
      </w:pPr>
      <w:r>
        <w:rPr>
          <w:rFonts w:ascii="Arial" w:hAnsi="Arial" w:cs="Arial"/>
          <w:sz w:val="22"/>
        </w:rPr>
        <w:t>Suspensión de publicaciones, emisiones y proyecciones y secuestro de publicaciones, sin censura previa.</w:t>
      </w:r>
    </w:p>
    <w:p>
      <w:pPr>
        <w:pStyle w:val="ListBullet"/>
      </w:pPr>
      <w:r>
        <w:rPr>
          <w:rFonts w:ascii="Arial" w:hAnsi="Arial" w:cs="Arial"/>
          <w:sz w:val="22"/>
        </w:rPr>
        <w:t>Sometimiento de reuniones y manifestaciones a autorización previa, prohibición o disolución en los términos legales.</w:t>
      </w:r>
    </w:p>
    <w:p>
      <w:pPr>
        <w:pStyle w:val="ListBullet"/>
      </w:pPr>
      <w:r>
        <w:rPr>
          <w:rFonts w:ascii="Arial" w:hAnsi="Arial" w:cs="Arial"/>
          <w:sz w:val="22"/>
        </w:rPr>
        <w:t>Prohibición de huelgas y medidas de conflicto colectivo.</w:t>
      </w:r>
    </w:p>
    <w:p>
      <w:pPr>
        <w:jc w:val="both"/>
      </w:pPr>
      <w:r>
        <w:rPr>
          <w:rFonts w:ascii="Arial" w:hAnsi="Arial" w:cs="Arial"/>
          <w:sz w:val="22"/>
        </w:rPr>
        <w:t>En el estado de excepción el artículo 17.3 no puede suspenderse: la persona detenida conserva el derecho a información comprensible, a no declarar y a asistencia de abogado en los términos constitucionales.</w:t>
      </w:r>
    </w:p>
    <w:p>
      <w:pPr>
        <w:pStyle w:val="Heading2"/>
        <w:keepNext/>
      </w:pPr>
      <w:r>
        <w:rPr>
          <w:rFonts w:ascii="Arial" w:hAnsi="Arial" w:cs="Arial"/>
          <w:sz w:val="25"/>
        </w:rPr>
        <w:t>8.5. Estado de sitio</w:t>
      </w:r>
    </w:p>
    <w:p>
      <w:pPr>
        <w:jc w:val="both"/>
      </w:pPr>
      <w:r>
        <w:rPr>
          <w:rFonts w:ascii="Arial" w:hAnsi="Arial" w:cs="Arial"/>
          <w:sz w:val="22"/>
        </w:rPr>
        <w:t>El Congreso lo declara por mayoría absoluta a propuesta exclusiva del Gobierno. El Congreso determina ámbito territorial, duración y condiciones.</w:t>
      </w:r>
    </w:p>
    <w:p>
      <w:pPr>
        <w:jc w:val="both"/>
      </w:pPr>
      <w:r>
        <w:rPr>
          <w:rFonts w:ascii="Arial" w:hAnsi="Arial" w:cs="Arial"/>
          <w:sz w:val="22"/>
        </w:rPr>
        <w:t>Procede cuando se produzca o amenace una insurrección o acto de fuerza contra soberanía o independencia de España, integridad territorial u ordenamiento constitucional, que no pueda resolverse por otros medios.</w:t>
      </w:r>
    </w:p>
    <w:p>
      <w:pPr>
        <w:jc w:val="both"/>
      </w:pPr>
      <w:r>
        <w:rPr>
          <w:rFonts w:ascii="Arial" w:hAnsi="Arial" w:cs="Arial"/>
          <w:sz w:val="22"/>
        </w:rPr>
        <w:t>Puede autorizar, además de medidas previstas para alarma y excepción, la suspensión temporal de las garantías del artículo 17.3. El Gobierno dirige la política militar y de defensa, asume facultades extraordinarias y designa autoridad militar ejecutora bajo su dirección. El Congreso puede determinar delitos sometidos a jurisdicción militar durante su vigencia.</w:t>
      </w:r>
    </w:p>
    <w:p>
      <w:pPr>
        <w:pStyle w:val="Heading2"/>
        <w:keepNext/>
      </w:pPr>
      <w:r>
        <w:rPr>
          <w:rFonts w:ascii="Arial" w:hAnsi="Arial" w:cs="Arial"/>
          <w:sz w:val="25"/>
        </w:rPr>
        <w:t>8.6. Garantías institucionales durante los estados</w:t>
      </w:r>
    </w:p>
    <w:p>
      <w:pPr>
        <w:jc w:val="both"/>
      </w:pPr>
      <w:r>
        <w:rPr>
          <w:rFonts w:ascii="Arial" w:hAnsi="Arial" w:cs="Arial"/>
          <w:sz w:val="22"/>
        </w:rPr>
        <w:t>El artículo 116 establece:</w:t>
      </w:r>
    </w:p>
    <w:p>
      <w:pPr>
        <w:pStyle w:val="ListBullet"/>
      </w:pPr>
      <w:r>
        <w:rPr>
          <w:rFonts w:ascii="Arial" w:hAnsi="Arial" w:cs="Arial"/>
          <w:sz w:val="22"/>
        </w:rPr>
        <w:t>No puede disolverse el Congreso mientras estén declarados estos estados.</w:t>
      </w:r>
    </w:p>
    <w:p>
      <w:pPr>
        <w:pStyle w:val="ListBullet"/>
      </w:pPr>
      <w:r>
        <w:rPr>
          <w:rFonts w:ascii="Arial" w:hAnsi="Arial" w:cs="Arial"/>
          <w:sz w:val="22"/>
        </w:rPr>
        <w:t>Si las Cámaras no están en periodo de sesiones, quedan automáticamente convocadas.</w:t>
      </w:r>
    </w:p>
    <w:p>
      <w:pPr>
        <w:pStyle w:val="ListBullet"/>
      </w:pPr>
      <w:r>
        <w:rPr>
          <w:rFonts w:ascii="Arial" w:hAnsi="Arial" w:cs="Arial"/>
          <w:sz w:val="22"/>
        </w:rPr>
        <w:t>Su funcionamiento y el de los demás poderes constitucionales no puede interrumpirse.</w:t>
      </w:r>
    </w:p>
    <w:p>
      <w:pPr>
        <w:pStyle w:val="ListBullet"/>
      </w:pPr>
      <w:r>
        <w:rPr>
          <w:rFonts w:ascii="Arial" w:hAnsi="Arial" w:cs="Arial"/>
          <w:sz w:val="22"/>
        </w:rPr>
        <w:t>Si el Congreso está disuelto o ha expirado su mandato y se produce una situación excepcional, sus competencias las asume la Diputación Permanente.</w:t>
      </w:r>
    </w:p>
    <w:p>
      <w:pPr>
        <w:pStyle w:val="ListBullet"/>
      </w:pPr>
      <w:r>
        <w:rPr>
          <w:rFonts w:ascii="Arial" w:hAnsi="Arial" w:cs="Arial"/>
          <w:sz w:val="22"/>
        </w:rPr>
        <w:t>La declaración no modifica el principio de responsabilidad del Gobierno y sus agentes.</w:t>
      </w:r>
    </w:p>
    <w:p>
      <w:pPr>
        <w:pStyle w:val="Heading1"/>
        <w:keepNext/>
      </w:pPr>
      <w:r>
        <w:rPr>
          <w:rFonts w:ascii="Arial" w:hAnsi="Arial" w:cs="Arial"/>
          <w:sz w:val="30"/>
        </w:rPr>
        <w:t>9. Suspensión individual en investigaciones terroristas</w:t>
      </w:r>
    </w:p>
    <w:p>
      <w:pPr>
        <w:jc w:val="both"/>
      </w:pPr>
      <w:r>
        <w:rPr>
          <w:rFonts w:ascii="Arial" w:hAnsi="Arial" w:cs="Arial"/>
          <w:sz w:val="22"/>
        </w:rPr>
        <w:t>El artículo 55.2 permite que una ley orgánica determine los casos en que pueden suspenderse individualmente, para personas determinadas y en relación con investigaciones de actuación de bandas armadas o elementos terroristas:</w:t>
      </w:r>
    </w:p>
    <w:p>
      <w:pPr>
        <w:pStyle w:val="ListBullet"/>
      </w:pPr>
      <w:r>
        <w:rPr>
          <w:rFonts w:ascii="Arial" w:hAnsi="Arial" w:cs="Arial"/>
          <w:sz w:val="22"/>
        </w:rPr>
        <w:t>El plazo máximo ordinario de detención preventiva del artículo 17.2.</w:t>
      </w:r>
    </w:p>
    <w:p>
      <w:pPr>
        <w:pStyle w:val="ListBullet"/>
      </w:pPr>
      <w:r>
        <w:rPr>
          <w:rFonts w:ascii="Arial" w:hAnsi="Arial" w:cs="Arial"/>
          <w:sz w:val="22"/>
        </w:rPr>
        <w:t>La inviolabilidad domiciliaria del artículo 18.2.</w:t>
      </w:r>
    </w:p>
    <w:p>
      <w:pPr>
        <w:pStyle w:val="ListBullet"/>
      </w:pPr>
      <w:r>
        <w:rPr>
          <w:rFonts w:ascii="Arial" w:hAnsi="Arial" w:cs="Arial"/>
          <w:sz w:val="22"/>
        </w:rPr>
        <w:t>El secreto de comunicaciones del artículo 18.3.</w:t>
      </w:r>
    </w:p>
    <w:p>
      <w:pPr>
        <w:jc w:val="both"/>
      </w:pPr>
      <w:r>
        <w:rPr>
          <w:rFonts w:ascii="Arial" w:hAnsi="Arial" w:cs="Arial"/>
          <w:sz w:val="22"/>
        </w:rPr>
        <w:t>Son requisitos constitucionales:</w:t>
      </w:r>
    </w:p>
    <w:p>
      <w:pPr>
        <w:pStyle w:val="ListBullet"/>
      </w:pPr>
      <w:r>
        <w:rPr>
          <w:rFonts w:ascii="Arial" w:hAnsi="Arial" w:cs="Arial"/>
          <w:sz w:val="22"/>
        </w:rPr>
        <w:t>Intervención judicial necesaria.</w:t>
      </w:r>
    </w:p>
    <w:p>
      <w:pPr>
        <w:pStyle w:val="ListBullet"/>
      </w:pPr>
      <w:r>
        <w:rPr>
          <w:rFonts w:ascii="Arial" w:hAnsi="Arial" w:cs="Arial"/>
          <w:sz w:val="22"/>
        </w:rPr>
        <w:t>Adecuado control parlamentario.</w:t>
      </w:r>
    </w:p>
    <w:p>
      <w:pPr>
        <w:pStyle w:val="ListBullet"/>
      </w:pPr>
      <w:r>
        <w:rPr>
          <w:rFonts w:ascii="Arial" w:hAnsi="Arial" w:cs="Arial"/>
          <w:sz w:val="22"/>
        </w:rPr>
        <w:t>Aplicación individual.</w:t>
      </w:r>
    </w:p>
    <w:p>
      <w:pPr>
        <w:pStyle w:val="ListBullet"/>
      </w:pPr>
      <w:r>
        <w:rPr>
          <w:rFonts w:ascii="Arial" w:hAnsi="Arial" w:cs="Arial"/>
          <w:sz w:val="22"/>
        </w:rPr>
        <w:t>Vinculación a las investigaciones indicadas.</w:t>
      </w:r>
    </w:p>
    <w:p>
      <w:pPr>
        <w:jc w:val="both"/>
      </w:pPr>
      <w:r>
        <w:rPr>
          <w:rFonts w:ascii="Arial" w:hAnsi="Arial" w:cs="Arial"/>
          <w:sz w:val="22"/>
        </w:rPr>
        <w:t>La utilización injustificada o abusiva de estas facultades produce responsabilidad penal como violación de derechos y libertades reconocidos por las leyes.</w:t>
      </w:r>
    </w:p>
    <w:p>
      <w:pPr>
        <w:jc w:val="both"/>
      </w:pPr>
      <w:r>
        <w:rPr>
          <w:rFonts w:ascii="Arial" w:hAnsi="Arial" w:cs="Arial"/>
          <w:sz w:val="22"/>
        </w:rPr>
        <w:t>No debe confundirse esta suspensión individual con una habilitación general para suspender cualquier derecho ante delitos graves. Su objeto está taxativamente limitado a tres garantías y a investigaciones de bandas armadas o elementos terroristas.</w:t>
      </w:r>
    </w:p>
    <w:p>
      <w:pPr>
        <w:pStyle w:val="Heading1"/>
        <w:keepNext/>
      </w:pPr>
      <w:r>
        <w:rPr>
          <w:rFonts w:ascii="Arial" w:hAnsi="Arial" w:cs="Arial"/>
          <w:sz w:val="30"/>
        </w:rPr>
        <w:t>10. Comparaciones esenciales</w:t>
      </w:r>
    </w:p>
    <w:p>
      <w:pPr>
        <w:pStyle w:val="Heading2"/>
        <w:keepNext/>
      </w:pPr>
      <w:r>
        <w:rPr>
          <w:rFonts w:ascii="Arial" w:hAnsi="Arial" w:cs="Arial"/>
          <w:sz w:val="25"/>
        </w:rPr>
        <w:t>10.1. Autorización, comunicación y resolución judicial</w:t>
      </w:r>
    </w:p>
    <w:tbl>
      <w:tblPr>
        <w:tblStyle w:val="TableGrid"/>
        <w:tblW w:type="dxa" w:w="9026"/>
        <w:jc w:val="left"/>
        <w:tblLayout w:type="fixed"/>
        <w:tblLook w:firstColumn="1" w:firstRow="1" w:lastColumn="0" w:lastRow="0" w:noHBand="0" w:noVBand="1" w:val="04A0"/>
        <w:tblInd w:w="120" w:type="dxa"/>
      </w:tblPr>
      <w:tblGrid>
        <w:gridCol w:w="3536"/>
        <w:gridCol w:w="5490"/>
      </w:tblGrid>
      <w:tr>
        <w:trPr>
          <w:tblHeader w:val="true"/>
        </w:trPr>
        <w:tc>
          <w:tcPr>
            <w:tcW w:type="dxa" w:w="353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Derecho</w:t>
            </w:r>
          </w:p>
        </w:tc>
        <w:tc>
          <w:tcPr>
            <w:tcW w:type="dxa" w:w="549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Regla</w:t>
            </w:r>
          </w:p>
        </w:tc>
      </w:tr>
      <w:tr>
        <w:tc>
          <w:tcPr>
            <w:tcW w:type="dxa" w:w="3536"/>
            <w:tcMar>
              <w:top w:w="80" w:type="dxa"/>
              <w:start w:w="120" w:type="dxa"/>
              <w:bottom w:w="80" w:type="dxa"/>
              <w:end w:w="120" w:type="dxa"/>
            </w:tcMar>
            <w:vAlign w:val="center"/>
          </w:tcPr>
          <w:p>
            <w:pPr>
              <w:spacing w:before="0" w:after="0" w:line="240" w:lineRule="auto"/>
              <w:jc w:val="left"/>
            </w:pPr>
            <w:r/>
            <w:r>
              <w:rPr>
                <w:rFonts w:ascii="Arial" w:hAnsi="Arial" w:cs="Arial"/>
                <w:sz w:val="18"/>
              </w:rPr>
              <w:t>Reunión pacífica sin armas</w:t>
            </w:r>
          </w:p>
        </w:tc>
        <w:tc>
          <w:tcPr>
            <w:tcW w:type="dxa" w:w="5490"/>
            <w:tcMar>
              <w:top w:w="80" w:type="dxa"/>
              <w:start w:w="120" w:type="dxa"/>
              <w:bottom w:w="80" w:type="dxa"/>
              <w:end w:w="120" w:type="dxa"/>
            </w:tcMar>
            <w:vAlign w:val="center"/>
          </w:tcPr>
          <w:p>
            <w:pPr>
              <w:spacing w:before="0" w:after="0" w:line="240" w:lineRule="auto"/>
              <w:jc w:val="left"/>
            </w:pPr>
            <w:r/>
            <w:r>
              <w:rPr>
                <w:rFonts w:ascii="Arial" w:hAnsi="Arial" w:cs="Arial"/>
                <w:sz w:val="18"/>
              </w:rPr>
              <w:t>No requiere autorización previa</w:t>
            </w:r>
          </w:p>
        </w:tc>
      </w:tr>
      <w:tr>
        <w:tc>
          <w:tcPr>
            <w:tcW w:type="dxa" w:w="3536"/>
            <w:tcMar>
              <w:top w:w="80" w:type="dxa"/>
              <w:start w:w="120" w:type="dxa"/>
              <w:bottom w:w="80" w:type="dxa"/>
              <w:end w:w="120" w:type="dxa"/>
            </w:tcMar>
            <w:vAlign w:val="center"/>
          </w:tcPr>
          <w:p>
            <w:pPr>
              <w:spacing w:before="0" w:after="0" w:line="240" w:lineRule="auto"/>
              <w:jc w:val="left"/>
            </w:pPr>
            <w:r/>
            <w:r>
              <w:rPr>
                <w:rFonts w:ascii="Arial" w:hAnsi="Arial" w:cs="Arial"/>
                <w:sz w:val="18"/>
              </w:rPr>
              <w:t>Manifestación o reunión en tránsito público</w:t>
            </w:r>
          </w:p>
        </w:tc>
        <w:tc>
          <w:tcPr>
            <w:tcW w:type="dxa" w:w="5490"/>
            <w:tcMar>
              <w:top w:w="80" w:type="dxa"/>
              <w:start w:w="120" w:type="dxa"/>
              <w:bottom w:w="80" w:type="dxa"/>
              <w:end w:w="120" w:type="dxa"/>
            </w:tcMar>
            <w:vAlign w:val="center"/>
          </w:tcPr>
          <w:p>
            <w:pPr>
              <w:spacing w:before="0" w:after="0" w:line="240" w:lineRule="auto"/>
              <w:jc w:val="left"/>
            </w:pPr>
            <w:r/>
            <w:r>
              <w:rPr>
                <w:rFonts w:ascii="Arial" w:hAnsi="Arial" w:cs="Arial"/>
                <w:sz w:val="18"/>
              </w:rPr>
              <w:t>Requiere comunicación previa</w:t>
            </w:r>
          </w:p>
        </w:tc>
      </w:tr>
      <w:tr>
        <w:tc>
          <w:tcPr>
            <w:tcW w:type="dxa" w:w="3536"/>
            <w:tcMar>
              <w:top w:w="80" w:type="dxa"/>
              <w:start w:w="120" w:type="dxa"/>
              <w:bottom w:w="80" w:type="dxa"/>
              <w:end w:w="120" w:type="dxa"/>
            </w:tcMar>
            <w:vAlign w:val="center"/>
          </w:tcPr>
          <w:p>
            <w:pPr>
              <w:spacing w:before="0" w:after="0" w:line="240" w:lineRule="auto"/>
              <w:jc w:val="left"/>
            </w:pPr>
            <w:r/>
            <w:r>
              <w:rPr>
                <w:rFonts w:ascii="Arial" w:hAnsi="Arial" w:cs="Arial"/>
                <w:sz w:val="18"/>
              </w:rPr>
              <w:t>Entrada en domicilio</w:t>
            </w:r>
          </w:p>
        </w:tc>
        <w:tc>
          <w:tcPr>
            <w:tcW w:type="dxa" w:w="5490"/>
            <w:tcMar>
              <w:top w:w="80" w:type="dxa"/>
              <w:start w:w="120" w:type="dxa"/>
              <w:bottom w:w="80" w:type="dxa"/>
              <w:end w:w="120" w:type="dxa"/>
            </w:tcMar>
            <w:vAlign w:val="center"/>
          </w:tcPr>
          <w:p>
            <w:pPr>
              <w:spacing w:before="0" w:after="0" w:line="240" w:lineRule="auto"/>
              <w:jc w:val="left"/>
            </w:pPr>
            <w:r/>
            <w:r>
              <w:rPr>
                <w:rFonts w:ascii="Arial" w:hAnsi="Arial" w:cs="Arial"/>
                <w:sz w:val="18"/>
              </w:rPr>
              <w:t>Consentimiento o resolución judicial; excepción de flagrante delito</w:t>
            </w:r>
          </w:p>
        </w:tc>
      </w:tr>
      <w:tr>
        <w:tc>
          <w:tcPr>
            <w:tcW w:type="dxa" w:w="3536"/>
            <w:tcMar>
              <w:top w:w="80" w:type="dxa"/>
              <w:start w:w="120" w:type="dxa"/>
              <w:bottom w:w="80" w:type="dxa"/>
              <w:end w:w="120" w:type="dxa"/>
            </w:tcMar>
            <w:vAlign w:val="center"/>
          </w:tcPr>
          <w:p>
            <w:pPr>
              <w:spacing w:before="0" w:after="0" w:line="240" w:lineRule="auto"/>
              <w:jc w:val="left"/>
            </w:pPr>
            <w:r/>
            <w:r>
              <w:rPr>
                <w:rFonts w:ascii="Arial" w:hAnsi="Arial" w:cs="Arial"/>
                <w:sz w:val="18"/>
              </w:rPr>
              <w:t>Secreto de comunicaciones</w:t>
            </w:r>
          </w:p>
        </w:tc>
        <w:tc>
          <w:tcPr>
            <w:tcW w:type="dxa" w:w="5490"/>
            <w:tcMar>
              <w:top w:w="80" w:type="dxa"/>
              <w:start w:w="120" w:type="dxa"/>
              <w:bottom w:w="80" w:type="dxa"/>
              <w:end w:w="120" w:type="dxa"/>
            </w:tcMar>
            <w:vAlign w:val="center"/>
          </w:tcPr>
          <w:p>
            <w:pPr>
              <w:spacing w:before="0" w:after="0" w:line="240" w:lineRule="auto"/>
              <w:jc w:val="left"/>
            </w:pPr>
            <w:r/>
            <w:r>
              <w:rPr>
                <w:rFonts w:ascii="Arial" w:hAnsi="Arial" w:cs="Arial"/>
                <w:sz w:val="18"/>
              </w:rPr>
              <w:t>Solo puede levantarse mediante resolución judicial</w:t>
            </w:r>
          </w:p>
        </w:tc>
      </w:tr>
      <w:tr>
        <w:tc>
          <w:tcPr>
            <w:tcW w:type="dxa" w:w="3536"/>
            <w:tcMar>
              <w:top w:w="80" w:type="dxa"/>
              <w:start w:w="120" w:type="dxa"/>
              <w:bottom w:w="80" w:type="dxa"/>
              <w:end w:w="120" w:type="dxa"/>
            </w:tcMar>
            <w:vAlign w:val="center"/>
          </w:tcPr>
          <w:p>
            <w:pPr>
              <w:spacing w:before="0" w:after="0" w:line="240" w:lineRule="auto"/>
              <w:jc w:val="left"/>
            </w:pPr>
            <w:r/>
            <w:r>
              <w:rPr>
                <w:rFonts w:ascii="Arial" w:hAnsi="Arial" w:cs="Arial"/>
                <w:sz w:val="18"/>
              </w:rPr>
              <w:t>Disolución o suspensión de asociación</w:t>
            </w:r>
          </w:p>
        </w:tc>
        <w:tc>
          <w:tcPr>
            <w:tcW w:type="dxa" w:w="5490"/>
            <w:tcMar>
              <w:top w:w="80" w:type="dxa"/>
              <w:start w:w="120" w:type="dxa"/>
              <w:bottom w:w="80" w:type="dxa"/>
              <w:end w:w="120" w:type="dxa"/>
            </w:tcMar>
            <w:vAlign w:val="center"/>
          </w:tcPr>
          <w:p>
            <w:pPr>
              <w:spacing w:before="0" w:after="0" w:line="240" w:lineRule="auto"/>
              <w:jc w:val="left"/>
            </w:pPr>
            <w:r/>
            <w:r>
              <w:rPr>
                <w:rFonts w:ascii="Arial" w:hAnsi="Arial" w:cs="Arial"/>
                <w:sz w:val="18"/>
              </w:rPr>
              <w:t>Resolución judicial motivada</w:t>
            </w:r>
          </w:p>
        </w:tc>
      </w:tr>
      <w:tr>
        <w:tc>
          <w:tcPr>
            <w:tcW w:type="dxa" w:w="3536"/>
            <w:tcMar>
              <w:top w:w="80" w:type="dxa"/>
              <w:start w:w="120" w:type="dxa"/>
              <w:bottom w:w="80" w:type="dxa"/>
              <w:end w:w="120" w:type="dxa"/>
            </w:tcMar>
            <w:vAlign w:val="center"/>
          </w:tcPr>
          <w:p>
            <w:pPr>
              <w:spacing w:before="0" w:after="0" w:line="240" w:lineRule="auto"/>
              <w:jc w:val="left"/>
            </w:pPr>
            <w:r/>
            <w:r>
              <w:rPr>
                <w:rFonts w:ascii="Arial" w:hAnsi="Arial" w:cs="Arial"/>
                <w:sz w:val="18"/>
              </w:rPr>
              <w:t>Secuestro de publicaciones</w:t>
            </w:r>
          </w:p>
        </w:tc>
        <w:tc>
          <w:tcPr>
            <w:tcW w:type="dxa" w:w="5490"/>
            <w:tcMar>
              <w:top w:w="80" w:type="dxa"/>
              <w:start w:w="120" w:type="dxa"/>
              <w:bottom w:w="80" w:type="dxa"/>
              <w:end w:w="120" w:type="dxa"/>
            </w:tcMar>
            <w:vAlign w:val="center"/>
          </w:tcPr>
          <w:p>
            <w:pPr>
              <w:spacing w:before="0" w:after="0" w:line="240" w:lineRule="auto"/>
              <w:jc w:val="left"/>
            </w:pPr>
            <w:r/>
            <w:r>
              <w:rPr>
                <w:rFonts w:ascii="Arial" w:hAnsi="Arial" w:cs="Arial"/>
                <w:sz w:val="18"/>
              </w:rPr>
              <w:t>Resolución judicial</w:t>
            </w:r>
          </w:p>
        </w:tc>
      </w:tr>
    </w:tbl>
    <w:p>
      <w:pPr>
        <w:spacing w:after="40"/>
      </w:pPr>
    </w:p>
    <w:p>
      <w:pPr>
        <w:pStyle w:val="Heading2"/>
        <w:keepNext/>
      </w:pPr>
      <w:r>
        <w:rPr>
          <w:rFonts w:ascii="Arial" w:hAnsi="Arial" w:cs="Arial"/>
          <w:sz w:val="25"/>
        </w:rPr>
        <w:t>10.2. Plazos constitucionales y legales destacados</w:t>
      </w:r>
    </w:p>
    <w:tbl>
      <w:tblPr>
        <w:tblStyle w:val="TableGrid"/>
        <w:tblW w:type="dxa" w:w="9026"/>
        <w:jc w:val="left"/>
        <w:tblLayout w:type="fixed"/>
        <w:tblLook w:firstColumn="1" w:firstRow="1" w:lastColumn="0" w:lastRow="0" w:noHBand="0" w:noVBand="1" w:val="04A0"/>
        <w:tblInd w:w="120" w:type="dxa"/>
      </w:tblPr>
      <w:tblGrid>
        <w:gridCol w:w="4618"/>
        <w:gridCol w:w="4408"/>
      </w:tblGrid>
      <w:tr>
        <w:trPr>
          <w:tblHeader w:val="true"/>
        </w:trPr>
        <w:tc>
          <w:tcPr>
            <w:tcW w:type="dxa" w:w="461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Materia</w:t>
            </w:r>
          </w:p>
        </w:tc>
        <w:tc>
          <w:tcPr>
            <w:tcW w:type="dxa" w:w="440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Plazo</w:t>
            </w:r>
          </w:p>
        </w:tc>
      </w:tr>
      <w:tr>
        <w:tc>
          <w:tcPr>
            <w:tcW w:type="dxa" w:w="4618"/>
            <w:tcMar>
              <w:top w:w="80" w:type="dxa"/>
              <w:start w:w="120" w:type="dxa"/>
              <w:bottom w:w="80" w:type="dxa"/>
              <w:end w:w="120" w:type="dxa"/>
            </w:tcMar>
            <w:vAlign w:val="center"/>
          </w:tcPr>
          <w:p>
            <w:pPr>
              <w:spacing w:before="0" w:after="0" w:line="240" w:lineRule="auto"/>
              <w:jc w:val="left"/>
            </w:pPr>
            <w:r/>
            <w:r>
              <w:rPr>
                <w:rFonts w:ascii="Arial" w:hAnsi="Arial" w:cs="Arial"/>
                <w:sz w:val="18"/>
              </w:rPr>
              <w:t>Detención preventiva ordinaria</w:t>
            </w:r>
          </w:p>
        </w:tc>
        <w:tc>
          <w:tcPr>
            <w:tcW w:type="dxa" w:w="4408"/>
            <w:tcMar>
              <w:top w:w="80" w:type="dxa"/>
              <w:start w:w="120" w:type="dxa"/>
              <w:bottom w:w="80" w:type="dxa"/>
              <w:end w:w="120" w:type="dxa"/>
            </w:tcMar>
            <w:vAlign w:val="center"/>
          </w:tcPr>
          <w:p>
            <w:pPr>
              <w:spacing w:before="0" w:after="0" w:line="240" w:lineRule="auto"/>
              <w:jc w:val="left"/>
            </w:pPr>
            <w:r/>
            <w:r>
              <w:rPr>
                <w:rFonts w:ascii="Arial" w:hAnsi="Arial" w:cs="Arial"/>
                <w:sz w:val="18"/>
              </w:rPr>
              <w:t>Tiempo estrictamente necesario y máximo 72 horas</w:t>
            </w:r>
          </w:p>
        </w:tc>
      </w:tr>
      <w:tr>
        <w:tc>
          <w:tcPr>
            <w:tcW w:type="dxa" w:w="4618"/>
            <w:tcMar>
              <w:top w:w="80" w:type="dxa"/>
              <w:start w:w="120" w:type="dxa"/>
              <w:bottom w:w="80" w:type="dxa"/>
              <w:end w:w="120" w:type="dxa"/>
            </w:tcMar>
            <w:vAlign w:val="center"/>
          </w:tcPr>
          <w:p>
            <w:pPr>
              <w:spacing w:before="0" w:after="0" w:line="240" w:lineRule="auto"/>
              <w:jc w:val="left"/>
            </w:pPr>
            <w:r/>
            <w:r>
              <w:rPr>
                <w:rFonts w:ascii="Arial" w:hAnsi="Arial" w:cs="Arial"/>
                <w:sz w:val="18"/>
              </w:rPr>
              <w:t>Habeas corpus desde incoación</w:t>
            </w:r>
          </w:p>
        </w:tc>
        <w:tc>
          <w:tcPr>
            <w:tcW w:type="dxa" w:w="4408"/>
            <w:tcMar>
              <w:top w:w="80" w:type="dxa"/>
              <w:start w:w="120" w:type="dxa"/>
              <w:bottom w:w="80" w:type="dxa"/>
              <w:end w:w="120" w:type="dxa"/>
            </w:tcMar>
            <w:vAlign w:val="center"/>
          </w:tcPr>
          <w:p>
            <w:pPr>
              <w:spacing w:before="0" w:after="0" w:line="240" w:lineRule="auto"/>
              <w:jc w:val="center"/>
            </w:pPr>
            <w:r/>
            <w:r>
              <w:rPr>
                <w:rFonts w:ascii="Arial" w:hAnsi="Arial" w:cs="Arial"/>
                <w:sz w:val="18"/>
              </w:rPr>
              <w:t>24 horas</w:t>
            </w:r>
          </w:p>
        </w:tc>
      </w:tr>
      <w:tr>
        <w:tc>
          <w:tcPr>
            <w:tcW w:type="dxa" w:w="4618"/>
            <w:tcMar>
              <w:top w:w="80" w:type="dxa"/>
              <w:start w:w="120" w:type="dxa"/>
              <w:bottom w:w="80" w:type="dxa"/>
              <w:end w:w="120" w:type="dxa"/>
            </w:tcMar>
            <w:vAlign w:val="center"/>
          </w:tcPr>
          <w:p>
            <w:pPr>
              <w:spacing w:before="0" w:after="0" w:line="240" w:lineRule="auto"/>
              <w:jc w:val="left"/>
            </w:pPr>
            <w:r/>
            <w:r>
              <w:rPr>
                <w:rFonts w:ascii="Arial" w:hAnsi="Arial" w:cs="Arial"/>
                <w:sz w:val="18"/>
              </w:rPr>
              <w:t>Estado de alarma inicial</w:t>
            </w:r>
          </w:p>
        </w:tc>
        <w:tc>
          <w:tcPr>
            <w:tcW w:type="dxa" w:w="4408"/>
            <w:tcMar>
              <w:top w:w="80" w:type="dxa"/>
              <w:start w:w="120" w:type="dxa"/>
              <w:bottom w:w="80" w:type="dxa"/>
              <w:end w:w="120" w:type="dxa"/>
            </w:tcMar>
            <w:vAlign w:val="center"/>
          </w:tcPr>
          <w:p>
            <w:pPr>
              <w:spacing w:before="0" w:after="0" w:line="240" w:lineRule="auto"/>
              <w:jc w:val="center"/>
            </w:pPr>
            <w:r/>
            <w:r>
              <w:rPr>
                <w:rFonts w:ascii="Arial" w:hAnsi="Arial" w:cs="Arial"/>
                <w:sz w:val="18"/>
              </w:rPr>
              <w:t>Máximo 15 días</w:t>
            </w:r>
          </w:p>
        </w:tc>
      </w:tr>
      <w:tr>
        <w:tc>
          <w:tcPr>
            <w:tcW w:type="dxa" w:w="4618"/>
            <w:tcMar>
              <w:top w:w="80" w:type="dxa"/>
              <w:start w:w="120" w:type="dxa"/>
              <w:bottom w:w="80" w:type="dxa"/>
              <w:end w:w="120" w:type="dxa"/>
            </w:tcMar>
            <w:vAlign w:val="center"/>
          </w:tcPr>
          <w:p>
            <w:pPr>
              <w:spacing w:before="0" w:after="0" w:line="240" w:lineRule="auto"/>
              <w:jc w:val="left"/>
            </w:pPr>
            <w:r/>
            <w:r>
              <w:rPr>
                <w:rFonts w:ascii="Arial" w:hAnsi="Arial" w:cs="Arial"/>
                <w:sz w:val="18"/>
              </w:rPr>
              <w:t>Estado de excepción inicial</w:t>
            </w:r>
          </w:p>
        </w:tc>
        <w:tc>
          <w:tcPr>
            <w:tcW w:type="dxa" w:w="4408"/>
            <w:tcMar>
              <w:top w:w="80" w:type="dxa"/>
              <w:start w:w="120" w:type="dxa"/>
              <w:bottom w:w="80" w:type="dxa"/>
              <w:end w:w="120" w:type="dxa"/>
            </w:tcMar>
            <w:vAlign w:val="center"/>
          </w:tcPr>
          <w:p>
            <w:pPr>
              <w:spacing w:before="0" w:after="0" w:line="240" w:lineRule="auto"/>
              <w:jc w:val="center"/>
            </w:pPr>
            <w:r/>
            <w:r>
              <w:rPr>
                <w:rFonts w:ascii="Arial" w:hAnsi="Arial" w:cs="Arial"/>
                <w:sz w:val="18"/>
              </w:rPr>
              <w:t>Máximo 30 días</w:t>
            </w:r>
          </w:p>
        </w:tc>
      </w:tr>
      <w:tr>
        <w:tc>
          <w:tcPr>
            <w:tcW w:type="dxa" w:w="4618"/>
            <w:tcMar>
              <w:top w:w="80" w:type="dxa"/>
              <w:start w:w="120" w:type="dxa"/>
              <w:bottom w:w="80" w:type="dxa"/>
              <w:end w:w="120" w:type="dxa"/>
            </w:tcMar>
            <w:vAlign w:val="center"/>
          </w:tcPr>
          <w:p>
            <w:pPr>
              <w:spacing w:before="0" w:after="0" w:line="240" w:lineRule="auto"/>
              <w:jc w:val="left"/>
            </w:pPr>
            <w:r/>
            <w:r>
              <w:rPr>
                <w:rFonts w:ascii="Arial" w:hAnsi="Arial" w:cs="Arial"/>
                <w:sz w:val="18"/>
              </w:rPr>
              <w:t>Prórroga de excepción</w:t>
            </w:r>
          </w:p>
        </w:tc>
        <w:tc>
          <w:tcPr>
            <w:tcW w:type="dxa" w:w="4408"/>
            <w:tcMar>
              <w:top w:w="80" w:type="dxa"/>
              <w:start w:w="120" w:type="dxa"/>
              <w:bottom w:w="80" w:type="dxa"/>
              <w:end w:w="120" w:type="dxa"/>
            </w:tcMar>
            <w:vAlign w:val="center"/>
          </w:tcPr>
          <w:p>
            <w:pPr>
              <w:spacing w:before="0" w:after="0" w:line="240" w:lineRule="auto"/>
              <w:jc w:val="left"/>
            </w:pPr>
            <w:r/>
            <w:r>
              <w:rPr>
                <w:rFonts w:ascii="Arial" w:hAnsi="Arial" w:cs="Arial"/>
                <w:sz w:val="18"/>
              </w:rPr>
              <w:t>Máximo otros 30 días</w:t>
            </w:r>
          </w:p>
        </w:tc>
      </w:tr>
      <w:tr>
        <w:tc>
          <w:tcPr>
            <w:tcW w:type="dxa" w:w="4618"/>
            <w:tcMar>
              <w:top w:w="80" w:type="dxa"/>
              <w:start w:w="120" w:type="dxa"/>
              <w:bottom w:w="80" w:type="dxa"/>
              <w:end w:w="120" w:type="dxa"/>
            </w:tcMar>
            <w:vAlign w:val="center"/>
          </w:tcPr>
          <w:p>
            <w:pPr>
              <w:spacing w:before="0" w:after="0" w:line="240" w:lineRule="auto"/>
              <w:jc w:val="left"/>
            </w:pPr>
            <w:r/>
            <w:r>
              <w:rPr>
                <w:rFonts w:ascii="Arial" w:hAnsi="Arial" w:cs="Arial"/>
                <w:sz w:val="18"/>
              </w:rPr>
              <w:t>Detención bajo estado de excepción</w:t>
            </w:r>
          </w:p>
        </w:tc>
        <w:tc>
          <w:tcPr>
            <w:tcW w:type="dxa" w:w="4408"/>
            <w:tcMar>
              <w:top w:w="80" w:type="dxa"/>
              <w:start w:w="120" w:type="dxa"/>
              <w:bottom w:w="80" w:type="dxa"/>
              <w:end w:w="120" w:type="dxa"/>
            </w:tcMar>
            <w:vAlign w:val="center"/>
          </w:tcPr>
          <w:p>
            <w:pPr>
              <w:spacing w:before="0" w:after="0" w:line="240" w:lineRule="auto"/>
              <w:jc w:val="left"/>
            </w:pPr>
            <w:r/>
            <w:r>
              <w:rPr>
                <w:rFonts w:ascii="Arial" w:hAnsi="Arial" w:cs="Arial"/>
                <w:sz w:val="18"/>
              </w:rPr>
              <w:t>Máximo 10 días; comunicación judicial en 24 horas</w:t>
            </w:r>
          </w:p>
        </w:tc>
      </w:tr>
      <w:tr>
        <w:tc>
          <w:tcPr>
            <w:tcW w:type="dxa" w:w="4618"/>
            <w:tcMar>
              <w:top w:w="80" w:type="dxa"/>
              <w:start w:w="120" w:type="dxa"/>
              <w:bottom w:w="80" w:type="dxa"/>
              <w:end w:w="120" w:type="dxa"/>
            </w:tcMar>
            <w:vAlign w:val="center"/>
          </w:tcPr>
          <w:p>
            <w:pPr>
              <w:spacing w:before="0" w:after="0" w:line="240" w:lineRule="auto"/>
              <w:jc w:val="left"/>
            </w:pPr>
            <w:r/>
            <w:r>
              <w:rPr>
                <w:rFonts w:ascii="Arial" w:hAnsi="Arial" w:cs="Arial"/>
                <w:sz w:val="18"/>
              </w:rPr>
              <w:t>Amparo contra acto parlamentario sin ley</w:t>
            </w:r>
          </w:p>
        </w:tc>
        <w:tc>
          <w:tcPr>
            <w:tcW w:type="dxa" w:w="4408"/>
            <w:tcMar>
              <w:top w:w="80" w:type="dxa"/>
              <w:start w:w="120" w:type="dxa"/>
              <w:bottom w:w="80" w:type="dxa"/>
              <w:end w:w="120" w:type="dxa"/>
            </w:tcMar>
            <w:vAlign w:val="center"/>
          </w:tcPr>
          <w:p>
            <w:pPr>
              <w:spacing w:before="0" w:after="0" w:line="240" w:lineRule="auto"/>
              <w:jc w:val="center"/>
            </w:pPr>
            <w:r/>
            <w:r>
              <w:rPr>
                <w:rFonts w:ascii="Arial" w:hAnsi="Arial" w:cs="Arial"/>
                <w:sz w:val="18"/>
              </w:rPr>
              <w:t>3 meses</w:t>
            </w:r>
          </w:p>
        </w:tc>
      </w:tr>
      <w:tr>
        <w:tc>
          <w:tcPr>
            <w:tcW w:type="dxa" w:w="4618"/>
            <w:tcMar>
              <w:top w:w="80" w:type="dxa"/>
              <w:start w:w="120" w:type="dxa"/>
              <w:bottom w:w="80" w:type="dxa"/>
              <w:end w:w="120" w:type="dxa"/>
            </w:tcMar>
            <w:vAlign w:val="center"/>
          </w:tcPr>
          <w:p>
            <w:pPr>
              <w:spacing w:before="0" w:after="0" w:line="240" w:lineRule="auto"/>
              <w:jc w:val="left"/>
            </w:pPr>
            <w:r/>
            <w:r>
              <w:rPr>
                <w:rFonts w:ascii="Arial" w:hAnsi="Arial" w:cs="Arial"/>
                <w:sz w:val="18"/>
              </w:rPr>
              <w:t>Amparo por actuación gubernativa o administrativa</w:t>
            </w:r>
          </w:p>
        </w:tc>
        <w:tc>
          <w:tcPr>
            <w:tcW w:type="dxa" w:w="4408"/>
            <w:tcMar>
              <w:top w:w="80" w:type="dxa"/>
              <w:start w:w="120" w:type="dxa"/>
              <w:bottom w:w="80" w:type="dxa"/>
              <w:end w:w="120" w:type="dxa"/>
            </w:tcMar>
            <w:vAlign w:val="center"/>
          </w:tcPr>
          <w:p>
            <w:pPr>
              <w:spacing w:before="0" w:after="0" w:line="240" w:lineRule="auto"/>
              <w:jc w:val="left"/>
            </w:pPr>
            <w:r/>
            <w:r>
              <w:rPr>
                <w:rFonts w:ascii="Arial" w:hAnsi="Arial" w:cs="Arial"/>
                <w:sz w:val="18"/>
              </w:rPr>
              <w:t>20 días tras resolución judicial previa</w:t>
            </w:r>
          </w:p>
        </w:tc>
      </w:tr>
      <w:tr>
        <w:tc>
          <w:tcPr>
            <w:tcW w:type="dxa" w:w="4618"/>
            <w:tcMar>
              <w:top w:w="80" w:type="dxa"/>
              <w:start w:w="120" w:type="dxa"/>
              <w:bottom w:w="80" w:type="dxa"/>
              <w:end w:w="120" w:type="dxa"/>
            </w:tcMar>
            <w:vAlign w:val="center"/>
          </w:tcPr>
          <w:p>
            <w:pPr>
              <w:spacing w:before="0" w:after="0" w:line="240" w:lineRule="auto"/>
              <w:jc w:val="left"/>
            </w:pPr>
            <w:r/>
            <w:r>
              <w:rPr>
                <w:rFonts w:ascii="Arial" w:hAnsi="Arial" w:cs="Arial"/>
                <w:sz w:val="18"/>
              </w:rPr>
              <w:t>Amparo por acto u omisión judicial</w:t>
            </w:r>
          </w:p>
        </w:tc>
        <w:tc>
          <w:tcPr>
            <w:tcW w:type="dxa" w:w="4408"/>
            <w:tcMar>
              <w:top w:w="80" w:type="dxa"/>
              <w:start w:w="120" w:type="dxa"/>
              <w:bottom w:w="80" w:type="dxa"/>
              <w:end w:w="120" w:type="dxa"/>
            </w:tcMar>
            <w:vAlign w:val="center"/>
          </w:tcPr>
          <w:p>
            <w:pPr>
              <w:spacing w:before="0" w:after="0" w:line="240" w:lineRule="auto"/>
              <w:jc w:val="center"/>
            </w:pPr>
            <w:r/>
            <w:r>
              <w:rPr>
                <w:rFonts w:ascii="Arial" w:hAnsi="Arial" w:cs="Arial"/>
                <w:sz w:val="18"/>
              </w:rPr>
              <w:t>30 días</w:t>
            </w:r>
          </w:p>
        </w:tc>
      </w:tr>
      <w:tr>
        <w:tc>
          <w:tcPr>
            <w:tcW w:type="dxa" w:w="4618"/>
            <w:tcMar>
              <w:top w:w="80" w:type="dxa"/>
              <w:start w:w="120" w:type="dxa"/>
              <w:bottom w:w="80" w:type="dxa"/>
              <w:end w:w="120" w:type="dxa"/>
            </w:tcMar>
            <w:vAlign w:val="center"/>
          </w:tcPr>
          <w:p>
            <w:pPr>
              <w:spacing w:before="0" w:after="0" w:line="240" w:lineRule="auto"/>
              <w:jc w:val="left"/>
            </w:pPr>
            <w:r/>
            <w:r>
              <w:rPr>
                <w:rFonts w:ascii="Arial" w:hAnsi="Arial" w:cs="Arial"/>
                <w:sz w:val="18"/>
              </w:rPr>
              <w:t>Mandato del Defensor del Pueblo</w:t>
            </w:r>
          </w:p>
        </w:tc>
        <w:tc>
          <w:tcPr>
            <w:tcW w:type="dxa" w:w="4408"/>
            <w:tcMar>
              <w:top w:w="80" w:type="dxa"/>
              <w:start w:w="120" w:type="dxa"/>
              <w:bottom w:w="80" w:type="dxa"/>
              <w:end w:w="120" w:type="dxa"/>
            </w:tcMar>
            <w:vAlign w:val="center"/>
          </w:tcPr>
          <w:p>
            <w:pPr>
              <w:spacing w:before="0" w:after="0" w:line="240" w:lineRule="auto"/>
              <w:jc w:val="center"/>
            </w:pPr>
            <w:r/>
            <w:r>
              <w:rPr>
                <w:rFonts w:ascii="Arial" w:hAnsi="Arial" w:cs="Arial"/>
                <w:sz w:val="18"/>
              </w:rPr>
              <w:t>5 años</w:t>
            </w:r>
          </w:p>
        </w:tc>
      </w:tr>
    </w:tbl>
    <w:p>
      <w:pPr>
        <w:spacing w:after="40"/>
      </w:pPr>
    </w:p>
    <w:p>
      <w:pPr>
        <w:pStyle w:val="Heading1"/>
        <w:keepNext/>
      </w:pPr>
      <w:r>
        <w:rPr>
          <w:rFonts w:ascii="Arial" w:hAnsi="Arial" w:cs="Arial"/>
          <w:sz w:val="30"/>
        </w:rPr>
        <w:t>11. Confusiones frecuentes</w:t>
      </w:r>
    </w:p>
    <w:p>
      <w:pPr>
        <w:spacing w:after="40"/>
        <w:ind w:left="369" w:hanging="227"/>
      </w:pPr>
      <w:r>
        <w:rPr>
          <w:rFonts w:ascii="Arial" w:hAnsi="Arial" w:cs="Arial"/>
          <w:sz w:val="22"/>
        </w:rPr>
        <w:t xml:space="preserve">1. </w:t>
      </w:r>
      <w:r>
        <w:rPr>
          <w:rFonts w:ascii="Arial" w:hAnsi="Arial" w:cs="Arial"/>
          <w:b/>
          <w:sz w:val="22"/>
        </w:rPr>
        <w:t>Artículo 14:</w:t>
      </w:r>
      <w:r>
        <w:rPr>
          <w:rFonts w:ascii="Arial" w:hAnsi="Arial" w:cs="Arial"/>
          <w:sz w:val="22"/>
        </w:rPr>
        <w:t xml:space="preserve"> está fuera de las secciones del capítulo II, pero tiene tutela preferente y sumaria y amparo.</w:t>
      </w:r>
    </w:p>
    <w:p>
      <w:pPr>
        <w:spacing w:after="40"/>
        <w:ind w:left="369" w:hanging="227"/>
      </w:pPr>
      <w:r>
        <w:rPr>
          <w:rFonts w:ascii="Arial" w:hAnsi="Arial" w:cs="Arial"/>
          <w:sz w:val="22"/>
        </w:rPr>
        <w:t xml:space="preserve">2. </w:t>
      </w:r>
      <w:r>
        <w:rPr>
          <w:rFonts w:ascii="Arial" w:hAnsi="Arial" w:cs="Arial"/>
          <w:b/>
          <w:sz w:val="22"/>
        </w:rPr>
        <w:t>Artículo 30.2:</w:t>
      </w:r>
      <w:r>
        <w:rPr>
          <w:rFonts w:ascii="Arial" w:hAnsi="Arial" w:cs="Arial"/>
          <w:sz w:val="22"/>
        </w:rPr>
        <w:t xml:space="preserve"> es el único derecho de la sección 2.ª mencionado expresamente en el artículo 53.2 para amparo.</w:t>
      </w:r>
    </w:p>
    <w:p>
      <w:pPr>
        <w:spacing w:after="40"/>
        <w:ind w:left="369" w:hanging="227"/>
      </w:pPr>
      <w:r>
        <w:rPr>
          <w:rFonts w:ascii="Arial" w:hAnsi="Arial" w:cs="Arial"/>
          <w:sz w:val="22"/>
        </w:rPr>
        <w:t xml:space="preserve">3. </w:t>
      </w:r>
      <w:r>
        <w:rPr>
          <w:rFonts w:ascii="Arial" w:hAnsi="Arial" w:cs="Arial"/>
          <w:b/>
          <w:sz w:val="22"/>
        </w:rPr>
        <w:t>Ley orgánica:</w:t>
      </w:r>
      <w:r>
        <w:rPr>
          <w:rFonts w:ascii="Arial" w:hAnsi="Arial" w:cs="Arial"/>
          <w:sz w:val="22"/>
        </w:rPr>
        <w:t xml:space="preserve"> el desarrollo de derechos fundamentales y libertades públicas del artículo 81.1 se conecta con la sección 1.ª, no con cualquier materia del título I.</w:t>
      </w:r>
    </w:p>
    <w:p>
      <w:pPr>
        <w:spacing w:after="40"/>
        <w:ind w:left="369" w:hanging="227"/>
      </w:pPr>
      <w:r>
        <w:rPr>
          <w:rFonts w:ascii="Arial" w:hAnsi="Arial" w:cs="Arial"/>
          <w:sz w:val="22"/>
        </w:rPr>
        <w:t xml:space="preserve">4. </w:t>
      </w:r>
      <w:r>
        <w:rPr>
          <w:rFonts w:ascii="Arial" w:hAnsi="Arial" w:cs="Arial"/>
          <w:b/>
          <w:sz w:val="22"/>
        </w:rPr>
        <w:t>Principios rectores:</w:t>
      </w:r>
      <w:r>
        <w:rPr>
          <w:rFonts w:ascii="Arial" w:hAnsi="Arial" w:cs="Arial"/>
          <w:sz w:val="22"/>
        </w:rPr>
        <w:t xml:space="preserve"> tienen valor constitucional, aunque su alegación judicial depende de sus leyes de desarrollo.</w:t>
      </w:r>
    </w:p>
    <w:p>
      <w:pPr>
        <w:spacing w:after="40"/>
        <w:ind w:left="369" w:hanging="227"/>
      </w:pPr>
      <w:r>
        <w:rPr>
          <w:rFonts w:ascii="Arial" w:hAnsi="Arial" w:cs="Arial"/>
          <w:sz w:val="22"/>
        </w:rPr>
        <w:t xml:space="preserve">5. </w:t>
      </w:r>
      <w:r>
        <w:rPr>
          <w:rFonts w:ascii="Arial" w:hAnsi="Arial" w:cs="Arial"/>
          <w:b/>
          <w:sz w:val="22"/>
        </w:rPr>
        <w:t>Extranjeros y artículo 23:</w:t>
      </w:r>
      <w:r>
        <w:rPr>
          <w:rFonts w:ascii="Arial" w:hAnsi="Arial" w:cs="Arial"/>
          <w:sz w:val="22"/>
        </w:rPr>
        <w:t xml:space="preserve"> la excepción se limita al sufragio municipal activo y pasivo bajo reciprocidad.</w:t>
      </w:r>
    </w:p>
    <w:p>
      <w:pPr>
        <w:spacing w:after="40"/>
        <w:ind w:left="369" w:hanging="227"/>
      </w:pPr>
      <w:r>
        <w:rPr>
          <w:rFonts w:ascii="Arial" w:hAnsi="Arial" w:cs="Arial"/>
          <w:sz w:val="22"/>
        </w:rPr>
        <w:t xml:space="preserve">6. </w:t>
      </w:r>
      <w:r>
        <w:rPr>
          <w:rFonts w:ascii="Arial" w:hAnsi="Arial" w:cs="Arial"/>
          <w:b/>
          <w:sz w:val="22"/>
        </w:rPr>
        <w:t>Detención:</w:t>
      </w:r>
      <w:r>
        <w:rPr>
          <w:rFonts w:ascii="Arial" w:hAnsi="Arial" w:cs="Arial"/>
          <w:sz w:val="22"/>
        </w:rPr>
        <w:t xml:space="preserve"> setenta y dos horas es un máximo absoluto, pero puede ser necesario liberar o poner a disposición judicial antes.</w:t>
      </w:r>
    </w:p>
    <w:p>
      <w:pPr>
        <w:spacing w:after="40"/>
        <w:ind w:left="369" w:hanging="227"/>
      </w:pPr>
      <w:r>
        <w:rPr>
          <w:rFonts w:ascii="Arial" w:hAnsi="Arial" w:cs="Arial"/>
          <w:sz w:val="22"/>
        </w:rPr>
        <w:t xml:space="preserve">7. </w:t>
      </w:r>
      <w:r>
        <w:rPr>
          <w:rFonts w:ascii="Arial" w:hAnsi="Arial" w:cs="Arial"/>
          <w:b/>
          <w:sz w:val="22"/>
        </w:rPr>
        <w:t>Domicilio:</w:t>
      </w:r>
      <w:r>
        <w:rPr>
          <w:rFonts w:ascii="Arial" w:hAnsi="Arial" w:cs="Arial"/>
          <w:sz w:val="22"/>
        </w:rPr>
        <w:t xml:space="preserve"> el flagrante delito es excepción expresa a consentimiento o autorización judicial.</w:t>
      </w:r>
    </w:p>
    <w:p>
      <w:pPr>
        <w:spacing w:after="40"/>
        <w:ind w:left="369" w:hanging="227"/>
      </w:pPr>
      <w:r>
        <w:rPr>
          <w:rFonts w:ascii="Arial" w:hAnsi="Arial" w:cs="Arial"/>
          <w:sz w:val="22"/>
        </w:rPr>
        <w:t xml:space="preserve">8. </w:t>
      </w:r>
      <w:r>
        <w:rPr>
          <w:rFonts w:ascii="Arial" w:hAnsi="Arial" w:cs="Arial"/>
          <w:b/>
          <w:sz w:val="22"/>
        </w:rPr>
        <w:t>Información y opinión:</w:t>
      </w:r>
      <w:r>
        <w:rPr>
          <w:rFonts w:ascii="Arial" w:hAnsi="Arial" w:cs="Arial"/>
          <w:sz w:val="22"/>
        </w:rPr>
        <w:t xml:space="preserve"> la exigencia constitucional de veracidad se refiere a información.</w:t>
      </w:r>
    </w:p>
    <w:p>
      <w:pPr>
        <w:spacing w:after="40"/>
        <w:ind w:left="369" w:hanging="227"/>
      </w:pPr>
      <w:r>
        <w:rPr>
          <w:rFonts w:ascii="Arial" w:hAnsi="Arial" w:cs="Arial"/>
          <w:sz w:val="22"/>
        </w:rPr>
        <w:t xml:space="preserve">9. </w:t>
      </w:r>
      <w:r>
        <w:rPr>
          <w:rFonts w:ascii="Arial" w:hAnsi="Arial" w:cs="Arial"/>
          <w:b/>
          <w:sz w:val="22"/>
        </w:rPr>
        <w:t>Reunión:</w:t>
      </w:r>
      <w:r>
        <w:rPr>
          <w:rFonts w:ascii="Arial" w:hAnsi="Arial" w:cs="Arial"/>
          <w:sz w:val="22"/>
        </w:rPr>
        <w:t xml:space="preserve"> no requiere autorización; en tránsito público exige comunicación.</w:t>
      </w:r>
    </w:p>
    <w:p>
      <w:pPr>
        <w:spacing w:after="40"/>
        <w:ind w:left="369" w:hanging="227"/>
      </w:pPr>
      <w:r>
        <w:rPr>
          <w:rFonts w:ascii="Arial" w:hAnsi="Arial" w:cs="Arial"/>
          <w:sz w:val="22"/>
        </w:rPr>
        <w:t xml:space="preserve">10. </w:t>
      </w:r>
      <w:r>
        <w:rPr>
          <w:rFonts w:ascii="Arial" w:hAnsi="Arial" w:cs="Arial"/>
          <w:b/>
          <w:sz w:val="22"/>
        </w:rPr>
        <w:t>Asociación:</w:t>
      </w:r>
      <w:r>
        <w:rPr>
          <w:rFonts w:ascii="Arial" w:hAnsi="Arial" w:cs="Arial"/>
          <w:sz w:val="22"/>
        </w:rPr>
        <w:t xml:space="preserve"> la inscripción se exige a solos efectos de publicidad.</w:t>
      </w:r>
    </w:p>
    <w:p>
      <w:pPr>
        <w:spacing w:after="40"/>
        <w:ind w:left="369" w:hanging="227"/>
      </w:pPr>
      <w:r>
        <w:rPr>
          <w:rFonts w:ascii="Arial" w:hAnsi="Arial" w:cs="Arial"/>
          <w:sz w:val="22"/>
        </w:rPr>
        <w:t xml:space="preserve">11. </w:t>
      </w:r>
      <w:r>
        <w:rPr>
          <w:rFonts w:ascii="Arial" w:hAnsi="Arial" w:cs="Arial"/>
          <w:b/>
          <w:sz w:val="22"/>
        </w:rPr>
        <w:t>Enseñanza:</w:t>
      </w:r>
      <w:r>
        <w:rPr>
          <w:rFonts w:ascii="Arial" w:hAnsi="Arial" w:cs="Arial"/>
          <w:sz w:val="22"/>
        </w:rPr>
        <w:t xml:space="preserve"> la enseñanza básica es obligatoria y gratuita.</w:t>
      </w:r>
    </w:p>
    <w:p>
      <w:pPr>
        <w:spacing w:after="40"/>
        <w:ind w:left="369" w:hanging="227"/>
      </w:pPr>
      <w:r>
        <w:rPr>
          <w:rFonts w:ascii="Arial" w:hAnsi="Arial" w:cs="Arial"/>
          <w:sz w:val="22"/>
        </w:rPr>
        <w:t xml:space="preserve">12. </w:t>
      </w:r>
      <w:r>
        <w:rPr>
          <w:rFonts w:ascii="Arial" w:hAnsi="Arial" w:cs="Arial"/>
          <w:b/>
          <w:sz w:val="22"/>
        </w:rPr>
        <w:t>Sistema tributario:</w:t>
      </w:r>
      <w:r>
        <w:rPr>
          <w:rFonts w:ascii="Arial" w:hAnsi="Arial" w:cs="Arial"/>
          <w:sz w:val="22"/>
        </w:rPr>
        <w:t xml:space="preserve"> progresividad se refiere al conjunto y no puede tener alcance confiscatorio.</w:t>
      </w:r>
    </w:p>
    <w:p>
      <w:pPr>
        <w:spacing w:after="40"/>
        <w:ind w:left="369" w:hanging="227"/>
      </w:pPr>
      <w:r>
        <w:rPr>
          <w:rFonts w:ascii="Arial" w:hAnsi="Arial" w:cs="Arial"/>
          <w:sz w:val="22"/>
        </w:rPr>
        <w:t xml:space="preserve">13. </w:t>
      </w:r>
      <w:r>
        <w:rPr>
          <w:rFonts w:ascii="Arial" w:hAnsi="Arial" w:cs="Arial"/>
          <w:b/>
          <w:sz w:val="22"/>
        </w:rPr>
        <w:t>Amparo:</w:t>
      </w:r>
      <w:r>
        <w:rPr>
          <w:rFonts w:ascii="Arial" w:hAnsi="Arial" w:cs="Arial"/>
          <w:sz w:val="22"/>
        </w:rPr>
        <w:t xml:space="preserve"> no es aplicable directamente a todos los artículos 10 a 55.</w:t>
      </w:r>
    </w:p>
    <w:p>
      <w:pPr>
        <w:spacing w:after="40"/>
        <w:ind w:left="369" w:hanging="227"/>
      </w:pPr>
      <w:r>
        <w:rPr>
          <w:rFonts w:ascii="Arial" w:hAnsi="Arial" w:cs="Arial"/>
          <w:sz w:val="22"/>
        </w:rPr>
        <w:t xml:space="preserve">14. </w:t>
      </w:r>
      <w:r>
        <w:rPr>
          <w:rFonts w:ascii="Arial" w:hAnsi="Arial" w:cs="Arial"/>
          <w:b/>
          <w:sz w:val="22"/>
        </w:rPr>
        <w:t>Alarma:</w:t>
      </w:r>
      <w:r>
        <w:rPr>
          <w:rFonts w:ascii="Arial" w:hAnsi="Arial" w:cs="Arial"/>
          <w:sz w:val="22"/>
        </w:rPr>
        <w:t xml:space="preserve"> no permite la suspensión formal de derechos del artículo 55.1.</w:t>
      </w:r>
    </w:p>
    <w:p>
      <w:pPr>
        <w:spacing w:after="40"/>
        <w:ind w:left="369" w:hanging="227"/>
      </w:pPr>
      <w:r>
        <w:rPr>
          <w:rFonts w:ascii="Arial" w:hAnsi="Arial" w:cs="Arial"/>
          <w:sz w:val="22"/>
        </w:rPr>
        <w:t xml:space="preserve">15. </w:t>
      </w:r>
      <w:r>
        <w:rPr>
          <w:rFonts w:ascii="Arial" w:hAnsi="Arial" w:cs="Arial"/>
          <w:b/>
          <w:sz w:val="22"/>
        </w:rPr>
        <w:t>Excepción:</w:t>
      </w:r>
      <w:r>
        <w:rPr>
          <w:rFonts w:ascii="Arial" w:hAnsi="Arial" w:cs="Arial"/>
          <w:sz w:val="22"/>
        </w:rPr>
        <w:t xml:space="preserve"> pueden suspenderse garantías del artículo 17, pero no el apartado 17.3.</w:t>
      </w:r>
    </w:p>
    <w:p>
      <w:pPr>
        <w:spacing w:after="40"/>
        <w:ind w:left="369" w:hanging="227"/>
      </w:pPr>
      <w:r>
        <w:rPr>
          <w:rFonts w:ascii="Arial" w:hAnsi="Arial" w:cs="Arial"/>
          <w:sz w:val="22"/>
        </w:rPr>
        <w:t xml:space="preserve">16. </w:t>
      </w:r>
      <w:r>
        <w:rPr>
          <w:rFonts w:ascii="Arial" w:hAnsi="Arial" w:cs="Arial"/>
          <w:b/>
          <w:sz w:val="22"/>
        </w:rPr>
        <w:t>Sitio:</w:t>
      </w:r>
      <w:r>
        <w:rPr>
          <w:rFonts w:ascii="Arial" w:hAnsi="Arial" w:cs="Arial"/>
          <w:sz w:val="22"/>
        </w:rPr>
        <w:t xml:space="preserve"> sí puede autorizarse suspensión temporal del artículo 17.3.</w:t>
      </w:r>
    </w:p>
    <w:p>
      <w:pPr>
        <w:spacing w:after="40"/>
        <w:ind w:left="369" w:hanging="227"/>
      </w:pPr>
      <w:r>
        <w:rPr>
          <w:rFonts w:ascii="Arial" w:hAnsi="Arial" w:cs="Arial"/>
          <w:sz w:val="22"/>
        </w:rPr>
        <w:t xml:space="preserve">17. </w:t>
      </w:r>
      <w:r>
        <w:rPr>
          <w:rFonts w:ascii="Arial" w:hAnsi="Arial" w:cs="Arial"/>
          <w:b/>
          <w:sz w:val="22"/>
        </w:rPr>
        <w:t>Suspensión individual:</w:t>
      </w:r>
      <w:r>
        <w:rPr>
          <w:rFonts w:ascii="Arial" w:hAnsi="Arial" w:cs="Arial"/>
          <w:sz w:val="22"/>
        </w:rPr>
        <w:t xml:space="preserve"> solo alcanza 17.2, 18.2 y 18.3 y exige intervención judicial y control parlamentario.</w:t>
      </w:r>
    </w:p>
    <w:p>
      <w:pPr>
        <w:spacing w:after="40"/>
        <w:ind w:left="369" w:hanging="227"/>
      </w:pPr>
      <w:r>
        <w:rPr>
          <w:rFonts w:ascii="Arial" w:hAnsi="Arial" w:cs="Arial"/>
          <w:sz w:val="22"/>
        </w:rPr>
        <w:t xml:space="preserve">18. </w:t>
      </w:r>
      <w:r>
        <w:rPr>
          <w:rFonts w:ascii="Arial" w:hAnsi="Arial" w:cs="Arial"/>
          <w:b/>
          <w:sz w:val="22"/>
        </w:rPr>
        <w:t>Artículo 49 vigente:</w:t>
      </w:r>
      <w:r>
        <w:rPr>
          <w:rFonts w:ascii="Arial" w:hAnsi="Arial" w:cs="Arial"/>
          <w:sz w:val="22"/>
        </w:rPr>
        <w:t xml:space="preserve"> habla de personas con discapacidad, autonomía, inclusión, accesibilidad y participación; no debe utilizarse la redacción anterior.</w:t>
      </w:r>
    </w:p>
    <w:p>
      <w:pPr>
        <w:pStyle w:val="Heading1"/>
        <w:keepNext/>
      </w:pPr>
      <w:r>
        <w:rPr>
          <w:rFonts w:ascii="Arial" w:hAnsi="Arial" w:cs="Arial"/>
          <w:sz w:val="30"/>
        </w:rPr>
        <w:t>12. Resumen final</w:t>
      </w:r>
    </w:p>
    <w:p>
      <w:pPr>
        <w:jc w:val="both"/>
      </w:pPr>
      <w:r>
        <w:rPr>
          <w:rFonts w:ascii="Arial" w:hAnsi="Arial" w:cs="Arial"/>
          <w:sz w:val="22"/>
        </w:rPr>
        <w:t>El título I parte de dignidad e interpretación internacional, regula nacionalidad, mayoría de edad y extranjería, y organiza derechos en grupos con distinta protección. El artículo 14 y los artículos 15 a 29 disponen de tutela judicial preferente y sumaria y amparo; la objeción de conciencia del artículo 30.2 también tiene amparo. Los artículos 30 a 38 vinculan a poderes públicos y están reservados a ley con respeto a su contenido esencial. Los principios de los artículos 39 a 52 informan legislación, práctica judicial y actuación pública.</w:t>
      </w:r>
    </w:p>
    <w:p>
      <w:pPr>
        <w:jc w:val="both"/>
      </w:pPr>
      <w:r>
        <w:rPr>
          <w:rFonts w:ascii="Arial" w:hAnsi="Arial" w:cs="Arial"/>
          <w:sz w:val="22"/>
        </w:rPr>
        <w:t>Las garantías principales son la vinculación directa, reserva de ley, contenido esencial, ley orgánica para el desarrollo de los derechos de la sección 1.ª, control de constitucionalidad, tutela judicial, amparo, Defensor del Pueblo y Ministerio Fiscal.</w:t>
      </w:r>
    </w:p>
    <w:p>
      <w:pPr>
        <w:jc w:val="both"/>
      </w:pPr>
      <w:r>
        <w:rPr>
          <w:rFonts w:ascii="Arial" w:hAnsi="Arial" w:cs="Arial"/>
          <w:sz w:val="22"/>
        </w:rPr>
        <w:t>El amparo protege los artículos 14 a 29 y 30.2, exige los presupuestos de la Ley Orgánica del Tribunal Constitucional y tiene plazos distintos según la procedencia de la lesión: tres meses, veinte días o treinta días.</w:t>
      </w:r>
    </w:p>
    <w:p>
      <w:pPr>
        <w:jc w:val="both"/>
      </w:pPr>
      <w:r>
        <w:rPr>
          <w:rFonts w:ascii="Arial" w:hAnsi="Arial" w:cs="Arial"/>
          <w:sz w:val="22"/>
        </w:rPr>
        <w:t>La suspensión general solo puede afectar a los derechos enumerados en el artículo 55.1 durante excepción o sitio. El estado de alarma permite medidas limitativas, no suspensión formal. El estado de excepción requiere autorización previa del Congreso y dura hasta treinta días, prorrogables por otros treinta; el de sitio lo declara el Congreso por mayoría absoluta a propuesta exclusiva del Gobierno. La suspensión individual se limita a los artículos 17.2, 18.2 y 18.3 en investigaciones de bandas armadas o terrorismo.</w:t>
      </w:r>
    </w:p>
    <w:p>
      <w:pPr>
        <w:jc w:val="both"/>
      </w:pPr>
      <w:r>
        <w:rPr>
          <w:rFonts w:ascii="Arial" w:hAnsi="Arial" w:cs="Arial"/>
          <w:sz w:val="22"/>
        </w:rPr>
        <w:t>Desde febrero de 2024, el artículo 49 garantiza a las personas con discapacidad el ejercicio real y efectivo de los derechos, protección especial legal, autonomía, inclusión, accesibilidad y participación, con atención particular a mujeres y menores.</w:t>
      </w:r>
    </w:p>
    <w:p>
      <w:pPr>
        <w:pStyle w:val="Heading1"/>
        <w:keepNext/>
      </w:pPr>
      <w:r>
        <w:rPr>
          <w:rFonts w:ascii="Arial" w:hAnsi="Arial" w:cs="Arial"/>
          <w:sz w:val="30"/>
        </w:rPr>
        <w:t>13. Datos preguntables</w:t>
      </w:r>
    </w:p>
    <w:p>
      <w:pPr>
        <w:pStyle w:val="ListBullet"/>
      </w:pPr>
      <w:r>
        <w:rPr>
          <w:rFonts w:ascii="Arial" w:hAnsi="Arial" w:cs="Arial"/>
          <w:sz w:val="22"/>
        </w:rPr>
        <w:t>Título I: artículos 10 a 55.</w:t>
      </w:r>
    </w:p>
    <w:p>
      <w:pPr>
        <w:pStyle w:val="ListBullet"/>
      </w:pPr>
      <w:r>
        <w:rPr>
          <w:rFonts w:ascii="Arial" w:hAnsi="Arial" w:cs="Arial"/>
          <w:sz w:val="22"/>
        </w:rPr>
        <w:t>Capítulo I: 11-13.</w:t>
      </w:r>
    </w:p>
    <w:p>
      <w:pPr>
        <w:pStyle w:val="ListBullet"/>
      </w:pPr>
      <w:r>
        <w:rPr>
          <w:rFonts w:ascii="Arial" w:hAnsi="Arial" w:cs="Arial"/>
          <w:sz w:val="22"/>
        </w:rPr>
        <w:t>Capítulo II: 14-38.</w:t>
      </w:r>
    </w:p>
    <w:p>
      <w:pPr>
        <w:pStyle w:val="ListBullet"/>
      </w:pPr>
      <w:r>
        <w:rPr>
          <w:rFonts w:ascii="Arial" w:hAnsi="Arial" w:cs="Arial"/>
          <w:sz w:val="22"/>
        </w:rPr>
        <w:t>Sección 1.ª: 15-29.</w:t>
      </w:r>
    </w:p>
    <w:p>
      <w:pPr>
        <w:pStyle w:val="ListBullet"/>
      </w:pPr>
      <w:r>
        <w:rPr>
          <w:rFonts w:ascii="Arial" w:hAnsi="Arial" w:cs="Arial"/>
          <w:sz w:val="22"/>
        </w:rPr>
        <w:t>Sección 2.ª: 30-38.</w:t>
      </w:r>
    </w:p>
    <w:p>
      <w:pPr>
        <w:pStyle w:val="ListBullet"/>
      </w:pPr>
      <w:r>
        <w:rPr>
          <w:rFonts w:ascii="Arial" w:hAnsi="Arial" w:cs="Arial"/>
          <w:sz w:val="22"/>
        </w:rPr>
        <w:t>Capítulo III: 39-52.</w:t>
      </w:r>
    </w:p>
    <w:p>
      <w:pPr>
        <w:pStyle w:val="ListBullet"/>
      </w:pPr>
      <w:r>
        <w:rPr>
          <w:rFonts w:ascii="Arial" w:hAnsi="Arial" w:cs="Arial"/>
          <w:sz w:val="22"/>
        </w:rPr>
        <w:t>Garantías: 53-54.</w:t>
      </w:r>
    </w:p>
    <w:p>
      <w:pPr>
        <w:pStyle w:val="ListBullet"/>
      </w:pPr>
      <w:r>
        <w:rPr>
          <w:rFonts w:ascii="Arial" w:hAnsi="Arial" w:cs="Arial"/>
          <w:sz w:val="22"/>
        </w:rPr>
        <w:t>Suspensión: 55.</w:t>
      </w:r>
    </w:p>
    <w:p>
      <w:pPr>
        <w:pStyle w:val="ListBullet"/>
      </w:pPr>
      <w:r>
        <w:rPr>
          <w:rFonts w:ascii="Arial" w:hAnsi="Arial" w:cs="Arial"/>
          <w:sz w:val="22"/>
        </w:rPr>
        <w:t>Mayoría de edad: 18 años.</w:t>
      </w:r>
    </w:p>
    <w:p>
      <w:pPr>
        <w:pStyle w:val="ListBullet"/>
      </w:pPr>
      <w:r>
        <w:rPr>
          <w:rFonts w:ascii="Arial" w:hAnsi="Arial" w:cs="Arial"/>
          <w:sz w:val="22"/>
        </w:rPr>
        <w:t>Detención preventiva: tiempo imprescindible y máximo 72 horas.</w:t>
      </w:r>
    </w:p>
    <w:p>
      <w:pPr>
        <w:pStyle w:val="ListBullet"/>
      </w:pPr>
      <w:r>
        <w:rPr>
          <w:rFonts w:ascii="Arial" w:hAnsi="Arial" w:cs="Arial"/>
          <w:sz w:val="22"/>
        </w:rPr>
        <w:t>Habeas corpus: resolución en 24 horas desde incoación.</w:t>
      </w:r>
    </w:p>
    <w:p>
      <w:pPr>
        <w:pStyle w:val="ListBullet"/>
      </w:pPr>
      <w:r>
        <w:rPr>
          <w:rFonts w:ascii="Arial" w:hAnsi="Arial" w:cs="Arial"/>
          <w:sz w:val="22"/>
        </w:rPr>
        <w:t>Entrada domiciliaria: consentimiento, resolución judicial o flagrante delito.</w:t>
      </w:r>
    </w:p>
    <w:p>
      <w:pPr>
        <w:pStyle w:val="ListBullet"/>
      </w:pPr>
      <w:r>
        <w:rPr>
          <w:rFonts w:ascii="Arial" w:hAnsi="Arial" w:cs="Arial"/>
          <w:sz w:val="22"/>
        </w:rPr>
        <w:t>Reunión: sin autorización previa.</w:t>
      </w:r>
    </w:p>
    <w:p>
      <w:pPr>
        <w:pStyle w:val="ListBullet"/>
      </w:pPr>
      <w:r>
        <w:rPr>
          <w:rFonts w:ascii="Arial" w:hAnsi="Arial" w:cs="Arial"/>
          <w:sz w:val="22"/>
        </w:rPr>
        <w:t>Manifestación: comunicación previa.</w:t>
      </w:r>
    </w:p>
    <w:p>
      <w:pPr>
        <w:pStyle w:val="ListBullet"/>
      </w:pPr>
      <w:r>
        <w:rPr>
          <w:rFonts w:ascii="Arial" w:hAnsi="Arial" w:cs="Arial"/>
          <w:sz w:val="22"/>
        </w:rPr>
        <w:t>Asociación: inscripción a solos efectos de publicidad.</w:t>
      </w:r>
    </w:p>
    <w:p>
      <w:pPr>
        <w:pStyle w:val="ListBullet"/>
      </w:pPr>
      <w:r>
        <w:rPr>
          <w:rFonts w:ascii="Arial" w:hAnsi="Arial" w:cs="Arial"/>
          <w:sz w:val="22"/>
        </w:rPr>
        <w:t>Enseñanza básica: obligatoria y gratuita.</w:t>
      </w:r>
    </w:p>
    <w:p>
      <w:pPr>
        <w:pStyle w:val="ListBullet"/>
      </w:pPr>
      <w:r>
        <w:rPr>
          <w:rFonts w:ascii="Arial" w:hAnsi="Arial" w:cs="Arial"/>
          <w:sz w:val="22"/>
        </w:rPr>
        <w:t>Amparo: artículos 14-29 y 30.2.</w:t>
      </w:r>
    </w:p>
    <w:p>
      <w:pPr>
        <w:pStyle w:val="ListBullet"/>
      </w:pPr>
      <w:r>
        <w:rPr>
          <w:rFonts w:ascii="Arial" w:hAnsi="Arial" w:cs="Arial"/>
          <w:sz w:val="22"/>
        </w:rPr>
        <w:t>Legitimación de amparo: persona con interés legítimo, Defensor del Pueblo y Ministerio Fiscal.</w:t>
      </w:r>
    </w:p>
    <w:p>
      <w:pPr>
        <w:pStyle w:val="ListBullet"/>
      </w:pPr>
      <w:r>
        <w:rPr>
          <w:rFonts w:ascii="Arial" w:hAnsi="Arial" w:cs="Arial"/>
          <w:sz w:val="22"/>
        </w:rPr>
        <w:t>Plazos de amparo: 3 meses, 20 días y 30 días según origen.</w:t>
      </w:r>
    </w:p>
    <w:p>
      <w:pPr>
        <w:pStyle w:val="ListBullet"/>
      </w:pPr>
      <w:r>
        <w:rPr>
          <w:rFonts w:ascii="Arial" w:hAnsi="Arial" w:cs="Arial"/>
          <w:sz w:val="22"/>
        </w:rPr>
        <w:t>Defensor del Pueblo: alto comisionado de las Cortes; mandato legal de 5 años.</w:t>
      </w:r>
    </w:p>
    <w:p>
      <w:pPr>
        <w:pStyle w:val="ListBullet"/>
      </w:pPr>
      <w:r>
        <w:rPr>
          <w:rFonts w:ascii="Arial" w:hAnsi="Arial" w:cs="Arial"/>
          <w:sz w:val="22"/>
        </w:rPr>
        <w:t>Artículo 49 reformado: vigente desde 17-02-2024.</w:t>
      </w:r>
    </w:p>
    <w:p>
      <w:pPr>
        <w:pStyle w:val="ListBullet"/>
      </w:pPr>
      <w:r>
        <w:rPr>
          <w:rFonts w:ascii="Arial" w:hAnsi="Arial" w:cs="Arial"/>
          <w:sz w:val="22"/>
        </w:rPr>
        <w:t>Derechos suspendibles generalmente: 17; 18.2 y 18.3; 19; 20.1.a y d y 20.5; 21; 28.2; 37.2.</w:t>
      </w:r>
    </w:p>
    <w:p>
      <w:pPr>
        <w:pStyle w:val="ListBullet"/>
      </w:pPr>
      <w:r>
        <w:rPr>
          <w:rFonts w:ascii="Arial" w:hAnsi="Arial" w:cs="Arial"/>
          <w:sz w:val="22"/>
        </w:rPr>
        <w:t>Excepción: el artículo 17.3 no se suspende.</w:t>
      </w:r>
    </w:p>
    <w:p>
      <w:pPr>
        <w:pStyle w:val="ListBullet"/>
      </w:pPr>
      <w:r>
        <w:rPr>
          <w:rFonts w:ascii="Arial" w:hAnsi="Arial" w:cs="Arial"/>
          <w:sz w:val="22"/>
        </w:rPr>
        <w:t>Sitio: puede suspenderse también el artículo 17.3.</w:t>
      </w:r>
    </w:p>
    <w:p>
      <w:pPr>
        <w:pStyle w:val="ListBullet"/>
      </w:pPr>
      <w:r>
        <w:rPr>
          <w:rFonts w:ascii="Arial" w:hAnsi="Arial" w:cs="Arial"/>
          <w:sz w:val="22"/>
        </w:rPr>
        <w:t>Alarma inicial: máximo 15 días.</w:t>
      </w:r>
    </w:p>
    <w:p>
      <w:pPr>
        <w:pStyle w:val="ListBullet"/>
      </w:pPr>
      <w:r>
        <w:rPr>
          <w:rFonts w:ascii="Arial" w:hAnsi="Arial" w:cs="Arial"/>
          <w:sz w:val="22"/>
        </w:rPr>
        <w:t>Excepción: máximo 30 días, prorrogable por otros 30.</w:t>
      </w:r>
    </w:p>
    <w:p>
      <w:pPr>
        <w:pStyle w:val="ListBullet"/>
      </w:pPr>
      <w:r>
        <w:rPr>
          <w:rFonts w:ascii="Arial" w:hAnsi="Arial" w:cs="Arial"/>
          <w:sz w:val="22"/>
        </w:rPr>
        <w:t>Sitio: mayoría absoluta del Congreso y propuesta exclusiva del Gobierno.</w:t>
      </w:r>
    </w:p>
    <w:p>
      <w:pPr>
        <w:pStyle w:val="ListBullet"/>
      </w:pPr>
      <w:r>
        <w:rPr>
          <w:rFonts w:ascii="Arial" w:hAnsi="Arial" w:cs="Arial"/>
          <w:sz w:val="22"/>
        </w:rPr>
        <w:t>Suspensión individual: 17.2, 18.2 y 18.3.</w:t>
      </w:r>
    </w:p>
    <w:p>
      <w:pPr>
        <w:pStyle w:val="ListBullet"/>
      </w:pPr>
      <w:r>
        <w:rPr>
          <w:rFonts w:ascii="Arial" w:hAnsi="Arial" w:cs="Arial"/>
          <w:sz w:val="22"/>
        </w:rPr>
        <w:t>Requisitos de suspensión individual: intervención judicial y control parlamentario.</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G02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4, 2026: 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7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bl>
    <w:p>
      <w:pPr>
        <w:spacing w:after="40"/>
      </w:pPr>
    </w:p>
    <w:p>
      <w:pPr>
        <w:jc w:val="both"/>
      </w:pPr>
      <w:r>
        <w:rPr>
          <w:rFonts w:ascii="Arial" w:hAnsi="Arial" w:cs="Arial"/>
          <w:b/>
          <w:sz w:val="22"/>
        </w:rPr>
        <w:t>Normas que más aparecen:</w:t>
      </w:r>
      <w:r>
        <w:rPr>
          <w:rFonts w:ascii="Arial" w:hAnsi="Arial" w:cs="Arial"/>
          <w:sz w:val="22"/>
        </w:rPr>
        <w:t xml:space="preserve"> Constitución Española (6).</w:t>
      </w:r>
    </w:p>
    <w:p>
      <w:pPr>
        <w:jc w:val="both"/>
      </w:pPr>
      <w:r>
        <w:rPr>
          <w:rFonts w:ascii="Arial" w:hAnsi="Arial" w:cs="Arial"/>
          <w:b/>
          <w:sz w:val="22"/>
        </w:rPr>
        <w:t>Artículos o preceptos más repetidos:</w:t>
      </w:r>
      <w:r>
        <w:rPr>
          <w:rFonts w:ascii="Arial" w:hAnsi="Arial" w:cs="Arial"/>
          <w:sz w:val="22"/>
        </w:rPr>
        <w:t xml:space="preserve"> 21 (1).</w:t>
      </w:r>
    </w:p>
    <w:p>
      <w:pPr>
        <w:jc w:val="both"/>
      </w:pPr>
      <w:r>
        <w:rPr>
          <w:rFonts w:ascii="Arial" w:hAnsi="Arial" w:cs="Arial"/>
          <w:b/>
          <w:sz w:val="22"/>
        </w:rPr>
        <w:t>Formas de pregunta predominantes:</w:t>
      </w:r>
      <w:r>
        <w:rPr>
          <w:rFonts w:ascii="Arial" w:hAnsi="Arial" w:cs="Arial"/>
          <w:sz w:val="22"/>
        </w:rPr>
        <w:t xml:space="preserve"> Artículos literales (7).</w:t>
      </w:r>
    </w:p>
    <w:p>
      <w:pPr>
        <w:pStyle w:val="Heading2"/>
        <w:keepNext/>
      </w:pPr>
      <w:r>
        <w:rPr>
          <w:rFonts w:ascii="Arial" w:hAnsi="Arial" w:cs="Arial"/>
          <w:sz w:val="25"/>
        </w:rPr>
        <w:t>Patrones observados</w:t>
      </w:r>
    </w:p>
    <w:p>
      <w:pPr>
        <w:pStyle w:val="ListBullet"/>
      </w:pPr>
      <w:r>
        <w:rPr>
          <w:rFonts w:ascii="Arial" w:hAnsi="Arial" w:cs="Arial"/>
          <w:b/>
          <w:sz w:val="22"/>
        </w:rPr>
        <w:t>2024, teoría 2:</w:t>
      </w:r>
      <w:r>
        <w:rPr>
          <w:rFonts w:ascii="Arial" w:hAnsi="Arial" w:cs="Arial"/>
          <w:sz w:val="22"/>
        </w:rPr>
        <w:t xml:space="preserve"> En relación con eI derecho de reunión pacífica y sin armas que establece el artículo 21 de la Constitución Española, señale la respuesta CORRECTA:</w:t>
      </w:r>
    </w:p>
    <w:p>
      <w:pPr>
        <w:pStyle w:val="ListBullet"/>
      </w:pPr>
      <w:r>
        <w:rPr>
          <w:rFonts w:ascii="Arial" w:hAnsi="Arial" w:cs="Arial"/>
          <w:b/>
          <w:sz w:val="22"/>
        </w:rPr>
        <w:t>2025, teoría 1:</w:t>
      </w:r>
      <w:r>
        <w:rPr>
          <w:rFonts w:ascii="Arial" w:hAnsi="Arial" w:cs="Arial"/>
          <w:sz w:val="22"/>
        </w:rPr>
        <w:t xml:space="preserve"> En la Constitución Española, el Capítulo Primero del Título I se denomina:</w:t>
      </w:r>
    </w:p>
    <w:p>
      <w:pPr>
        <w:pStyle w:val="ListBullet"/>
      </w:pPr>
      <w:r>
        <w:rPr>
          <w:rFonts w:ascii="Arial" w:hAnsi="Arial" w:cs="Arial"/>
          <w:b/>
          <w:sz w:val="22"/>
        </w:rPr>
        <w:t>2025, teoría 2:</w:t>
      </w:r>
      <w:r>
        <w:rPr>
          <w:rFonts w:ascii="Arial" w:hAnsi="Arial" w:cs="Arial"/>
          <w:sz w:val="22"/>
        </w:rPr>
        <w:t xml:space="preserve"> En la Constitución Española, las garantías de las libertades y derechos fundamentales se encuentran reguladas en el:</w:t>
      </w:r>
    </w:p>
    <w:p>
      <w:pPr>
        <w:pStyle w:val="ListBullet"/>
      </w:pPr>
      <w:r>
        <w:rPr>
          <w:rFonts w:ascii="Arial" w:hAnsi="Arial" w:cs="Arial"/>
          <w:b/>
          <w:sz w:val="22"/>
        </w:rPr>
        <w:t>2025, teoría 2:</w:t>
      </w:r>
      <w:r>
        <w:rPr>
          <w:rFonts w:ascii="Arial" w:hAnsi="Arial" w:cs="Arial"/>
          <w:sz w:val="22"/>
        </w:rPr>
        <w:t xml:space="preserve"> Indique cuál de los siguientes NO forma parte de los derechos fundamentales y libertades públicas regulados en la Sección la del Capítulo II del Título I de la Constitución Española:</w:t>
      </w:r>
    </w:p>
    <w:p>
      <w:pPr>
        <w:pStyle w:val="ListBullet"/>
      </w:pPr>
      <w:r>
        <w:rPr>
          <w:rFonts w:ascii="Arial" w:hAnsi="Arial" w:cs="Arial"/>
          <w:b/>
          <w:sz w:val="22"/>
        </w:rPr>
        <w:t>2025, teoría 2:</w:t>
      </w:r>
      <w:r>
        <w:rPr>
          <w:rFonts w:ascii="Arial" w:hAnsi="Arial" w:cs="Arial"/>
          <w:sz w:val="22"/>
        </w:rPr>
        <w:t xml:space="preserve"> El derecho a la huelga de los trabajadores para la defensa de sus intereses:</w:t>
      </w:r>
    </w:p>
    <w:p>
      <w:pPr>
        <w:pStyle w:val="ListBullet"/>
      </w:pPr>
      <w:r>
        <w:rPr>
          <w:rFonts w:ascii="Arial" w:hAnsi="Arial" w:cs="Arial"/>
          <w:b/>
          <w:sz w:val="22"/>
        </w:rPr>
        <w:t>2026, teoría 2:</w:t>
      </w:r>
      <w:r>
        <w:rPr>
          <w:rFonts w:ascii="Arial" w:hAnsi="Arial" w:cs="Arial"/>
          <w:sz w:val="22"/>
        </w:rPr>
        <w:t xml:space="preserve"> Respecto al patrimonio histórico, cultural y artístico de los pueblos de España y los bienes que 10 integran, señale la respuesta INCORRECTA, conforme a 10 recogido en eI Título I de la Constitución Española:</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1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 utilizadas</w:t>
      </w:r>
    </w:p>
    <w:p>
      <w:pPr>
        <w:pStyle w:val="ListBullet"/>
        <w:ind w:left="397" w:hanging="198"/>
      </w:pPr>
      <w:r>
        <w:rPr>
          <w:rFonts w:ascii="Arial" w:hAnsi="Arial" w:cs="Arial"/>
          <w:sz w:val="18"/>
        </w:rPr>
        <w:t>Constitución Española, texto consolidado vigente: https://www.boe.es/buscar/act.php?id=BOE-A-1978-31229</w:t>
      </w:r>
    </w:p>
    <w:p>
      <w:pPr>
        <w:pStyle w:val="ListBullet"/>
        <w:ind w:left="397" w:hanging="198"/>
      </w:pPr>
      <w:r>
        <w:rPr>
          <w:rFonts w:ascii="Arial" w:hAnsi="Arial" w:cs="Arial"/>
          <w:sz w:val="18"/>
        </w:rPr>
        <w:t>Reforma del artículo 49 de la Constitución, de 15 de febrero de 2024: https://www.boe.es/buscar/doc.php?id=BOE-A-2024-3099</w:t>
      </w:r>
    </w:p>
    <w:p>
      <w:pPr>
        <w:pStyle w:val="ListBullet"/>
        <w:ind w:left="397" w:hanging="198"/>
      </w:pPr>
      <w:r>
        <w:rPr>
          <w:rFonts w:ascii="Arial" w:hAnsi="Arial" w:cs="Arial"/>
          <w:sz w:val="18"/>
        </w:rPr>
        <w:t>Ley Orgánica 2/1979, de 3 de octubre, del Tribunal Constitucional: https://www.boe.es/buscar/act.php?id=BOE-A-1979-23709</w:t>
      </w:r>
    </w:p>
    <w:p>
      <w:pPr>
        <w:pStyle w:val="ListBullet"/>
        <w:ind w:left="397" w:hanging="198"/>
      </w:pPr>
      <w:r>
        <w:rPr>
          <w:rFonts w:ascii="Arial" w:hAnsi="Arial" w:cs="Arial"/>
          <w:sz w:val="18"/>
        </w:rPr>
        <w:t>Ley Orgánica 3/1981, de 6 de abril, del Defensor del Pueblo: https://www.boe.es/buscar/act.php?id=BOE-A-1981-10325</w:t>
      </w:r>
    </w:p>
    <w:p>
      <w:pPr>
        <w:pStyle w:val="ListBullet"/>
        <w:ind w:left="397" w:hanging="198"/>
      </w:pPr>
      <w:r>
        <w:rPr>
          <w:rFonts w:ascii="Arial" w:hAnsi="Arial" w:cs="Arial"/>
          <w:sz w:val="18"/>
        </w:rPr>
        <w:t>Ley Orgánica 4/1981, de 1 de junio, de los estados de alarma, excepción y sitio: https://www.boe.es/buscar/act.php?id=BOE-A-1981-12774</w:t>
      </w:r>
    </w:p>
    <w:p>
      <w:pPr>
        <w:pStyle w:val="ListBullet"/>
        <w:ind w:left="397" w:hanging="198"/>
      </w:pPr>
      <w:r>
        <w:rPr>
          <w:rFonts w:ascii="Arial" w:hAnsi="Arial" w:cs="Arial"/>
          <w:sz w:val="18"/>
        </w:rPr>
        <w:t>Ley Orgánica 6/1984, de 24 de mayo, reguladora del procedimiento de habeas corpus: https://www.boe.es/buscar/act.php?id=BOE-A-1984-11620</w:t>
      </w:r>
    </w:p>
    <w:p>
      <w:pPr>
        <w:pStyle w:val="ListBullet"/>
        <w:ind w:left="397" w:hanging="198"/>
      </w:pPr>
      <w:r>
        <w:rPr>
          <w:rFonts w:ascii="Arial" w:hAnsi="Arial" w:cs="Arial"/>
          <w:sz w:val="18"/>
        </w:rPr>
        <w:t>Ley Orgánica 11/1995, de 27 de noviembre, de abolición de la pena de muerte en tiempo de guerra: https://www.boe.es/buscar/doc.php?id=BOE-A-1995-25714</w:t>
      </w:r>
    </w:p>
    <w:p>
      <w:pPr>
        <w:pStyle w:val="ListBullet"/>
        <w:ind w:left="397" w:hanging="198"/>
      </w:pPr>
      <w:r>
        <w:rPr>
          <w:rFonts w:ascii="Arial" w:hAnsi="Arial" w:cs="Arial"/>
          <w:sz w:val="18"/>
        </w:rPr>
        <w:t>Ley 29/1998, de 13 de julio, reguladora de la Jurisdicción Contencioso-administrativa: https://www.boe.es/buscar/act.php?id=BOE-A-1998-16718</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G02 · Tema 2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2. Derechos y deberes fundamentales. Su garantía y suspensión</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