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40" w:after="80"/>
      </w:pPr>
      <w:r>
        <w:rPr>
          <w:rFonts w:ascii="Arial" w:hAnsi="Arial" w:cs="Arial"/>
          <w:b/>
          <w:color w:val="2F75B5"/>
          <w:sz w:val="18"/>
        </w:rPr>
        <w:t>TEMARIO GENERAL</w:t>
      </w:r>
    </w:p>
    <w:p>
      <w:pPr>
        <w:spacing w:before="0" w:after="160"/>
      </w:pPr>
      <w:r>
        <w:rPr>
          <w:rFonts w:ascii="Arial" w:hAnsi="Arial" w:cs="Arial"/>
          <w:b/>
          <w:color w:val="1F4E79"/>
          <w:sz w:val="26"/>
        </w:rPr>
        <w:t>TEMA 20</w:t>
      </w:r>
    </w:p>
    <w:p>
      <w:pPr>
        <w:keepNext/>
        <w:spacing w:before="0" w:after="280"/>
        <w:pBdr>
          <w:bottom w:val="single" w:sz="12" w:space="1" w:color="2F75B5"/>
        </w:pBdr>
      </w:pPr>
      <w:r>
        <w:rPr>
          <w:rFonts w:ascii="Arial" w:hAnsi="Arial" w:cs="Arial"/>
          <w:b/>
          <w:color w:val="17365D"/>
          <w:sz w:val="40"/>
        </w:rPr>
        <w:t>Atención al público. Atención de personas con discapacidad. Los servicios de información administrativa. Información general y particular al ciudadano. Iniciativas. Reclamaciones. Quejas. Peticiones.</w:t>
      </w:r>
    </w:p>
    <w:p>
      <w:pPr>
        <w:spacing w:before="0" w:after="40"/>
      </w:pPr>
      <w:r>
        <w:rPr>
          <w:rFonts w:ascii="Arial" w:hAnsi="Arial" w:cs="Arial"/>
          <w:b/>
          <w:color w:val="333333"/>
          <w:sz w:val="19"/>
        </w:rPr>
        <w:t xml:space="preserve">Cuerpo: </w:t>
      </w:r>
      <w:r>
        <w:rPr>
          <w:rFonts w:ascii="Arial" w:hAnsi="Arial" w:cs="Arial"/>
          <w:color w:val="333333"/>
          <w:sz w:val="19"/>
        </w:rPr>
        <w:t>Cuerpo Administrativo de la Administración de la Seguridad Social</w:t>
      </w:r>
    </w:p>
    <w:p>
      <w:pPr>
        <w:spacing w:before="0" w:after="40"/>
      </w:pPr>
      <w:r>
        <w:rPr>
          <w:rFonts w:ascii="Arial" w:hAnsi="Arial" w:cs="Arial"/>
          <w:b/>
          <w:color w:val="333333"/>
          <w:sz w:val="19"/>
        </w:rPr>
        <w:t xml:space="preserve">Subgrupo y acceso: </w:t>
      </w:r>
      <w:r>
        <w:rPr>
          <w:rFonts w:ascii="Arial" w:hAnsi="Arial" w:cs="Arial"/>
          <w:color w:val="333333"/>
          <w:sz w:val="19"/>
        </w:rPr>
        <w:t>C1 · sistema general de acceso libre</w:t>
      </w:r>
    </w:p>
    <w:p>
      <w:pPr>
        <w:spacing w:before="0" w:after="40"/>
      </w:pPr>
      <w:r>
        <w:rPr>
          <w:rFonts w:ascii="Arial" w:hAnsi="Arial" w:cs="Arial"/>
          <w:b/>
          <w:color w:val="333333"/>
          <w:sz w:val="19"/>
        </w:rPr>
        <w:t xml:space="preserve">Actualización: </w:t>
      </w:r>
      <w:r>
        <w:rPr>
          <w:rFonts w:ascii="Arial" w:hAnsi="Arial" w:cs="Arial"/>
          <w:color w:val="333333"/>
          <w:sz w:val="19"/>
        </w:rPr>
        <w:t>30 de julio de 2026</w:t>
      </w:r>
    </w:p>
    <w:p>
      <w:pPr>
        <w:spacing w:before="0" w:after="40"/>
      </w:pPr>
      <w:r>
        <w:rPr>
          <w:rFonts w:ascii="Arial" w:hAnsi="Arial" w:cs="Arial"/>
          <w:b/>
          <w:color w:val="333333"/>
          <w:sz w:val="19"/>
        </w:rPr>
        <w:t xml:space="preserve">Programa: </w:t>
      </w:r>
      <w:r>
        <w:rPr>
          <w:rFonts w:ascii="Arial" w:hAnsi="Arial" w:cs="Arial"/>
          <w:color w:val="333333"/>
          <w:sz w:val="19"/>
        </w:rPr>
        <w:t>Anexo I de la Resolución de 22 de diciembre de 2025</w:t>
      </w:r>
    </w:p>
    <w:p>
      <w:pPr>
        <w:spacing w:before="320" w:after="100"/>
      </w:pPr>
      <w:r>
        <w:rPr>
          <w:rFonts w:ascii="Arial" w:hAnsi="Arial" w:cs="Arial"/>
          <w:b/>
          <w:color w:val="1F4E79"/>
          <w:sz w:val="17"/>
        </w:rPr>
        <w:t>AVISO DE PROPIEDAD INTELECTUAL</w:t>
      </w:r>
    </w:p>
    <w:p>
      <w:pPr>
        <w:spacing w:before="0" w:after="60" w:line="240" w:lineRule="auto"/>
        <w:ind w:left="198" w:right="198"/>
        <w:shd w:fill="F2F4F7"/>
      </w:pPr>
      <w:r>
        <w:rPr>
          <w:rFonts w:ascii="Arial" w:hAnsi="Arial" w:cs="Arial"/>
          <w:b/>
          <w:color w:val="333333"/>
          <w:sz w:val="16"/>
        </w:rPr>
        <w:t>© 2026 ACADEMIA LORMAN. Todos los derechos reservados.</w:t>
      </w:r>
    </w:p>
    <w:p>
      <w:pPr>
        <w:spacing w:before="0" w:after="60" w:line="240" w:lineRule="auto"/>
        <w:ind w:left="198" w:right="198"/>
        <w:shd w:fill="F2F4F7"/>
      </w:pPr>
      <w:r>
        <w:rPr>
          <w:rFonts w:ascii="Arial" w:hAnsi="Arial" w:cs="Arial"/>
          <w:b w:val="0"/>
          <w:color w:val="333333"/>
          <w:sz w:val="16"/>
        </w:rPr>
        <w:t>Material protegido por el Real Decreto Legislativo 1/1996, de 12 de abril, por el que se aprueba el texto refundido de la Ley de Propiedad Intelectual.</w:t>
      </w:r>
    </w:p>
    <w:p>
      <w:pPr>
        <w:spacing w:before="0" w:after="60" w:line="240" w:lineRule="auto"/>
        <w:ind w:left="198" w:right="198"/>
        <w:shd w:fill="F2F4F7"/>
      </w:pPr>
      <w:r>
        <w:rPr>
          <w:rFonts w:ascii="Arial" w:hAnsi="Arial" w:cs="Arial"/>
          <w:b w:val="0"/>
          <w:color w:val="333333"/>
          <w:sz w:val="16"/>
        </w:rPr>
        <w:t>Queda prohibida su reproducción, distribución, comunicación pública, modificación, venta, cesión, publicación o difusión, total o parcial, sin autorización previa y por escrito de su titular.</w:t>
      </w:r>
    </w:p>
    <w:p>
      <w:pPr>
        <w:spacing w:before="0" w:after="60" w:line="240" w:lineRule="auto"/>
        <w:ind w:left="198" w:right="198"/>
        <w:shd w:fill="F2F4F7"/>
      </w:pPr>
      <w:r>
        <w:rPr>
          <w:rFonts w:ascii="Arial" w:hAnsi="Arial" w:cs="Arial"/>
          <w:b w:val="0"/>
          <w:color w:val="333333"/>
          <w:sz w:val="16"/>
        </w:rPr>
        <w:t>No está permitida su publicación en páginas web, plataformas digitales, redes sociales, grupos de mensajería, aplicaciones, repositorios o servicios de intercambio de archivos.</w:t>
      </w:r>
    </w:p>
    <w:p>
      <w:r>
        <w:br w:type="page"/>
      </w:r>
    </w:p>
    <w:p>
      <w:pPr>
        <w:spacing w:after="100"/>
        <w:ind w:left="340" w:right="227"/>
        <w:shd w:fill="EAF2F8"/>
      </w:pPr>
      <w:r>
        <w:rPr>
          <w:rFonts w:ascii="Arial" w:hAnsi="Arial" w:cs="Arial"/>
          <w:b/>
          <w:sz w:val="20"/>
        </w:rPr>
        <w:t>Contenido actualizado y revisado a fecha de 30 de julio de 2026.</w:t>
      </w:r>
    </w:p>
    <w:p>
      <w:pPr>
        <w:jc w:val="both"/>
      </w:pPr>
      <w:r>
        <w:rPr>
          <w:rFonts w:ascii="Arial" w:hAnsi="Arial" w:cs="Arial"/>
          <w:sz w:val="22"/>
        </w:rPr>
        <w:t xml:space="preserve">La atención al público es la actividad mediante la cual la Administración recibe, orienta, informa, asiste y escucha a las personas que se relacionan con ella. No es una función accesoria: hace efectivos los principios de servicio objetivo, eficacia, transparencia, buena administración, accesibilidad y respeto. Una información correcta evita cargas, permite ejercer derechos y reduce errores; una atención accesible elimina barreras; y los sistemas de iniciativa, queja, reclamación y petición convierten la experiencia ciudadana en participación y control. La exposición se ajusta al ordenamiento vigente a </w:t>
      </w:r>
      <w:r>
        <w:rPr>
          <w:rFonts w:ascii="Arial" w:hAnsi="Arial" w:cs="Arial"/>
          <w:b/>
          <w:sz w:val="22"/>
        </w:rPr>
        <w:t>30 de julio de 2026</w:t>
      </w:r>
      <w:r>
        <w:rPr>
          <w:rFonts w:ascii="Arial" w:hAnsi="Arial" w:cs="Arial"/>
          <w:sz w:val="22"/>
        </w:rPr>
        <w:t>.</w:t>
      </w:r>
    </w:p>
    <w:p>
      <w:pPr>
        <w:pStyle w:val="Heading1"/>
        <w:keepNext/>
      </w:pPr>
      <w:r>
        <w:rPr>
          <w:rFonts w:ascii="Arial" w:hAnsi="Arial" w:cs="Arial"/>
          <w:sz w:val="30"/>
        </w:rPr>
        <w:t>1. Fundamento y finalidad de la atención al público</w:t>
      </w:r>
    </w:p>
    <w:p>
      <w:pPr>
        <w:pStyle w:val="Heading2"/>
        <w:keepNext/>
      </w:pPr>
      <w:r>
        <w:rPr>
          <w:rFonts w:ascii="Arial" w:hAnsi="Arial" w:cs="Arial"/>
          <w:sz w:val="25"/>
        </w:rPr>
        <w:t>1.1. Fundamento constitucional</w:t>
      </w:r>
    </w:p>
    <w:p>
      <w:pPr>
        <w:jc w:val="both"/>
      </w:pPr>
      <w:r>
        <w:rPr>
          <w:rFonts w:ascii="Arial" w:hAnsi="Arial" w:cs="Arial"/>
          <w:sz w:val="22"/>
        </w:rPr>
        <w:t>El artículo 9.2 de la Constitución obliga a los poderes públicos a promover libertad e igualdad reales, remover obstáculos y facilitar participación. El artículo 14 prohíbe la discriminación. El artículo 29 reconoce el derecho de petición individual y colectiva por escrito, con las peculiaridades militares. El artículo 49, reformado en 2024, afirma que las personas con discapacidad ejercen los derechos del título I en condiciones de libertad e igualdad reales y efectivas y ordena políticas de autonomía personal e inclusión en entornos universalmente accesibles. Los artículos 103 y 105 conectan servicio objetivo, eficacia, audiencia y acceso a archivos y registros.</w:t>
      </w:r>
    </w:p>
    <w:p>
      <w:pPr>
        <w:jc w:val="both"/>
      </w:pPr>
      <w:r>
        <w:rPr>
          <w:rFonts w:ascii="Arial" w:hAnsi="Arial" w:cs="Arial"/>
          <w:sz w:val="22"/>
        </w:rPr>
        <w:t>La relación administrativa debe organizarse desde la perspectiva de quien necesita un servicio, no desde la distribución interna de competencias. Esto no permite al empleado resolver fuera de su competencia ni sustituir asesoramiento profesional, pero sí exige orientar, identificar el órgano competente, explicar trámites y evitar que la complejidad organizativa se traslade injustificadamente a la persona.</w:t>
      </w:r>
    </w:p>
    <w:p>
      <w:pPr>
        <w:pStyle w:val="Heading2"/>
        <w:keepNext/>
      </w:pPr>
      <w:r>
        <w:rPr>
          <w:rFonts w:ascii="Arial" w:hAnsi="Arial" w:cs="Arial"/>
          <w:sz w:val="25"/>
        </w:rPr>
        <w:t>1.2. Principios de buena atención</w:t>
      </w:r>
    </w:p>
    <w:p>
      <w:pPr>
        <w:jc w:val="both"/>
      </w:pPr>
      <w:r>
        <w:rPr>
          <w:rFonts w:ascii="Arial" w:hAnsi="Arial" w:cs="Arial"/>
          <w:sz w:val="22"/>
        </w:rPr>
        <w:t>Una atención pública correcta reúne:</w:t>
      </w:r>
    </w:p>
    <w:p>
      <w:pPr>
        <w:pStyle w:val="ListBullet"/>
      </w:pPr>
      <w:r>
        <w:rPr>
          <w:rFonts w:ascii="Arial" w:hAnsi="Arial" w:cs="Arial"/>
          <w:b/>
          <w:sz w:val="22"/>
        </w:rPr>
        <w:t>legalidad:</w:t>
      </w:r>
      <w:r>
        <w:rPr>
          <w:rFonts w:ascii="Arial" w:hAnsi="Arial" w:cs="Arial"/>
          <w:sz w:val="22"/>
        </w:rPr>
        <w:t xml:space="preserve"> no promete resultados contrarios a norma ni inventa requisitos;</w:t>
      </w:r>
    </w:p>
    <w:p>
      <w:pPr>
        <w:pStyle w:val="ListBullet"/>
      </w:pPr>
      <w:r>
        <w:rPr>
          <w:rFonts w:ascii="Arial" w:hAnsi="Arial" w:cs="Arial"/>
          <w:b/>
          <w:sz w:val="22"/>
        </w:rPr>
        <w:t>igualdad y no discriminación:</w:t>
      </w:r>
      <w:r>
        <w:rPr>
          <w:rFonts w:ascii="Arial" w:hAnsi="Arial" w:cs="Arial"/>
          <w:sz w:val="22"/>
        </w:rPr>
        <w:t xml:space="preserve"> atiende sin sesgos y adopta apoyos cuando sean necesarios;</w:t>
      </w:r>
    </w:p>
    <w:p>
      <w:pPr>
        <w:pStyle w:val="ListBullet"/>
      </w:pPr>
      <w:r>
        <w:rPr>
          <w:rFonts w:ascii="Arial" w:hAnsi="Arial" w:cs="Arial"/>
          <w:b/>
          <w:sz w:val="22"/>
        </w:rPr>
        <w:t>respeto y deferencia:</w:t>
      </w:r>
      <w:r>
        <w:rPr>
          <w:rFonts w:ascii="Arial" w:hAnsi="Arial" w:cs="Arial"/>
          <w:sz w:val="22"/>
        </w:rPr>
        <w:t xml:space="preserve"> trata a la persona como titular de derechos;</w:t>
      </w:r>
    </w:p>
    <w:p>
      <w:pPr>
        <w:pStyle w:val="ListBullet"/>
      </w:pPr>
      <w:r>
        <w:rPr>
          <w:rFonts w:ascii="Arial" w:hAnsi="Arial" w:cs="Arial"/>
          <w:b/>
          <w:sz w:val="22"/>
        </w:rPr>
        <w:t>claridad:</w:t>
      </w:r>
      <w:r>
        <w:rPr>
          <w:rFonts w:ascii="Arial" w:hAnsi="Arial" w:cs="Arial"/>
          <w:sz w:val="22"/>
        </w:rPr>
        <w:t xml:space="preserve"> usa lenguaje comprensible, concreto y ordenado;</w:t>
      </w:r>
    </w:p>
    <w:p>
      <w:pPr>
        <w:pStyle w:val="ListBullet"/>
      </w:pPr>
      <w:r>
        <w:rPr>
          <w:rFonts w:ascii="Arial" w:hAnsi="Arial" w:cs="Arial"/>
          <w:b/>
          <w:sz w:val="22"/>
        </w:rPr>
        <w:t>exactitud y actualización:</w:t>
      </w:r>
      <w:r>
        <w:rPr>
          <w:rFonts w:ascii="Arial" w:hAnsi="Arial" w:cs="Arial"/>
          <w:sz w:val="22"/>
        </w:rPr>
        <w:t xml:space="preserve"> verifica versión normativa, órgano, plazo y canal;</w:t>
      </w:r>
    </w:p>
    <w:p>
      <w:pPr>
        <w:pStyle w:val="ListBullet"/>
      </w:pPr>
      <w:r>
        <w:rPr>
          <w:rFonts w:ascii="Arial" w:hAnsi="Arial" w:cs="Arial"/>
          <w:b/>
          <w:sz w:val="22"/>
        </w:rPr>
        <w:t>neutralidad:</w:t>
      </w:r>
      <w:r>
        <w:rPr>
          <w:rFonts w:ascii="Arial" w:hAnsi="Arial" w:cs="Arial"/>
          <w:sz w:val="22"/>
        </w:rPr>
        <w:t xml:space="preserve"> informa de opciones sin favorecer intereses particulares;</w:t>
      </w:r>
    </w:p>
    <w:p>
      <w:pPr>
        <w:pStyle w:val="ListBullet"/>
      </w:pPr>
      <w:r>
        <w:rPr>
          <w:rFonts w:ascii="Arial" w:hAnsi="Arial" w:cs="Arial"/>
          <w:b/>
          <w:sz w:val="22"/>
        </w:rPr>
        <w:t>confidencialidad:</w:t>
      </w:r>
      <w:r>
        <w:rPr>
          <w:rFonts w:ascii="Arial" w:hAnsi="Arial" w:cs="Arial"/>
          <w:sz w:val="22"/>
        </w:rPr>
        <w:t xml:space="preserve"> evita revelar datos o expedientes a quien no está legitimado;</w:t>
      </w:r>
    </w:p>
    <w:p>
      <w:pPr>
        <w:pStyle w:val="ListBullet"/>
      </w:pPr>
      <w:r>
        <w:rPr>
          <w:rFonts w:ascii="Arial" w:hAnsi="Arial" w:cs="Arial"/>
          <w:b/>
          <w:sz w:val="22"/>
        </w:rPr>
        <w:t>accesibilidad universal:</w:t>
      </w:r>
      <w:r>
        <w:rPr>
          <w:rFonts w:ascii="Arial" w:hAnsi="Arial" w:cs="Arial"/>
          <w:sz w:val="22"/>
        </w:rPr>
        <w:t xml:space="preserve"> diseña entornos, canales y contenidos utilizables por todas las personas;</w:t>
      </w:r>
    </w:p>
    <w:p>
      <w:pPr>
        <w:pStyle w:val="ListBullet"/>
      </w:pPr>
      <w:r>
        <w:rPr>
          <w:rFonts w:ascii="Arial" w:hAnsi="Arial" w:cs="Arial"/>
          <w:b/>
          <w:sz w:val="22"/>
        </w:rPr>
        <w:t>continuidad multicanal:</w:t>
      </w:r>
      <w:r>
        <w:rPr>
          <w:rFonts w:ascii="Arial" w:hAnsi="Arial" w:cs="Arial"/>
          <w:sz w:val="22"/>
        </w:rPr>
        <w:t xml:space="preserve"> procura coherencia entre atención presencial, telefónica y electrónica;</w:t>
      </w:r>
    </w:p>
    <w:p>
      <w:pPr>
        <w:pStyle w:val="ListBullet"/>
      </w:pPr>
      <w:r>
        <w:rPr>
          <w:rFonts w:ascii="Arial" w:hAnsi="Arial" w:cs="Arial"/>
          <w:b/>
          <w:sz w:val="22"/>
        </w:rPr>
        <w:t>trazabilidad:</w:t>
      </w:r>
      <w:r>
        <w:rPr>
          <w:rFonts w:ascii="Arial" w:hAnsi="Arial" w:cs="Arial"/>
          <w:sz w:val="22"/>
        </w:rPr>
        <w:t xml:space="preserve"> registra lo que legalmente deba constar y facilita justificante;</w:t>
      </w:r>
    </w:p>
    <w:p>
      <w:pPr>
        <w:pStyle w:val="ListBullet"/>
      </w:pPr>
      <w:r>
        <w:rPr>
          <w:rFonts w:ascii="Arial" w:hAnsi="Arial" w:cs="Arial"/>
          <w:b/>
          <w:sz w:val="22"/>
        </w:rPr>
        <w:t>orientación a resolución:</w:t>
      </w:r>
      <w:r>
        <w:rPr>
          <w:rFonts w:ascii="Arial" w:hAnsi="Arial" w:cs="Arial"/>
          <w:sz w:val="22"/>
        </w:rPr>
        <w:t xml:space="preserve"> identifica la necesidad real, no solo las palabras iniciales.</w:t>
      </w:r>
    </w:p>
    <w:p>
      <w:pPr>
        <w:jc w:val="both"/>
      </w:pPr>
      <w:r>
        <w:rPr>
          <w:rFonts w:ascii="Arial" w:hAnsi="Arial" w:cs="Arial"/>
          <w:sz w:val="22"/>
        </w:rPr>
        <w:t>La cortesía sin exactitud puede causar pérdida de plazos; la exactitud expresada en jerga incomprensible tampoco cumple la finalidad. Deben combinarse contenido correcto y comunicación eficaz.</w:t>
      </w:r>
    </w:p>
    <w:p>
      <w:pPr>
        <w:pStyle w:val="Heading1"/>
        <w:keepNext/>
      </w:pPr>
      <w:r>
        <w:rPr>
          <w:rFonts w:ascii="Arial" w:hAnsi="Arial" w:cs="Arial"/>
          <w:sz w:val="30"/>
        </w:rPr>
        <w:t>2. Derechos en la relación con la Administración</w:t>
      </w:r>
    </w:p>
    <w:p>
      <w:pPr>
        <w:pStyle w:val="Heading2"/>
        <w:keepNext/>
      </w:pPr>
      <w:r>
        <w:rPr>
          <w:rFonts w:ascii="Arial" w:hAnsi="Arial" w:cs="Arial"/>
          <w:sz w:val="25"/>
        </w:rPr>
        <w:t>2.1. Derechos generales del artículo 13 de la Ley 39/2015</w:t>
      </w:r>
    </w:p>
    <w:p>
      <w:pPr>
        <w:jc w:val="both"/>
      </w:pPr>
      <w:r>
        <w:rPr>
          <w:rFonts w:ascii="Arial" w:hAnsi="Arial" w:cs="Arial"/>
          <w:sz w:val="22"/>
        </w:rPr>
        <w:t>Quienes tienen capacidad de obrar son titulares, entre otros, del derecho a:</w:t>
      </w:r>
    </w:p>
    <w:p>
      <w:pPr>
        <w:spacing w:after="40"/>
        <w:ind w:left="369" w:hanging="227"/>
      </w:pPr>
      <w:r>
        <w:rPr>
          <w:rFonts w:ascii="Arial" w:hAnsi="Arial" w:cs="Arial"/>
          <w:sz w:val="22"/>
        </w:rPr>
        <w:t>1. comunicarse mediante el Punto de Acceso General electrónico;</w:t>
      </w:r>
    </w:p>
    <w:p>
      <w:pPr>
        <w:spacing w:after="40"/>
        <w:ind w:left="369" w:hanging="227"/>
      </w:pPr>
      <w:r>
        <w:rPr>
          <w:rFonts w:ascii="Arial" w:hAnsi="Arial" w:cs="Arial"/>
          <w:sz w:val="22"/>
        </w:rPr>
        <w:t>2. ser asistidos en el uso de medios electrónicos;</w:t>
      </w:r>
    </w:p>
    <w:p>
      <w:pPr>
        <w:spacing w:after="40"/>
        <w:ind w:left="369" w:hanging="227"/>
      </w:pPr>
      <w:r>
        <w:rPr>
          <w:rFonts w:ascii="Arial" w:hAnsi="Arial" w:cs="Arial"/>
          <w:sz w:val="22"/>
        </w:rPr>
        <w:t>3. utilizar las lenguas oficiales en su comunidad autónoma conforme al ordenamiento;</w:t>
      </w:r>
    </w:p>
    <w:p>
      <w:pPr>
        <w:spacing w:after="40"/>
        <w:ind w:left="369" w:hanging="227"/>
      </w:pPr>
      <w:r>
        <w:rPr>
          <w:rFonts w:ascii="Arial" w:hAnsi="Arial" w:cs="Arial"/>
          <w:sz w:val="22"/>
        </w:rPr>
        <w:t>4. acceder a información pública, archivos y registros en los términos legales;</w:t>
      </w:r>
    </w:p>
    <w:p>
      <w:pPr>
        <w:spacing w:after="40"/>
        <w:ind w:left="369" w:hanging="227"/>
      </w:pPr>
      <w:r>
        <w:rPr>
          <w:rFonts w:ascii="Arial" w:hAnsi="Arial" w:cs="Arial"/>
          <w:sz w:val="22"/>
        </w:rPr>
        <w:t>5. recibir trato respetuoso y deferente y facilidades para ejercer derechos y cumplir obligaciones;</w:t>
      </w:r>
    </w:p>
    <w:p>
      <w:pPr>
        <w:spacing w:after="40"/>
        <w:ind w:left="369" w:hanging="227"/>
      </w:pPr>
      <w:r>
        <w:rPr>
          <w:rFonts w:ascii="Arial" w:hAnsi="Arial" w:cs="Arial"/>
          <w:sz w:val="22"/>
        </w:rPr>
        <w:t>6. exigir responsabilidades cuando corresponda;</w:t>
      </w:r>
    </w:p>
    <w:p>
      <w:pPr>
        <w:spacing w:after="40"/>
        <w:ind w:left="369" w:hanging="227"/>
      </w:pPr>
      <w:r>
        <w:rPr>
          <w:rFonts w:ascii="Arial" w:hAnsi="Arial" w:cs="Arial"/>
          <w:sz w:val="22"/>
        </w:rPr>
        <w:t>7. obtener y utilizar medios de identificación y firma electrónica;</w:t>
      </w:r>
    </w:p>
    <w:p>
      <w:pPr>
        <w:spacing w:after="40"/>
        <w:ind w:left="369" w:hanging="227"/>
      </w:pPr>
      <w:r>
        <w:rPr>
          <w:rFonts w:ascii="Arial" w:hAnsi="Arial" w:cs="Arial"/>
          <w:sz w:val="22"/>
        </w:rPr>
        <w:t>8. protección de datos, seguridad y confidencialidad;</w:t>
      </w:r>
    </w:p>
    <w:p>
      <w:pPr>
        <w:spacing w:after="40"/>
        <w:ind w:left="369" w:hanging="227"/>
      </w:pPr>
      <w:r>
        <w:rPr>
          <w:rFonts w:ascii="Arial" w:hAnsi="Arial" w:cs="Arial"/>
          <w:sz w:val="22"/>
        </w:rPr>
        <w:t>9. cualesquiera otros reconocidos por Constitución y leyes.</w:t>
      </w:r>
    </w:p>
    <w:p>
      <w:pPr>
        <w:jc w:val="both"/>
      </w:pPr>
      <w:r>
        <w:rPr>
          <w:rFonts w:ascii="Arial" w:hAnsi="Arial" w:cs="Arial"/>
          <w:sz w:val="22"/>
        </w:rPr>
        <w:t xml:space="preserve">Estos derechos corresponden a las </w:t>
      </w:r>
      <w:r>
        <w:rPr>
          <w:rFonts w:ascii="Arial" w:hAnsi="Arial" w:cs="Arial"/>
          <w:b/>
          <w:sz w:val="22"/>
        </w:rPr>
        <w:t>personas en sus relaciones</w:t>
      </w:r>
      <w:r>
        <w:rPr>
          <w:rFonts w:ascii="Arial" w:hAnsi="Arial" w:cs="Arial"/>
          <w:sz w:val="22"/>
        </w:rPr>
        <w:t xml:space="preserve"> con la Administración. Los del artículo 53 se añaden cuando existe un procedimiento y se tiene condición de interesado.</w:t>
      </w:r>
    </w:p>
    <w:p>
      <w:pPr>
        <w:pStyle w:val="Heading2"/>
        <w:keepNext/>
      </w:pPr>
      <w:r>
        <w:rPr>
          <w:rFonts w:ascii="Arial" w:hAnsi="Arial" w:cs="Arial"/>
          <w:sz w:val="25"/>
        </w:rPr>
        <w:t>2.2. Derechos de la persona interesada</w:t>
      </w:r>
    </w:p>
    <w:p>
      <w:pPr>
        <w:jc w:val="both"/>
      </w:pPr>
      <w:r>
        <w:rPr>
          <w:rFonts w:ascii="Arial" w:hAnsi="Arial" w:cs="Arial"/>
          <w:sz w:val="22"/>
        </w:rPr>
        <w:t>El artículo 53 permite conocer en cualquier momento el estado de tramitación, sentido del silencio, órgano instructor y resolutor y actos de trámite; acceder al expediente y obtener copia; identificar autoridades y personal responsables; no presentar originales salvo excepción; no aportar datos o documentos no exigidos o ya en poder administrativo en los términos del artículo 28; formular alegaciones y aportar documentos; utilizar medios de defensa; y obtener información y orientación sobre requisitos jurídicos o técnicos que las normas impongan a proyectos, actuaciones o solicitudes.</w:t>
      </w:r>
    </w:p>
    <w:p>
      <w:pPr>
        <w:jc w:val="both"/>
      </w:pPr>
      <w:r>
        <w:rPr>
          <w:rFonts w:ascii="Arial" w:hAnsi="Arial" w:cs="Arial"/>
          <w:sz w:val="22"/>
        </w:rPr>
        <w:t>La información particular sobre un expediente no se entrega a cualquier ciudadano: exige condición de interesado o representación. Deben verificarse identidad y legitimación antes de revelar datos.</w:t>
      </w:r>
    </w:p>
    <w:p>
      <w:pPr>
        <w:pStyle w:val="Heading2"/>
        <w:keepNext/>
      </w:pPr>
      <w:r>
        <w:rPr>
          <w:rFonts w:ascii="Arial" w:hAnsi="Arial" w:cs="Arial"/>
          <w:sz w:val="25"/>
        </w:rPr>
        <w:t>2.3. Elección u obligación electrónica</w:t>
      </w:r>
    </w:p>
    <w:p>
      <w:pPr>
        <w:jc w:val="both"/>
      </w:pPr>
      <w:r>
        <w:rPr>
          <w:rFonts w:ascii="Arial" w:hAnsi="Arial" w:cs="Arial"/>
          <w:sz w:val="22"/>
        </w:rPr>
        <w:t>Como regla, las personas físicas pueden escoger y cambiar el canal, salvo obligación legal. Están obligados electrónicamente, al menos:</w:t>
      </w:r>
    </w:p>
    <w:p>
      <w:pPr>
        <w:pStyle w:val="ListBullet"/>
      </w:pPr>
      <w:r>
        <w:rPr>
          <w:rFonts w:ascii="Arial" w:hAnsi="Arial" w:cs="Arial"/>
          <w:sz w:val="22"/>
        </w:rPr>
        <w:t>personas jurídicas;</w:t>
      </w:r>
    </w:p>
    <w:p>
      <w:pPr>
        <w:pStyle w:val="ListBullet"/>
      </w:pPr>
      <w:r>
        <w:rPr>
          <w:rFonts w:ascii="Arial" w:hAnsi="Arial" w:cs="Arial"/>
          <w:sz w:val="22"/>
        </w:rPr>
        <w:t>entidades sin personalidad jurídica;</w:t>
      </w:r>
    </w:p>
    <w:p>
      <w:pPr>
        <w:pStyle w:val="ListBullet"/>
      </w:pPr>
      <w:r>
        <w:rPr>
          <w:rFonts w:ascii="Arial" w:hAnsi="Arial" w:cs="Arial"/>
          <w:sz w:val="22"/>
        </w:rPr>
        <w:t>profesionales con colegiación obligatoria para actuaciones realizadas en ejercicio profesional, incluidos notarios y registradores;</w:t>
      </w:r>
    </w:p>
    <w:p>
      <w:pPr>
        <w:pStyle w:val="ListBullet"/>
      </w:pPr>
      <w:r>
        <w:rPr>
          <w:rFonts w:ascii="Arial" w:hAnsi="Arial" w:cs="Arial"/>
          <w:sz w:val="22"/>
        </w:rPr>
        <w:t>representantes de una persona obligada;</w:t>
      </w:r>
    </w:p>
    <w:p>
      <w:pPr>
        <w:pStyle w:val="ListBullet"/>
      </w:pPr>
      <w:r>
        <w:rPr>
          <w:rFonts w:ascii="Arial" w:hAnsi="Arial" w:cs="Arial"/>
          <w:sz w:val="22"/>
        </w:rPr>
        <w:t>empleados públicos para trámites derivados de su condición, en la forma reglamentariamente fijada.</w:t>
      </w:r>
    </w:p>
    <w:p>
      <w:pPr>
        <w:jc w:val="both"/>
      </w:pPr>
      <w:r>
        <w:rPr>
          <w:rFonts w:ascii="Arial" w:hAnsi="Arial" w:cs="Arial"/>
          <w:sz w:val="22"/>
        </w:rPr>
        <w:t>Por reglamento pueden obligarse ciertos colectivos de personas físicas cuando quede acreditado su acceso y disponibilidad por capacidad económica o técnica, dedicación profesional u otros motivos.</w:t>
      </w:r>
    </w:p>
    <w:p>
      <w:pPr>
        <w:jc w:val="both"/>
      </w:pPr>
      <w:r>
        <w:rPr>
          <w:rFonts w:ascii="Arial" w:hAnsi="Arial" w:cs="Arial"/>
          <w:sz w:val="22"/>
        </w:rPr>
        <w:t>La obligación electrónica no autoriza una atención inaccesible. También los sujetos obligados deben disponer de sistemas utilizables y asistencia adecuada. Si un obligado presenta presencialmente una solicitud, se le requiere subsanación electrónica y la fecha válida de presentación será la de la subsanación.</w:t>
      </w:r>
    </w:p>
    <w:p>
      <w:pPr>
        <w:pStyle w:val="Heading2"/>
        <w:keepNext/>
      </w:pPr>
      <w:r>
        <w:rPr>
          <w:rFonts w:ascii="Arial" w:hAnsi="Arial" w:cs="Arial"/>
          <w:sz w:val="25"/>
        </w:rPr>
        <w:t>2.4. Asistencia electrónica</w:t>
      </w:r>
    </w:p>
    <w:p>
      <w:pPr>
        <w:jc w:val="both"/>
      </w:pPr>
      <w:r>
        <w:rPr>
          <w:rFonts w:ascii="Arial" w:hAnsi="Arial" w:cs="Arial"/>
          <w:sz w:val="22"/>
        </w:rPr>
        <w:t xml:space="preserve">El artículo 12 de la Ley 39/2015 obliga a disponer canales, sistemas y aplicaciones y a asistir, cuando lo soliciten, a los interesados no obligados, especialmente en identificación y firma, registro electrónico y copias auténticas. Si carecen de medios, un funcionario habilitado puede realizar su identificación o firma con su propio sistema, previa identificación de la persona, </w:t>
      </w:r>
      <w:r>
        <w:rPr>
          <w:rFonts w:ascii="Arial" w:hAnsi="Arial" w:cs="Arial"/>
          <w:b/>
          <w:sz w:val="22"/>
        </w:rPr>
        <w:t>consentimiento expreso</w:t>
      </w:r>
      <w:r>
        <w:rPr>
          <w:rFonts w:ascii="Arial" w:hAnsi="Arial" w:cs="Arial"/>
          <w:sz w:val="22"/>
        </w:rPr>
        <w:t xml:space="preserve"> y constancia.</w:t>
      </w:r>
    </w:p>
    <w:p>
      <w:pPr>
        <w:jc w:val="both"/>
      </w:pPr>
      <w:r>
        <w:rPr>
          <w:rFonts w:ascii="Arial" w:hAnsi="Arial" w:cs="Arial"/>
          <w:sz w:val="22"/>
        </w:rPr>
        <w:t>El Real Decreto 203/2021 contempla canales presencial, portal y sede, redes sociales, teléfono, correo electrónico y otros. Cada Administración cuenta con Punto de Acceso General electrónico —PAGe—, que facilita el acceso a servicios, trámites e información y conduce a las sedes correspondientes.</w:t>
      </w:r>
    </w:p>
    <w:p>
      <w:pPr>
        <w:spacing w:after="100"/>
        <w:ind w:left="340" w:right="227"/>
        <w:shd w:fill="EAF2F8"/>
      </w:pPr>
      <w:r>
        <w:rPr>
          <w:rFonts w:ascii="Arial" w:hAnsi="Arial" w:cs="Arial"/>
          <w:b/>
          <w:sz w:val="20"/>
        </w:rPr>
        <w:t>Trampa frecuente:</w:t>
      </w:r>
      <w:r>
        <w:rPr>
          <w:rFonts w:ascii="Arial" w:hAnsi="Arial" w:cs="Arial"/>
          <w:sz w:val="20"/>
        </w:rPr>
        <w:t xml:space="preserve"> prestar asistencia no significa firmar en nombre de cualquier persona sin condiciones. Se exige falta de medios, funcionario habilitado, identificación, consentimiento expreso y constancia.</w:t>
      </w:r>
    </w:p>
    <w:p>
      <w:pPr>
        <w:pStyle w:val="Heading1"/>
        <w:keepNext/>
      </w:pPr>
      <w:r>
        <w:rPr>
          <w:rFonts w:ascii="Arial" w:hAnsi="Arial" w:cs="Arial"/>
          <w:sz w:val="30"/>
        </w:rPr>
        <w:t>3. Proceso práctico de atención</w:t>
      </w:r>
    </w:p>
    <w:p>
      <w:pPr>
        <w:pStyle w:val="Heading2"/>
        <w:keepNext/>
      </w:pPr>
      <w:r>
        <w:rPr>
          <w:rFonts w:ascii="Arial" w:hAnsi="Arial" w:cs="Arial"/>
          <w:sz w:val="25"/>
        </w:rPr>
        <w:t>3.1. Acogida e identificación de la necesidad</w:t>
      </w:r>
    </w:p>
    <w:p>
      <w:pPr>
        <w:jc w:val="both"/>
      </w:pPr>
      <w:r>
        <w:rPr>
          <w:rFonts w:ascii="Arial" w:hAnsi="Arial" w:cs="Arial"/>
          <w:sz w:val="22"/>
        </w:rPr>
        <w:t>La secuencia útil es:</w:t>
      </w:r>
    </w:p>
    <w:p>
      <w:pPr>
        <w:spacing w:after="40"/>
        <w:ind w:left="369" w:hanging="227"/>
      </w:pPr>
      <w:r>
        <w:rPr>
          <w:rFonts w:ascii="Arial" w:hAnsi="Arial" w:cs="Arial"/>
          <w:sz w:val="22"/>
        </w:rPr>
        <w:t>1. recibir y ofrecer disponibilidad;</w:t>
      </w:r>
    </w:p>
    <w:p>
      <w:pPr>
        <w:spacing w:after="40"/>
        <w:ind w:left="369" w:hanging="227"/>
      </w:pPr>
      <w:r>
        <w:rPr>
          <w:rFonts w:ascii="Arial" w:hAnsi="Arial" w:cs="Arial"/>
          <w:sz w:val="22"/>
        </w:rPr>
        <w:t>2. escuchar sin anticipar conclusiones;</w:t>
      </w:r>
    </w:p>
    <w:p>
      <w:pPr>
        <w:spacing w:after="40"/>
        <w:ind w:left="369" w:hanging="227"/>
      </w:pPr>
      <w:r>
        <w:rPr>
          <w:rFonts w:ascii="Arial" w:hAnsi="Arial" w:cs="Arial"/>
          <w:sz w:val="22"/>
        </w:rPr>
        <w:t>3. hacer preguntas breves para concretar el objetivo;</w:t>
      </w:r>
    </w:p>
    <w:p>
      <w:pPr>
        <w:spacing w:after="40"/>
        <w:ind w:left="369" w:hanging="227"/>
      </w:pPr>
      <w:r>
        <w:rPr>
          <w:rFonts w:ascii="Arial" w:hAnsi="Arial" w:cs="Arial"/>
          <w:sz w:val="22"/>
        </w:rPr>
        <w:t>4. distinguir si se pide información general, acceso a expediente, inicio de procedimiento, queja, recurso, reclamación o petición;</w:t>
      </w:r>
    </w:p>
    <w:p>
      <w:pPr>
        <w:spacing w:after="40"/>
        <w:ind w:left="369" w:hanging="227"/>
      </w:pPr>
      <w:r>
        <w:rPr>
          <w:rFonts w:ascii="Arial" w:hAnsi="Arial" w:cs="Arial"/>
          <w:sz w:val="22"/>
        </w:rPr>
        <w:t>5. comprobar identidad y representación solo cuando sean necesarias;</w:t>
      </w:r>
    </w:p>
    <w:p>
      <w:pPr>
        <w:spacing w:after="40"/>
        <w:ind w:left="369" w:hanging="227"/>
      </w:pPr>
      <w:r>
        <w:rPr>
          <w:rFonts w:ascii="Arial" w:hAnsi="Arial" w:cs="Arial"/>
          <w:sz w:val="22"/>
        </w:rPr>
        <w:t>6. responder, asistir o derivar de forma explicada;</w:t>
      </w:r>
    </w:p>
    <w:p>
      <w:pPr>
        <w:spacing w:after="40"/>
        <w:ind w:left="369" w:hanging="227"/>
      </w:pPr>
      <w:r>
        <w:rPr>
          <w:rFonts w:ascii="Arial" w:hAnsi="Arial" w:cs="Arial"/>
          <w:sz w:val="22"/>
        </w:rPr>
        <w:t>7. confirmar que la persona entiende el siguiente paso;</w:t>
      </w:r>
    </w:p>
    <w:p>
      <w:pPr>
        <w:spacing w:after="40"/>
        <w:ind w:left="369" w:hanging="227"/>
      </w:pPr>
      <w:r>
        <w:rPr>
          <w:rFonts w:ascii="Arial" w:hAnsi="Arial" w:cs="Arial"/>
          <w:sz w:val="22"/>
        </w:rPr>
        <w:t>8. entregar justificante cuando haya presentación o actuación registral.</w:t>
      </w:r>
    </w:p>
    <w:p>
      <w:pPr>
        <w:jc w:val="both"/>
      </w:pPr>
      <w:r>
        <w:rPr>
          <w:rFonts w:ascii="Arial" w:hAnsi="Arial" w:cs="Arial"/>
          <w:sz w:val="22"/>
        </w:rPr>
        <w:t>No se deben solicitar datos sensibles en una sala abierta si puede evitarse. Una derivación correcta indica unidad, canal, dirección y, si es relevante, horario o cita; decir únicamente «eso no es aquí» incumple la función orientadora.</w:t>
      </w:r>
    </w:p>
    <w:p>
      <w:pPr>
        <w:pStyle w:val="Heading2"/>
        <w:keepNext/>
      </w:pPr>
      <w:r>
        <w:rPr>
          <w:rFonts w:ascii="Arial" w:hAnsi="Arial" w:cs="Arial"/>
          <w:sz w:val="25"/>
        </w:rPr>
        <w:t>3.2. Comunicación clara</w:t>
      </w:r>
    </w:p>
    <w:p>
      <w:pPr>
        <w:jc w:val="both"/>
      </w:pPr>
      <w:r>
        <w:rPr>
          <w:rFonts w:ascii="Arial" w:hAnsi="Arial" w:cs="Arial"/>
          <w:sz w:val="22"/>
        </w:rPr>
        <w:t>Conviene ordenar la respuesta en cuatro piezas: qué puede hacer, ante quién, en qué plazo y con qué documentos o canal. Deben explicarse siglas la primera vez, evitar frases excesivamente largas y separar regla, excepción y consecuencia. Ante una norma dudosa o cambiante, se consulta fuente oficial; no se improvisa.</w:t>
      </w:r>
    </w:p>
    <w:p>
      <w:pPr>
        <w:jc w:val="both"/>
      </w:pPr>
      <w:r>
        <w:rPr>
          <w:rFonts w:ascii="Arial" w:hAnsi="Arial" w:cs="Arial"/>
          <w:sz w:val="22"/>
        </w:rPr>
        <w:t>La comprobación de comprensión no debe ser paternalista. Son útiles preguntas como «¿quiere que repasemos el plazo?» o «¿prefiere que le indique los pasos por escrito?». No debe preguntarse «¿lo ha entendido?» en tono de examen.</w:t>
      </w:r>
    </w:p>
    <w:p>
      <w:pPr>
        <w:pStyle w:val="Heading2"/>
        <w:keepNext/>
      </w:pPr>
      <w:r>
        <w:rPr>
          <w:rFonts w:ascii="Arial" w:hAnsi="Arial" w:cs="Arial"/>
          <w:sz w:val="25"/>
        </w:rPr>
        <w:t>3.3. Situaciones difíciles</w:t>
      </w:r>
    </w:p>
    <w:p>
      <w:pPr>
        <w:jc w:val="both"/>
      </w:pPr>
      <w:r>
        <w:rPr>
          <w:rFonts w:ascii="Arial" w:hAnsi="Arial" w:cs="Arial"/>
          <w:sz w:val="22"/>
        </w:rPr>
        <w:t>Ante enfado:</w:t>
      </w:r>
    </w:p>
    <w:p>
      <w:pPr>
        <w:pStyle w:val="ListBullet"/>
      </w:pPr>
      <w:r>
        <w:rPr>
          <w:rFonts w:ascii="Arial" w:hAnsi="Arial" w:cs="Arial"/>
          <w:sz w:val="22"/>
        </w:rPr>
        <w:t>mantener tono sereno;</w:t>
      </w:r>
    </w:p>
    <w:p>
      <w:pPr>
        <w:pStyle w:val="ListBullet"/>
      </w:pPr>
      <w:r>
        <w:rPr>
          <w:rFonts w:ascii="Arial" w:hAnsi="Arial" w:cs="Arial"/>
          <w:sz w:val="22"/>
        </w:rPr>
        <w:t>reconocer la incidencia sin admitir hechos no comprobados;</w:t>
      </w:r>
    </w:p>
    <w:p>
      <w:pPr>
        <w:pStyle w:val="ListBullet"/>
      </w:pPr>
      <w:r>
        <w:rPr>
          <w:rFonts w:ascii="Arial" w:hAnsi="Arial" w:cs="Arial"/>
          <w:sz w:val="22"/>
        </w:rPr>
        <w:t>separar emoción de petición concreta;</w:t>
      </w:r>
    </w:p>
    <w:p>
      <w:pPr>
        <w:pStyle w:val="ListBullet"/>
      </w:pPr>
      <w:r>
        <w:rPr>
          <w:rFonts w:ascii="Arial" w:hAnsi="Arial" w:cs="Arial"/>
          <w:sz w:val="22"/>
        </w:rPr>
        <w:t>explicar competencia y opciones;</w:t>
      </w:r>
    </w:p>
    <w:p>
      <w:pPr>
        <w:pStyle w:val="ListBullet"/>
      </w:pPr>
      <w:r>
        <w:rPr>
          <w:rFonts w:ascii="Arial" w:hAnsi="Arial" w:cs="Arial"/>
          <w:sz w:val="22"/>
        </w:rPr>
        <w:t>fijar límites frente a insultos o amenazas;</w:t>
      </w:r>
    </w:p>
    <w:p>
      <w:pPr>
        <w:pStyle w:val="ListBullet"/>
      </w:pPr>
      <w:r>
        <w:rPr>
          <w:rFonts w:ascii="Arial" w:hAnsi="Arial" w:cs="Arial"/>
          <w:sz w:val="22"/>
        </w:rPr>
        <w:t>activar protocolo de seguridad si existe riesgo.</w:t>
      </w:r>
    </w:p>
    <w:p>
      <w:pPr>
        <w:jc w:val="both"/>
      </w:pPr>
      <w:r>
        <w:rPr>
          <w:rFonts w:ascii="Arial" w:hAnsi="Arial" w:cs="Arial"/>
          <w:sz w:val="22"/>
        </w:rPr>
        <w:t>Una persona disconforme conserva derecho a formular queja o recurso procedente. El empleado no debe dificultarlo ni discutir para «ganar». La queja no sustituye el trámite que preserva su derecho.</w:t>
      </w:r>
    </w:p>
    <w:p>
      <w:pPr>
        <w:pStyle w:val="Heading1"/>
        <w:keepNext/>
      </w:pPr>
      <w:r>
        <w:rPr>
          <w:rFonts w:ascii="Arial" w:hAnsi="Arial" w:cs="Arial"/>
          <w:sz w:val="30"/>
        </w:rPr>
        <w:t>4. Servicios de información administrativa: Real Decreto 208/1996</w:t>
      </w:r>
    </w:p>
    <w:p>
      <w:pPr>
        <w:pStyle w:val="Heading2"/>
        <w:keepNext/>
      </w:pPr>
      <w:r>
        <w:rPr>
          <w:rFonts w:ascii="Arial" w:hAnsi="Arial" w:cs="Arial"/>
          <w:sz w:val="25"/>
        </w:rPr>
        <w:t>4.1. Función de la información</w:t>
      </w:r>
    </w:p>
    <w:p>
      <w:pPr>
        <w:jc w:val="both"/>
      </w:pPr>
      <w:r>
        <w:rPr>
          <w:rFonts w:ascii="Arial" w:hAnsi="Arial" w:cs="Arial"/>
          <w:sz w:val="22"/>
        </w:rPr>
        <w:t xml:space="preserve">El Real Decreto 208/1996 considera información administrativa el cauce por el que la ciudadanía puede acceder al conocimiento de derechos y obligaciones y a la utilización de bienes y servicios públicos. Distingue información </w:t>
      </w:r>
      <w:r>
        <w:rPr>
          <w:rFonts w:ascii="Arial" w:hAnsi="Arial" w:cs="Arial"/>
          <w:b/>
          <w:sz w:val="22"/>
        </w:rPr>
        <w:t>general</w:t>
      </w:r>
      <w:r>
        <w:rPr>
          <w:rFonts w:ascii="Arial" w:hAnsi="Arial" w:cs="Arial"/>
          <w:sz w:val="22"/>
        </w:rPr>
        <w:t xml:space="preserve"> y </w:t>
      </w:r>
      <w:r>
        <w:rPr>
          <w:rFonts w:ascii="Arial" w:hAnsi="Arial" w:cs="Arial"/>
          <w:b/>
          <w:sz w:val="22"/>
        </w:rPr>
        <w:t>particular</w:t>
      </w:r>
      <w:r>
        <w:rPr>
          <w:rFonts w:ascii="Arial" w:hAnsi="Arial" w:cs="Arial"/>
          <w:sz w:val="22"/>
        </w:rPr>
        <w:t>.</w:t>
      </w:r>
    </w:p>
    <w:p>
      <w:pPr>
        <w:jc w:val="both"/>
      </w:pPr>
      <w:r>
        <w:rPr>
          <w:rFonts w:ascii="Arial" w:hAnsi="Arial" w:cs="Arial"/>
          <w:sz w:val="22"/>
        </w:rPr>
        <w:t>La norma conserva relevancia sustantiva, pero debe leerse con legislación posterior. Su antiguo capítulo III sobre libro de quejas y sugerencias fue derogado por el Real Decreto 951/2005. También han cambiado denominaciones y adscripciones orgánicas; no debe memorizarse una unidad histórica como si su encaje ministerial permaneciera intacto. Los conceptos de los artículos 1 a 10 se integran hoy con las Leyes 39/2015, 19/2013 y 40/2015 y los Reales Decretos 203/2021, 366/2007 y 951/2005.</w:t>
      </w:r>
    </w:p>
    <w:p>
      <w:pPr>
        <w:pStyle w:val="Heading2"/>
        <w:keepNext/>
      </w:pPr>
      <w:r>
        <w:rPr>
          <w:rFonts w:ascii="Arial" w:hAnsi="Arial" w:cs="Arial"/>
          <w:sz w:val="25"/>
        </w:rPr>
        <w:t>4.2. Información general</w:t>
      </w:r>
    </w:p>
    <w:p>
      <w:pPr>
        <w:jc w:val="both"/>
      </w:pPr>
      <w:r>
        <w:rPr>
          <w:rFonts w:ascii="Arial" w:hAnsi="Arial" w:cs="Arial"/>
          <w:sz w:val="22"/>
        </w:rPr>
        <w:t>Es la relativa a:</w:t>
      </w:r>
    </w:p>
    <w:p>
      <w:pPr>
        <w:pStyle w:val="ListBullet"/>
      </w:pPr>
      <w:r>
        <w:rPr>
          <w:rFonts w:ascii="Arial" w:hAnsi="Arial" w:cs="Arial"/>
          <w:sz w:val="22"/>
        </w:rPr>
        <w:t>identificación, fines, competencia, estructura, funcionamiento y localización de organismos y unidades;</w:t>
      </w:r>
    </w:p>
    <w:p>
      <w:pPr>
        <w:pStyle w:val="ListBullet"/>
      </w:pPr>
      <w:r>
        <w:rPr>
          <w:rFonts w:ascii="Arial" w:hAnsi="Arial" w:cs="Arial"/>
          <w:sz w:val="22"/>
        </w:rPr>
        <w:t>requisitos jurídicos o técnicos que normas impongan a proyectos, actuaciones o solicitudes;</w:t>
      </w:r>
    </w:p>
    <w:p>
      <w:pPr>
        <w:pStyle w:val="ListBullet"/>
      </w:pPr>
      <w:r>
        <w:rPr>
          <w:rFonts w:ascii="Arial" w:hAnsi="Arial" w:cs="Arial"/>
          <w:sz w:val="22"/>
        </w:rPr>
        <w:t>tramitación de procedimientos;</w:t>
      </w:r>
    </w:p>
    <w:p>
      <w:pPr>
        <w:pStyle w:val="ListBullet"/>
      </w:pPr>
      <w:r>
        <w:rPr>
          <w:rFonts w:ascii="Arial" w:hAnsi="Arial" w:cs="Arial"/>
          <w:sz w:val="22"/>
        </w:rPr>
        <w:t>servicios y prestaciones públicos;</w:t>
      </w:r>
    </w:p>
    <w:p>
      <w:pPr>
        <w:pStyle w:val="ListBullet"/>
      </w:pPr>
      <w:r>
        <w:rPr>
          <w:rFonts w:ascii="Arial" w:hAnsi="Arial" w:cs="Arial"/>
          <w:sz w:val="22"/>
        </w:rPr>
        <w:t>cualquier otro dato que la ciudadanía necesite en su relación con las Administraciones en su conjunto o con un ámbito de actuación.</w:t>
      </w:r>
    </w:p>
    <w:p>
      <w:pPr>
        <w:jc w:val="both"/>
      </w:pPr>
      <w:r>
        <w:rPr>
          <w:rFonts w:ascii="Arial" w:hAnsi="Arial" w:cs="Arial"/>
          <w:sz w:val="22"/>
        </w:rPr>
        <w:t xml:space="preserve">Se facilita obligatoriamente </w:t>
      </w:r>
      <w:r>
        <w:rPr>
          <w:rFonts w:ascii="Arial" w:hAnsi="Arial" w:cs="Arial"/>
          <w:b/>
          <w:sz w:val="22"/>
        </w:rPr>
        <w:t>sin exigir acreditación de legitimación</w:t>
      </w:r>
      <w:r>
        <w:rPr>
          <w:rFonts w:ascii="Arial" w:hAnsi="Arial" w:cs="Arial"/>
          <w:sz w:val="22"/>
        </w:rPr>
        <w:t>. Puede difundirse a grupos sociales o instituciones interesados cuando resulte conveniente y mediante los medios de difusión adecuados, incluidos los que permiten atención a distancia.</w:t>
      </w:r>
    </w:p>
    <w:p>
      <w:pPr>
        <w:jc w:val="both"/>
      </w:pPr>
      <w:r>
        <w:rPr>
          <w:rFonts w:ascii="Arial" w:hAnsi="Arial" w:cs="Arial"/>
          <w:sz w:val="22"/>
        </w:rPr>
        <w:t>La información general no revela datos personales ni el estado individual de un expediente. Ejemplo: explicar requisitos de una pensión es general; decir si una persona concreta la ha solicitado, cuantía o estado es particular.</w:t>
      </w:r>
    </w:p>
    <w:p>
      <w:pPr>
        <w:pStyle w:val="Heading2"/>
        <w:keepNext/>
      </w:pPr>
      <w:r>
        <w:rPr>
          <w:rFonts w:ascii="Arial" w:hAnsi="Arial" w:cs="Arial"/>
          <w:sz w:val="25"/>
        </w:rPr>
        <w:t>4.3. Información particular</w:t>
      </w:r>
    </w:p>
    <w:p>
      <w:pPr>
        <w:jc w:val="both"/>
      </w:pPr>
      <w:r>
        <w:rPr>
          <w:rFonts w:ascii="Arial" w:hAnsi="Arial" w:cs="Arial"/>
          <w:sz w:val="22"/>
        </w:rPr>
        <w:t>Concierne al estado o contenido de procedimientos en tramitación y a la identificación de autoridades y personal responsables. Solo puede facilitarse a quienes tengan condición de interesado o a sus representantes. La información con datos personales queda además sometida a protección de datos, transparencia y normativa específica.</w:t>
      </w:r>
    </w:p>
    <w:p>
      <w:pPr>
        <w:jc w:val="both"/>
      </w:pPr>
      <w:r>
        <w:rPr>
          <w:rFonts w:ascii="Arial" w:hAnsi="Arial" w:cs="Arial"/>
          <w:sz w:val="22"/>
        </w:rPr>
        <w:t>La proporcionan primordialmente las unidades de gestión. Las oficinas de información pueden facilitarla cuando cuenten con conexión o colaboración adecuada y puedan verificar legitimación. El canal no rebaja garantías: por teléfono o chat debe evitarse revelar un expediente si no existe identificación suficiente.</w:t>
      </w:r>
    </w:p>
    <w:tbl>
      <w:tblPr>
        <w:tblStyle w:val="TableGrid"/>
        <w:tblW w:type="dxa" w:w="9026"/>
        <w:jc w:val="left"/>
        <w:tblLayout w:type="fixed"/>
        <w:tblLook w:firstColumn="1" w:firstRow="1" w:lastColumn="0" w:lastRow="0" w:noHBand="0" w:noVBand="1" w:val="04A0"/>
        <w:tblInd w:w="120" w:type="dxa"/>
      </w:tblPr>
      <w:tblGrid>
        <w:gridCol w:w="1327"/>
        <w:gridCol w:w="3982"/>
        <w:gridCol w:w="3717"/>
      </w:tblGrid>
      <w:tr>
        <w:trPr>
          <w:tblHeader w:val="true"/>
        </w:trPr>
        <w:tc>
          <w:tcPr>
            <w:tcW w:type="dxa" w:w="132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Criterio</w:t>
            </w:r>
          </w:p>
        </w:tc>
        <w:tc>
          <w:tcPr>
            <w:tcW w:type="dxa" w:w="3982"/>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Información general</w:t>
            </w:r>
          </w:p>
        </w:tc>
        <w:tc>
          <w:tcPr>
            <w:tcW w:type="dxa" w:w="371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Información particular</w:t>
            </w:r>
          </w:p>
        </w:tc>
      </w:tr>
      <w:tr>
        <w:tc>
          <w:tcPr>
            <w:tcW w:type="dxa" w:w="1327"/>
            <w:tcMar>
              <w:top w:w="80" w:type="dxa"/>
              <w:start w:w="120" w:type="dxa"/>
              <w:bottom w:w="80" w:type="dxa"/>
              <w:end w:w="120" w:type="dxa"/>
            </w:tcMar>
            <w:vAlign w:val="center"/>
          </w:tcPr>
          <w:p>
            <w:pPr>
              <w:spacing w:before="0" w:after="0" w:line="240" w:lineRule="auto"/>
              <w:jc w:val="left"/>
            </w:pPr>
            <w:r/>
            <w:r>
              <w:rPr>
                <w:rFonts w:ascii="Arial" w:hAnsi="Arial" w:cs="Arial"/>
                <w:sz w:val="18"/>
              </w:rPr>
              <w:t>Objeto</w:t>
            </w:r>
          </w:p>
        </w:tc>
        <w:tc>
          <w:tcPr>
            <w:tcW w:type="dxa" w:w="3982"/>
            <w:tcMar>
              <w:top w:w="80" w:type="dxa"/>
              <w:start w:w="120" w:type="dxa"/>
              <w:bottom w:w="80" w:type="dxa"/>
              <w:end w:w="120" w:type="dxa"/>
            </w:tcMar>
            <w:vAlign w:val="center"/>
          </w:tcPr>
          <w:p>
            <w:pPr>
              <w:spacing w:before="0" w:after="0" w:line="240" w:lineRule="auto"/>
              <w:jc w:val="left"/>
            </w:pPr>
            <w:r/>
            <w:r>
              <w:rPr>
                <w:rFonts w:ascii="Arial" w:hAnsi="Arial" w:cs="Arial"/>
                <w:sz w:val="18"/>
              </w:rPr>
              <w:t>Organización, requisitos, procedimientos, servicios</w:t>
            </w:r>
          </w:p>
        </w:tc>
        <w:tc>
          <w:tcPr>
            <w:tcW w:type="dxa" w:w="3717"/>
            <w:tcMar>
              <w:top w:w="80" w:type="dxa"/>
              <w:start w:w="120" w:type="dxa"/>
              <w:bottom w:w="80" w:type="dxa"/>
              <w:end w:w="120" w:type="dxa"/>
            </w:tcMar>
            <w:vAlign w:val="center"/>
          </w:tcPr>
          <w:p>
            <w:pPr>
              <w:spacing w:before="0" w:after="0" w:line="240" w:lineRule="auto"/>
              <w:jc w:val="left"/>
            </w:pPr>
            <w:r/>
            <w:r>
              <w:rPr>
                <w:rFonts w:ascii="Arial" w:hAnsi="Arial" w:cs="Arial"/>
                <w:sz w:val="18"/>
              </w:rPr>
              <w:t>Expediente concreto y responsables</w:t>
            </w:r>
          </w:p>
        </w:tc>
      </w:tr>
      <w:tr>
        <w:tc>
          <w:tcPr>
            <w:tcW w:type="dxa" w:w="1327"/>
            <w:tcMar>
              <w:top w:w="80" w:type="dxa"/>
              <w:start w:w="120" w:type="dxa"/>
              <w:bottom w:w="80" w:type="dxa"/>
              <w:end w:w="120" w:type="dxa"/>
            </w:tcMar>
            <w:vAlign w:val="center"/>
          </w:tcPr>
          <w:p>
            <w:pPr>
              <w:spacing w:before="0" w:after="0" w:line="240" w:lineRule="auto"/>
              <w:jc w:val="left"/>
            </w:pPr>
            <w:r/>
            <w:r>
              <w:rPr>
                <w:rFonts w:ascii="Arial" w:hAnsi="Arial" w:cs="Arial"/>
                <w:sz w:val="18"/>
              </w:rPr>
              <w:t>Legitimación</w:t>
            </w:r>
          </w:p>
        </w:tc>
        <w:tc>
          <w:tcPr>
            <w:tcW w:type="dxa" w:w="3982"/>
            <w:tcMar>
              <w:top w:w="80" w:type="dxa"/>
              <w:start w:w="120" w:type="dxa"/>
              <w:bottom w:w="80" w:type="dxa"/>
              <w:end w:w="120" w:type="dxa"/>
            </w:tcMar>
            <w:vAlign w:val="center"/>
          </w:tcPr>
          <w:p>
            <w:pPr>
              <w:spacing w:before="0" w:after="0" w:line="240" w:lineRule="auto"/>
              <w:jc w:val="center"/>
            </w:pPr>
            <w:r/>
            <w:r>
              <w:rPr>
                <w:rFonts w:ascii="Arial" w:hAnsi="Arial" w:cs="Arial"/>
                <w:sz w:val="18"/>
              </w:rPr>
              <w:t>No se exige</w:t>
            </w:r>
          </w:p>
        </w:tc>
        <w:tc>
          <w:tcPr>
            <w:tcW w:type="dxa" w:w="3717"/>
            <w:tcMar>
              <w:top w:w="80" w:type="dxa"/>
              <w:start w:w="120" w:type="dxa"/>
              <w:bottom w:w="80" w:type="dxa"/>
              <w:end w:w="120" w:type="dxa"/>
            </w:tcMar>
            <w:vAlign w:val="center"/>
          </w:tcPr>
          <w:p>
            <w:pPr>
              <w:spacing w:before="0" w:after="0" w:line="240" w:lineRule="auto"/>
              <w:jc w:val="left"/>
            </w:pPr>
            <w:r/>
            <w:r>
              <w:rPr>
                <w:rFonts w:ascii="Arial" w:hAnsi="Arial" w:cs="Arial"/>
                <w:sz w:val="18"/>
              </w:rPr>
              <w:t>Interesado o representante</w:t>
            </w:r>
          </w:p>
        </w:tc>
      </w:tr>
      <w:tr>
        <w:tc>
          <w:tcPr>
            <w:tcW w:type="dxa" w:w="1327"/>
            <w:tcMar>
              <w:top w:w="80" w:type="dxa"/>
              <w:start w:w="120" w:type="dxa"/>
              <w:bottom w:w="80" w:type="dxa"/>
              <w:end w:w="120" w:type="dxa"/>
            </w:tcMar>
            <w:vAlign w:val="center"/>
          </w:tcPr>
          <w:p>
            <w:pPr>
              <w:spacing w:before="0" w:after="0" w:line="240" w:lineRule="auto"/>
              <w:jc w:val="left"/>
            </w:pPr>
            <w:r/>
            <w:r>
              <w:rPr>
                <w:rFonts w:ascii="Arial" w:hAnsi="Arial" w:cs="Arial"/>
                <w:sz w:val="18"/>
              </w:rPr>
              <w:t>Unidad</w:t>
            </w:r>
          </w:p>
        </w:tc>
        <w:tc>
          <w:tcPr>
            <w:tcW w:type="dxa" w:w="3982"/>
            <w:tcMar>
              <w:top w:w="80" w:type="dxa"/>
              <w:start w:w="120" w:type="dxa"/>
              <w:bottom w:w="80" w:type="dxa"/>
              <w:end w:w="120" w:type="dxa"/>
            </w:tcMar>
            <w:vAlign w:val="center"/>
          </w:tcPr>
          <w:p>
            <w:pPr>
              <w:spacing w:before="0" w:after="0" w:line="240" w:lineRule="auto"/>
              <w:jc w:val="left"/>
            </w:pPr>
            <w:r/>
            <w:r>
              <w:rPr>
                <w:rFonts w:ascii="Arial" w:hAnsi="Arial" w:cs="Arial"/>
                <w:sz w:val="18"/>
              </w:rPr>
              <w:t>Oficinas y servicios de información</w:t>
            </w:r>
          </w:p>
        </w:tc>
        <w:tc>
          <w:tcPr>
            <w:tcW w:type="dxa" w:w="3717"/>
            <w:tcMar>
              <w:top w:w="80" w:type="dxa"/>
              <w:start w:w="120" w:type="dxa"/>
              <w:bottom w:w="80" w:type="dxa"/>
              <w:end w:w="120" w:type="dxa"/>
            </w:tcMar>
            <w:vAlign w:val="center"/>
          </w:tcPr>
          <w:p>
            <w:pPr>
              <w:spacing w:before="0" w:after="0" w:line="240" w:lineRule="auto"/>
              <w:jc w:val="left"/>
            </w:pPr>
            <w:r/>
            <w:r>
              <w:rPr>
                <w:rFonts w:ascii="Arial" w:hAnsi="Arial" w:cs="Arial"/>
                <w:sz w:val="18"/>
              </w:rPr>
              <w:t>Unidad gestora; oficina conectada o colaboradora</w:t>
            </w:r>
          </w:p>
        </w:tc>
      </w:tr>
      <w:tr>
        <w:tc>
          <w:tcPr>
            <w:tcW w:type="dxa" w:w="1327"/>
            <w:tcMar>
              <w:top w:w="80" w:type="dxa"/>
              <w:start w:w="120" w:type="dxa"/>
              <w:bottom w:w="80" w:type="dxa"/>
              <w:end w:w="120" w:type="dxa"/>
            </w:tcMar>
            <w:vAlign w:val="center"/>
          </w:tcPr>
          <w:p>
            <w:pPr>
              <w:spacing w:before="0" w:after="0" w:line="240" w:lineRule="auto"/>
              <w:jc w:val="left"/>
            </w:pPr>
            <w:r/>
            <w:r>
              <w:rPr>
                <w:rFonts w:ascii="Arial" w:hAnsi="Arial" w:cs="Arial"/>
                <w:sz w:val="18"/>
              </w:rPr>
              <w:t>Datos personales</w:t>
            </w:r>
          </w:p>
        </w:tc>
        <w:tc>
          <w:tcPr>
            <w:tcW w:type="dxa" w:w="3982"/>
            <w:tcMar>
              <w:top w:w="80" w:type="dxa"/>
              <w:start w:w="120" w:type="dxa"/>
              <w:bottom w:w="80" w:type="dxa"/>
              <w:end w:w="120" w:type="dxa"/>
            </w:tcMar>
            <w:vAlign w:val="center"/>
          </w:tcPr>
          <w:p>
            <w:pPr>
              <w:spacing w:before="0" w:after="0" w:line="240" w:lineRule="auto"/>
              <w:jc w:val="left"/>
            </w:pPr>
            <w:r/>
            <w:r>
              <w:rPr>
                <w:rFonts w:ascii="Arial" w:hAnsi="Arial" w:cs="Arial"/>
                <w:sz w:val="18"/>
              </w:rPr>
              <w:t>No debe individualizar</w:t>
            </w:r>
          </w:p>
        </w:tc>
        <w:tc>
          <w:tcPr>
            <w:tcW w:type="dxa" w:w="3717"/>
            <w:tcMar>
              <w:top w:w="80" w:type="dxa"/>
              <w:start w:w="120" w:type="dxa"/>
              <w:bottom w:w="80" w:type="dxa"/>
              <w:end w:w="120" w:type="dxa"/>
            </w:tcMar>
            <w:vAlign w:val="center"/>
          </w:tcPr>
          <w:p>
            <w:pPr>
              <w:spacing w:before="0" w:after="0" w:line="240" w:lineRule="auto"/>
              <w:jc w:val="left"/>
            </w:pPr>
            <w:r/>
            <w:r>
              <w:rPr>
                <w:rFonts w:ascii="Arial" w:hAnsi="Arial" w:cs="Arial"/>
                <w:sz w:val="18"/>
              </w:rPr>
              <w:t>Puede contenerlos, con control de acceso</w:t>
            </w:r>
          </w:p>
        </w:tc>
      </w:tr>
      <w:tr>
        <w:tc>
          <w:tcPr>
            <w:tcW w:type="dxa" w:w="1327"/>
            <w:tcMar>
              <w:top w:w="80" w:type="dxa"/>
              <w:start w:w="120" w:type="dxa"/>
              <w:bottom w:w="80" w:type="dxa"/>
              <w:end w:w="120" w:type="dxa"/>
            </w:tcMar>
            <w:vAlign w:val="center"/>
          </w:tcPr>
          <w:p>
            <w:pPr>
              <w:spacing w:before="0" w:after="0" w:line="240" w:lineRule="auto"/>
              <w:jc w:val="left"/>
            </w:pPr>
            <w:r/>
            <w:r>
              <w:rPr>
                <w:rFonts w:ascii="Arial" w:hAnsi="Arial" w:cs="Arial"/>
                <w:sz w:val="18"/>
              </w:rPr>
              <w:t>Ejemplo</w:t>
            </w:r>
          </w:p>
        </w:tc>
        <w:tc>
          <w:tcPr>
            <w:tcW w:type="dxa" w:w="3982"/>
            <w:tcMar>
              <w:top w:w="80" w:type="dxa"/>
              <w:start w:w="120" w:type="dxa"/>
              <w:bottom w:w="80" w:type="dxa"/>
              <w:end w:w="120" w:type="dxa"/>
            </w:tcMar>
            <w:vAlign w:val="center"/>
          </w:tcPr>
          <w:p>
            <w:pPr>
              <w:spacing w:before="0" w:after="0" w:line="240" w:lineRule="auto"/>
              <w:jc w:val="left"/>
            </w:pPr>
            <w:r/>
            <w:r>
              <w:rPr>
                <w:rFonts w:ascii="Arial" w:hAnsi="Arial" w:cs="Arial"/>
                <w:sz w:val="18"/>
              </w:rPr>
              <w:t>Plazo y documentos de una prestación</w:t>
            </w:r>
          </w:p>
        </w:tc>
        <w:tc>
          <w:tcPr>
            <w:tcW w:type="dxa" w:w="3717"/>
            <w:tcMar>
              <w:top w:w="80" w:type="dxa"/>
              <w:start w:w="120" w:type="dxa"/>
              <w:bottom w:w="80" w:type="dxa"/>
              <w:end w:w="120" w:type="dxa"/>
            </w:tcMar>
            <w:vAlign w:val="center"/>
          </w:tcPr>
          <w:p>
            <w:pPr>
              <w:spacing w:before="0" w:after="0" w:line="240" w:lineRule="auto"/>
              <w:jc w:val="left"/>
            </w:pPr>
            <w:r/>
            <w:r>
              <w:rPr>
                <w:rFonts w:ascii="Arial" w:hAnsi="Arial" w:cs="Arial"/>
                <w:sz w:val="18"/>
              </w:rPr>
              <w:t>Estado de la solicitud de una persona</w:t>
            </w:r>
          </w:p>
        </w:tc>
      </w:tr>
    </w:tbl>
    <w:p>
      <w:pPr>
        <w:spacing w:after="40"/>
      </w:pPr>
    </w:p>
    <w:p>
      <w:pPr>
        <w:pStyle w:val="Heading2"/>
        <w:keepNext/>
      </w:pPr>
      <w:r>
        <w:rPr>
          <w:rFonts w:ascii="Arial" w:hAnsi="Arial" w:cs="Arial"/>
          <w:sz w:val="25"/>
        </w:rPr>
        <w:t>4.4. Funciones de atención personalizada</w:t>
      </w:r>
    </w:p>
    <w:p>
      <w:pPr>
        <w:jc w:val="both"/>
      </w:pPr>
      <w:r>
        <w:rPr>
          <w:rFonts w:ascii="Arial" w:hAnsi="Arial" w:cs="Arial"/>
          <w:sz w:val="22"/>
        </w:rPr>
        <w:t>El artículo 4 del Real Decreto 208/1996 agrupa:</w:t>
      </w:r>
    </w:p>
    <w:p>
      <w:pPr>
        <w:jc w:val="both"/>
      </w:pPr>
      <w:r>
        <w:rPr>
          <w:rFonts w:ascii="Arial" w:hAnsi="Arial" w:cs="Arial"/>
          <w:b/>
          <w:sz w:val="22"/>
        </w:rPr>
        <w:t>a) Recepción y acogida.</w:t>
      </w:r>
      <w:r>
        <w:rPr>
          <w:rFonts w:ascii="Arial" w:hAnsi="Arial" w:cs="Arial"/>
          <w:sz w:val="22"/>
        </w:rPr>
        <w:t xml:space="preserve"> Orientación inicial y ayuda para localizar dependencias y personal.</w:t>
      </w:r>
    </w:p>
    <w:p>
      <w:pPr>
        <w:jc w:val="both"/>
      </w:pPr>
      <w:r>
        <w:rPr>
          <w:rFonts w:ascii="Arial" w:hAnsi="Arial" w:cs="Arial"/>
          <w:b/>
          <w:sz w:val="22"/>
        </w:rPr>
        <w:t>b) Orientación e información.</w:t>
      </w:r>
      <w:r>
        <w:rPr>
          <w:rFonts w:ascii="Arial" w:hAnsi="Arial" w:cs="Arial"/>
          <w:sz w:val="22"/>
        </w:rPr>
        <w:t xml:space="preserve"> Aclaraciones prácticas sobre procedimientos, trámites, requisitos, documentación, servicios y prestaciones. No comprende interpretación normativa que implique opinión jurídica ni asesoramiento profesional económico o jurídico.</w:t>
      </w:r>
    </w:p>
    <w:p>
      <w:pPr>
        <w:jc w:val="both"/>
      </w:pPr>
      <w:r>
        <w:rPr>
          <w:rFonts w:ascii="Arial" w:hAnsi="Arial" w:cs="Arial"/>
          <w:b/>
          <w:sz w:val="22"/>
        </w:rPr>
        <w:t>c) Gestión.</w:t>
      </w:r>
      <w:r>
        <w:rPr>
          <w:rFonts w:ascii="Arial" w:hAnsi="Arial" w:cs="Arial"/>
          <w:sz w:val="22"/>
        </w:rPr>
        <w:t xml:space="preserve"> Recepción de documentación inicial cuando la norma lo prevea y actuaciones inmediatas de trámite o resolución en asuntos urgentes y simples que demanden respuesta rápida.</w:t>
      </w:r>
    </w:p>
    <w:p>
      <w:pPr>
        <w:jc w:val="both"/>
      </w:pPr>
      <w:r>
        <w:rPr>
          <w:rFonts w:ascii="Arial" w:hAnsi="Arial" w:cs="Arial"/>
          <w:b/>
          <w:sz w:val="22"/>
        </w:rPr>
        <w:t>d) Recepción de iniciativas o sugerencias.</w:t>
      </w:r>
      <w:r>
        <w:rPr>
          <w:rFonts w:ascii="Arial" w:hAnsi="Arial" w:cs="Arial"/>
          <w:sz w:val="22"/>
        </w:rPr>
        <w:t xml:space="preserve"> Propuestas de ciudadanos o empleados para mejorar calidad, rendimiento, ahorro, simplificación o satisfacción social.</w:t>
      </w:r>
    </w:p>
    <w:p>
      <w:pPr>
        <w:jc w:val="both"/>
      </w:pPr>
      <w:r>
        <w:rPr>
          <w:rFonts w:ascii="Arial" w:hAnsi="Arial" w:cs="Arial"/>
          <w:b/>
          <w:sz w:val="22"/>
        </w:rPr>
        <w:t>e) Recepción de quejas y reclamaciones.</w:t>
      </w:r>
      <w:r>
        <w:rPr>
          <w:rFonts w:ascii="Arial" w:hAnsi="Arial" w:cs="Arial"/>
          <w:sz w:val="22"/>
        </w:rPr>
        <w:t xml:space="preserve"> Manifestaciones sobre tardanzas, desatenciones o anomalías de funcionamiento, hoy encauzadas en la AGE por el Real Decreto 951/2005.</w:t>
      </w:r>
    </w:p>
    <w:p>
      <w:pPr>
        <w:jc w:val="both"/>
      </w:pPr>
      <w:r>
        <w:rPr>
          <w:rFonts w:ascii="Arial" w:hAnsi="Arial" w:cs="Arial"/>
          <w:b/>
          <w:sz w:val="22"/>
        </w:rPr>
        <w:t>f) Asistencia en derecho de petición.</w:t>
      </w:r>
      <w:r>
        <w:rPr>
          <w:rFonts w:ascii="Arial" w:hAnsi="Arial" w:cs="Arial"/>
          <w:sz w:val="22"/>
        </w:rPr>
        <w:t xml:space="preserve"> Información sobre naturaleza, modo de ejercicio y destinatarios y remisión cuando la oficina no sea competente o se desconozca el órgano.</w:t>
      </w:r>
    </w:p>
    <w:p>
      <w:pPr>
        <w:jc w:val="both"/>
      </w:pPr>
      <w:r>
        <w:rPr>
          <w:rFonts w:ascii="Arial" w:hAnsi="Arial" w:cs="Arial"/>
          <w:sz w:val="22"/>
        </w:rPr>
        <w:t>La frontera del asesoramiento es importante. Se puede explicar que un recurso tiene plazo y formulario y mostrar dónde se presenta; no corresponde elegir estrategia jurídica, garantizar el resultado ni interpretar creativamente la norma a favor de una parte.</w:t>
      </w:r>
    </w:p>
    <w:p>
      <w:pPr>
        <w:pStyle w:val="Heading2"/>
        <w:keepNext/>
      </w:pPr>
      <w:r>
        <w:rPr>
          <w:rFonts w:ascii="Arial" w:hAnsi="Arial" w:cs="Arial"/>
          <w:sz w:val="25"/>
        </w:rPr>
        <w:t>4.5. Organización de los servicios</w:t>
      </w:r>
    </w:p>
    <w:p>
      <w:pPr>
        <w:jc w:val="both"/>
      </w:pPr>
      <w:r>
        <w:rPr>
          <w:rFonts w:ascii="Arial" w:hAnsi="Arial" w:cs="Arial"/>
          <w:sz w:val="22"/>
        </w:rPr>
        <w:t>El Real Decreto 208/1996 previó unidades departamentales, un centro de información administrativa y oficinas centrales, sectoriales, territoriales y de entidades de Derecho público, así como colaboración entre Administraciones mediante acuerdos. La idea vigente es coordinación de bases, actualización, apoyo técnico y coherencia, aunque la estructura orgánica y los portales actuales hayan evolucionado.</w:t>
      </w:r>
    </w:p>
    <w:p>
      <w:pPr>
        <w:jc w:val="both"/>
      </w:pPr>
      <w:r>
        <w:rPr>
          <w:rFonts w:ascii="Arial" w:hAnsi="Arial" w:cs="Arial"/>
          <w:sz w:val="22"/>
        </w:rPr>
        <w:t>En la práctica estatal, la atención multicanal se articula con el PAGe, sedes electrónicas, Carpeta Ciudadana, oficinas de asistencia en materia de registros y servicios telefónicos de información. El nombre comercial de un canal no sustituye su norma: para una pregunta jurídica deben identificarse función, Administración responsable y régimen aplicable.</w:t>
      </w:r>
    </w:p>
    <w:p>
      <w:pPr>
        <w:pStyle w:val="Heading1"/>
        <w:keepNext/>
      </w:pPr>
      <w:r>
        <w:rPr>
          <w:rFonts w:ascii="Arial" w:hAnsi="Arial" w:cs="Arial"/>
          <w:sz w:val="30"/>
        </w:rPr>
        <w:t>5. Acceso a información pública y protección de datos</w:t>
      </w:r>
    </w:p>
    <w:p>
      <w:pPr>
        <w:pStyle w:val="Heading2"/>
        <w:keepNext/>
      </w:pPr>
      <w:r>
        <w:rPr>
          <w:rFonts w:ascii="Arial" w:hAnsi="Arial" w:cs="Arial"/>
          <w:sz w:val="25"/>
        </w:rPr>
        <w:t>5.1. Tres derechos que no deben confundirse</w:t>
      </w:r>
    </w:p>
    <w:p>
      <w:pPr>
        <w:spacing w:after="40"/>
        <w:ind w:left="369" w:hanging="227"/>
      </w:pPr>
      <w:r>
        <w:rPr>
          <w:rFonts w:ascii="Arial" w:hAnsi="Arial" w:cs="Arial"/>
          <w:sz w:val="22"/>
        </w:rPr>
        <w:t xml:space="preserve">1. </w:t>
      </w:r>
      <w:r>
        <w:rPr>
          <w:rFonts w:ascii="Arial" w:hAnsi="Arial" w:cs="Arial"/>
          <w:b/>
          <w:sz w:val="22"/>
        </w:rPr>
        <w:t>Información general administrativa:</w:t>
      </w:r>
      <w:r>
        <w:rPr>
          <w:rFonts w:ascii="Arial" w:hAnsi="Arial" w:cs="Arial"/>
          <w:sz w:val="22"/>
        </w:rPr>
        <w:t xml:space="preserve"> orientación sin legitimación sobre organización, trámites o servicios.</w:t>
      </w:r>
    </w:p>
    <w:p>
      <w:pPr>
        <w:spacing w:after="40"/>
        <w:ind w:left="369" w:hanging="227"/>
      </w:pPr>
      <w:r>
        <w:rPr>
          <w:rFonts w:ascii="Arial" w:hAnsi="Arial" w:cs="Arial"/>
          <w:sz w:val="22"/>
        </w:rPr>
        <w:t xml:space="preserve">2. </w:t>
      </w:r>
      <w:r>
        <w:rPr>
          <w:rFonts w:ascii="Arial" w:hAnsi="Arial" w:cs="Arial"/>
          <w:b/>
          <w:sz w:val="22"/>
        </w:rPr>
        <w:t>Información particular del expediente:</w:t>
      </w:r>
      <w:r>
        <w:rPr>
          <w:rFonts w:ascii="Arial" w:hAnsi="Arial" w:cs="Arial"/>
          <w:sz w:val="22"/>
        </w:rPr>
        <w:t xml:space="preserve"> solo interesado o representante, conforme a la Ley 39/2015.</w:t>
      </w:r>
    </w:p>
    <w:p>
      <w:pPr>
        <w:spacing w:after="40"/>
        <w:ind w:left="369" w:hanging="227"/>
      </w:pPr>
      <w:r>
        <w:rPr>
          <w:rFonts w:ascii="Arial" w:hAnsi="Arial" w:cs="Arial"/>
          <w:sz w:val="22"/>
        </w:rPr>
        <w:t xml:space="preserve">3. </w:t>
      </w:r>
      <w:r>
        <w:rPr>
          <w:rFonts w:ascii="Arial" w:hAnsi="Arial" w:cs="Arial"/>
          <w:b/>
          <w:sz w:val="22"/>
        </w:rPr>
        <w:t>Derecho de acceso a información pública:</w:t>
      </w:r>
      <w:r>
        <w:rPr>
          <w:rFonts w:ascii="Arial" w:hAnsi="Arial" w:cs="Arial"/>
          <w:sz w:val="22"/>
        </w:rPr>
        <w:t xml:space="preserve"> corresponde a todas las personas según la Ley 19/2013, sujeto a límites y procedimiento.</w:t>
      </w:r>
    </w:p>
    <w:p>
      <w:pPr>
        <w:jc w:val="both"/>
      </w:pPr>
      <w:r>
        <w:rPr>
          <w:rFonts w:ascii="Arial" w:hAnsi="Arial" w:cs="Arial"/>
          <w:sz w:val="22"/>
        </w:rPr>
        <w:t>La información pública son contenidos o documentos, cualquiera que sea formato o soporte, que obren en poder de sujetos obligados y hayan sido elaborados o adquiridos en ejercicio de sus funciones. La solicitud de transparencia no necesita motivación. Se dirige al órgano o entidad que posee la información y se resuelve en un mes desde la recepción por el competente, ampliable otro mes por volumen o complejidad previa notificación.</w:t>
      </w:r>
    </w:p>
    <w:p>
      <w:pPr>
        <w:jc w:val="both"/>
      </w:pPr>
      <w:r>
        <w:rPr>
          <w:rFonts w:ascii="Arial" w:hAnsi="Arial" w:cs="Arial"/>
          <w:sz w:val="22"/>
        </w:rPr>
        <w:t>Los límites —seguridad, defensa, relaciones exteriores, investigación de ilícitos, intereses económicos, secreto profesional, protección ambiental y otros— se aplican de forma justificada y proporcional. Si solo afecta una parte, procede acceso parcial salvo que el resultado quede distorsionado o sin sentido.</w:t>
      </w:r>
    </w:p>
    <w:p>
      <w:pPr>
        <w:pStyle w:val="Heading2"/>
        <w:keepNext/>
      </w:pPr>
      <w:r>
        <w:rPr>
          <w:rFonts w:ascii="Arial" w:hAnsi="Arial" w:cs="Arial"/>
          <w:sz w:val="25"/>
        </w:rPr>
        <w:t>5.2. Protección de datos</w:t>
      </w:r>
    </w:p>
    <w:p>
      <w:pPr>
        <w:jc w:val="both"/>
      </w:pPr>
      <w:r>
        <w:rPr>
          <w:rFonts w:ascii="Arial" w:hAnsi="Arial" w:cs="Arial"/>
          <w:sz w:val="22"/>
        </w:rPr>
        <w:t>El deber de informar no autoriza difusión indiscriminada. Deben respetarse licitud, finalidad, minimización, exactitud, limitación de conservación, integridad y confidencialidad. Se recaban solo los datos necesarios, se comprueba destinatario y se evita conversación audible por terceros.</w:t>
      </w:r>
    </w:p>
    <w:p>
      <w:pPr>
        <w:jc w:val="both"/>
      </w:pPr>
      <w:r>
        <w:rPr>
          <w:rFonts w:ascii="Arial" w:hAnsi="Arial" w:cs="Arial"/>
          <w:sz w:val="22"/>
        </w:rPr>
        <w:t>La persona que solicita transparencia no adquiere por ello libre acceso a datos personales. La Ley 19/2013 establece ponderaciones y la normativa de protección de datos rige el tratamiento posterior. En cambio, el interesado accede a su expediente por el artículo 53 de la Ley 39/2015, con salvaguardas de derechos de terceros.</w:t>
      </w:r>
    </w:p>
    <w:p>
      <w:pPr>
        <w:spacing w:after="100"/>
        <w:ind w:left="340" w:right="227"/>
        <w:shd w:fill="EAF2F8"/>
      </w:pPr>
      <w:r>
        <w:rPr>
          <w:rFonts w:ascii="Arial" w:hAnsi="Arial" w:cs="Arial"/>
          <w:b/>
          <w:sz w:val="20"/>
        </w:rPr>
        <w:t>Trampa frecuente:</w:t>
      </w:r>
      <w:r>
        <w:rPr>
          <w:rFonts w:ascii="Arial" w:hAnsi="Arial" w:cs="Arial"/>
          <w:sz w:val="20"/>
        </w:rPr>
        <w:t xml:space="preserve"> el derecho a la información particular no pertenece a «todo ciudadano»; el derecho de transparencia sí corresponde a todas las personas, pero está sujeto a límites y protección de datos.</w:t>
      </w:r>
    </w:p>
    <w:p>
      <w:pPr>
        <w:pStyle w:val="Heading1"/>
        <w:keepNext/>
      </w:pPr>
      <w:r>
        <w:rPr>
          <w:rFonts w:ascii="Arial" w:hAnsi="Arial" w:cs="Arial"/>
          <w:sz w:val="30"/>
        </w:rPr>
        <w:t>6. Atención de personas con discapacidad</w:t>
      </w:r>
    </w:p>
    <w:p>
      <w:pPr>
        <w:pStyle w:val="Heading2"/>
        <w:keepNext/>
      </w:pPr>
      <w:r>
        <w:rPr>
          <w:rFonts w:ascii="Arial" w:hAnsi="Arial" w:cs="Arial"/>
          <w:sz w:val="25"/>
        </w:rPr>
        <w:t>6.1. Modelo social y conceptos</w:t>
      </w:r>
    </w:p>
    <w:p>
      <w:pPr>
        <w:jc w:val="both"/>
      </w:pPr>
      <w:r>
        <w:rPr>
          <w:rFonts w:ascii="Arial" w:hAnsi="Arial" w:cs="Arial"/>
          <w:sz w:val="22"/>
        </w:rPr>
        <w:t>El texto refundido de la Ley General de derechos de las personas con discapacidad —Real Decreto Legislativo 1/2013— define discapacidad como situación resultante de la interacción entre personas con deficiencias previsiblemente permanentes y barreras que limitan o impiden participación plena y efectiva en igualdad. El foco no se coloca solo en una condición individual: una escalera, un formulario incomprensible, un vídeo sin subtítulos o un teléfono sin alternativa son barreras creadas por el entorno.</w:t>
      </w:r>
    </w:p>
    <w:p>
      <w:pPr>
        <w:jc w:val="both"/>
      </w:pPr>
      <w:r>
        <w:rPr>
          <w:rFonts w:ascii="Arial" w:hAnsi="Arial" w:cs="Arial"/>
          <w:b/>
          <w:sz w:val="22"/>
        </w:rPr>
        <w:t>Accesibilidad universal</w:t>
      </w:r>
      <w:r>
        <w:rPr>
          <w:rFonts w:ascii="Arial" w:hAnsi="Arial" w:cs="Arial"/>
          <w:sz w:val="22"/>
        </w:rPr>
        <w:t xml:space="preserve"> es la condición que deben cumplir entornos, procesos, bienes, productos, servicios, objetos, instrumentos, herramientas y dispositivos para ser comprensibles, utilizables y practicables por todas las personas con seguridad y comodidad y de la forma más autónoma y natural posible.</w:t>
      </w:r>
    </w:p>
    <w:p>
      <w:pPr>
        <w:jc w:val="both"/>
      </w:pPr>
      <w:r>
        <w:rPr>
          <w:rFonts w:ascii="Arial" w:hAnsi="Arial" w:cs="Arial"/>
          <w:b/>
          <w:sz w:val="22"/>
        </w:rPr>
        <w:t>Diseño universal o para todas las personas</w:t>
      </w:r>
      <w:r>
        <w:rPr>
          <w:rFonts w:ascii="Arial" w:hAnsi="Arial" w:cs="Arial"/>
          <w:sz w:val="22"/>
        </w:rPr>
        <w:t xml:space="preserve"> significa concebir desde el origen para el mayor número, sin necesidad de adaptación especializada, sin excluir productos de apoyo cuando grupos particulares los necesiten.</w:t>
      </w:r>
    </w:p>
    <w:p>
      <w:pPr>
        <w:jc w:val="both"/>
      </w:pPr>
      <w:r>
        <w:rPr>
          <w:rFonts w:ascii="Arial" w:hAnsi="Arial" w:cs="Arial"/>
          <w:b/>
          <w:sz w:val="22"/>
        </w:rPr>
        <w:t>Ajuste razonable</w:t>
      </w:r>
      <w:r>
        <w:rPr>
          <w:rFonts w:ascii="Arial" w:hAnsi="Arial" w:cs="Arial"/>
          <w:sz w:val="22"/>
        </w:rPr>
        <w:t xml:space="preserve"> es una modificación o adaptación necesaria y adecuada para un caso particular, eficaz y práctica, que no imponga carga desproporcionada o indebida. No es un favor: la negativa injustificada puede constituir discriminación.</w:t>
      </w:r>
    </w:p>
    <w:p>
      <w:pPr>
        <w:jc w:val="both"/>
      </w:pPr>
      <w:r>
        <w:rPr>
          <w:rFonts w:ascii="Arial" w:hAnsi="Arial" w:cs="Arial"/>
          <w:sz w:val="22"/>
        </w:rPr>
        <w:t xml:space="preserve">La </w:t>
      </w:r>
      <w:r>
        <w:rPr>
          <w:rFonts w:ascii="Arial" w:hAnsi="Arial" w:cs="Arial"/>
          <w:b/>
          <w:sz w:val="22"/>
        </w:rPr>
        <w:t>accesibilidad cognitiva</w:t>
      </w:r>
      <w:r>
        <w:rPr>
          <w:rFonts w:ascii="Arial" w:hAnsi="Arial" w:cs="Arial"/>
          <w:sz w:val="22"/>
        </w:rPr>
        <w:t xml:space="preserve"> facilita comprensión y comunicación mediante lectura fácil, sistemas alternativos y aumentativos, pictogramas y otros medios humanos y tecnológicos.</w:t>
      </w:r>
    </w:p>
    <w:p>
      <w:pPr>
        <w:jc w:val="both"/>
      </w:pPr>
      <w:r>
        <w:rPr>
          <w:rFonts w:ascii="Arial" w:hAnsi="Arial" w:cs="Arial"/>
          <w:sz w:val="22"/>
        </w:rPr>
        <w:t>La igualdad de oportunidades se vulnera no solo mediante una negativa expresa. La normativa diferencia:</w:t>
      </w:r>
    </w:p>
    <w:tbl>
      <w:tblPr>
        <w:tblStyle w:val="TableGrid"/>
        <w:tblW w:type="dxa" w:w="9026"/>
        <w:jc w:val="left"/>
        <w:tblLayout w:type="fixed"/>
        <w:tblLook w:firstColumn="1" w:firstRow="1" w:lastColumn="0" w:lastRow="0" w:noHBand="0" w:noVBand="1" w:val="04A0"/>
        <w:tblInd w:w="120" w:type="dxa"/>
      </w:tblPr>
      <w:tblGrid>
        <w:gridCol w:w="1757"/>
        <w:gridCol w:w="3635"/>
        <w:gridCol w:w="3634"/>
      </w:tblGrid>
      <w:tr>
        <w:trPr>
          <w:tblHeader w:val="true"/>
        </w:trPr>
        <w:tc>
          <w:tcPr>
            <w:tcW w:type="dxa" w:w="1757"/>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Conducta</w:t>
            </w:r>
          </w:p>
        </w:tc>
        <w:tc>
          <w:tcPr>
            <w:tcW w:type="dxa" w:w="3635"/>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Idea esencial</w:t>
            </w:r>
          </w:p>
        </w:tc>
        <w:tc>
          <w:tcPr>
            <w:tcW w:type="dxa" w:w="3634"/>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Ejemplo en atención</w:t>
            </w:r>
          </w:p>
        </w:tc>
      </w:tr>
      <w:tr>
        <w:tc>
          <w:tcPr>
            <w:tcW w:type="dxa" w:w="1757"/>
            <w:tcMar>
              <w:top w:w="80" w:type="dxa"/>
              <w:start w:w="120" w:type="dxa"/>
              <w:bottom w:w="80" w:type="dxa"/>
              <w:end w:w="120" w:type="dxa"/>
            </w:tcMar>
            <w:vAlign w:val="center"/>
          </w:tcPr>
          <w:p>
            <w:pPr>
              <w:spacing w:before="0" w:after="0" w:line="240" w:lineRule="auto"/>
              <w:jc w:val="left"/>
            </w:pPr>
            <w:r/>
            <w:r>
              <w:rPr>
                <w:rFonts w:ascii="Arial" w:hAnsi="Arial" w:cs="Arial"/>
                <w:sz w:val="18"/>
              </w:rPr>
              <w:t>Discriminación directa</w:t>
            </w:r>
          </w:p>
        </w:tc>
        <w:tc>
          <w:tcPr>
            <w:tcW w:type="dxa" w:w="3635"/>
            <w:tcMar>
              <w:top w:w="80" w:type="dxa"/>
              <w:start w:w="120" w:type="dxa"/>
              <w:bottom w:w="80" w:type="dxa"/>
              <w:end w:w="120" w:type="dxa"/>
            </w:tcMar>
            <w:vAlign w:val="center"/>
          </w:tcPr>
          <w:p>
            <w:pPr>
              <w:spacing w:before="0" w:after="0" w:line="240" w:lineRule="auto"/>
              <w:jc w:val="left"/>
            </w:pPr>
            <w:r/>
            <w:r>
              <w:rPr>
                <w:rFonts w:ascii="Arial" w:hAnsi="Arial" w:cs="Arial"/>
                <w:sz w:val="18"/>
              </w:rPr>
              <w:t>Trato menos favorable por discapacidad en situación comparable</w:t>
            </w:r>
          </w:p>
        </w:tc>
        <w:tc>
          <w:tcPr>
            <w:tcW w:type="dxa" w:w="3634"/>
            <w:tcMar>
              <w:top w:w="80" w:type="dxa"/>
              <w:start w:w="120" w:type="dxa"/>
              <w:bottom w:w="80" w:type="dxa"/>
              <w:end w:w="120" w:type="dxa"/>
            </w:tcMar>
            <w:vAlign w:val="center"/>
          </w:tcPr>
          <w:p>
            <w:pPr>
              <w:spacing w:before="0" w:after="0" w:line="240" w:lineRule="auto"/>
              <w:jc w:val="left"/>
            </w:pPr>
            <w:r/>
            <w:r>
              <w:rPr>
                <w:rFonts w:ascii="Arial" w:hAnsi="Arial" w:cs="Arial"/>
                <w:sz w:val="18"/>
              </w:rPr>
              <w:t>Negar una cita únicamente por utilizar silla de ruedas</w:t>
            </w:r>
          </w:p>
        </w:tc>
      </w:tr>
      <w:tr>
        <w:tc>
          <w:tcPr>
            <w:tcW w:type="dxa" w:w="1757"/>
            <w:tcMar>
              <w:top w:w="80" w:type="dxa"/>
              <w:start w:w="120" w:type="dxa"/>
              <w:bottom w:w="80" w:type="dxa"/>
              <w:end w:w="120" w:type="dxa"/>
            </w:tcMar>
            <w:vAlign w:val="center"/>
          </w:tcPr>
          <w:p>
            <w:pPr>
              <w:spacing w:before="0" w:after="0" w:line="240" w:lineRule="auto"/>
              <w:jc w:val="left"/>
            </w:pPr>
            <w:r/>
            <w:r>
              <w:rPr>
                <w:rFonts w:ascii="Arial" w:hAnsi="Arial" w:cs="Arial"/>
                <w:sz w:val="18"/>
              </w:rPr>
              <w:t>Discriminación indirecta</w:t>
            </w:r>
          </w:p>
        </w:tc>
        <w:tc>
          <w:tcPr>
            <w:tcW w:type="dxa" w:w="3635"/>
            <w:tcMar>
              <w:top w:w="80" w:type="dxa"/>
              <w:start w:w="120" w:type="dxa"/>
              <w:bottom w:w="80" w:type="dxa"/>
              <w:end w:w="120" w:type="dxa"/>
            </w:tcMar>
            <w:vAlign w:val="center"/>
          </w:tcPr>
          <w:p>
            <w:pPr>
              <w:spacing w:before="0" w:after="0" w:line="240" w:lineRule="auto"/>
              <w:jc w:val="left"/>
            </w:pPr>
            <w:r/>
            <w:r>
              <w:rPr>
                <w:rFonts w:ascii="Arial" w:hAnsi="Arial" w:cs="Arial"/>
                <w:sz w:val="18"/>
              </w:rPr>
              <w:t>Regla aparentemente neutra que ocasiona desventaja particular sin justificación proporcionada</w:t>
            </w:r>
          </w:p>
        </w:tc>
        <w:tc>
          <w:tcPr>
            <w:tcW w:type="dxa" w:w="3634"/>
            <w:tcMar>
              <w:top w:w="80" w:type="dxa"/>
              <w:start w:w="120" w:type="dxa"/>
              <w:bottom w:w="80" w:type="dxa"/>
              <w:end w:w="120" w:type="dxa"/>
            </w:tcMar>
            <w:vAlign w:val="center"/>
          </w:tcPr>
          <w:p>
            <w:pPr>
              <w:spacing w:before="0" w:after="0" w:line="240" w:lineRule="auto"/>
              <w:jc w:val="left"/>
            </w:pPr>
            <w:r/>
            <w:r>
              <w:rPr>
                <w:rFonts w:ascii="Arial" w:hAnsi="Arial" w:cs="Arial"/>
                <w:sz w:val="18"/>
              </w:rPr>
              <w:t>Exigir exclusivamente una llamada de voz cuando existen personas que no pueden utilizarla</w:t>
            </w:r>
          </w:p>
        </w:tc>
      </w:tr>
      <w:tr>
        <w:tc>
          <w:tcPr>
            <w:tcW w:type="dxa" w:w="1757"/>
            <w:tcMar>
              <w:top w:w="80" w:type="dxa"/>
              <w:start w:w="120" w:type="dxa"/>
              <w:bottom w:w="80" w:type="dxa"/>
              <w:end w:w="120" w:type="dxa"/>
            </w:tcMar>
            <w:vAlign w:val="center"/>
          </w:tcPr>
          <w:p>
            <w:pPr>
              <w:spacing w:before="0" w:after="0" w:line="240" w:lineRule="auto"/>
              <w:jc w:val="left"/>
            </w:pPr>
            <w:r/>
            <w:r>
              <w:rPr>
                <w:rFonts w:ascii="Arial" w:hAnsi="Arial" w:cs="Arial"/>
                <w:sz w:val="18"/>
              </w:rPr>
              <w:t>Discriminación por asociación</w:t>
            </w:r>
          </w:p>
        </w:tc>
        <w:tc>
          <w:tcPr>
            <w:tcW w:type="dxa" w:w="3635"/>
            <w:tcMar>
              <w:top w:w="80" w:type="dxa"/>
              <w:start w:w="120" w:type="dxa"/>
              <w:bottom w:w="80" w:type="dxa"/>
              <w:end w:w="120" w:type="dxa"/>
            </w:tcMar>
            <w:vAlign w:val="center"/>
          </w:tcPr>
          <w:p>
            <w:pPr>
              <w:spacing w:before="0" w:after="0" w:line="240" w:lineRule="auto"/>
              <w:jc w:val="left"/>
            </w:pPr>
            <w:r/>
            <w:r>
              <w:rPr>
                <w:rFonts w:ascii="Arial" w:hAnsi="Arial" w:cs="Arial"/>
                <w:sz w:val="18"/>
              </w:rPr>
              <w:t>Trato desfavorable por relación con una persona con discapacidad</w:t>
            </w:r>
          </w:p>
        </w:tc>
        <w:tc>
          <w:tcPr>
            <w:tcW w:type="dxa" w:w="3634"/>
            <w:tcMar>
              <w:top w:w="80" w:type="dxa"/>
              <w:start w:w="120" w:type="dxa"/>
              <w:bottom w:w="80" w:type="dxa"/>
              <w:end w:w="120" w:type="dxa"/>
            </w:tcMar>
            <w:vAlign w:val="center"/>
          </w:tcPr>
          <w:p>
            <w:pPr>
              <w:spacing w:before="0" w:after="0" w:line="240" w:lineRule="auto"/>
              <w:jc w:val="left"/>
            </w:pPr>
            <w:r/>
            <w:r>
              <w:rPr>
                <w:rFonts w:ascii="Arial" w:hAnsi="Arial" w:cs="Arial"/>
                <w:sz w:val="18"/>
              </w:rPr>
              <w:t>Perjudicar al acompañante por prestar apoyo</w:t>
            </w:r>
          </w:p>
        </w:tc>
      </w:tr>
      <w:tr>
        <w:tc>
          <w:tcPr>
            <w:tcW w:type="dxa" w:w="1757"/>
            <w:tcMar>
              <w:top w:w="80" w:type="dxa"/>
              <w:start w:w="120" w:type="dxa"/>
              <w:bottom w:w="80" w:type="dxa"/>
              <w:end w:w="120" w:type="dxa"/>
            </w:tcMar>
            <w:vAlign w:val="center"/>
          </w:tcPr>
          <w:p>
            <w:pPr>
              <w:spacing w:before="0" w:after="0" w:line="240" w:lineRule="auto"/>
              <w:jc w:val="left"/>
            </w:pPr>
            <w:r/>
            <w:r>
              <w:rPr>
                <w:rFonts w:ascii="Arial" w:hAnsi="Arial" w:cs="Arial"/>
                <w:sz w:val="18"/>
              </w:rPr>
              <w:t>Acoso</w:t>
            </w:r>
          </w:p>
        </w:tc>
        <w:tc>
          <w:tcPr>
            <w:tcW w:type="dxa" w:w="3635"/>
            <w:tcMar>
              <w:top w:w="80" w:type="dxa"/>
              <w:start w:w="120" w:type="dxa"/>
              <w:bottom w:w="80" w:type="dxa"/>
              <w:end w:w="120" w:type="dxa"/>
            </w:tcMar>
            <w:vAlign w:val="center"/>
          </w:tcPr>
          <w:p>
            <w:pPr>
              <w:spacing w:before="0" w:after="0" w:line="240" w:lineRule="auto"/>
              <w:jc w:val="left"/>
            </w:pPr>
            <w:r/>
            <w:r>
              <w:rPr>
                <w:rFonts w:ascii="Arial" w:hAnsi="Arial" w:cs="Arial"/>
                <w:sz w:val="18"/>
              </w:rPr>
              <w:t>Conducta vinculada a discapacidad que atenta contra dignidad y crea entorno intimidatorio, hostil o degradante</w:t>
            </w:r>
          </w:p>
        </w:tc>
        <w:tc>
          <w:tcPr>
            <w:tcW w:type="dxa" w:w="3634"/>
            <w:tcMar>
              <w:top w:w="80" w:type="dxa"/>
              <w:start w:w="120" w:type="dxa"/>
              <w:bottom w:w="80" w:type="dxa"/>
              <w:end w:w="120" w:type="dxa"/>
            </w:tcMar>
            <w:vAlign w:val="center"/>
          </w:tcPr>
          <w:p>
            <w:pPr>
              <w:spacing w:before="0" w:after="0" w:line="240" w:lineRule="auto"/>
              <w:jc w:val="left"/>
            </w:pPr>
            <w:r/>
            <w:r>
              <w:rPr>
                <w:rFonts w:ascii="Arial" w:hAnsi="Arial" w:cs="Arial"/>
                <w:sz w:val="18"/>
              </w:rPr>
              <w:t>Burlas reiteradas durante la atención</w:t>
            </w:r>
          </w:p>
        </w:tc>
      </w:tr>
      <w:tr>
        <w:tc>
          <w:tcPr>
            <w:tcW w:type="dxa" w:w="1757"/>
            <w:tcMar>
              <w:top w:w="80" w:type="dxa"/>
              <w:start w:w="120" w:type="dxa"/>
              <w:bottom w:w="80" w:type="dxa"/>
              <w:end w:w="120" w:type="dxa"/>
            </w:tcMar>
            <w:vAlign w:val="center"/>
          </w:tcPr>
          <w:p>
            <w:pPr>
              <w:spacing w:before="0" w:after="0" w:line="240" w:lineRule="auto"/>
              <w:jc w:val="left"/>
            </w:pPr>
            <w:r/>
            <w:r>
              <w:rPr>
                <w:rFonts w:ascii="Arial" w:hAnsi="Arial" w:cs="Arial"/>
                <w:sz w:val="18"/>
              </w:rPr>
              <w:t>Incumplimiento de accesibilidad</w:t>
            </w:r>
          </w:p>
        </w:tc>
        <w:tc>
          <w:tcPr>
            <w:tcW w:type="dxa" w:w="3635"/>
            <w:tcMar>
              <w:top w:w="80" w:type="dxa"/>
              <w:start w:w="120" w:type="dxa"/>
              <w:bottom w:w="80" w:type="dxa"/>
              <w:end w:w="120" w:type="dxa"/>
            </w:tcMar>
            <w:vAlign w:val="center"/>
          </w:tcPr>
          <w:p>
            <w:pPr>
              <w:spacing w:before="0" w:after="0" w:line="240" w:lineRule="auto"/>
              <w:jc w:val="left"/>
            </w:pPr>
            <w:r/>
            <w:r>
              <w:rPr>
                <w:rFonts w:ascii="Arial" w:hAnsi="Arial" w:cs="Arial"/>
                <w:sz w:val="18"/>
              </w:rPr>
              <w:t>No satisfacer condiciones exigibles de diseño y uso</w:t>
            </w:r>
          </w:p>
        </w:tc>
        <w:tc>
          <w:tcPr>
            <w:tcW w:type="dxa" w:w="3634"/>
            <w:tcMar>
              <w:top w:w="80" w:type="dxa"/>
              <w:start w:w="120" w:type="dxa"/>
              <w:bottom w:w="80" w:type="dxa"/>
              <w:end w:w="120" w:type="dxa"/>
            </w:tcMar>
            <w:vAlign w:val="center"/>
          </w:tcPr>
          <w:p>
            <w:pPr>
              <w:spacing w:before="0" w:after="0" w:line="240" w:lineRule="auto"/>
              <w:jc w:val="left"/>
            </w:pPr>
            <w:r/>
            <w:r>
              <w:rPr>
                <w:rFonts w:ascii="Arial" w:hAnsi="Arial" w:cs="Arial"/>
                <w:sz w:val="18"/>
              </w:rPr>
              <w:t>Formulario público incompatible con lector de pantalla</w:t>
            </w:r>
          </w:p>
        </w:tc>
      </w:tr>
      <w:tr>
        <w:tc>
          <w:tcPr>
            <w:tcW w:type="dxa" w:w="1757"/>
            <w:tcMar>
              <w:top w:w="80" w:type="dxa"/>
              <w:start w:w="120" w:type="dxa"/>
              <w:bottom w:w="80" w:type="dxa"/>
              <w:end w:w="120" w:type="dxa"/>
            </w:tcMar>
            <w:vAlign w:val="center"/>
          </w:tcPr>
          <w:p>
            <w:pPr>
              <w:spacing w:before="0" w:after="0" w:line="240" w:lineRule="auto"/>
              <w:jc w:val="left"/>
            </w:pPr>
            <w:r/>
            <w:r>
              <w:rPr>
                <w:rFonts w:ascii="Arial" w:hAnsi="Arial" w:cs="Arial"/>
                <w:sz w:val="18"/>
              </w:rPr>
              <w:t>Negativa de ajuste razonable</w:t>
            </w:r>
          </w:p>
        </w:tc>
        <w:tc>
          <w:tcPr>
            <w:tcW w:type="dxa" w:w="3635"/>
            <w:tcMar>
              <w:top w:w="80" w:type="dxa"/>
              <w:start w:w="120" w:type="dxa"/>
              <w:bottom w:w="80" w:type="dxa"/>
              <w:end w:w="120" w:type="dxa"/>
            </w:tcMar>
            <w:vAlign w:val="center"/>
          </w:tcPr>
          <w:p>
            <w:pPr>
              <w:spacing w:before="0" w:after="0" w:line="240" w:lineRule="auto"/>
              <w:jc w:val="left"/>
            </w:pPr>
            <w:r/>
            <w:r>
              <w:rPr>
                <w:rFonts w:ascii="Arial" w:hAnsi="Arial" w:cs="Arial"/>
                <w:sz w:val="18"/>
              </w:rPr>
              <w:t>Rechazar sin causa una adaptación necesaria para el caso</w:t>
            </w:r>
          </w:p>
        </w:tc>
        <w:tc>
          <w:tcPr>
            <w:tcW w:type="dxa" w:w="3634"/>
            <w:tcMar>
              <w:top w:w="80" w:type="dxa"/>
              <w:start w:w="120" w:type="dxa"/>
              <w:bottom w:w="80" w:type="dxa"/>
              <w:end w:w="120" w:type="dxa"/>
            </w:tcMar>
            <w:vAlign w:val="center"/>
          </w:tcPr>
          <w:p>
            <w:pPr>
              <w:spacing w:before="0" w:after="0" w:line="240" w:lineRule="auto"/>
              <w:jc w:val="left"/>
            </w:pPr>
            <w:r/>
            <w:r>
              <w:rPr>
                <w:rFonts w:ascii="Arial" w:hAnsi="Arial" w:cs="Arial"/>
                <w:sz w:val="18"/>
              </w:rPr>
              <w:t>No facilitar comunicación escrita cuando es viable y necesaria</w:t>
            </w:r>
          </w:p>
        </w:tc>
      </w:tr>
    </w:tbl>
    <w:p>
      <w:pPr>
        <w:spacing w:after="40"/>
      </w:pPr>
    </w:p>
    <w:p>
      <w:pPr>
        <w:jc w:val="both"/>
      </w:pPr>
      <w:r>
        <w:rPr>
          <w:rFonts w:ascii="Arial" w:hAnsi="Arial" w:cs="Arial"/>
          <w:sz w:val="22"/>
        </w:rPr>
        <w:t xml:space="preserve">Las medidas de </w:t>
      </w:r>
      <w:r>
        <w:rPr>
          <w:rFonts w:ascii="Arial" w:hAnsi="Arial" w:cs="Arial"/>
          <w:b/>
          <w:sz w:val="22"/>
        </w:rPr>
        <w:t>acción positiva</w:t>
      </w:r>
      <w:r>
        <w:rPr>
          <w:rFonts w:ascii="Arial" w:hAnsi="Arial" w:cs="Arial"/>
          <w:sz w:val="22"/>
        </w:rPr>
        <w:t xml:space="preserve"> compensan desventajas y pueden consistir en apoyos, criterios más favorables, asistencia personal, ayudas técnicas o servicios auxiliares de comunicación. No contradicen la igualdad formal cuando persiguen igualdad real de forma objetiva y proporcionada. La atención preferente, el tiempo adicional o un canal alternativo no constituyen privilegios arbitrarios si eliminan una barrera.</w:t>
      </w:r>
    </w:p>
    <w:p>
      <w:pPr>
        <w:jc w:val="both"/>
      </w:pPr>
      <w:r>
        <w:rPr>
          <w:rFonts w:ascii="Arial" w:hAnsi="Arial" w:cs="Arial"/>
          <w:sz w:val="22"/>
        </w:rPr>
        <w:t>Para decidir un ajuste debe dialogarse con la persona, valorar eficacia, recursos, frecuencia y alternativas y documentar la decisión cuando sea relevante. No cabe exigir que revele más información médica de la necesaria. Si la medida solicitada no puede adoptarse exactamente, deben explorarse alternativas que permitan un resultado equivalente con la mayor autonomía posible. La carga desproporcionada no se presume: quien pretende invocarla debe justificarla conforme al régimen aplicable.</w:t>
      </w:r>
    </w:p>
    <w:p>
      <w:pPr>
        <w:pStyle w:val="Heading2"/>
        <w:keepNext/>
      </w:pPr>
      <w:r>
        <w:rPr>
          <w:rFonts w:ascii="Arial" w:hAnsi="Arial" w:cs="Arial"/>
          <w:sz w:val="25"/>
        </w:rPr>
        <w:t>6.2. Reglas de trato</w:t>
      </w:r>
    </w:p>
    <w:p>
      <w:pPr>
        <w:jc w:val="both"/>
      </w:pPr>
      <w:r>
        <w:rPr>
          <w:rFonts w:ascii="Arial" w:hAnsi="Arial" w:cs="Arial"/>
          <w:sz w:val="22"/>
        </w:rPr>
        <w:t>La atención se dirige a la persona, no al acompañante. Debe preguntarse qué apoyo prefiere y respetarse su autonomía. No se presupone incapacidad para decidir, no se toca una silla de ruedas, bastón o perro de asistencia sin permiso y no se eleva la voz automáticamente ante discapacidad no auditiva.</w:t>
      </w:r>
    </w:p>
    <w:p>
      <w:pPr>
        <w:jc w:val="both"/>
      </w:pPr>
      <w:r>
        <w:rPr>
          <w:rFonts w:ascii="Arial" w:hAnsi="Arial" w:cs="Arial"/>
          <w:sz w:val="22"/>
        </w:rPr>
        <w:t>Pautas:</w:t>
      </w:r>
    </w:p>
    <w:p>
      <w:pPr>
        <w:pStyle w:val="ListBullet"/>
      </w:pPr>
      <w:r>
        <w:rPr>
          <w:rFonts w:ascii="Arial" w:hAnsi="Arial" w:cs="Arial"/>
          <w:sz w:val="22"/>
        </w:rPr>
        <w:t>ofrecer tiempo suficiente sin infantilizar;</w:t>
      </w:r>
    </w:p>
    <w:p>
      <w:pPr>
        <w:pStyle w:val="ListBullet"/>
      </w:pPr>
      <w:r>
        <w:rPr>
          <w:rFonts w:ascii="Arial" w:hAnsi="Arial" w:cs="Arial"/>
          <w:sz w:val="22"/>
        </w:rPr>
        <w:t>presentarse y describir el entorno a una persona ciega cuando sea útil;</w:t>
      </w:r>
    </w:p>
    <w:p>
      <w:pPr>
        <w:pStyle w:val="ListBullet"/>
      </w:pPr>
      <w:r>
        <w:rPr>
          <w:rFonts w:ascii="Arial" w:hAnsi="Arial" w:cs="Arial"/>
          <w:sz w:val="22"/>
        </w:rPr>
        <w:t>hablar de frente, vocalizar con naturalidad y facilitar lectura labial;</w:t>
      </w:r>
    </w:p>
    <w:p>
      <w:pPr>
        <w:pStyle w:val="ListBullet"/>
      </w:pPr>
      <w:r>
        <w:rPr>
          <w:rFonts w:ascii="Arial" w:hAnsi="Arial" w:cs="Arial"/>
          <w:sz w:val="22"/>
        </w:rPr>
        <w:t>usar frases breves, secuencia paso a paso, ejemplos o pictogramas ante dificultades de comprensión;</w:t>
      </w:r>
    </w:p>
    <w:p>
      <w:pPr>
        <w:pStyle w:val="ListBullet"/>
      </w:pPr>
      <w:r>
        <w:rPr>
          <w:rFonts w:ascii="Arial" w:hAnsi="Arial" w:cs="Arial"/>
          <w:sz w:val="22"/>
        </w:rPr>
        <w:t>permitir formas alternativas de respuesta;</w:t>
      </w:r>
    </w:p>
    <w:p>
      <w:pPr>
        <w:pStyle w:val="ListBullet"/>
      </w:pPr>
      <w:r>
        <w:rPr>
          <w:rFonts w:ascii="Arial" w:hAnsi="Arial" w:cs="Arial"/>
          <w:sz w:val="22"/>
        </w:rPr>
        <w:t>aceptar acompañamiento, asistencia personal y apoyos en los términos legales;</w:t>
      </w:r>
    </w:p>
    <w:p>
      <w:pPr>
        <w:pStyle w:val="ListBullet"/>
      </w:pPr>
      <w:r>
        <w:rPr>
          <w:rFonts w:ascii="Arial" w:hAnsi="Arial" w:cs="Arial"/>
          <w:sz w:val="22"/>
        </w:rPr>
        <w:t>garantizar privacidad también cuando interviene intérprete o apoyo;</w:t>
      </w:r>
    </w:p>
    <w:p>
      <w:pPr>
        <w:pStyle w:val="ListBullet"/>
      </w:pPr>
      <w:r>
        <w:rPr>
          <w:rFonts w:ascii="Arial" w:hAnsi="Arial" w:cs="Arial"/>
          <w:sz w:val="22"/>
        </w:rPr>
        <w:t>confirmar preferencias: lengua de signos, bucle magnético, texto, lectura fácil, apoyo personal o canal alternativo.</w:t>
      </w:r>
    </w:p>
    <w:p>
      <w:pPr>
        <w:jc w:val="both"/>
      </w:pPr>
      <w:r>
        <w:rPr>
          <w:rFonts w:ascii="Arial" w:hAnsi="Arial" w:cs="Arial"/>
          <w:sz w:val="22"/>
        </w:rPr>
        <w:t>La Ley 27/2007 reconoce las lenguas de signos españolas y regula medios de apoyo a la comunicación oral. No existe una única solución para toda discapacidad auditiva: algunas personas emplean lengua de signos, otras lectura labial, subtítulos, texto, prótesis o combinación.</w:t>
      </w:r>
    </w:p>
    <w:p>
      <w:pPr>
        <w:pStyle w:val="Heading2"/>
        <w:keepNext/>
      </w:pPr>
      <w:r>
        <w:rPr>
          <w:rFonts w:ascii="Arial" w:hAnsi="Arial" w:cs="Arial"/>
          <w:sz w:val="25"/>
        </w:rPr>
        <w:t>6.3. Oficinas, impresos y servicios: Real Decreto 366/2007</w:t>
      </w:r>
    </w:p>
    <w:p>
      <w:pPr>
        <w:jc w:val="both"/>
      </w:pPr>
      <w:r>
        <w:rPr>
          <w:rFonts w:ascii="Arial" w:hAnsi="Arial" w:cs="Arial"/>
          <w:sz w:val="22"/>
        </w:rPr>
        <w:t>En la AGE y organismos dependientes, el Real Decreto 366/2007 regula oficinas de atención, modelos normalizados y servicios. Sus principios son igualdad, no discriminación, accesibilidad universal, acción positiva, apoyos humanos y materiales y eliminación de normas o prácticas discriminatorias.</w:t>
      </w:r>
    </w:p>
    <w:p>
      <w:pPr>
        <w:jc w:val="both"/>
      </w:pPr>
      <w:r>
        <w:rPr>
          <w:rFonts w:ascii="Arial" w:hAnsi="Arial" w:cs="Arial"/>
          <w:sz w:val="22"/>
        </w:rPr>
        <w:t>Las oficinas deben atender ubicación, itinerario accesible, aparcamiento, puertas, recepción, señalización visual y comprensible, puestos de atención, sistemas interactivos, mobiliario, aseos y seguridad. Al menos un itinerario debe permitir llegar de forma accesible. Las pantallas y turnos deben contar con alternativas perceptibles.</w:t>
      </w:r>
    </w:p>
    <w:p>
      <w:pPr>
        <w:jc w:val="both"/>
      </w:pPr>
      <w:r>
        <w:rPr>
          <w:rFonts w:ascii="Arial" w:hAnsi="Arial" w:cs="Arial"/>
          <w:sz w:val="22"/>
        </w:rPr>
        <w:t>Los documentos e impresos:</w:t>
      </w:r>
    </w:p>
    <w:p>
      <w:pPr>
        <w:pStyle w:val="ListBullet"/>
      </w:pPr>
      <w:r>
        <w:rPr>
          <w:rFonts w:ascii="Arial" w:hAnsi="Arial" w:cs="Arial"/>
          <w:sz w:val="22"/>
        </w:rPr>
        <w:t>se ubican de modo alcanzable y autónomo;</w:t>
      </w:r>
    </w:p>
    <w:p>
      <w:pPr>
        <w:pStyle w:val="ListBullet"/>
      </w:pPr>
      <w:r>
        <w:rPr>
          <w:rFonts w:ascii="Arial" w:hAnsi="Arial" w:cs="Arial"/>
          <w:sz w:val="22"/>
        </w:rPr>
        <w:t>se ofrecen, a requerimiento, en formatos alternativos como letra grande o braille, o con personal de apoyo;</w:t>
      </w:r>
    </w:p>
    <w:p>
      <w:pPr>
        <w:pStyle w:val="ListBullet"/>
      </w:pPr>
      <w:r>
        <w:rPr>
          <w:rFonts w:ascii="Arial" w:hAnsi="Arial" w:cs="Arial"/>
          <w:sz w:val="22"/>
        </w:rPr>
        <w:t>están disponibles en web y formato electrónico accesible;</w:t>
      </w:r>
    </w:p>
    <w:p>
      <w:pPr>
        <w:pStyle w:val="ListBullet"/>
      </w:pPr>
      <w:r>
        <w:rPr>
          <w:rFonts w:ascii="Arial" w:hAnsi="Arial" w:cs="Arial"/>
          <w:sz w:val="22"/>
        </w:rPr>
        <w:t>usan lenguaje simple y directo, evitando siglas o abreviaturas innecesarias;</w:t>
      </w:r>
    </w:p>
    <w:p>
      <w:pPr>
        <w:pStyle w:val="ListBullet"/>
      </w:pPr>
      <w:r>
        <w:rPr>
          <w:rFonts w:ascii="Arial" w:hAnsi="Arial" w:cs="Arial"/>
          <w:sz w:val="22"/>
        </w:rPr>
        <w:t>los documentos básicos habituales cuentan con versiones simplificadas para dificultades intelectuales o de comprensión;</w:t>
      </w:r>
    </w:p>
    <w:p>
      <w:pPr>
        <w:pStyle w:val="ListBullet"/>
      </w:pPr>
      <w:r>
        <w:rPr>
          <w:rFonts w:ascii="Arial" w:hAnsi="Arial" w:cs="Arial"/>
          <w:sz w:val="22"/>
        </w:rPr>
        <w:t>reservan espacio suficiente y buen contraste e incluyen instrucciones claras.</w:t>
      </w:r>
    </w:p>
    <w:p>
      <w:pPr>
        <w:jc w:val="both"/>
      </w:pPr>
      <w:r>
        <w:rPr>
          <w:rFonts w:ascii="Arial" w:hAnsi="Arial" w:cs="Arial"/>
          <w:sz w:val="22"/>
        </w:rPr>
        <w:t>El personal de atención debe formarse sobre discapacidades, efectos en la relación, trato, interacción y medios auxiliares. La accesibilidad no se agota en infraestructura: una oficina sin escalones sigue siendo inaccesible si la información no puede comprenderse o comunicarse.</w:t>
      </w:r>
    </w:p>
    <w:p>
      <w:pPr>
        <w:jc w:val="both"/>
      </w:pPr>
      <w:r>
        <w:rPr>
          <w:rFonts w:ascii="Arial" w:hAnsi="Arial" w:cs="Arial"/>
          <w:sz w:val="22"/>
        </w:rPr>
        <w:t>El Real Decreto 193/2023 refuerza que los servicios de información y orientación públicos, presenciales, telefónicos y electrónicos, se diseñen y presten con accesibilidad universal. Los canales electrónicos y telefónicos deben permitir el servicio con normalidad y máxima autonomía; en servicios telefónicos han de existir alternativas adecuadas para discapacidad sensorial o dificultades del habla y, cuando se requiera, atención presencial.</w:t>
      </w:r>
    </w:p>
    <w:p>
      <w:pPr>
        <w:pStyle w:val="Heading2"/>
        <w:keepNext/>
      </w:pPr>
      <w:r>
        <w:rPr>
          <w:rFonts w:ascii="Arial" w:hAnsi="Arial" w:cs="Arial"/>
          <w:sz w:val="25"/>
        </w:rPr>
        <w:t>6.4. Accesibilidad digital</w:t>
      </w:r>
    </w:p>
    <w:p>
      <w:pPr>
        <w:jc w:val="both"/>
      </w:pPr>
      <w:r>
        <w:rPr>
          <w:rFonts w:ascii="Arial" w:hAnsi="Arial" w:cs="Arial"/>
          <w:sz w:val="22"/>
        </w:rPr>
        <w:t>El Real Decreto 1112/2018 se aplica a sitios web y aplicaciones móviles del sector público. Sus contenidos deben ser:</w:t>
      </w:r>
    </w:p>
    <w:p>
      <w:pPr>
        <w:pStyle w:val="ListBullet"/>
      </w:pPr>
      <w:r>
        <w:rPr>
          <w:rFonts w:ascii="Arial" w:hAnsi="Arial" w:cs="Arial"/>
          <w:b/>
          <w:sz w:val="22"/>
        </w:rPr>
        <w:t>perceptibles:</w:t>
      </w:r>
      <w:r>
        <w:rPr>
          <w:rFonts w:ascii="Arial" w:hAnsi="Arial" w:cs="Arial"/>
          <w:sz w:val="22"/>
        </w:rPr>
        <w:t xml:space="preserve"> la información puede captarse, por ejemplo con texto alternativo, subtítulos o contraste;</w:t>
      </w:r>
    </w:p>
    <w:p>
      <w:pPr>
        <w:pStyle w:val="ListBullet"/>
      </w:pPr>
      <w:r>
        <w:rPr>
          <w:rFonts w:ascii="Arial" w:hAnsi="Arial" w:cs="Arial"/>
          <w:b/>
          <w:sz w:val="22"/>
        </w:rPr>
        <w:t>operables:</w:t>
      </w:r>
      <w:r>
        <w:rPr>
          <w:rFonts w:ascii="Arial" w:hAnsi="Arial" w:cs="Arial"/>
          <w:sz w:val="22"/>
        </w:rPr>
        <w:t xml:space="preserve"> navegación y controles funcionan también con teclado o tecnologías de apoyo;</w:t>
      </w:r>
    </w:p>
    <w:p>
      <w:pPr>
        <w:pStyle w:val="ListBullet"/>
      </w:pPr>
      <w:r>
        <w:rPr>
          <w:rFonts w:ascii="Arial" w:hAnsi="Arial" w:cs="Arial"/>
          <w:b/>
          <w:sz w:val="22"/>
        </w:rPr>
        <w:t>comprensibles:</w:t>
      </w:r>
      <w:r>
        <w:rPr>
          <w:rFonts w:ascii="Arial" w:hAnsi="Arial" w:cs="Arial"/>
          <w:sz w:val="22"/>
        </w:rPr>
        <w:t xml:space="preserve"> lenguaje, estructura y funcionamiento son previsibles;</w:t>
      </w:r>
    </w:p>
    <w:p>
      <w:pPr>
        <w:pStyle w:val="ListBullet"/>
      </w:pPr>
      <w:r>
        <w:rPr>
          <w:rFonts w:ascii="Arial" w:hAnsi="Arial" w:cs="Arial"/>
          <w:b/>
          <w:sz w:val="22"/>
        </w:rPr>
        <w:t>robustos:</w:t>
      </w:r>
      <w:r>
        <w:rPr>
          <w:rFonts w:ascii="Arial" w:hAnsi="Arial" w:cs="Arial"/>
          <w:sz w:val="22"/>
        </w:rPr>
        <w:t xml:space="preserve"> compatibles con diversos agentes de usuario y tecnologías de asistencia.</w:t>
      </w:r>
    </w:p>
    <w:p>
      <w:pPr>
        <w:jc w:val="both"/>
      </w:pPr>
      <w:r>
        <w:rPr>
          <w:rFonts w:ascii="Arial" w:hAnsi="Arial" w:cs="Arial"/>
          <w:sz w:val="22"/>
        </w:rPr>
        <w:t>La accesibilidad se integra en diseño, gestión, mantenimiento y actualización. Cada web o aplicación ofrece una declaración de accesibilidad detallada, clara y actualizada al menos una vez al año o tras revisión. Se prevén comunicaciones, solicitudes de información accesible, quejas y reclamaciones.</w:t>
      </w:r>
    </w:p>
    <w:p>
      <w:pPr>
        <w:jc w:val="both"/>
      </w:pPr>
      <w:r>
        <w:rPr>
          <w:rFonts w:ascii="Arial" w:hAnsi="Arial" w:cs="Arial"/>
          <w:sz w:val="22"/>
        </w:rPr>
        <w:t xml:space="preserve">La excepción por carga desproporcionada es restrictiva. Requiere evaluación escrita, ponderación de tamaño, recursos, costes y beneficios, revisión al menos anual e indicación en la declaración con alternativas accesibles. La falta de prioridad, tiempo o conocimientos </w:t>
      </w:r>
      <w:r>
        <w:rPr>
          <w:rFonts w:ascii="Arial" w:hAnsi="Arial" w:cs="Arial"/>
          <w:b/>
          <w:sz w:val="22"/>
        </w:rPr>
        <w:t>no</w:t>
      </w:r>
      <w:r>
        <w:rPr>
          <w:rFonts w:ascii="Arial" w:hAnsi="Arial" w:cs="Arial"/>
          <w:sz w:val="22"/>
        </w:rPr>
        <w:t xml:space="preserve"> justifica la excepción.</w:t>
      </w:r>
    </w:p>
    <w:p>
      <w:pPr>
        <w:jc w:val="both"/>
      </w:pPr>
      <w:r>
        <w:rPr>
          <w:rFonts w:ascii="Arial" w:hAnsi="Arial" w:cs="Arial"/>
          <w:sz w:val="22"/>
        </w:rPr>
        <w:t>En el régimen estatal del Real Decreto 1112/2018, solicitudes de información accesible y quejas se responden en veinte días hábiles; puede suspenderse el plazo al requerir aclaraciones por diez días hábiles. La reclamación posterior se dirige a la unidad responsable de accesibilidad —o a su superior si aquella respondió— y se resuelve en dos meses. La Sentencia del Tribunal Constitucional 100/2019 declaró que varios incisos procedimentales no tienen carácter básico por invadir competencias autonómicas; siguen siendo referencia en el ámbito estatal.</w:t>
      </w:r>
    </w:p>
    <w:p>
      <w:pPr>
        <w:pStyle w:val="Heading1"/>
        <w:keepNext/>
      </w:pPr>
      <w:r>
        <w:rPr>
          <w:rFonts w:ascii="Arial" w:hAnsi="Arial" w:cs="Arial"/>
          <w:sz w:val="30"/>
        </w:rPr>
        <w:t>7. Iniciativas y sugerencias</w:t>
      </w:r>
    </w:p>
    <w:p>
      <w:pPr>
        <w:jc w:val="both"/>
      </w:pPr>
      <w:r>
        <w:rPr>
          <w:rFonts w:ascii="Arial" w:hAnsi="Arial" w:cs="Arial"/>
          <w:sz w:val="22"/>
        </w:rPr>
        <w:t>Una iniciativa o sugerencia propone mejorar calidad, eficacia, ahorro, simplificación o satisfacción. No necesita que exista lesión individual. Puede proponer ampliar horario, simplificar un formulario, reorganizar turnos o mejorar accesibilidad.</w:t>
      </w:r>
    </w:p>
    <w:p>
      <w:pPr>
        <w:jc w:val="both"/>
      </w:pPr>
      <w:r>
        <w:rPr>
          <w:rFonts w:ascii="Arial" w:hAnsi="Arial" w:cs="Arial"/>
          <w:sz w:val="22"/>
        </w:rPr>
        <w:t xml:space="preserve">El Real Decreto 951/2005 integra en la AGE el programa de </w:t>
      </w:r>
      <w:r>
        <w:rPr>
          <w:rFonts w:ascii="Arial" w:hAnsi="Arial" w:cs="Arial"/>
          <w:b/>
          <w:sz w:val="22"/>
        </w:rPr>
        <w:t>quejas y sugerencias</w:t>
      </w:r>
      <w:r>
        <w:rPr>
          <w:rFonts w:ascii="Arial" w:hAnsi="Arial" w:cs="Arial"/>
          <w:sz w:val="22"/>
        </w:rPr>
        <w:t>. Su ámbito comprende AGE, organismos autónomos y entidades gestoras y servicios comunes de la Seguridad Social. Cada órgano u organismo determina una unidad responsable que recoge, tramita, responde e informa de actuaciones y medidas.</w:t>
      </w:r>
    </w:p>
    <w:p>
      <w:pPr>
        <w:jc w:val="both"/>
      </w:pPr>
      <w:r>
        <w:rPr>
          <w:rFonts w:ascii="Arial" w:hAnsi="Arial" w:cs="Arial"/>
          <w:sz w:val="22"/>
        </w:rPr>
        <w:t>La sugerencia:</w:t>
      </w:r>
    </w:p>
    <w:p>
      <w:pPr>
        <w:pStyle w:val="ListBullet"/>
      </w:pPr>
      <w:r>
        <w:rPr>
          <w:rFonts w:ascii="Arial" w:hAnsi="Arial" w:cs="Arial"/>
          <w:sz w:val="22"/>
        </w:rPr>
        <w:t>aporta conocimiento de usuario;</w:t>
      </w:r>
    </w:p>
    <w:p>
      <w:pPr>
        <w:pStyle w:val="ListBullet"/>
      </w:pPr>
      <w:r>
        <w:rPr>
          <w:rFonts w:ascii="Arial" w:hAnsi="Arial" w:cs="Arial"/>
          <w:sz w:val="22"/>
        </w:rPr>
        <w:t>no obliga necesariamente a aceptar la propuesta;</w:t>
      </w:r>
    </w:p>
    <w:p>
      <w:pPr>
        <w:pStyle w:val="ListBullet"/>
      </w:pPr>
      <w:r>
        <w:rPr>
          <w:rFonts w:ascii="Arial" w:hAnsi="Arial" w:cs="Arial"/>
          <w:sz w:val="22"/>
        </w:rPr>
        <w:t>sí exige tramitación y respuesta conforme al programa;</w:t>
      </w:r>
    </w:p>
    <w:p>
      <w:pPr>
        <w:pStyle w:val="ListBullet"/>
      </w:pPr>
      <w:r>
        <w:rPr>
          <w:rFonts w:ascii="Arial" w:hAnsi="Arial" w:cs="Arial"/>
          <w:sz w:val="22"/>
        </w:rPr>
        <w:t>se clasifica para detectar causas y oportunidades;</w:t>
      </w:r>
    </w:p>
    <w:p>
      <w:pPr>
        <w:pStyle w:val="ListBullet"/>
      </w:pPr>
      <w:r>
        <w:rPr>
          <w:rFonts w:ascii="Arial" w:hAnsi="Arial" w:cs="Arial"/>
          <w:sz w:val="22"/>
        </w:rPr>
        <w:t>alimenta evaluación de calidad y planes de mejora.</w:t>
      </w:r>
    </w:p>
    <w:p>
      <w:pPr>
        <w:jc w:val="both"/>
      </w:pPr>
      <w:r>
        <w:rPr>
          <w:rFonts w:ascii="Arial" w:hAnsi="Arial" w:cs="Arial"/>
          <w:sz w:val="22"/>
        </w:rPr>
        <w:t>El término «iniciativa» del Real Decreto 208/1996 coincide funcionalmente con la sugerencia de mejora; el sistema vigente del Real Decreto 951/2005 utiliza principalmente «sugerencia».</w:t>
      </w:r>
    </w:p>
    <w:p>
      <w:pPr>
        <w:pStyle w:val="Heading1"/>
        <w:keepNext/>
      </w:pPr>
      <w:r>
        <w:rPr>
          <w:rFonts w:ascii="Arial" w:hAnsi="Arial" w:cs="Arial"/>
          <w:sz w:val="30"/>
        </w:rPr>
        <w:t>8. Quejas y reclamaciones</w:t>
      </w:r>
    </w:p>
    <w:p>
      <w:pPr>
        <w:pStyle w:val="Heading2"/>
        <w:keepNext/>
      </w:pPr>
      <w:r>
        <w:rPr>
          <w:rFonts w:ascii="Arial" w:hAnsi="Arial" w:cs="Arial"/>
          <w:sz w:val="25"/>
        </w:rPr>
        <w:t>8.1. Queja de calidad</w:t>
      </w:r>
    </w:p>
    <w:p>
      <w:pPr>
        <w:jc w:val="both"/>
      </w:pPr>
      <w:r>
        <w:rPr>
          <w:rFonts w:ascii="Arial" w:hAnsi="Arial" w:cs="Arial"/>
          <w:sz w:val="22"/>
        </w:rPr>
        <w:t>La queja expresa insatisfacción por tardanza, desatención o funcionamiento irregular. Puede presentarse presencialmente, por correo postal o por medios telemáticos según el artículo 15 del Real Decreto 951/2005. Si se formula presencialmente, el personal puede auxiliar; se entrega constancia por el medio indicado.</w:t>
      </w:r>
    </w:p>
    <w:p>
      <w:pPr>
        <w:jc w:val="both"/>
      </w:pPr>
      <w:r>
        <w:rPr>
          <w:rFonts w:ascii="Arial" w:hAnsi="Arial" w:cs="Arial"/>
          <w:sz w:val="22"/>
        </w:rPr>
        <w:t xml:space="preserve">La unidad informa de las actuaciones realizadas en </w:t>
      </w:r>
      <w:r>
        <w:rPr>
          <w:rFonts w:ascii="Arial" w:hAnsi="Arial" w:cs="Arial"/>
          <w:b/>
          <w:sz w:val="22"/>
        </w:rPr>
        <w:t>veinte días hábiles</w:t>
      </w:r>
      <w:r>
        <w:rPr>
          <w:rFonts w:ascii="Arial" w:hAnsi="Arial" w:cs="Arial"/>
          <w:sz w:val="22"/>
        </w:rPr>
        <w:t xml:space="preserve">. El plazo puede suspenderse si requiere aclaraciones, que la persona dispone de </w:t>
      </w:r>
      <w:r>
        <w:rPr>
          <w:rFonts w:ascii="Arial" w:hAnsi="Arial" w:cs="Arial"/>
          <w:b/>
          <w:sz w:val="22"/>
        </w:rPr>
        <w:t>diez días hábiles</w:t>
      </w:r>
      <w:r>
        <w:rPr>
          <w:rFonts w:ascii="Arial" w:hAnsi="Arial" w:cs="Arial"/>
          <w:sz w:val="22"/>
        </w:rPr>
        <w:t xml:space="preserve"> para formular. Si no hay respuesta, puede dirigirse a la Inspección General de Servicios del departamento para conocer motivos y promover medidas.</w:t>
      </w:r>
    </w:p>
    <w:p>
      <w:pPr>
        <w:jc w:val="both"/>
      </w:pPr>
      <w:r>
        <w:rPr>
          <w:rFonts w:ascii="Arial" w:hAnsi="Arial" w:cs="Arial"/>
          <w:sz w:val="22"/>
        </w:rPr>
        <w:t>La queja:</w:t>
      </w:r>
    </w:p>
    <w:p>
      <w:pPr>
        <w:pStyle w:val="ListBullet"/>
      </w:pPr>
      <w:r>
        <w:rPr>
          <w:rFonts w:ascii="Arial" w:hAnsi="Arial" w:cs="Arial"/>
          <w:b/>
          <w:sz w:val="22"/>
        </w:rPr>
        <w:t>no es recurso administrativo</w:t>
      </w:r>
      <w:r>
        <w:rPr>
          <w:rFonts w:ascii="Arial" w:hAnsi="Arial" w:cs="Arial"/>
          <w:sz w:val="22"/>
        </w:rPr>
        <w:t>;</w:t>
      </w:r>
    </w:p>
    <w:p>
      <w:pPr>
        <w:pStyle w:val="ListBullet"/>
      </w:pPr>
      <w:r>
        <w:rPr>
          <w:rFonts w:ascii="Arial" w:hAnsi="Arial" w:cs="Arial"/>
          <w:b/>
          <w:sz w:val="22"/>
        </w:rPr>
        <w:t>no interrumpe plazos</w:t>
      </w:r>
      <w:r>
        <w:rPr>
          <w:rFonts w:ascii="Arial" w:hAnsi="Arial" w:cs="Arial"/>
          <w:sz w:val="22"/>
        </w:rPr>
        <w:t xml:space="preserve"> de recursos o acciones;</w:t>
      </w:r>
    </w:p>
    <w:p>
      <w:pPr>
        <w:pStyle w:val="ListBullet"/>
      </w:pPr>
      <w:r>
        <w:rPr>
          <w:rFonts w:ascii="Arial" w:hAnsi="Arial" w:cs="Arial"/>
          <w:sz w:val="22"/>
        </w:rPr>
        <w:t>no condiciona los demás derechos o acciones;</w:t>
      </w:r>
    </w:p>
    <w:p>
      <w:pPr>
        <w:pStyle w:val="ListBullet"/>
      </w:pPr>
      <w:r>
        <w:rPr>
          <w:rFonts w:ascii="Arial" w:hAnsi="Arial" w:cs="Arial"/>
          <w:sz w:val="22"/>
        </w:rPr>
        <w:t>no anula ni modifica por sí misma un acto;</w:t>
      </w:r>
    </w:p>
    <w:p>
      <w:pPr>
        <w:pStyle w:val="ListBullet"/>
      </w:pPr>
      <w:r>
        <w:rPr>
          <w:rFonts w:ascii="Arial" w:hAnsi="Arial" w:cs="Arial"/>
          <w:sz w:val="22"/>
        </w:rPr>
        <w:t>sirve para corregir funcionamiento y medir calidad.</w:t>
      </w:r>
    </w:p>
    <w:p>
      <w:pPr>
        <w:jc w:val="both"/>
      </w:pPr>
      <w:r>
        <w:rPr>
          <w:rFonts w:ascii="Arial" w:hAnsi="Arial" w:cs="Arial"/>
          <w:sz w:val="22"/>
        </w:rPr>
        <w:t>Por eso, si una notificación concede un mes para recurrir, presentar una queja no conserva ese plazo. El personal debe advertirlo cuando aprecie riesgo, sin elegir por la persona su estrategia.</w:t>
      </w:r>
    </w:p>
    <w:p>
      <w:pPr>
        <w:pStyle w:val="Heading2"/>
        <w:keepNext/>
      </w:pPr>
      <w:r>
        <w:rPr>
          <w:rFonts w:ascii="Arial" w:hAnsi="Arial" w:cs="Arial"/>
          <w:sz w:val="25"/>
        </w:rPr>
        <w:t>8.2. Sentidos de «reclamación»</w:t>
      </w:r>
    </w:p>
    <w:p>
      <w:pPr>
        <w:jc w:val="both"/>
      </w:pPr>
      <w:r>
        <w:rPr>
          <w:rFonts w:ascii="Arial" w:hAnsi="Arial" w:cs="Arial"/>
          <w:sz w:val="22"/>
        </w:rPr>
        <w:t>«Reclamación» no designa una única figura. Puede ser:</w:t>
      </w:r>
    </w:p>
    <w:p>
      <w:pPr>
        <w:pStyle w:val="ListBullet"/>
      </w:pPr>
      <w:r>
        <w:rPr>
          <w:rFonts w:ascii="Arial" w:hAnsi="Arial" w:cs="Arial"/>
          <w:sz w:val="22"/>
        </w:rPr>
        <w:t>manifestación de insatisfacción, usada coloquialmente junto a queja;</w:t>
      </w:r>
    </w:p>
    <w:p>
      <w:pPr>
        <w:pStyle w:val="ListBullet"/>
      </w:pPr>
      <w:r>
        <w:rPr>
          <w:rFonts w:ascii="Arial" w:hAnsi="Arial" w:cs="Arial"/>
          <w:sz w:val="22"/>
        </w:rPr>
        <w:t>reclamación específica por incumplimiento de compromisos de una carta de servicios;</w:t>
      </w:r>
    </w:p>
    <w:p>
      <w:pPr>
        <w:pStyle w:val="ListBullet"/>
      </w:pPr>
      <w:r>
        <w:rPr>
          <w:rFonts w:ascii="Arial" w:hAnsi="Arial" w:cs="Arial"/>
          <w:sz w:val="22"/>
        </w:rPr>
        <w:t>reclamación de accesibilidad digital;</w:t>
      </w:r>
    </w:p>
    <w:p>
      <w:pPr>
        <w:pStyle w:val="ListBullet"/>
      </w:pPr>
      <w:r>
        <w:rPr>
          <w:rFonts w:ascii="Arial" w:hAnsi="Arial" w:cs="Arial"/>
          <w:sz w:val="22"/>
        </w:rPr>
        <w:t>reclamación económico-administrativa;</w:t>
      </w:r>
    </w:p>
    <w:p>
      <w:pPr>
        <w:pStyle w:val="ListBullet"/>
      </w:pPr>
      <w:r>
        <w:rPr>
          <w:rFonts w:ascii="Arial" w:hAnsi="Arial" w:cs="Arial"/>
          <w:sz w:val="22"/>
        </w:rPr>
        <w:t>reclamación de responsabilidad patrimonial;</w:t>
      </w:r>
    </w:p>
    <w:p>
      <w:pPr>
        <w:pStyle w:val="ListBullet"/>
      </w:pPr>
      <w:r>
        <w:rPr>
          <w:rFonts w:ascii="Arial" w:hAnsi="Arial" w:cs="Arial"/>
          <w:sz w:val="22"/>
        </w:rPr>
        <w:t>reclamación previa o sectorial cuando la ley la establezca;</w:t>
      </w:r>
    </w:p>
    <w:p>
      <w:pPr>
        <w:pStyle w:val="ListBullet"/>
      </w:pPr>
      <w:r>
        <w:rPr>
          <w:rFonts w:ascii="Arial" w:hAnsi="Arial" w:cs="Arial"/>
          <w:sz w:val="22"/>
        </w:rPr>
        <w:t>reclamación potestativa ante el Consejo de Transparencia.</w:t>
      </w:r>
    </w:p>
    <w:p>
      <w:pPr>
        <w:jc w:val="both"/>
      </w:pPr>
      <w:r>
        <w:rPr>
          <w:rFonts w:ascii="Arial" w:hAnsi="Arial" w:cs="Arial"/>
          <w:sz w:val="22"/>
        </w:rPr>
        <w:t>Hay que identificar norma, objeto, órgano, plazo y efectos. Nunca debe asumirse que toda reclamación se tramita por el Real Decreto 951/2005.</w:t>
      </w:r>
    </w:p>
    <w:p>
      <w:pPr>
        <w:jc w:val="both"/>
      </w:pPr>
      <w:r>
        <w:rPr>
          <w:rFonts w:ascii="Arial" w:hAnsi="Arial" w:cs="Arial"/>
          <w:sz w:val="22"/>
        </w:rPr>
        <w:t>Las cartas de servicios informan de servicios, derechos y compromisos de calidad. Pueden prever medidas de subsanación por incumplimiento; su reconocimiento no genera por sí solo responsabilidad patrimonial. La reclamación del compromiso se dirige en la forma indicada por la carta.</w:t>
      </w:r>
    </w:p>
    <w:p>
      <w:pPr>
        <w:pStyle w:val="Heading2"/>
        <w:keepNext/>
      </w:pPr>
      <w:r>
        <w:rPr>
          <w:rFonts w:ascii="Arial" w:hAnsi="Arial" w:cs="Arial"/>
          <w:sz w:val="25"/>
        </w:rPr>
        <w:t>8.3. Recurso, denuncia y queja</w:t>
      </w:r>
    </w:p>
    <w:tbl>
      <w:tblPr>
        <w:tblStyle w:val="TableGrid"/>
        <w:tblW w:type="dxa" w:w="9026"/>
        <w:jc w:val="left"/>
        <w:tblLayout w:type="fixed"/>
        <w:tblLook w:firstColumn="1" w:firstRow="1" w:lastColumn="0" w:lastRow="0" w:noHBand="0" w:noVBand="1" w:val="04A0"/>
        <w:tblInd w:w="120" w:type="dxa"/>
      </w:tblPr>
      <w:tblGrid>
        <w:gridCol w:w="1163"/>
        <w:gridCol w:w="3322"/>
        <w:gridCol w:w="2326"/>
        <w:gridCol w:w="2215"/>
      </w:tblGrid>
      <w:tr>
        <w:trPr>
          <w:tblHeader w:val="true"/>
        </w:trPr>
        <w:tc>
          <w:tcPr>
            <w:tcW w:type="dxa" w:w="1163"/>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Figura</w:t>
            </w:r>
          </w:p>
        </w:tc>
        <w:tc>
          <w:tcPr>
            <w:tcW w:type="dxa" w:w="3322"/>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Objeto</w:t>
            </w:r>
          </w:p>
        </w:tc>
        <w:tc>
          <w:tcPr>
            <w:tcW w:type="dxa" w:w="2326"/>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Efecto típico</w:t>
            </w:r>
          </w:p>
        </w:tc>
        <w:tc>
          <w:tcPr>
            <w:tcW w:type="dxa" w:w="2215"/>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¿Exige ser interesado?</w:t>
            </w:r>
          </w:p>
        </w:tc>
      </w:tr>
      <w:tr>
        <w:tc>
          <w:tcPr>
            <w:tcW w:type="dxa" w:w="1163"/>
            <w:tcMar>
              <w:top w:w="80" w:type="dxa"/>
              <w:start w:w="120" w:type="dxa"/>
              <w:bottom w:w="80" w:type="dxa"/>
              <w:end w:w="120" w:type="dxa"/>
            </w:tcMar>
            <w:vAlign w:val="center"/>
          </w:tcPr>
          <w:p>
            <w:pPr>
              <w:spacing w:before="0" w:after="0" w:line="240" w:lineRule="auto"/>
              <w:jc w:val="left"/>
            </w:pPr>
            <w:r/>
            <w:r>
              <w:rPr>
                <w:rFonts w:ascii="Arial" w:hAnsi="Arial" w:cs="Arial"/>
                <w:sz w:val="18"/>
              </w:rPr>
              <w:t>Queja de calidad</w:t>
            </w:r>
          </w:p>
        </w:tc>
        <w:tc>
          <w:tcPr>
            <w:tcW w:type="dxa" w:w="3322"/>
            <w:tcMar>
              <w:top w:w="80" w:type="dxa"/>
              <w:start w:w="120" w:type="dxa"/>
              <w:bottom w:w="80" w:type="dxa"/>
              <w:end w:w="120" w:type="dxa"/>
            </w:tcMar>
            <w:vAlign w:val="center"/>
          </w:tcPr>
          <w:p>
            <w:pPr>
              <w:spacing w:before="0" w:after="0" w:line="240" w:lineRule="auto"/>
              <w:jc w:val="left"/>
            </w:pPr>
            <w:r/>
            <w:r>
              <w:rPr>
                <w:rFonts w:ascii="Arial" w:hAnsi="Arial" w:cs="Arial"/>
                <w:sz w:val="18"/>
              </w:rPr>
              <w:t>Mal funcionamiento o atención</w:t>
            </w:r>
          </w:p>
        </w:tc>
        <w:tc>
          <w:tcPr>
            <w:tcW w:type="dxa" w:w="2326"/>
            <w:tcMar>
              <w:top w:w="80" w:type="dxa"/>
              <w:start w:w="120" w:type="dxa"/>
              <w:bottom w:w="80" w:type="dxa"/>
              <w:end w:w="120" w:type="dxa"/>
            </w:tcMar>
            <w:vAlign w:val="center"/>
          </w:tcPr>
          <w:p>
            <w:pPr>
              <w:spacing w:before="0" w:after="0" w:line="240" w:lineRule="auto"/>
              <w:jc w:val="left"/>
            </w:pPr>
            <w:r/>
            <w:r>
              <w:rPr>
                <w:rFonts w:ascii="Arial" w:hAnsi="Arial" w:cs="Arial"/>
                <w:sz w:val="18"/>
              </w:rPr>
              <w:t>Investigación y mejora; respuesta</w:t>
            </w:r>
          </w:p>
        </w:tc>
        <w:tc>
          <w:tcPr>
            <w:tcW w:type="dxa" w:w="2215"/>
            <w:tcMar>
              <w:top w:w="80" w:type="dxa"/>
              <w:start w:w="120" w:type="dxa"/>
              <w:bottom w:w="80" w:type="dxa"/>
              <w:end w:w="120" w:type="dxa"/>
            </w:tcMar>
            <w:vAlign w:val="center"/>
          </w:tcPr>
          <w:p>
            <w:pPr>
              <w:spacing w:before="0" w:after="0" w:line="240" w:lineRule="auto"/>
              <w:jc w:val="left"/>
            </w:pPr>
            <w:r/>
            <w:r>
              <w:rPr>
                <w:rFonts w:ascii="Arial" w:hAnsi="Arial" w:cs="Arial"/>
                <w:sz w:val="18"/>
              </w:rPr>
              <w:t>Usuario afectado o persona que la formula</w:t>
            </w:r>
          </w:p>
        </w:tc>
      </w:tr>
      <w:tr>
        <w:tc>
          <w:tcPr>
            <w:tcW w:type="dxa" w:w="1163"/>
            <w:tcMar>
              <w:top w:w="80" w:type="dxa"/>
              <w:start w:w="120" w:type="dxa"/>
              <w:bottom w:w="80" w:type="dxa"/>
              <w:end w:w="120" w:type="dxa"/>
            </w:tcMar>
            <w:vAlign w:val="center"/>
          </w:tcPr>
          <w:p>
            <w:pPr>
              <w:spacing w:before="0" w:after="0" w:line="240" w:lineRule="auto"/>
              <w:jc w:val="left"/>
            </w:pPr>
            <w:r/>
            <w:r>
              <w:rPr>
                <w:rFonts w:ascii="Arial" w:hAnsi="Arial" w:cs="Arial"/>
                <w:sz w:val="18"/>
              </w:rPr>
              <w:t>Recurso administrativo</w:t>
            </w:r>
          </w:p>
        </w:tc>
        <w:tc>
          <w:tcPr>
            <w:tcW w:type="dxa" w:w="3322"/>
            <w:tcMar>
              <w:top w:w="80" w:type="dxa"/>
              <w:start w:w="120" w:type="dxa"/>
              <w:bottom w:w="80" w:type="dxa"/>
              <w:end w:w="120" w:type="dxa"/>
            </w:tcMar>
            <w:vAlign w:val="center"/>
          </w:tcPr>
          <w:p>
            <w:pPr>
              <w:spacing w:before="0" w:after="0" w:line="240" w:lineRule="auto"/>
              <w:jc w:val="left"/>
            </w:pPr>
            <w:r/>
            <w:r>
              <w:rPr>
                <w:rFonts w:ascii="Arial" w:hAnsi="Arial" w:cs="Arial"/>
                <w:sz w:val="18"/>
              </w:rPr>
              <w:t>Impugnar acto recurrible</w:t>
            </w:r>
          </w:p>
        </w:tc>
        <w:tc>
          <w:tcPr>
            <w:tcW w:type="dxa" w:w="2326"/>
            <w:tcMar>
              <w:top w:w="80" w:type="dxa"/>
              <w:start w:w="120" w:type="dxa"/>
              <w:bottom w:w="80" w:type="dxa"/>
              <w:end w:w="120" w:type="dxa"/>
            </w:tcMar>
            <w:vAlign w:val="center"/>
          </w:tcPr>
          <w:p>
            <w:pPr>
              <w:spacing w:before="0" w:after="0" w:line="240" w:lineRule="auto"/>
              <w:jc w:val="left"/>
            </w:pPr>
            <w:r/>
            <w:r>
              <w:rPr>
                <w:rFonts w:ascii="Arial" w:hAnsi="Arial" w:cs="Arial"/>
                <w:sz w:val="18"/>
              </w:rPr>
              <w:t>Revisión jurídica del acto</w:t>
            </w:r>
          </w:p>
        </w:tc>
        <w:tc>
          <w:tcPr>
            <w:tcW w:type="dxa" w:w="2215"/>
            <w:tcMar>
              <w:top w:w="80" w:type="dxa"/>
              <w:start w:w="120" w:type="dxa"/>
              <w:bottom w:w="80" w:type="dxa"/>
              <w:end w:w="120" w:type="dxa"/>
            </w:tcMar>
            <w:vAlign w:val="center"/>
          </w:tcPr>
          <w:p>
            <w:pPr>
              <w:spacing w:before="0" w:after="0" w:line="240" w:lineRule="auto"/>
              <w:jc w:val="center"/>
            </w:pPr>
            <w:r/>
            <w:r>
              <w:rPr>
                <w:rFonts w:ascii="Arial" w:hAnsi="Arial" w:cs="Arial"/>
                <w:sz w:val="18"/>
              </w:rPr>
              <w:t>Sí</w:t>
            </w:r>
          </w:p>
        </w:tc>
      </w:tr>
      <w:tr>
        <w:tc>
          <w:tcPr>
            <w:tcW w:type="dxa" w:w="1163"/>
            <w:tcMar>
              <w:top w:w="80" w:type="dxa"/>
              <w:start w:w="120" w:type="dxa"/>
              <w:bottom w:w="80" w:type="dxa"/>
              <w:end w:w="120" w:type="dxa"/>
            </w:tcMar>
            <w:vAlign w:val="center"/>
          </w:tcPr>
          <w:p>
            <w:pPr>
              <w:spacing w:before="0" w:after="0" w:line="240" w:lineRule="auto"/>
              <w:jc w:val="left"/>
            </w:pPr>
            <w:r/>
            <w:r>
              <w:rPr>
                <w:rFonts w:ascii="Arial" w:hAnsi="Arial" w:cs="Arial"/>
                <w:sz w:val="18"/>
              </w:rPr>
              <w:t>Denuncia</w:t>
            </w:r>
          </w:p>
        </w:tc>
        <w:tc>
          <w:tcPr>
            <w:tcW w:type="dxa" w:w="3322"/>
            <w:tcMar>
              <w:top w:w="80" w:type="dxa"/>
              <w:start w:w="120" w:type="dxa"/>
              <w:bottom w:w="80" w:type="dxa"/>
              <w:end w:w="120" w:type="dxa"/>
            </w:tcMar>
            <w:vAlign w:val="center"/>
          </w:tcPr>
          <w:p>
            <w:pPr>
              <w:spacing w:before="0" w:after="0" w:line="240" w:lineRule="auto"/>
              <w:jc w:val="left"/>
            </w:pPr>
            <w:r/>
            <w:r>
              <w:rPr>
                <w:rFonts w:ascii="Arial" w:hAnsi="Arial" w:cs="Arial"/>
                <w:sz w:val="18"/>
              </w:rPr>
              <w:t>Poner hechos posiblemente infractores en conocimiento</w:t>
            </w:r>
          </w:p>
        </w:tc>
        <w:tc>
          <w:tcPr>
            <w:tcW w:type="dxa" w:w="2326"/>
            <w:tcMar>
              <w:top w:w="80" w:type="dxa"/>
              <w:start w:w="120" w:type="dxa"/>
              <w:bottom w:w="80" w:type="dxa"/>
              <w:end w:w="120" w:type="dxa"/>
            </w:tcMar>
            <w:vAlign w:val="center"/>
          </w:tcPr>
          <w:p>
            <w:pPr>
              <w:spacing w:before="0" w:after="0" w:line="240" w:lineRule="auto"/>
              <w:jc w:val="left"/>
            </w:pPr>
            <w:r/>
            <w:r>
              <w:rPr>
                <w:rFonts w:ascii="Arial" w:hAnsi="Arial" w:cs="Arial"/>
                <w:sz w:val="18"/>
              </w:rPr>
              <w:t>Puede provocar inicio de oficio</w:t>
            </w:r>
          </w:p>
        </w:tc>
        <w:tc>
          <w:tcPr>
            <w:tcW w:type="dxa" w:w="2215"/>
            <w:tcMar>
              <w:top w:w="80" w:type="dxa"/>
              <w:start w:w="120" w:type="dxa"/>
              <w:bottom w:w="80" w:type="dxa"/>
              <w:end w:w="120" w:type="dxa"/>
            </w:tcMar>
            <w:vAlign w:val="center"/>
          </w:tcPr>
          <w:p>
            <w:pPr>
              <w:spacing w:before="0" w:after="0" w:line="240" w:lineRule="auto"/>
              <w:jc w:val="left"/>
            </w:pPr>
            <w:r/>
            <w:r>
              <w:rPr>
                <w:rFonts w:ascii="Arial" w:hAnsi="Arial" w:cs="Arial"/>
                <w:sz w:val="18"/>
              </w:rPr>
              <w:t>No confiere por sí sola condición de interesado</w:t>
            </w:r>
          </w:p>
        </w:tc>
      </w:tr>
      <w:tr>
        <w:tc>
          <w:tcPr>
            <w:tcW w:type="dxa" w:w="1163"/>
            <w:tcMar>
              <w:top w:w="80" w:type="dxa"/>
              <w:start w:w="120" w:type="dxa"/>
              <w:bottom w:w="80" w:type="dxa"/>
              <w:end w:w="120" w:type="dxa"/>
            </w:tcMar>
            <w:vAlign w:val="center"/>
          </w:tcPr>
          <w:p>
            <w:pPr>
              <w:spacing w:before="0" w:after="0" w:line="240" w:lineRule="auto"/>
              <w:jc w:val="left"/>
            </w:pPr>
            <w:r/>
            <w:r>
              <w:rPr>
                <w:rFonts w:ascii="Arial" w:hAnsi="Arial" w:cs="Arial"/>
                <w:sz w:val="18"/>
              </w:rPr>
              <w:t>Reclamación sectorial</w:t>
            </w:r>
          </w:p>
        </w:tc>
        <w:tc>
          <w:tcPr>
            <w:tcW w:type="dxa" w:w="3322"/>
            <w:tcMar>
              <w:top w:w="80" w:type="dxa"/>
              <w:start w:w="120" w:type="dxa"/>
              <w:bottom w:w="80" w:type="dxa"/>
              <w:end w:w="120" w:type="dxa"/>
            </w:tcMar>
            <w:vAlign w:val="center"/>
          </w:tcPr>
          <w:p>
            <w:pPr>
              <w:spacing w:before="0" w:after="0" w:line="240" w:lineRule="auto"/>
              <w:jc w:val="left"/>
            </w:pPr>
            <w:r/>
            <w:r>
              <w:rPr>
                <w:rFonts w:ascii="Arial" w:hAnsi="Arial" w:cs="Arial"/>
                <w:sz w:val="18"/>
              </w:rPr>
              <w:t>Objeto fijado por norma</w:t>
            </w:r>
          </w:p>
        </w:tc>
        <w:tc>
          <w:tcPr>
            <w:tcW w:type="dxa" w:w="2326"/>
            <w:tcMar>
              <w:top w:w="80" w:type="dxa"/>
              <w:start w:w="120" w:type="dxa"/>
              <w:bottom w:w="80" w:type="dxa"/>
              <w:end w:w="120" w:type="dxa"/>
            </w:tcMar>
            <w:vAlign w:val="center"/>
          </w:tcPr>
          <w:p>
            <w:pPr>
              <w:spacing w:before="0" w:after="0" w:line="240" w:lineRule="auto"/>
              <w:jc w:val="left"/>
            </w:pPr>
            <w:r/>
            <w:r>
              <w:rPr>
                <w:rFonts w:ascii="Arial" w:hAnsi="Arial" w:cs="Arial"/>
                <w:sz w:val="18"/>
              </w:rPr>
              <w:t>El que determine su régimen</w:t>
            </w:r>
          </w:p>
        </w:tc>
        <w:tc>
          <w:tcPr>
            <w:tcW w:type="dxa" w:w="2215"/>
            <w:tcMar>
              <w:top w:w="80" w:type="dxa"/>
              <w:start w:w="120" w:type="dxa"/>
              <w:bottom w:w="80" w:type="dxa"/>
              <w:end w:w="120" w:type="dxa"/>
            </w:tcMar>
            <w:vAlign w:val="center"/>
          </w:tcPr>
          <w:p>
            <w:pPr>
              <w:spacing w:before="0" w:after="0" w:line="240" w:lineRule="auto"/>
              <w:jc w:val="left"/>
            </w:pPr>
            <w:r/>
            <w:r>
              <w:rPr>
                <w:rFonts w:ascii="Arial" w:hAnsi="Arial" w:cs="Arial"/>
                <w:sz w:val="18"/>
              </w:rPr>
              <w:t>Depende de la norma</w:t>
            </w:r>
          </w:p>
        </w:tc>
      </w:tr>
      <w:tr>
        <w:tc>
          <w:tcPr>
            <w:tcW w:type="dxa" w:w="1163"/>
            <w:tcMar>
              <w:top w:w="80" w:type="dxa"/>
              <w:start w:w="120" w:type="dxa"/>
              <w:bottom w:w="80" w:type="dxa"/>
              <w:end w:w="120" w:type="dxa"/>
            </w:tcMar>
            <w:vAlign w:val="center"/>
          </w:tcPr>
          <w:p>
            <w:pPr>
              <w:spacing w:before="0" w:after="0" w:line="240" w:lineRule="auto"/>
              <w:jc w:val="left"/>
            </w:pPr>
            <w:r/>
            <w:r>
              <w:rPr>
                <w:rFonts w:ascii="Arial" w:hAnsi="Arial" w:cs="Arial"/>
                <w:sz w:val="18"/>
              </w:rPr>
              <w:t>Petición</w:t>
            </w:r>
          </w:p>
        </w:tc>
        <w:tc>
          <w:tcPr>
            <w:tcW w:type="dxa" w:w="3322"/>
            <w:tcMar>
              <w:top w:w="80" w:type="dxa"/>
              <w:start w:w="120" w:type="dxa"/>
              <w:bottom w:w="80" w:type="dxa"/>
              <w:end w:w="120" w:type="dxa"/>
            </w:tcMar>
            <w:vAlign w:val="center"/>
          </w:tcPr>
          <w:p>
            <w:pPr>
              <w:spacing w:before="0" w:after="0" w:line="240" w:lineRule="auto"/>
              <w:jc w:val="left"/>
            </w:pPr>
            <w:r/>
            <w:r>
              <w:rPr>
                <w:rFonts w:ascii="Arial" w:hAnsi="Arial" w:cs="Arial"/>
                <w:sz w:val="18"/>
              </w:rPr>
              <w:t>Solicitar actuación discrecional o no sujeta a procedimiento específico</w:t>
            </w:r>
          </w:p>
        </w:tc>
        <w:tc>
          <w:tcPr>
            <w:tcW w:type="dxa" w:w="2326"/>
            <w:tcMar>
              <w:top w:w="80" w:type="dxa"/>
              <w:start w:w="120" w:type="dxa"/>
              <w:bottom w:w="80" w:type="dxa"/>
              <w:end w:w="120" w:type="dxa"/>
            </w:tcMar>
            <w:vAlign w:val="center"/>
          </w:tcPr>
          <w:p>
            <w:pPr>
              <w:spacing w:before="0" w:after="0" w:line="240" w:lineRule="auto"/>
              <w:jc w:val="left"/>
            </w:pPr>
            <w:r/>
            <w:r>
              <w:rPr>
                <w:rFonts w:ascii="Arial" w:hAnsi="Arial" w:cs="Arial"/>
                <w:sz w:val="18"/>
              </w:rPr>
              <w:t>Derecho a tramitación y respuesta, no a estimación</w:t>
            </w:r>
          </w:p>
        </w:tc>
        <w:tc>
          <w:tcPr>
            <w:tcW w:type="dxa" w:w="2215"/>
            <w:tcMar>
              <w:top w:w="80" w:type="dxa"/>
              <w:start w:w="120" w:type="dxa"/>
              <w:bottom w:w="80" w:type="dxa"/>
              <w:end w:w="120" w:type="dxa"/>
            </w:tcMar>
            <w:vAlign w:val="center"/>
          </w:tcPr>
          <w:p>
            <w:pPr>
              <w:spacing w:before="0" w:after="0" w:line="240" w:lineRule="auto"/>
              <w:jc w:val="left"/>
            </w:pPr>
            <w:r/>
            <w:r>
              <w:rPr>
                <w:rFonts w:ascii="Arial" w:hAnsi="Arial" w:cs="Arial"/>
                <w:sz w:val="18"/>
              </w:rPr>
              <w:t>Toda persona natural o jurídica</w:t>
            </w:r>
          </w:p>
        </w:tc>
      </w:tr>
    </w:tbl>
    <w:p>
      <w:pPr>
        <w:spacing w:after="40"/>
      </w:pPr>
    </w:p>
    <w:p>
      <w:pPr>
        <w:pStyle w:val="Heading1"/>
        <w:keepNext/>
      </w:pPr>
      <w:r>
        <w:rPr>
          <w:rFonts w:ascii="Arial" w:hAnsi="Arial" w:cs="Arial"/>
          <w:sz w:val="30"/>
        </w:rPr>
        <w:t>9. Derecho de petición</w:t>
      </w:r>
    </w:p>
    <w:p>
      <w:pPr>
        <w:pStyle w:val="Heading2"/>
        <w:keepNext/>
      </w:pPr>
      <w:r>
        <w:rPr>
          <w:rFonts w:ascii="Arial" w:hAnsi="Arial" w:cs="Arial"/>
          <w:sz w:val="25"/>
        </w:rPr>
        <w:t>9.1. Titulares, destinatarios y objeto</w:t>
      </w:r>
    </w:p>
    <w:p>
      <w:pPr>
        <w:jc w:val="both"/>
      </w:pPr>
      <w:r>
        <w:rPr>
          <w:rFonts w:ascii="Arial" w:hAnsi="Arial" w:cs="Arial"/>
          <w:sz w:val="22"/>
        </w:rPr>
        <w:t xml:space="preserve">La Ley Orgánica 4/2001 desarrolla el artículo 29 CE. Puede ejercerlo </w:t>
      </w:r>
      <w:r>
        <w:rPr>
          <w:rFonts w:ascii="Arial" w:hAnsi="Arial" w:cs="Arial"/>
          <w:b/>
          <w:sz w:val="22"/>
        </w:rPr>
        <w:t>toda persona natural o jurídica, cualquiera que sea su nacionalidad</w:t>
      </w:r>
      <w:r>
        <w:rPr>
          <w:rFonts w:ascii="Arial" w:hAnsi="Arial" w:cs="Arial"/>
          <w:sz w:val="22"/>
        </w:rPr>
        <w:t>, individual o colectivamente, sin perjuicio por su ejercicio legítimo.</w:t>
      </w:r>
    </w:p>
    <w:p>
      <w:pPr>
        <w:jc w:val="both"/>
      </w:pPr>
      <w:r>
        <w:rPr>
          <w:rFonts w:ascii="Arial" w:hAnsi="Arial" w:cs="Arial"/>
          <w:sz w:val="22"/>
        </w:rPr>
        <w:t>Se dirige a cualquier institución pública, Administración o autoridad y a órganos de dirección y administración de organismos y entidades dependientes, respecto de materias de su competencia. Puede versar sobre asuntos que afecten al peticionario o sean de interés colectivo o general.</w:t>
      </w:r>
    </w:p>
    <w:p>
      <w:pPr>
        <w:jc w:val="both"/>
      </w:pPr>
      <w:r>
        <w:rPr>
          <w:rFonts w:ascii="Arial" w:hAnsi="Arial" w:cs="Arial"/>
          <w:sz w:val="22"/>
        </w:rPr>
        <w:t xml:space="preserve">Es un derecho </w:t>
      </w:r>
      <w:r>
        <w:rPr>
          <w:rFonts w:ascii="Arial" w:hAnsi="Arial" w:cs="Arial"/>
          <w:b/>
          <w:sz w:val="22"/>
        </w:rPr>
        <w:t>residual</w:t>
      </w:r>
      <w:r>
        <w:rPr>
          <w:rFonts w:ascii="Arial" w:hAnsi="Arial" w:cs="Arial"/>
          <w:sz w:val="22"/>
        </w:rPr>
        <w:t>: no se tramitan como petición solicitudes, quejas o sugerencias para las que el ordenamiento haya previsto un procedimiento específico. Tampoco sirve para sustituir recursos, reclamaciones o procesos.</w:t>
      </w:r>
    </w:p>
    <w:p>
      <w:pPr>
        <w:pStyle w:val="Heading2"/>
        <w:keepNext/>
      </w:pPr>
      <w:r>
        <w:rPr>
          <w:rFonts w:ascii="Arial" w:hAnsi="Arial" w:cs="Arial"/>
          <w:sz w:val="25"/>
        </w:rPr>
        <w:t>9.2. Forma y presentación</w:t>
      </w:r>
    </w:p>
    <w:p>
      <w:pPr>
        <w:jc w:val="both"/>
      </w:pPr>
      <w:r>
        <w:rPr>
          <w:rFonts w:ascii="Arial" w:hAnsi="Arial" w:cs="Arial"/>
          <w:sz w:val="22"/>
        </w:rPr>
        <w:t>Se formula por escrito, incluso electrónico si permite acreditar autenticidad, e incluye identidad, nacionalidad si se tiene, lugar o medio para notificaciones, objeto y destinatario. Las colectivas deben ser firmadas por todos, con nombre y apellidos. Puede solicitarse confidencialidad de datos.</w:t>
      </w:r>
    </w:p>
    <w:p>
      <w:pPr>
        <w:jc w:val="both"/>
      </w:pPr>
      <w:r>
        <w:rPr>
          <w:rFonts w:ascii="Arial" w:hAnsi="Arial" w:cs="Arial"/>
          <w:sz w:val="22"/>
        </w:rPr>
        <w:t xml:space="preserve">Puede presentarse en registros admitidos por la legislación administrativa. El receptor acusa recibo y lo comunica en </w:t>
      </w:r>
      <w:r>
        <w:rPr>
          <w:rFonts w:ascii="Arial" w:hAnsi="Arial" w:cs="Arial"/>
          <w:b/>
          <w:sz w:val="22"/>
        </w:rPr>
        <w:t>diez días</w:t>
      </w:r>
      <w:r>
        <w:rPr>
          <w:rFonts w:ascii="Arial" w:hAnsi="Arial" w:cs="Arial"/>
          <w:sz w:val="22"/>
        </w:rPr>
        <w:t>. En territorios con lengua cooficial puede formularse ante la AGE en cualquiera de las lenguas oficiales y obtener respuesta en la elegida.</w:t>
      </w:r>
    </w:p>
    <w:p>
      <w:pPr>
        <w:jc w:val="both"/>
      </w:pPr>
      <w:r>
        <w:rPr>
          <w:rFonts w:ascii="Arial" w:hAnsi="Arial" w:cs="Arial"/>
          <w:sz w:val="22"/>
        </w:rPr>
        <w:t xml:space="preserve">Si faltan requisitos o claridad, se concede </w:t>
      </w:r>
      <w:r>
        <w:rPr>
          <w:rFonts w:ascii="Arial" w:hAnsi="Arial" w:cs="Arial"/>
          <w:b/>
          <w:sz w:val="22"/>
        </w:rPr>
        <w:t>quince días</w:t>
      </w:r>
      <w:r>
        <w:rPr>
          <w:rFonts w:ascii="Arial" w:hAnsi="Arial" w:cs="Arial"/>
          <w:sz w:val="22"/>
        </w:rPr>
        <w:t xml:space="preserve"> para subsanar, con advertencia de desistimiento y archivo. Puede requerirse documentación complementaria estrictamente imprescindible; no aportarla no determina por sí sola inadmisión, aunque influya en la respuesta.</w:t>
      </w:r>
    </w:p>
    <w:p>
      <w:pPr>
        <w:pStyle w:val="Heading2"/>
        <w:keepNext/>
      </w:pPr>
      <w:r>
        <w:rPr>
          <w:rFonts w:ascii="Arial" w:hAnsi="Arial" w:cs="Arial"/>
          <w:sz w:val="25"/>
        </w:rPr>
        <w:t>9.3. Inadmisión, competencia y contestación</w:t>
      </w:r>
    </w:p>
    <w:p>
      <w:pPr>
        <w:jc w:val="both"/>
      </w:pPr>
      <w:r>
        <w:rPr>
          <w:rFonts w:ascii="Arial" w:hAnsi="Arial" w:cs="Arial"/>
          <w:sz w:val="22"/>
        </w:rPr>
        <w:t>Se inadmiten peticiones:</w:t>
      </w:r>
    </w:p>
    <w:p>
      <w:pPr>
        <w:pStyle w:val="ListBullet"/>
      </w:pPr>
      <w:r>
        <w:rPr>
          <w:rFonts w:ascii="Arial" w:hAnsi="Arial" w:cs="Arial"/>
          <w:sz w:val="22"/>
        </w:rPr>
        <w:t>ajenas a atribuciones de los poderes públicos o destinatarios;</w:t>
      </w:r>
    </w:p>
    <w:p>
      <w:pPr>
        <w:pStyle w:val="ListBullet"/>
      </w:pPr>
      <w:r>
        <w:rPr>
          <w:rFonts w:ascii="Arial" w:hAnsi="Arial" w:cs="Arial"/>
          <w:sz w:val="22"/>
        </w:rPr>
        <w:t>cuya resolución deba ampararse en un título específico y procedimiento parlamentario, administrativo o judicial;</w:t>
      </w:r>
    </w:p>
    <w:p>
      <w:pPr>
        <w:pStyle w:val="ListBullet"/>
      </w:pPr>
      <w:r>
        <w:rPr>
          <w:rFonts w:ascii="Arial" w:hAnsi="Arial" w:cs="Arial"/>
          <w:sz w:val="22"/>
        </w:rPr>
        <w:t>sobre objeto ya sometido a procedimiento o proceso iniciado mientras no haya resolución firme.</w:t>
      </w:r>
    </w:p>
    <w:p>
      <w:pPr>
        <w:jc w:val="both"/>
      </w:pPr>
      <w:r>
        <w:rPr>
          <w:rFonts w:ascii="Arial" w:hAnsi="Arial" w:cs="Arial"/>
          <w:sz w:val="22"/>
        </w:rPr>
        <w:t xml:space="preserve">La inadmisión es motivada y se notifica dentro de los </w:t>
      </w:r>
      <w:r>
        <w:rPr>
          <w:rFonts w:ascii="Arial" w:hAnsi="Arial" w:cs="Arial"/>
          <w:b/>
          <w:sz w:val="22"/>
        </w:rPr>
        <w:t>cuarenta y cinco días hábiles</w:t>
      </w:r>
      <w:r>
        <w:rPr>
          <w:rFonts w:ascii="Arial" w:hAnsi="Arial" w:cs="Arial"/>
          <w:sz w:val="22"/>
        </w:rPr>
        <w:t xml:space="preserve"> siguientes a la presentación. Si se basa en existir procedimiento específico, identifica normas y órgano competente. Si no se inadmite en plazo, se entiende admitida a trámite.</w:t>
      </w:r>
    </w:p>
    <w:p>
      <w:pPr>
        <w:jc w:val="both"/>
      </w:pPr>
      <w:r>
        <w:rPr>
          <w:rFonts w:ascii="Arial" w:hAnsi="Arial" w:cs="Arial"/>
          <w:sz w:val="22"/>
        </w:rPr>
        <w:t xml:space="preserve">Si el destinatario es incompetente, remite a quien estime competente en </w:t>
      </w:r>
      <w:r>
        <w:rPr>
          <w:rFonts w:ascii="Arial" w:hAnsi="Arial" w:cs="Arial"/>
          <w:b/>
          <w:sz w:val="22"/>
        </w:rPr>
        <w:t>diez días</w:t>
      </w:r>
      <w:r>
        <w:rPr>
          <w:rFonts w:ascii="Arial" w:hAnsi="Arial" w:cs="Arial"/>
          <w:sz w:val="22"/>
        </w:rPr>
        <w:t xml:space="preserve"> y lo comunica. Admitida, la autoridad debe contestar y notificar en un máximo de </w:t>
      </w:r>
      <w:r>
        <w:rPr>
          <w:rFonts w:ascii="Arial" w:hAnsi="Arial" w:cs="Arial"/>
          <w:b/>
          <w:sz w:val="22"/>
        </w:rPr>
        <w:t>tres meses desde la presentación</w:t>
      </w:r>
      <w:r>
        <w:rPr>
          <w:rFonts w:ascii="Arial" w:hAnsi="Arial" w:cs="Arial"/>
          <w:sz w:val="22"/>
        </w:rPr>
        <w:t>. La respuesta indica cómo se ha considerado y las razones para acceder o no; si se estima fundada, deben adoptarse medidas oportunas para su efectividad.</w:t>
      </w:r>
    </w:p>
    <w:p>
      <w:pPr>
        <w:jc w:val="both"/>
      </w:pPr>
      <w:r>
        <w:rPr>
          <w:rFonts w:ascii="Arial" w:hAnsi="Arial" w:cs="Arial"/>
          <w:sz w:val="22"/>
        </w:rPr>
        <w:t>El derecho garantiza recepción, examen y respuesta motivada, no que se conceda lo pedido. Gozan de tutela jurisdiccional la inadmisión, la omisión de respuesta en plazo y una contestación sin contenido mínimo.</w:t>
      </w:r>
    </w:p>
    <w:p>
      <w:pPr>
        <w:pStyle w:val="Heading2"/>
        <w:keepNext/>
      </w:pPr>
      <w:r>
        <w:rPr>
          <w:rFonts w:ascii="Arial" w:hAnsi="Arial" w:cs="Arial"/>
          <w:sz w:val="25"/>
        </w:rPr>
        <w:t>9.4. Peculiaridades constitucionales</w:t>
      </w:r>
    </w:p>
    <w:p>
      <w:pPr>
        <w:jc w:val="both"/>
      </w:pPr>
      <w:r>
        <w:rPr>
          <w:rFonts w:ascii="Arial" w:hAnsi="Arial" w:cs="Arial"/>
          <w:sz w:val="22"/>
        </w:rPr>
        <w:t>Los miembros de Fuerzas o institutos armados o cuerpos sometidos a disciplina militar solo pueden ejercer el derecho individualmente y conforme a su legislación específica. Las peticiones a Congreso, Senado y asambleas legislativas siguen su régimen propio; las quejas al Defensor del Pueblo, el suyo.</w:t>
      </w:r>
    </w:p>
    <w:p>
      <w:pPr>
        <w:pStyle w:val="Heading1"/>
        <w:keepNext/>
      </w:pPr>
      <w:r>
        <w:rPr>
          <w:rFonts w:ascii="Arial" w:hAnsi="Arial" w:cs="Arial"/>
          <w:sz w:val="30"/>
        </w:rPr>
        <w:t>10. Cuadro comparativo integral</w:t>
      </w:r>
    </w:p>
    <w:tbl>
      <w:tblPr>
        <w:tblStyle w:val="TableGrid"/>
        <w:tblW w:type="dxa" w:w="9026"/>
        <w:jc w:val="left"/>
        <w:tblLayout w:type="fixed"/>
        <w:tblLook w:firstColumn="1" w:firstRow="1" w:lastColumn="0" w:lastRow="0" w:noHBand="0" w:noVBand="1" w:val="04A0"/>
        <w:tblInd w:w="120" w:type="dxa"/>
      </w:tblPr>
      <w:tblGrid>
        <w:gridCol w:w="2201"/>
        <w:gridCol w:w="2697"/>
        <w:gridCol w:w="2477"/>
        <w:gridCol w:w="1651"/>
      </w:tblGrid>
      <w:tr>
        <w:trPr>
          <w:tblHeader w:val="true"/>
        </w:trPr>
        <w:tc>
          <w:tcPr>
            <w:tcW w:type="dxa" w:w="2201"/>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Actuación</w:t>
            </w:r>
          </w:p>
        </w:tc>
        <w:tc>
          <w:tcPr>
            <w:tcW w:type="dxa" w:w="2697"/>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Finalidad</w:t>
            </w:r>
          </w:p>
        </w:tc>
        <w:tc>
          <w:tcPr>
            <w:tcW w:type="dxa" w:w="2477"/>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Plazo clave</w:t>
            </w:r>
          </w:p>
        </w:tc>
        <w:tc>
          <w:tcPr>
            <w:tcW w:type="dxa" w:w="1651"/>
            <w:tcMar>
              <w:top w:w="80" w:type="dxa"/>
              <w:start w:w="120" w:type="dxa"/>
              <w:bottom w:w="80" w:type="dxa"/>
              <w:end w:w="120" w:type="dxa"/>
            </w:tcMar>
            <w:vAlign w:val="center"/>
            <w:shd w:fill="D9EAF7"/>
          </w:tcPr>
          <w:p>
            <w:pPr>
              <w:spacing w:before="0" w:after="0" w:line="240" w:lineRule="auto"/>
              <w:jc w:val="center"/>
            </w:pPr>
            <w:r>
              <w:rPr>
                <w:b/>
                <w:color w:val="17365D"/>
              </w:rPr>
            </w:r>
            <w:r>
              <w:rPr>
                <w:rFonts w:ascii="Arial" w:hAnsi="Arial" w:cs="Arial"/>
                <w:b/>
                <w:color w:val="17365D"/>
                <w:sz w:val="18"/>
              </w:rPr>
              <w:t>Efecto</w:t>
            </w:r>
          </w:p>
        </w:tc>
      </w:tr>
      <w:tr>
        <w:tc>
          <w:tcPr>
            <w:tcW w:type="dxa" w:w="2201"/>
            <w:tcMar>
              <w:top w:w="80" w:type="dxa"/>
              <w:start w:w="120" w:type="dxa"/>
              <w:bottom w:w="80" w:type="dxa"/>
              <w:end w:w="120" w:type="dxa"/>
            </w:tcMar>
            <w:vAlign w:val="center"/>
          </w:tcPr>
          <w:p>
            <w:pPr>
              <w:spacing w:before="0" w:after="0" w:line="240" w:lineRule="auto"/>
              <w:jc w:val="left"/>
            </w:pPr>
            <w:r/>
            <w:r>
              <w:rPr>
                <w:rFonts w:ascii="Arial" w:hAnsi="Arial" w:cs="Arial"/>
                <w:sz w:val="18"/>
              </w:rPr>
              <w:t>Información general</w:t>
            </w:r>
          </w:p>
        </w:tc>
        <w:tc>
          <w:tcPr>
            <w:tcW w:type="dxa" w:w="2697"/>
            <w:tcMar>
              <w:top w:w="80" w:type="dxa"/>
              <w:start w:w="120" w:type="dxa"/>
              <w:bottom w:w="80" w:type="dxa"/>
              <w:end w:w="120" w:type="dxa"/>
            </w:tcMar>
            <w:vAlign w:val="center"/>
          </w:tcPr>
          <w:p>
            <w:pPr>
              <w:spacing w:before="0" w:after="0" w:line="240" w:lineRule="auto"/>
              <w:jc w:val="left"/>
            </w:pPr>
            <w:r/>
            <w:r>
              <w:rPr>
                <w:rFonts w:ascii="Arial" w:hAnsi="Arial" w:cs="Arial"/>
                <w:sz w:val="18"/>
              </w:rPr>
              <w:t>Conocer organización, requisitos y servicios</w:t>
            </w:r>
          </w:p>
        </w:tc>
        <w:tc>
          <w:tcPr>
            <w:tcW w:type="dxa" w:w="2477"/>
            <w:tcMar>
              <w:top w:w="80" w:type="dxa"/>
              <w:start w:w="120" w:type="dxa"/>
              <w:bottom w:w="80" w:type="dxa"/>
              <w:end w:w="120" w:type="dxa"/>
            </w:tcMar>
            <w:vAlign w:val="center"/>
          </w:tcPr>
          <w:p>
            <w:pPr>
              <w:spacing w:before="0" w:after="0" w:line="240" w:lineRule="auto"/>
              <w:jc w:val="left"/>
            </w:pPr>
            <w:r/>
            <w:r>
              <w:rPr>
                <w:rFonts w:ascii="Arial" w:hAnsi="Arial" w:cs="Arial"/>
                <w:sz w:val="18"/>
              </w:rPr>
              <w:t>Atención directa</w:t>
            </w:r>
          </w:p>
        </w:tc>
        <w:tc>
          <w:tcPr>
            <w:tcW w:type="dxa" w:w="1651"/>
            <w:tcMar>
              <w:top w:w="80" w:type="dxa"/>
              <w:start w:w="120" w:type="dxa"/>
              <w:bottom w:w="80" w:type="dxa"/>
              <w:end w:w="120" w:type="dxa"/>
            </w:tcMar>
            <w:vAlign w:val="center"/>
          </w:tcPr>
          <w:p>
            <w:pPr>
              <w:spacing w:before="0" w:after="0" w:line="240" w:lineRule="auto"/>
              <w:jc w:val="left"/>
            </w:pPr>
            <w:r/>
            <w:r>
              <w:rPr>
                <w:rFonts w:ascii="Arial" w:hAnsi="Arial" w:cs="Arial"/>
                <w:sz w:val="18"/>
              </w:rPr>
              <w:t>Sin legitimación</w:t>
            </w:r>
          </w:p>
        </w:tc>
      </w:tr>
      <w:tr>
        <w:tc>
          <w:tcPr>
            <w:tcW w:type="dxa" w:w="2201"/>
            <w:tcMar>
              <w:top w:w="80" w:type="dxa"/>
              <w:start w:w="120" w:type="dxa"/>
              <w:bottom w:w="80" w:type="dxa"/>
              <w:end w:w="120" w:type="dxa"/>
            </w:tcMar>
            <w:vAlign w:val="center"/>
          </w:tcPr>
          <w:p>
            <w:pPr>
              <w:spacing w:before="0" w:after="0" w:line="240" w:lineRule="auto"/>
              <w:jc w:val="left"/>
            </w:pPr>
            <w:r/>
            <w:r>
              <w:rPr>
                <w:rFonts w:ascii="Arial" w:hAnsi="Arial" w:cs="Arial"/>
                <w:sz w:val="18"/>
              </w:rPr>
              <w:t>Información particular</w:t>
            </w:r>
          </w:p>
        </w:tc>
        <w:tc>
          <w:tcPr>
            <w:tcW w:type="dxa" w:w="2697"/>
            <w:tcMar>
              <w:top w:w="80" w:type="dxa"/>
              <w:start w:w="120" w:type="dxa"/>
              <w:bottom w:w="80" w:type="dxa"/>
              <w:end w:w="120" w:type="dxa"/>
            </w:tcMar>
            <w:vAlign w:val="center"/>
          </w:tcPr>
          <w:p>
            <w:pPr>
              <w:spacing w:before="0" w:after="0" w:line="240" w:lineRule="auto"/>
              <w:jc w:val="left"/>
            </w:pPr>
            <w:r/>
            <w:r>
              <w:rPr>
                <w:rFonts w:ascii="Arial" w:hAnsi="Arial" w:cs="Arial"/>
                <w:sz w:val="18"/>
              </w:rPr>
              <w:t>Conocer expediente propio</w:t>
            </w:r>
          </w:p>
        </w:tc>
        <w:tc>
          <w:tcPr>
            <w:tcW w:type="dxa" w:w="2477"/>
            <w:tcMar>
              <w:top w:w="80" w:type="dxa"/>
              <w:start w:w="120" w:type="dxa"/>
              <w:bottom w:w="80" w:type="dxa"/>
              <w:end w:w="120" w:type="dxa"/>
            </w:tcMar>
            <w:vAlign w:val="center"/>
          </w:tcPr>
          <w:p>
            <w:pPr>
              <w:spacing w:before="0" w:after="0" w:line="240" w:lineRule="auto"/>
              <w:jc w:val="left"/>
            </w:pPr>
            <w:r/>
            <w:r>
              <w:rPr>
                <w:rFonts w:ascii="Arial" w:hAnsi="Arial" w:cs="Arial"/>
                <w:sz w:val="18"/>
              </w:rPr>
              <w:t>Según canal/procedimiento</w:t>
            </w:r>
          </w:p>
        </w:tc>
        <w:tc>
          <w:tcPr>
            <w:tcW w:type="dxa" w:w="1651"/>
            <w:tcMar>
              <w:top w:w="80" w:type="dxa"/>
              <w:start w:w="120" w:type="dxa"/>
              <w:bottom w:w="80" w:type="dxa"/>
              <w:end w:w="120" w:type="dxa"/>
            </w:tcMar>
            <w:vAlign w:val="center"/>
          </w:tcPr>
          <w:p>
            <w:pPr>
              <w:spacing w:before="0" w:after="0" w:line="240" w:lineRule="auto"/>
              <w:jc w:val="left"/>
            </w:pPr>
            <w:r/>
            <w:r>
              <w:rPr>
                <w:rFonts w:ascii="Arial" w:hAnsi="Arial" w:cs="Arial"/>
                <w:sz w:val="18"/>
              </w:rPr>
              <w:t>Solo interesado o representante</w:t>
            </w:r>
          </w:p>
        </w:tc>
      </w:tr>
      <w:tr>
        <w:tc>
          <w:tcPr>
            <w:tcW w:type="dxa" w:w="2201"/>
            <w:tcMar>
              <w:top w:w="80" w:type="dxa"/>
              <w:start w:w="120" w:type="dxa"/>
              <w:bottom w:w="80" w:type="dxa"/>
              <w:end w:w="120" w:type="dxa"/>
            </w:tcMar>
            <w:vAlign w:val="center"/>
          </w:tcPr>
          <w:p>
            <w:pPr>
              <w:spacing w:before="0" w:after="0" w:line="240" w:lineRule="auto"/>
              <w:jc w:val="left"/>
            </w:pPr>
            <w:r/>
            <w:r>
              <w:rPr>
                <w:rFonts w:ascii="Arial" w:hAnsi="Arial" w:cs="Arial"/>
                <w:sz w:val="18"/>
              </w:rPr>
              <w:t>Acceso a información pública</w:t>
            </w:r>
          </w:p>
        </w:tc>
        <w:tc>
          <w:tcPr>
            <w:tcW w:type="dxa" w:w="2697"/>
            <w:tcMar>
              <w:top w:w="80" w:type="dxa"/>
              <w:start w:w="120" w:type="dxa"/>
              <w:bottom w:w="80" w:type="dxa"/>
              <w:end w:w="120" w:type="dxa"/>
            </w:tcMar>
            <w:vAlign w:val="center"/>
          </w:tcPr>
          <w:p>
            <w:pPr>
              <w:spacing w:before="0" w:after="0" w:line="240" w:lineRule="auto"/>
              <w:jc w:val="left"/>
            </w:pPr>
            <w:r/>
            <w:r>
              <w:rPr>
                <w:rFonts w:ascii="Arial" w:hAnsi="Arial" w:cs="Arial"/>
                <w:sz w:val="18"/>
              </w:rPr>
              <w:t>Obtener contenidos/documentos públicos</w:t>
            </w:r>
          </w:p>
        </w:tc>
        <w:tc>
          <w:tcPr>
            <w:tcW w:type="dxa" w:w="2477"/>
            <w:tcMar>
              <w:top w:w="80" w:type="dxa"/>
              <w:start w:w="120" w:type="dxa"/>
              <w:bottom w:w="80" w:type="dxa"/>
              <w:end w:w="120" w:type="dxa"/>
            </w:tcMar>
            <w:vAlign w:val="center"/>
          </w:tcPr>
          <w:p>
            <w:pPr>
              <w:spacing w:before="0" w:after="0" w:line="240" w:lineRule="auto"/>
              <w:jc w:val="left"/>
            </w:pPr>
            <w:r/>
            <w:r>
              <w:rPr>
                <w:rFonts w:ascii="Arial" w:hAnsi="Arial" w:cs="Arial"/>
                <w:sz w:val="18"/>
              </w:rPr>
              <w:t>1 mes, ampliable otro</w:t>
            </w:r>
          </w:p>
        </w:tc>
        <w:tc>
          <w:tcPr>
            <w:tcW w:type="dxa" w:w="1651"/>
            <w:tcMar>
              <w:top w:w="80" w:type="dxa"/>
              <w:start w:w="120" w:type="dxa"/>
              <w:bottom w:w="80" w:type="dxa"/>
              <w:end w:w="120" w:type="dxa"/>
            </w:tcMar>
            <w:vAlign w:val="center"/>
          </w:tcPr>
          <w:p>
            <w:pPr>
              <w:spacing w:before="0" w:after="0" w:line="240" w:lineRule="auto"/>
              <w:jc w:val="left"/>
            </w:pPr>
            <w:r/>
            <w:r>
              <w:rPr>
                <w:rFonts w:ascii="Arial" w:hAnsi="Arial" w:cs="Arial"/>
                <w:sz w:val="18"/>
              </w:rPr>
              <w:t>Resolución de acceso o denegación</w:t>
            </w:r>
          </w:p>
        </w:tc>
      </w:tr>
      <w:tr>
        <w:tc>
          <w:tcPr>
            <w:tcW w:type="dxa" w:w="2201"/>
            <w:tcMar>
              <w:top w:w="80" w:type="dxa"/>
              <w:start w:w="120" w:type="dxa"/>
              <w:bottom w:w="80" w:type="dxa"/>
              <w:end w:w="120" w:type="dxa"/>
            </w:tcMar>
            <w:vAlign w:val="center"/>
          </w:tcPr>
          <w:p>
            <w:pPr>
              <w:spacing w:before="0" w:after="0" w:line="240" w:lineRule="auto"/>
              <w:jc w:val="left"/>
            </w:pPr>
            <w:r/>
            <w:r>
              <w:rPr>
                <w:rFonts w:ascii="Arial" w:hAnsi="Arial" w:cs="Arial"/>
                <w:sz w:val="18"/>
              </w:rPr>
              <w:t>Sugerencia</w:t>
            </w:r>
          </w:p>
        </w:tc>
        <w:tc>
          <w:tcPr>
            <w:tcW w:type="dxa" w:w="2697"/>
            <w:tcMar>
              <w:top w:w="80" w:type="dxa"/>
              <w:start w:w="120" w:type="dxa"/>
              <w:bottom w:w="80" w:type="dxa"/>
              <w:end w:w="120" w:type="dxa"/>
            </w:tcMar>
            <w:vAlign w:val="center"/>
          </w:tcPr>
          <w:p>
            <w:pPr>
              <w:spacing w:before="0" w:after="0" w:line="240" w:lineRule="auto"/>
              <w:jc w:val="center"/>
            </w:pPr>
            <w:r/>
            <w:r>
              <w:rPr>
                <w:rFonts w:ascii="Arial" w:hAnsi="Arial" w:cs="Arial"/>
                <w:sz w:val="18"/>
              </w:rPr>
              <w:t>Proponer mejora</w:t>
            </w:r>
          </w:p>
        </w:tc>
        <w:tc>
          <w:tcPr>
            <w:tcW w:type="dxa" w:w="2477"/>
            <w:tcMar>
              <w:top w:w="80" w:type="dxa"/>
              <w:start w:w="120" w:type="dxa"/>
              <w:bottom w:w="80" w:type="dxa"/>
              <w:end w:w="120" w:type="dxa"/>
            </w:tcMar>
            <w:vAlign w:val="center"/>
          </w:tcPr>
          <w:p>
            <w:pPr>
              <w:spacing w:before="0" w:after="0" w:line="240" w:lineRule="auto"/>
              <w:jc w:val="left"/>
            </w:pPr>
            <w:r/>
            <w:r>
              <w:rPr>
                <w:rFonts w:ascii="Arial" w:hAnsi="Arial" w:cs="Arial"/>
                <w:sz w:val="18"/>
              </w:rPr>
              <w:t>Respuesta en 20 días hábiles en RD 951/2005</w:t>
            </w:r>
          </w:p>
        </w:tc>
        <w:tc>
          <w:tcPr>
            <w:tcW w:type="dxa" w:w="1651"/>
            <w:tcMar>
              <w:top w:w="80" w:type="dxa"/>
              <w:start w:w="120" w:type="dxa"/>
              <w:bottom w:w="80" w:type="dxa"/>
              <w:end w:w="120" w:type="dxa"/>
            </w:tcMar>
            <w:vAlign w:val="center"/>
          </w:tcPr>
          <w:p>
            <w:pPr>
              <w:spacing w:before="0" w:after="0" w:line="240" w:lineRule="auto"/>
              <w:jc w:val="left"/>
            </w:pPr>
            <w:r/>
            <w:r>
              <w:rPr>
                <w:rFonts w:ascii="Arial" w:hAnsi="Arial" w:cs="Arial"/>
                <w:sz w:val="18"/>
              </w:rPr>
              <w:t>No obliga a aceptar</w:t>
            </w:r>
          </w:p>
        </w:tc>
      </w:tr>
      <w:tr>
        <w:tc>
          <w:tcPr>
            <w:tcW w:type="dxa" w:w="2201"/>
            <w:tcMar>
              <w:top w:w="80" w:type="dxa"/>
              <w:start w:w="120" w:type="dxa"/>
              <w:bottom w:w="80" w:type="dxa"/>
              <w:end w:w="120" w:type="dxa"/>
            </w:tcMar>
            <w:vAlign w:val="center"/>
          </w:tcPr>
          <w:p>
            <w:pPr>
              <w:spacing w:before="0" w:after="0" w:line="240" w:lineRule="auto"/>
              <w:jc w:val="left"/>
            </w:pPr>
            <w:r/>
            <w:r>
              <w:rPr>
                <w:rFonts w:ascii="Arial" w:hAnsi="Arial" w:cs="Arial"/>
                <w:sz w:val="18"/>
              </w:rPr>
              <w:t>Queja de calidad</w:t>
            </w:r>
          </w:p>
        </w:tc>
        <w:tc>
          <w:tcPr>
            <w:tcW w:type="dxa" w:w="2697"/>
            <w:tcMar>
              <w:top w:w="80" w:type="dxa"/>
              <w:start w:w="120" w:type="dxa"/>
              <w:bottom w:w="80" w:type="dxa"/>
              <w:end w:w="120" w:type="dxa"/>
            </w:tcMar>
            <w:vAlign w:val="center"/>
          </w:tcPr>
          <w:p>
            <w:pPr>
              <w:spacing w:before="0" w:after="0" w:line="240" w:lineRule="auto"/>
              <w:jc w:val="left"/>
            </w:pPr>
            <w:r/>
            <w:r>
              <w:rPr>
                <w:rFonts w:ascii="Arial" w:hAnsi="Arial" w:cs="Arial"/>
                <w:sz w:val="18"/>
              </w:rPr>
              <w:t>Manifestar insatisfacción</w:t>
            </w:r>
          </w:p>
        </w:tc>
        <w:tc>
          <w:tcPr>
            <w:tcW w:type="dxa" w:w="2477"/>
            <w:tcMar>
              <w:top w:w="80" w:type="dxa"/>
              <w:start w:w="120" w:type="dxa"/>
              <w:bottom w:w="80" w:type="dxa"/>
              <w:end w:w="120" w:type="dxa"/>
            </w:tcMar>
            <w:vAlign w:val="center"/>
          </w:tcPr>
          <w:p>
            <w:pPr>
              <w:spacing w:before="0" w:after="0" w:line="240" w:lineRule="auto"/>
              <w:jc w:val="left"/>
            </w:pPr>
            <w:r/>
            <w:r>
              <w:rPr>
                <w:rFonts w:ascii="Arial" w:hAnsi="Arial" w:cs="Arial"/>
                <w:sz w:val="18"/>
              </w:rPr>
              <w:t>20 días hábiles; aclaración 10</w:t>
            </w:r>
          </w:p>
        </w:tc>
        <w:tc>
          <w:tcPr>
            <w:tcW w:type="dxa" w:w="1651"/>
            <w:tcMar>
              <w:top w:w="80" w:type="dxa"/>
              <w:start w:w="120" w:type="dxa"/>
              <w:bottom w:w="80" w:type="dxa"/>
              <w:end w:w="120" w:type="dxa"/>
            </w:tcMar>
            <w:vAlign w:val="center"/>
          </w:tcPr>
          <w:p>
            <w:pPr>
              <w:spacing w:before="0" w:after="0" w:line="240" w:lineRule="auto"/>
              <w:jc w:val="left"/>
            </w:pPr>
            <w:r/>
            <w:r>
              <w:rPr>
                <w:rFonts w:ascii="Arial" w:hAnsi="Arial" w:cs="Arial"/>
                <w:sz w:val="18"/>
              </w:rPr>
              <w:t>No es recurso ni interrumpe plazo</w:t>
            </w:r>
          </w:p>
        </w:tc>
      </w:tr>
      <w:tr>
        <w:tc>
          <w:tcPr>
            <w:tcW w:type="dxa" w:w="2201"/>
            <w:tcMar>
              <w:top w:w="80" w:type="dxa"/>
              <w:start w:w="120" w:type="dxa"/>
              <w:bottom w:w="80" w:type="dxa"/>
              <w:end w:w="120" w:type="dxa"/>
            </w:tcMar>
            <w:vAlign w:val="center"/>
          </w:tcPr>
          <w:p>
            <w:pPr>
              <w:spacing w:before="0" w:after="0" w:line="240" w:lineRule="auto"/>
              <w:jc w:val="left"/>
            </w:pPr>
            <w:r/>
            <w:r>
              <w:rPr>
                <w:rFonts w:ascii="Arial" w:hAnsi="Arial" w:cs="Arial"/>
                <w:sz w:val="18"/>
              </w:rPr>
              <w:t>Petición</w:t>
            </w:r>
          </w:p>
        </w:tc>
        <w:tc>
          <w:tcPr>
            <w:tcW w:type="dxa" w:w="2697"/>
            <w:tcMar>
              <w:top w:w="80" w:type="dxa"/>
              <w:start w:w="120" w:type="dxa"/>
              <w:bottom w:w="80" w:type="dxa"/>
              <w:end w:w="120" w:type="dxa"/>
            </w:tcMar>
            <w:vAlign w:val="center"/>
          </w:tcPr>
          <w:p>
            <w:pPr>
              <w:spacing w:before="0" w:after="0" w:line="240" w:lineRule="auto"/>
              <w:jc w:val="left"/>
            </w:pPr>
            <w:r/>
            <w:r>
              <w:rPr>
                <w:rFonts w:ascii="Arial" w:hAnsi="Arial" w:cs="Arial"/>
                <w:sz w:val="18"/>
              </w:rPr>
              <w:t>Promover actuación sin procedimiento específico</w:t>
            </w:r>
          </w:p>
        </w:tc>
        <w:tc>
          <w:tcPr>
            <w:tcW w:type="dxa" w:w="2477"/>
            <w:tcMar>
              <w:top w:w="80" w:type="dxa"/>
              <w:start w:w="120" w:type="dxa"/>
              <w:bottom w:w="80" w:type="dxa"/>
              <w:end w:w="120" w:type="dxa"/>
            </w:tcMar>
            <w:vAlign w:val="center"/>
          </w:tcPr>
          <w:p>
            <w:pPr>
              <w:spacing w:before="0" w:after="0" w:line="240" w:lineRule="auto"/>
              <w:jc w:val="left"/>
            </w:pPr>
            <w:r/>
            <w:r>
              <w:rPr>
                <w:rFonts w:ascii="Arial" w:hAnsi="Arial" w:cs="Arial"/>
                <w:sz w:val="18"/>
              </w:rPr>
              <w:t>Acuse 10 días; inadmisión 45 hábiles; respuesta 3 meses</w:t>
            </w:r>
          </w:p>
        </w:tc>
        <w:tc>
          <w:tcPr>
            <w:tcW w:type="dxa" w:w="1651"/>
            <w:tcMar>
              <w:top w:w="80" w:type="dxa"/>
              <w:start w:w="120" w:type="dxa"/>
              <w:bottom w:w="80" w:type="dxa"/>
              <w:end w:w="120" w:type="dxa"/>
            </w:tcMar>
            <w:vAlign w:val="center"/>
          </w:tcPr>
          <w:p>
            <w:pPr>
              <w:spacing w:before="0" w:after="0" w:line="240" w:lineRule="auto"/>
              <w:jc w:val="left"/>
            </w:pPr>
            <w:r/>
            <w:r>
              <w:rPr>
                <w:rFonts w:ascii="Arial" w:hAnsi="Arial" w:cs="Arial"/>
                <w:sz w:val="18"/>
              </w:rPr>
              <w:t>Derecho a respuesta, no a estimación</w:t>
            </w:r>
          </w:p>
        </w:tc>
      </w:tr>
      <w:tr>
        <w:tc>
          <w:tcPr>
            <w:tcW w:type="dxa" w:w="2201"/>
            <w:tcMar>
              <w:top w:w="80" w:type="dxa"/>
              <w:start w:w="120" w:type="dxa"/>
              <w:bottom w:w="80" w:type="dxa"/>
              <w:end w:w="120" w:type="dxa"/>
            </w:tcMar>
            <w:vAlign w:val="center"/>
          </w:tcPr>
          <w:p>
            <w:pPr>
              <w:spacing w:before="0" w:after="0" w:line="240" w:lineRule="auto"/>
              <w:jc w:val="left"/>
            </w:pPr>
            <w:r/>
            <w:r>
              <w:rPr>
                <w:rFonts w:ascii="Arial" w:hAnsi="Arial" w:cs="Arial"/>
                <w:sz w:val="18"/>
              </w:rPr>
              <w:t>Queja de accesibilidad digital estatal</w:t>
            </w:r>
          </w:p>
        </w:tc>
        <w:tc>
          <w:tcPr>
            <w:tcW w:type="dxa" w:w="2697"/>
            <w:tcMar>
              <w:top w:w="80" w:type="dxa"/>
              <w:start w:w="120" w:type="dxa"/>
              <w:bottom w:w="80" w:type="dxa"/>
              <w:end w:w="120" w:type="dxa"/>
            </w:tcMar>
            <w:vAlign w:val="center"/>
          </w:tcPr>
          <w:p>
            <w:pPr>
              <w:spacing w:before="0" w:after="0" w:line="240" w:lineRule="auto"/>
              <w:jc w:val="left"/>
            </w:pPr>
            <w:r/>
            <w:r>
              <w:rPr>
                <w:rFonts w:ascii="Arial" w:hAnsi="Arial" w:cs="Arial"/>
                <w:sz w:val="18"/>
              </w:rPr>
              <w:t>Denunciar incumplimiento o pedir información accesible</w:t>
            </w:r>
          </w:p>
        </w:tc>
        <w:tc>
          <w:tcPr>
            <w:tcW w:type="dxa" w:w="2477"/>
            <w:tcMar>
              <w:top w:w="80" w:type="dxa"/>
              <w:start w:w="120" w:type="dxa"/>
              <w:bottom w:w="80" w:type="dxa"/>
              <w:end w:w="120" w:type="dxa"/>
            </w:tcMar>
            <w:vAlign w:val="center"/>
          </w:tcPr>
          <w:p>
            <w:pPr>
              <w:spacing w:before="0" w:after="0" w:line="240" w:lineRule="auto"/>
              <w:jc w:val="center"/>
            </w:pPr>
            <w:r/>
            <w:r>
              <w:rPr>
                <w:rFonts w:ascii="Arial" w:hAnsi="Arial" w:cs="Arial"/>
                <w:sz w:val="18"/>
              </w:rPr>
              <w:t>20 días hábiles</w:t>
            </w:r>
          </w:p>
        </w:tc>
        <w:tc>
          <w:tcPr>
            <w:tcW w:type="dxa" w:w="1651"/>
            <w:tcMar>
              <w:top w:w="80" w:type="dxa"/>
              <w:start w:w="120" w:type="dxa"/>
              <w:bottom w:w="80" w:type="dxa"/>
              <w:end w:w="120" w:type="dxa"/>
            </w:tcMar>
            <w:vAlign w:val="center"/>
          </w:tcPr>
          <w:p>
            <w:pPr>
              <w:spacing w:before="0" w:after="0" w:line="240" w:lineRule="auto"/>
              <w:jc w:val="left"/>
            </w:pPr>
            <w:r/>
            <w:r>
              <w:rPr>
                <w:rFonts w:ascii="Arial" w:hAnsi="Arial" w:cs="Arial"/>
                <w:sz w:val="18"/>
              </w:rPr>
              <w:t>Puede preceder reclamación</w:t>
            </w:r>
          </w:p>
        </w:tc>
      </w:tr>
      <w:tr>
        <w:tc>
          <w:tcPr>
            <w:tcW w:type="dxa" w:w="2201"/>
            <w:tcMar>
              <w:top w:w="80" w:type="dxa"/>
              <w:start w:w="120" w:type="dxa"/>
              <w:bottom w:w="80" w:type="dxa"/>
              <w:end w:w="120" w:type="dxa"/>
            </w:tcMar>
            <w:vAlign w:val="center"/>
          </w:tcPr>
          <w:p>
            <w:pPr>
              <w:spacing w:before="0" w:after="0" w:line="240" w:lineRule="auto"/>
              <w:jc w:val="left"/>
            </w:pPr>
            <w:r/>
            <w:r>
              <w:rPr>
                <w:rFonts w:ascii="Arial" w:hAnsi="Arial" w:cs="Arial"/>
                <w:sz w:val="18"/>
              </w:rPr>
              <w:t>Reclamación de accesibilidad digital estatal</w:t>
            </w:r>
          </w:p>
        </w:tc>
        <w:tc>
          <w:tcPr>
            <w:tcW w:type="dxa" w:w="2697"/>
            <w:tcMar>
              <w:top w:w="80" w:type="dxa"/>
              <w:start w:w="120" w:type="dxa"/>
              <w:bottom w:w="80" w:type="dxa"/>
              <w:end w:w="120" w:type="dxa"/>
            </w:tcMar>
            <w:vAlign w:val="center"/>
          </w:tcPr>
          <w:p>
            <w:pPr>
              <w:spacing w:before="0" w:after="0" w:line="240" w:lineRule="auto"/>
              <w:jc w:val="left"/>
            </w:pPr>
            <w:r/>
            <w:r>
              <w:rPr>
                <w:rFonts w:ascii="Arial" w:hAnsi="Arial" w:cs="Arial"/>
                <w:sz w:val="18"/>
              </w:rPr>
              <w:t>Revisar respuesta o falta de ella</w:t>
            </w:r>
          </w:p>
        </w:tc>
        <w:tc>
          <w:tcPr>
            <w:tcW w:type="dxa" w:w="2477"/>
            <w:tcMar>
              <w:top w:w="80" w:type="dxa"/>
              <w:start w:w="120" w:type="dxa"/>
              <w:bottom w:w="80" w:type="dxa"/>
              <w:end w:w="120" w:type="dxa"/>
            </w:tcMar>
            <w:vAlign w:val="center"/>
          </w:tcPr>
          <w:p>
            <w:pPr>
              <w:spacing w:before="0" w:after="0" w:line="240" w:lineRule="auto"/>
              <w:jc w:val="left"/>
            </w:pPr>
            <w:r/>
            <w:r>
              <w:rPr>
                <w:rFonts w:ascii="Arial" w:hAnsi="Arial" w:cs="Arial"/>
                <w:sz w:val="18"/>
              </w:rPr>
              <w:t>Resolución en 2 meses</w:t>
            </w:r>
          </w:p>
        </w:tc>
        <w:tc>
          <w:tcPr>
            <w:tcW w:type="dxa" w:w="1651"/>
            <w:tcMar>
              <w:top w:w="80" w:type="dxa"/>
              <w:start w:w="120" w:type="dxa"/>
              <w:bottom w:w="80" w:type="dxa"/>
              <w:end w:w="120" w:type="dxa"/>
            </w:tcMar>
            <w:vAlign w:val="center"/>
          </w:tcPr>
          <w:p>
            <w:pPr>
              <w:spacing w:before="0" w:after="0" w:line="240" w:lineRule="auto"/>
              <w:jc w:val="left"/>
            </w:pPr>
            <w:r/>
            <w:r>
              <w:rPr>
                <w:rFonts w:ascii="Arial" w:hAnsi="Arial" w:cs="Arial"/>
                <w:sz w:val="18"/>
              </w:rPr>
              <w:t>Admite recursos procedentes</w:t>
            </w:r>
          </w:p>
        </w:tc>
      </w:tr>
    </w:tbl>
    <w:p>
      <w:pPr>
        <w:spacing w:after="40"/>
      </w:pPr>
    </w:p>
    <w:p>
      <w:pPr>
        <w:pStyle w:val="Heading1"/>
        <w:keepNext/>
      </w:pPr>
      <w:r>
        <w:rPr>
          <w:rFonts w:ascii="Arial" w:hAnsi="Arial" w:cs="Arial"/>
          <w:sz w:val="30"/>
        </w:rPr>
        <w:t>11. Supuestos prácticos y trampas</w:t>
      </w:r>
    </w:p>
    <w:p>
      <w:pPr>
        <w:pStyle w:val="Heading2"/>
        <w:keepNext/>
      </w:pPr>
      <w:r>
        <w:rPr>
          <w:rFonts w:ascii="Arial" w:hAnsi="Arial" w:cs="Arial"/>
          <w:sz w:val="25"/>
        </w:rPr>
        <w:t>Supuesto 1</w:t>
      </w:r>
    </w:p>
    <w:p>
      <w:pPr>
        <w:jc w:val="both"/>
      </w:pPr>
      <w:r>
        <w:rPr>
          <w:rFonts w:ascii="Arial" w:hAnsi="Arial" w:cs="Arial"/>
          <w:sz w:val="22"/>
        </w:rPr>
        <w:t>Una persona pregunta dónde presentar una solicitud y qué documentos exige. Es información general: no se pide legitimación. Si pregunta si su solicitud concreta tiene informe favorable, es particular y debe identificarse como interesada o representante.</w:t>
      </w:r>
    </w:p>
    <w:p>
      <w:pPr>
        <w:pStyle w:val="Heading2"/>
        <w:keepNext/>
      </w:pPr>
      <w:r>
        <w:rPr>
          <w:rFonts w:ascii="Arial" w:hAnsi="Arial" w:cs="Arial"/>
          <w:sz w:val="25"/>
        </w:rPr>
        <w:t>Supuesto 2</w:t>
      </w:r>
    </w:p>
    <w:p>
      <w:pPr>
        <w:jc w:val="both"/>
      </w:pPr>
      <w:r>
        <w:rPr>
          <w:rFonts w:ascii="Arial" w:hAnsi="Arial" w:cs="Arial"/>
          <w:sz w:val="22"/>
        </w:rPr>
        <w:t>Una sociedad limitada entrega en papel una solicitud. Está obligada electrónicamente. Se requiere subsanación electrónica y la fecha válida será la de esa subsanación.</w:t>
      </w:r>
    </w:p>
    <w:p>
      <w:pPr>
        <w:pStyle w:val="Heading2"/>
        <w:keepNext/>
      </w:pPr>
      <w:r>
        <w:rPr>
          <w:rFonts w:ascii="Arial" w:hAnsi="Arial" w:cs="Arial"/>
          <w:sz w:val="25"/>
        </w:rPr>
        <w:t>Supuesto 3</w:t>
      </w:r>
    </w:p>
    <w:p>
      <w:pPr>
        <w:jc w:val="both"/>
      </w:pPr>
      <w:r>
        <w:rPr>
          <w:rFonts w:ascii="Arial" w:hAnsi="Arial" w:cs="Arial"/>
          <w:sz w:val="22"/>
        </w:rPr>
        <w:t>Una persona física no obligada carece de certificado. Debe recibir asistencia; un funcionario habilitado puede identificarla o firmar, con consentimiento expreso y constancia.</w:t>
      </w:r>
    </w:p>
    <w:p>
      <w:pPr>
        <w:pStyle w:val="Heading2"/>
        <w:keepNext/>
      </w:pPr>
      <w:r>
        <w:rPr>
          <w:rFonts w:ascii="Arial" w:hAnsi="Arial" w:cs="Arial"/>
          <w:sz w:val="25"/>
        </w:rPr>
        <w:t>Supuesto 4</w:t>
      </w:r>
    </w:p>
    <w:p>
      <w:pPr>
        <w:jc w:val="both"/>
      </w:pPr>
      <w:r>
        <w:rPr>
          <w:rFonts w:ascii="Arial" w:hAnsi="Arial" w:cs="Arial"/>
          <w:sz w:val="22"/>
        </w:rPr>
        <w:t>Una usuaria presenta queja por espera y, además, pretende anular una resolución. La queja tramita calidad, pero no impugna el acto ni suspende plazo de recurso. Deben explicarse ambas vías sin confundirlas.</w:t>
      </w:r>
    </w:p>
    <w:p>
      <w:pPr>
        <w:pStyle w:val="Heading2"/>
        <w:keepNext/>
      </w:pPr>
      <w:r>
        <w:rPr>
          <w:rFonts w:ascii="Arial" w:hAnsi="Arial" w:cs="Arial"/>
          <w:sz w:val="25"/>
        </w:rPr>
        <w:t>Supuesto 5</w:t>
      </w:r>
    </w:p>
    <w:p>
      <w:pPr>
        <w:jc w:val="both"/>
      </w:pPr>
      <w:r>
        <w:rPr>
          <w:rFonts w:ascii="Arial" w:hAnsi="Arial" w:cs="Arial"/>
          <w:sz w:val="22"/>
        </w:rPr>
        <w:t>Se pide mediante derecho de petición una prestación que tiene procedimiento regulado. La petición es inadecuada porque existe vía específica; la inadmisión debe ser motivada e indicar norma y órgano.</w:t>
      </w:r>
    </w:p>
    <w:p>
      <w:pPr>
        <w:pStyle w:val="Heading2"/>
        <w:keepNext/>
      </w:pPr>
      <w:r>
        <w:rPr>
          <w:rFonts w:ascii="Arial" w:hAnsi="Arial" w:cs="Arial"/>
          <w:sz w:val="25"/>
        </w:rPr>
        <w:t>Supuesto 6</w:t>
      </w:r>
    </w:p>
    <w:p>
      <w:pPr>
        <w:jc w:val="both"/>
      </w:pPr>
      <w:r>
        <w:rPr>
          <w:rFonts w:ascii="Arial" w:hAnsi="Arial" w:cs="Arial"/>
          <w:sz w:val="22"/>
        </w:rPr>
        <w:t>Una web alega falta de tiempo para no ser accesible. No es causa válida de carga desproporcionada. Se necesita evaluación real, escrita y periódica.</w:t>
      </w:r>
    </w:p>
    <w:p>
      <w:pPr>
        <w:pStyle w:val="Heading2"/>
        <w:keepNext/>
      </w:pPr>
      <w:r>
        <w:rPr>
          <w:rFonts w:ascii="Arial" w:hAnsi="Arial" w:cs="Arial"/>
          <w:sz w:val="25"/>
        </w:rPr>
        <w:t>Trampas de examen</w:t>
      </w:r>
    </w:p>
    <w:p>
      <w:pPr>
        <w:spacing w:after="40"/>
        <w:ind w:left="369" w:hanging="227"/>
      </w:pPr>
      <w:r>
        <w:rPr>
          <w:rFonts w:ascii="Arial" w:hAnsi="Arial" w:cs="Arial"/>
          <w:sz w:val="22"/>
        </w:rPr>
        <w:t xml:space="preserve">1. La información general </w:t>
      </w:r>
      <w:r>
        <w:rPr>
          <w:rFonts w:ascii="Arial" w:hAnsi="Arial" w:cs="Arial"/>
          <w:b/>
          <w:sz w:val="22"/>
        </w:rPr>
        <w:t>no exige legitimación</w:t>
      </w:r>
      <w:r>
        <w:rPr>
          <w:rFonts w:ascii="Arial" w:hAnsi="Arial" w:cs="Arial"/>
          <w:sz w:val="22"/>
        </w:rPr>
        <w:t>; la particular sí.</w:t>
      </w:r>
    </w:p>
    <w:p>
      <w:pPr>
        <w:spacing w:after="40"/>
        <w:ind w:left="369" w:hanging="227"/>
      </w:pPr>
      <w:r>
        <w:rPr>
          <w:rFonts w:ascii="Arial" w:hAnsi="Arial" w:cs="Arial"/>
          <w:sz w:val="22"/>
        </w:rPr>
        <w:t>2. Orientar no equivale a emitir opinión jurídica o económica.</w:t>
      </w:r>
    </w:p>
    <w:p>
      <w:pPr>
        <w:spacing w:after="40"/>
        <w:ind w:left="369" w:hanging="227"/>
      </w:pPr>
      <w:r>
        <w:rPr>
          <w:rFonts w:ascii="Arial" w:hAnsi="Arial" w:cs="Arial"/>
          <w:sz w:val="22"/>
        </w:rPr>
        <w:t>3. Toda persona física no es automáticamente libre del canal electrónico: puede estar obligada por profesión, representación, condición de empleado o reglamento.</w:t>
      </w:r>
    </w:p>
    <w:p>
      <w:pPr>
        <w:spacing w:after="40"/>
        <w:ind w:left="369" w:hanging="227"/>
      </w:pPr>
      <w:r>
        <w:rPr>
          <w:rFonts w:ascii="Arial" w:hAnsi="Arial" w:cs="Arial"/>
          <w:sz w:val="22"/>
        </w:rPr>
        <w:t xml:space="preserve">4. La queja de calidad </w:t>
      </w:r>
      <w:r>
        <w:rPr>
          <w:rFonts w:ascii="Arial" w:hAnsi="Arial" w:cs="Arial"/>
          <w:b/>
          <w:sz w:val="22"/>
        </w:rPr>
        <w:t>no es recurso</w:t>
      </w:r>
      <w:r>
        <w:rPr>
          <w:rFonts w:ascii="Arial" w:hAnsi="Arial" w:cs="Arial"/>
          <w:sz w:val="22"/>
        </w:rPr>
        <w:t xml:space="preserve"> y </w:t>
      </w:r>
      <w:r>
        <w:rPr>
          <w:rFonts w:ascii="Arial" w:hAnsi="Arial" w:cs="Arial"/>
          <w:b/>
          <w:sz w:val="22"/>
        </w:rPr>
        <w:t>no interrumpe plazos</w:t>
      </w:r>
      <w:r>
        <w:rPr>
          <w:rFonts w:ascii="Arial" w:hAnsi="Arial" w:cs="Arial"/>
          <w:sz w:val="22"/>
        </w:rPr>
        <w:t>.</w:t>
      </w:r>
    </w:p>
    <w:p>
      <w:pPr>
        <w:spacing w:after="40"/>
        <w:ind w:left="369" w:hanging="227"/>
      </w:pPr>
      <w:r>
        <w:rPr>
          <w:rFonts w:ascii="Arial" w:hAnsi="Arial" w:cs="Arial"/>
          <w:sz w:val="22"/>
        </w:rPr>
        <w:t>5. El capítulo III del Real Decreto 208/1996 sobre antiguas quejas quedó derogado; rige el programa del Real Decreto 951/2005.</w:t>
      </w:r>
    </w:p>
    <w:p>
      <w:pPr>
        <w:spacing w:after="40"/>
        <w:ind w:left="369" w:hanging="227"/>
      </w:pPr>
      <w:r>
        <w:rPr>
          <w:rFonts w:ascii="Arial" w:hAnsi="Arial" w:cs="Arial"/>
          <w:sz w:val="22"/>
        </w:rPr>
        <w:t>6. La petición puede ejercerla persona natural o jurídica sin importar nacionalidad.</w:t>
      </w:r>
    </w:p>
    <w:p>
      <w:pPr>
        <w:spacing w:after="40"/>
        <w:ind w:left="369" w:hanging="227"/>
      </w:pPr>
      <w:r>
        <w:rPr>
          <w:rFonts w:ascii="Arial" w:hAnsi="Arial" w:cs="Arial"/>
          <w:sz w:val="22"/>
        </w:rPr>
        <w:t>7. Petición: subsanación 15 días; inadmisión 45 días hábiles; contestación 3 meses.</w:t>
      </w:r>
    </w:p>
    <w:p>
      <w:pPr>
        <w:spacing w:after="40"/>
        <w:ind w:left="369" w:hanging="227"/>
      </w:pPr>
      <w:r>
        <w:rPr>
          <w:rFonts w:ascii="Arial" w:hAnsi="Arial" w:cs="Arial"/>
          <w:sz w:val="22"/>
        </w:rPr>
        <w:t>8. La petición no asegura estimación.</w:t>
      </w:r>
    </w:p>
    <w:p>
      <w:pPr>
        <w:spacing w:after="40"/>
        <w:ind w:left="369" w:hanging="227"/>
      </w:pPr>
      <w:r>
        <w:rPr>
          <w:rFonts w:ascii="Arial" w:hAnsi="Arial" w:cs="Arial"/>
          <w:sz w:val="22"/>
        </w:rPr>
        <w:t>9. Accesibilidad no es solo rampa: incluye comunicación, comprensión y tecnología.</w:t>
      </w:r>
    </w:p>
    <w:p>
      <w:pPr>
        <w:spacing w:after="40"/>
        <w:ind w:left="369" w:hanging="227"/>
      </w:pPr>
      <w:r>
        <w:rPr>
          <w:rFonts w:ascii="Arial" w:hAnsi="Arial" w:cs="Arial"/>
          <w:sz w:val="22"/>
        </w:rPr>
        <w:t>10. Un ajuste razonable responde a caso particular; el diseño universal actúa desde el origen.</w:t>
      </w:r>
    </w:p>
    <w:p>
      <w:pPr>
        <w:spacing w:after="40"/>
        <w:ind w:left="369" w:hanging="227"/>
      </w:pPr>
      <w:r>
        <w:rPr>
          <w:rFonts w:ascii="Arial" w:hAnsi="Arial" w:cs="Arial"/>
          <w:sz w:val="22"/>
        </w:rPr>
        <w:t>11. Falta de prioridad, tiempo o conocimientos no justifica carga desproporcionada digital.</w:t>
      </w:r>
    </w:p>
    <w:p>
      <w:pPr>
        <w:spacing w:after="40"/>
        <w:ind w:left="369" w:hanging="227"/>
      </w:pPr>
      <w:r>
        <w:rPr>
          <w:rFonts w:ascii="Arial" w:hAnsi="Arial" w:cs="Arial"/>
          <w:sz w:val="22"/>
        </w:rPr>
        <w:t>12. La información de transparencia no se confunde con acceso de interesado al expediente.</w:t>
      </w:r>
    </w:p>
    <w:p>
      <w:pPr>
        <w:pStyle w:val="Heading1"/>
        <w:keepNext/>
      </w:pPr>
      <w:r>
        <w:rPr>
          <w:rFonts w:ascii="Arial" w:hAnsi="Arial" w:cs="Arial"/>
          <w:sz w:val="30"/>
        </w:rPr>
        <w:t>12. Calidad, coordinación y cierre de la atención</w:t>
      </w:r>
    </w:p>
    <w:p>
      <w:pPr>
        <w:jc w:val="both"/>
      </w:pPr>
      <w:r>
        <w:rPr>
          <w:rFonts w:ascii="Arial" w:hAnsi="Arial" w:cs="Arial"/>
          <w:sz w:val="22"/>
        </w:rPr>
        <w:t>La calidad no se mide solo por el número de contactos atendidos. Importan la exactitud de la respuesta, su comprensión, el tiempo total necesario para resolver, la accesibilidad, la ausencia de nuevas cargas y la coherencia entre canales. Un indicador de rapidez puede ser engañoso si la persona debe volver varias veces porque la primera información era incompleta.</w:t>
      </w:r>
    </w:p>
    <w:p>
      <w:pPr>
        <w:jc w:val="both"/>
      </w:pPr>
      <w:r>
        <w:rPr>
          <w:rFonts w:ascii="Arial" w:hAnsi="Arial" w:cs="Arial"/>
          <w:sz w:val="22"/>
        </w:rPr>
        <w:t>Las cartas de servicios son documentos mediante los que órganos y entidades informan de servicios encomendados, derechos y compromisos de calidad. Expresan, entre otros aspectos, plazos previstos, mecanismos de información, horarios, lugares y canales, medidas de acceso e indicadores de seguimiento. Se actualizan periódicamente y, en todo caso, al menos cada tres años conforme al Real Decreto 951/2005. Un compromiso de carta no sustituye el plazo legal del procedimiento: puede ser más exigente como estándar de calidad, pero su incumplimiento se encauza por las medidas de subsanación previstas y no genera automáticamente responsabilidad patrimonial.</w:t>
      </w:r>
    </w:p>
    <w:p>
      <w:pPr>
        <w:jc w:val="both"/>
      </w:pPr>
      <w:r>
        <w:rPr>
          <w:rFonts w:ascii="Arial" w:hAnsi="Arial" w:cs="Arial"/>
          <w:sz w:val="22"/>
        </w:rPr>
        <w:t>La coordinación evita respuestas incompatibles. Las unidades gestoras deben comunicar cambios de procedimiento a las oficinas; estas deben trasladar incidencias repetidas; los responsables de accesibilidad deben conocer barreras detectadas; y las inspecciones de servicios utilizan quejas y sugerencias como información de mejora. La base informativa debe identificar fuente, fecha de actualización y unidad responsable.</w:t>
      </w:r>
    </w:p>
    <w:p>
      <w:pPr>
        <w:jc w:val="both"/>
      </w:pPr>
      <w:r>
        <w:rPr>
          <w:rFonts w:ascii="Arial" w:hAnsi="Arial" w:cs="Arial"/>
          <w:sz w:val="22"/>
        </w:rPr>
        <w:t>Antes de cerrar una atención conviene comprobar:</w:t>
      </w:r>
    </w:p>
    <w:p>
      <w:pPr>
        <w:spacing w:after="40"/>
        <w:ind w:left="369" w:hanging="227"/>
      </w:pPr>
      <w:r>
        <w:rPr>
          <w:rFonts w:ascii="Arial" w:hAnsi="Arial" w:cs="Arial"/>
          <w:sz w:val="22"/>
        </w:rPr>
        <w:t>1. si se ha identificado correctamente la figura jurídica;</w:t>
      </w:r>
    </w:p>
    <w:p>
      <w:pPr>
        <w:spacing w:after="40"/>
        <w:ind w:left="369" w:hanging="227"/>
      </w:pPr>
      <w:r>
        <w:rPr>
          <w:rFonts w:ascii="Arial" w:hAnsi="Arial" w:cs="Arial"/>
          <w:sz w:val="22"/>
        </w:rPr>
        <w:t>2. si existe un plazo en curso que deba advertirse;</w:t>
      </w:r>
    </w:p>
    <w:p>
      <w:pPr>
        <w:spacing w:after="40"/>
        <w:ind w:left="369" w:hanging="227"/>
      </w:pPr>
      <w:r>
        <w:rPr>
          <w:rFonts w:ascii="Arial" w:hAnsi="Arial" w:cs="Arial"/>
          <w:sz w:val="22"/>
        </w:rPr>
        <w:t>3. si el destinatario es competente;</w:t>
      </w:r>
    </w:p>
    <w:p>
      <w:pPr>
        <w:spacing w:after="40"/>
        <w:ind w:left="369" w:hanging="227"/>
      </w:pPr>
      <w:r>
        <w:rPr>
          <w:rFonts w:ascii="Arial" w:hAnsi="Arial" w:cs="Arial"/>
          <w:sz w:val="22"/>
        </w:rPr>
        <w:t>4. si el canal elegido o impuesto es correcto;</w:t>
      </w:r>
    </w:p>
    <w:p>
      <w:pPr>
        <w:spacing w:after="40"/>
        <w:ind w:left="369" w:hanging="227"/>
      </w:pPr>
      <w:r>
        <w:rPr>
          <w:rFonts w:ascii="Arial" w:hAnsi="Arial" w:cs="Arial"/>
          <w:sz w:val="22"/>
        </w:rPr>
        <w:t>5. si se necesita identificación, firma o representación;</w:t>
      </w:r>
    </w:p>
    <w:p>
      <w:pPr>
        <w:spacing w:after="40"/>
        <w:ind w:left="369" w:hanging="227"/>
      </w:pPr>
      <w:r>
        <w:rPr>
          <w:rFonts w:ascii="Arial" w:hAnsi="Arial" w:cs="Arial"/>
          <w:sz w:val="22"/>
        </w:rPr>
        <w:t>6. si los documentos ya obran en poder administrativo;</w:t>
      </w:r>
    </w:p>
    <w:p>
      <w:pPr>
        <w:spacing w:after="40"/>
        <w:ind w:left="369" w:hanging="227"/>
      </w:pPr>
      <w:r>
        <w:rPr>
          <w:rFonts w:ascii="Arial" w:hAnsi="Arial" w:cs="Arial"/>
          <w:sz w:val="22"/>
        </w:rPr>
        <w:t>7. si hace falta un apoyo o formato accesible;</w:t>
      </w:r>
    </w:p>
    <w:p>
      <w:pPr>
        <w:spacing w:after="40"/>
        <w:ind w:left="369" w:hanging="227"/>
      </w:pPr>
      <w:r>
        <w:rPr>
          <w:rFonts w:ascii="Arial" w:hAnsi="Arial" w:cs="Arial"/>
          <w:sz w:val="22"/>
        </w:rPr>
        <w:t>8. si corresponde entregar justificante.</w:t>
      </w:r>
    </w:p>
    <w:p>
      <w:pPr>
        <w:jc w:val="both"/>
      </w:pPr>
      <w:r>
        <w:rPr>
          <w:rFonts w:ascii="Arial" w:hAnsi="Arial" w:cs="Arial"/>
          <w:sz w:val="22"/>
        </w:rPr>
        <w:t>La derivación no debe romper la continuidad. Cuando otro órgano sea competente, se facilita una ruta concreta. Cuando un escrito se presenta válidamente en un registro habilitado, corresponde cursarlo conforme a las reglas registrales, no enviar a la persona a averiguar por sí sola toda la estructura interna. Esta lógica de «no trasladar la organización al usuario» convive con el deber de informar honestamente sobre límites de competencia.</w:t>
      </w:r>
    </w:p>
    <w:p>
      <w:pPr>
        <w:pStyle w:val="Heading1"/>
        <w:keepNext/>
      </w:pPr>
      <w:r>
        <w:rPr>
          <w:rFonts w:ascii="Arial" w:hAnsi="Arial" w:cs="Arial"/>
          <w:sz w:val="30"/>
        </w:rPr>
        <w:t>13. Resumen de repaso</w:t>
      </w:r>
    </w:p>
    <w:p>
      <w:pPr>
        <w:jc w:val="both"/>
      </w:pPr>
      <w:r>
        <w:rPr>
          <w:rFonts w:ascii="Arial" w:hAnsi="Arial" w:cs="Arial"/>
          <w:sz w:val="22"/>
        </w:rPr>
        <w:t>La atención pública recibe, orienta, informa, gestiona, escucha y asiste con legalidad, respeto, claridad, confidencialidad y accesibilidad. La Ley 39/2015 reconoce derechos generales de todas las personas y derechos adicionales del interesado. Las personas físicas eligen canal salvo obligación; determinados sujetos deben usar medios electrónicos y quienes no están obligados tienen derecho a asistencia.</w:t>
      </w:r>
    </w:p>
    <w:p>
      <w:pPr>
        <w:jc w:val="both"/>
      </w:pPr>
      <w:r>
        <w:rPr>
          <w:rFonts w:ascii="Arial" w:hAnsi="Arial" w:cs="Arial"/>
          <w:sz w:val="22"/>
        </w:rPr>
        <w:t>El Real Decreto 208/1996 distingue información general —organización, requisitos, procedimientos y servicios, sin legitimación— e información particular —expedientes y responsables, solo para interesado o representante—. La atención personalizada incluye acogida, orientación, gestión inmediata, iniciativas, quejas y asistencia en petición.</w:t>
      </w:r>
    </w:p>
    <w:p>
      <w:pPr>
        <w:jc w:val="both"/>
      </w:pPr>
      <w:r>
        <w:rPr>
          <w:rFonts w:ascii="Arial" w:hAnsi="Arial" w:cs="Arial"/>
          <w:sz w:val="22"/>
        </w:rPr>
        <w:t>La atención de personas con discapacidad se basa en autonomía, igualdad, accesibilidad universal, diseño para todas las personas, ajustes razonables y apoyos. Las oficinas, documentos, comunicaciones, webs y aplicaciones deben ser física, sensorial y cognitivamente accesibles. En digital rigen perceptibilidad, operabilidad, comprensibilidad y robustez.</w:t>
      </w:r>
    </w:p>
    <w:p>
      <w:pPr>
        <w:jc w:val="both"/>
      </w:pPr>
      <w:r>
        <w:rPr>
          <w:rFonts w:ascii="Arial" w:hAnsi="Arial" w:cs="Arial"/>
          <w:sz w:val="22"/>
        </w:rPr>
        <w:t>El Real Decreto 951/2005 regula en la AGE quejas y sugerencias: respuesta en veinte días hábiles y aclaración en diez. La queja no es recurso ni interrumpe plazo. El derecho de petición de la Ley Orgánica 4/2001 es residual: acuse en diez días, subsanación en quince, inadmisión motivada en cuarenta y cinco días hábiles y contestación en tres meses.</w:t>
      </w:r>
    </w:p>
    <w:p>
      <w:pPr>
        <w:pStyle w:val="Heading1"/>
        <w:keepNext/>
      </w:pPr>
      <w:r>
        <w:rPr>
          <w:rFonts w:ascii="Arial" w:hAnsi="Arial" w:cs="Arial"/>
          <w:sz w:val="30"/>
        </w:rPr>
        <w:t>14. Datos preguntables</w:t>
      </w:r>
    </w:p>
    <w:p>
      <w:pPr>
        <w:pStyle w:val="ListBullet"/>
      </w:pPr>
      <w:r>
        <w:rPr>
          <w:rFonts w:ascii="Arial" w:hAnsi="Arial" w:cs="Arial"/>
          <w:sz w:val="22"/>
        </w:rPr>
        <w:t xml:space="preserve">Información general: </w:t>
      </w:r>
      <w:r>
        <w:rPr>
          <w:rFonts w:ascii="Arial" w:hAnsi="Arial" w:cs="Arial"/>
          <w:b/>
          <w:sz w:val="22"/>
        </w:rPr>
        <w:t>sin legitimación</w:t>
      </w:r>
      <w:r>
        <w:rPr>
          <w:rFonts w:ascii="Arial" w:hAnsi="Arial" w:cs="Arial"/>
          <w:sz w:val="22"/>
        </w:rPr>
        <w:t>.</w:t>
      </w:r>
    </w:p>
    <w:p>
      <w:pPr>
        <w:pStyle w:val="ListBullet"/>
      </w:pPr>
      <w:r>
        <w:rPr>
          <w:rFonts w:ascii="Arial" w:hAnsi="Arial" w:cs="Arial"/>
          <w:sz w:val="22"/>
        </w:rPr>
        <w:t xml:space="preserve">Información particular: </w:t>
      </w:r>
      <w:r>
        <w:rPr>
          <w:rFonts w:ascii="Arial" w:hAnsi="Arial" w:cs="Arial"/>
          <w:b/>
          <w:sz w:val="22"/>
        </w:rPr>
        <w:t>interesado o representante</w:t>
      </w:r>
      <w:r>
        <w:rPr>
          <w:rFonts w:ascii="Arial" w:hAnsi="Arial" w:cs="Arial"/>
          <w:sz w:val="22"/>
        </w:rPr>
        <w:t>.</w:t>
      </w:r>
    </w:p>
    <w:p>
      <w:pPr>
        <w:pStyle w:val="ListBullet"/>
      </w:pPr>
      <w:r>
        <w:rPr>
          <w:rFonts w:ascii="Arial" w:hAnsi="Arial" w:cs="Arial"/>
          <w:sz w:val="22"/>
        </w:rPr>
        <w:t xml:space="preserve">Obligados electrónicos del artículo 14.2: </w:t>
      </w:r>
      <w:r>
        <w:rPr>
          <w:rFonts w:ascii="Arial" w:hAnsi="Arial" w:cs="Arial"/>
          <w:b/>
          <w:sz w:val="22"/>
        </w:rPr>
        <w:t>cinco categorías mínimas</w:t>
      </w:r>
      <w:r>
        <w:rPr>
          <w:rFonts w:ascii="Arial" w:hAnsi="Arial" w:cs="Arial"/>
          <w:sz w:val="22"/>
        </w:rPr>
        <w:t>.</w:t>
      </w:r>
    </w:p>
    <w:p>
      <w:pPr>
        <w:pStyle w:val="ListBullet"/>
      </w:pPr>
      <w:r>
        <w:rPr>
          <w:rFonts w:ascii="Arial" w:hAnsi="Arial" w:cs="Arial"/>
          <w:sz w:val="22"/>
        </w:rPr>
        <w:t xml:space="preserve">Queja o sugerencia RD 951/2005: respuesta en </w:t>
      </w:r>
      <w:r>
        <w:rPr>
          <w:rFonts w:ascii="Arial" w:hAnsi="Arial" w:cs="Arial"/>
          <w:b/>
          <w:sz w:val="22"/>
        </w:rPr>
        <w:t>20 días hábiles</w:t>
      </w:r>
      <w:r>
        <w:rPr>
          <w:rFonts w:ascii="Arial" w:hAnsi="Arial" w:cs="Arial"/>
          <w:sz w:val="22"/>
        </w:rPr>
        <w:t>.</w:t>
      </w:r>
    </w:p>
    <w:p>
      <w:pPr>
        <w:pStyle w:val="ListBullet"/>
      </w:pPr>
      <w:r>
        <w:rPr>
          <w:rFonts w:ascii="Arial" w:hAnsi="Arial" w:cs="Arial"/>
          <w:sz w:val="22"/>
        </w:rPr>
        <w:t xml:space="preserve">Aclaración en queja o sugerencia: </w:t>
      </w:r>
      <w:r>
        <w:rPr>
          <w:rFonts w:ascii="Arial" w:hAnsi="Arial" w:cs="Arial"/>
          <w:b/>
          <w:sz w:val="22"/>
        </w:rPr>
        <w:t>10 días hábiles</w:t>
      </w:r>
      <w:r>
        <w:rPr>
          <w:rFonts w:ascii="Arial" w:hAnsi="Arial" w:cs="Arial"/>
          <w:sz w:val="22"/>
        </w:rPr>
        <w:t>.</w:t>
      </w:r>
    </w:p>
    <w:p>
      <w:pPr>
        <w:pStyle w:val="ListBullet"/>
      </w:pPr>
      <w:r>
        <w:rPr>
          <w:rFonts w:ascii="Arial" w:hAnsi="Arial" w:cs="Arial"/>
          <w:sz w:val="22"/>
        </w:rPr>
        <w:t xml:space="preserve">Petición: acuse de recibo en </w:t>
      </w:r>
      <w:r>
        <w:rPr>
          <w:rFonts w:ascii="Arial" w:hAnsi="Arial" w:cs="Arial"/>
          <w:b/>
          <w:sz w:val="22"/>
        </w:rPr>
        <w:t>10 días</w:t>
      </w:r>
      <w:r>
        <w:rPr>
          <w:rFonts w:ascii="Arial" w:hAnsi="Arial" w:cs="Arial"/>
          <w:sz w:val="22"/>
        </w:rPr>
        <w:t>.</w:t>
      </w:r>
    </w:p>
    <w:p>
      <w:pPr>
        <w:pStyle w:val="ListBullet"/>
      </w:pPr>
      <w:r>
        <w:rPr>
          <w:rFonts w:ascii="Arial" w:hAnsi="Arial" w:cs="Arial"/>
          <w:sz w:val="22"/>
        </w:rPr>
        <w:t xml:space="preserve">Petición: subsanación en </w:t>
      </w:r>
      <w:r>
        <w:rPr>
          <w:rFonts w:ascii="Arial" w:hAnsi="Arial" w:cs="Arial"/>
          <w:b/>
          <w:sz w:val="22"/>
        </w:rPr>
        <w:t>15 días</w:t>
      </w:r>
      <w:r>
        <w:rPr>
          <w:rFonts w:ascii="Arial" w:hAnsi="Arial" w:cs="Arial"/>
          <w:sz w:val="22"/>
        </w:rPr>
        <w:t>.</w:t>
      </w:r>
    </w:p>
    <w:p>
      <w:pPr>
        <w:pStyle w:val="ListBullet"/>
      </w:pPr>
      <w:r>
        <w:rPr>
          <w:rFonts w:ascii="Arial" w:hAnsi="Arial" w:cs="Arial"/>
          <w:sz w:val="22"/>
        </w:rPr>
        <w:t xml:space="preserve">Petición: inadmisión en </w:t>
      </w:r>
      <w:r>
        <w:rPr>
          <w:rFonts w:ascii="Arial" w:hAnsi="Arial" w:cs="Arial"/>
          <w:b/>
          <w:sz w:val="22"/>
        </w:rPr>
        <w:t>45 días hábiles</w:t>
      </w:r>
      <w:r>
        <w:rPr>
          <w:rFonts w:ascii="Arial" w:hAnsi="Arial" w:cs="Arial"/>
          <w:sz w:val="22"/>
        </w:rPr>
        <w:t>.</w:t>
      </w:r>
    </w:p>
    <w:p>
      <w:pPr>
        <w:pStyle w:val="ListBullet"/>
      </w:pPr>
      <w:r>
        <w:rPr>
          <w:rFonts w:ascii="Arial" w:hAnsi="Arial" w:cs="Arial"/>
          <w:sz w:val="22"/>
        </w:rPr>
        <w:t xml:space="preserve">Petición: remisión por incompetencia en </w:t>
      </w:r>
      <w:r>
        <w:rPr>
          <w:rFonts w:ascii="Arial" w:hAnsi="Arial" w:cs="Arial"/>
          <w:b/>
          <w:sz w:val="22"/>
        </w:rPr>
        <w:t>10 días</w:t>
      </w:r>
      <w:r>
        <w:rPr>
          <w:rFonts w:ascii="Arial" w:hAnsi="Arial" w:cs="Arial"/>
          <w:sz w:val="22"/>
        </w:rPr>
        <w:t>.</w:t>
      </w:r>
    </w:p>
    <w:p>
      <w:pPr>
        <w:pStyle w:val="ListBullet"/>
      </w:pPr>
      <w:r>
        <w:rPr>
          <w:rFonts w:ascii="Arial" w:hAnsi="Arial" w:cs="Arial"/>
          <w:sz w:val="22"/>
        </w:rPr>
        <w:t xml:space="preserve">Petición admitida: contestación en </w:t>
      </w:r>
      <w:r>
        <w:rPr>
          <w:rFonts w:ascii="Arial" w:hAnsi="Arial" w:cs="Arial"/>
          <w:b/>
          <w:sz w:val="22"/>
        </w:rPr>
        <w:t>3 meses desde la presentación</w:t>
      </w:r>
      <w:r>
        <w:rPr>
          <w:rFonts w:ascii="Arial" w:hAnsi="Arial" w:cs="Arial"/>
          <w:sz w:val="22"/>
        </w:rPr>
        <w:t>.</w:t>
      </w:r>
    </w:p>
    <w:p>
      <w:pPr>
        <w:pStyle w:val="ListBullet"/>
      </w:pPr>
      <w:r>
        <w:rPr>
          <w:rFonts w:ascii="Arial" w:hAnsi="Arial" w:cs="Arial"/>
          <w:sz w:val="22"/>
        </w:rPr>
        <w:t xml:space="preserve">Transparencia: resolución en </w:t>
      </w:r>
      <w:r>
        <w:rPr>
          <w:rFonts w:ascii="Arial" w:hAnsi="Arial" w:cs="Arial"/>
          <w:b/>
          <w:sz w:val="22"/>
        </w:rPr>
        <w:t>1 mes</w:t>
      </w:r>
      <w:r>
        <w:rPr>
          <w:rFonts w:ascii="Arial" w:hAnsi="Arial" w:cs="Arial"/>
          <w:sz w:val="22"/>
        </w:rPr>
        <w:t>, ampliable otro.</w:t>
      </w:r>
    </w:p>
    <w:p>
      <w:pPr>
        <w:pStyle w:val="ListBullet"/>
      </w:pPr>
      <w:r>
        <w:rPr>
          <w:rFonts w:ascii="Arial" w:hAnsi="Arial" w:cs="Arial"/>
          <w:sz w:val="22"/>
        </w:rPr>
        <w:t xml:space="preserve">Accesibilidad digital: declaración actualizada al menos </w:t>
      </w:r>
      <w:r>
        <w:rPr>
          <w:rFonts w:ascii="Arial" w:hAnsi="Arial" w:cs="Arial"/>
          <w:b/>
          <w:sz w:val="22"/>
        </w:rPr>
        <w:t>una vez al año</w:t>
      </w:r>
      <w:r>
        <w:rPr>
          <w:rFonts w:ascii="Arial" w:hAnsi="Arial" w:cs="Arial"/>
          <w:sz w:val="22"/>
        </w:rPr>
        <w:t>.</w:t>
      </w:r>
    </w:p>
    <w:p>
      <w:pPr>
        <w:pStyle w:val="ListBullet"/>
      </w:pPr>
      <w:r>
        <w:rPr>
          <w:rFonts w:ascii="Arial" w:hAnsi="Arial" w:cs="Arial"/>
          <w:sz w:val="22"/>
        </w:rPr>
        <w:t xml:space="preserve">Solicitud o queja de accesibilidad digital estatal: </w:t>
      </w:r>
      <w:r>
        <w:rPr>
          <w:rFonts w:ascii="Arial" w:hAnsi="Arial" w:cs="Arial"/>
          <w:b/>
          <w:sz w:val="22"/>
        </w:rPr>
        <w:t>20 días hábiles</w:t>
      </w:r>
      <w:r>
        <w:rPr>
          <w:rFonts w:ascii="Arial" w:hAnsi="Arial" w:cs="Arial"/>
          <w:sz w:val="22"/>
        </w:rPr>
        <w:t>.</w:t>
      </w:r>
    </w:p>
    <w:p>
      <w:pPr>
        <w:pStyle w:val="ListBullet"/>
      </w:pPr>
      <w:r>
        <w:rPr>
          <w:rFonts w:ascii="Arial" w:hAnsi="Arial" w:cs="Arial"/>
          <w:sz w:val="22"/>
        </w:rPr>
        <w:t xml:space="preserve">Reclamación de accesibilidad digital estatal: </w:t>
      </w:r>
      <w:r>
        <w:rPr>
          <w:rFonts w:ascii="Arial" w:hAnsi="Arial" w:cs="Arial"/>
          <w:b/>
          <w:sz w:val="22"/>
        </w:rPr>
        <w:t>2 meses</w:t>
      </w:r>
      <w:r>
        <w:rPr>
          <w:rFonts w:ascii="Arial" w:hAnsi="Arial" w:cs="Arial"/>
          <w:sz w:val="22"/>
        </w:rPr>
        <w:t>.</w:t>
      </w:r>
    </w:p>
    <w:p>
      <w:pPr>
        <w:pStyle w:val="ListBullet"/>
      </w:pPr>
      <w:r>
        <w:rPr>
          <w:rFonts w:ascii="Arial" w:hAnsi="Arial" w:cs="Arial"/>
          <w:sz w:val="22"/>
        </w:rPr>
        <w:t xml:space="preserve">Principios digitales: </w:t>
      </w:r>
      <w:r>
        <w:rPr>
          <w:rFonts w:ascii="Arial" w:hAnsi="Arial" w:cs="Arial"/>
          <w:b/>
          <w:sz w:val="22"/>
        </w:rPr>
        <w:t>perceptible, operable, comprensible y robusto</w:t>
      </w:r>
      <w:r>
        <w:rPr>
          <w:rFonts w:ascii="Arial" w:hAnsi="Arial" w:cs="Arial"/>
          <w:sz w:val="22"/>
        </w:rPr>
        <w:t>.</w:t>
      </w:r>
    </w:p>
    <w:p>
      <w:pPr>
        <w:pStyle w:val="Heading1"/>
        <w:keepNext/>
      </w:pPr>
      <w:r>
        <w:rPr>
          <w:rFonts w:ascii="Arial" w:hAnsi="Arial" w:cs="Arial"/>
          <w:sz w:val="30"/>
        </w:rPr>
        <w:t>15. Fuentes oficiales</w:t>
      </w:r>
    </w:p>
    <w:p>
      <w:pPr>
        <w:pStyle w:val="ListBullet"/>
      </w:pPr>
      <w:r>
        <w:rPr>
          <w:rFonts w:ascii="Arial" w:hAnsi="Arial" w:cs="Arial"/>
          <w:sz w:val="22"/>
        </w:rPr>
        <w:t>Constitución Española (https://www.boe.es/buscar/act.php?id=BOE-A-1978-31229).</w:t>
      </w:r>
    </w:p>
    <w:p>
      <w:pPr>
        <w:pStyle w:val="ListBullet"/>
      </w:pPr>
      <w:r>
        <w:rPr>
          <w:rFonts w:ascii="Arial" w:hAnsi="Arial" w:cs="Arial"/>
          <w:sz w:val="22"/>
        </w:rPr>
        <w:t>Ley 39/2015, del Procedimiento Administrativo Común (https://www.boe.es/buscar/act.php?id=BOE-A-2015-10565).</w:t>
      </w:r>
    </w:p>
    <w:p>
      <w:pPr>
        <w:pStyle w:val="ListBullet"/>
      </w:pPr>
      <w:r>
        <w:rPr>
          <w:rFonts w:ascii="Arial" w:hAnsi="Arial" w:cs="Arial"/>
          <w:sz w:val="22"/>
        </w:rPr>
        <w:t>Real Decreto 208/1996, servicios de información administrativa y atención al ciudadano (https://www.boe.es/buscar/act.php?id=BOE-A-1996-4997).</w:t>
      </w:r>
    </w:p>
    <w:p>
      <w:pPr>
        <w:pStyle w:val="ListBullet"/>
      </w:pPr>
      <w:r>
        <w:rPr>
          <w:rFonts w:ascii="Arial" w:hAnsi="Arial" w:cs="Arial"/>
          <w:sz w:val="22"/>
        </w:rPr>
        <w:t>Real Decreto 951/2005, marco general para la mejora de la calidad en la AGE (https://www.boe.es/buscar/act.php?id=BOE-A-2005-14836).</w:t>
      </w:r>
    </w:p>
    <w:p>
      <w:pPr>
        <w:pStyle w:val="ListBullet"/>
      </w:pPr>
      <w:r>
        <w:rPr>
          <w:rFonts w:ascii="Arial" w:hAnsi="Arial" w:cs="Arial"/>
          <w:sz w:val="22"/>
        </w:rPr>
        <w:t>Ley Orgánica 4/2001, reguladora del Derecho de Petición (https://www.boe.es/buscar/act.php?id=BOE-A-2001-21090).</w:t>
      </w:r>
    </w:p>
    <w:p>
      <w:pPr>
        <w:pStyle w:val="ListBullet"/>
      </w:pPr>
      <w:r>
        <w:rPr>
          <w:rFonts w:ascii="Arial" w:hAnsi="Arial" w:cs="Arial"/>
          <w:sz w:val="22"/>
        </w:rPr>
        <w:t>Real Decreto Legislativo 1/2013, derechos de las personas con discapacidad (https://www.boe.es/buscar/act.php?id=BOE-A-2013-12632).</w:t>
      </w:r>
    </w:p>
    <w:p>
      <w:pPr>
        <w:pStyle w:val="ListBullet"/>
      </w:pPr>
      <w:r>
        <w:rPr>
          <w:rFonts w:ascii="Arial" w:hAnsi="Arial" w:cs="Arial"/>
          <w:sz w:val="22"/>
        </w:rPr>
        <w:t>Real Decreto 366/2007, accesibilidad en las relaciones con la AGE (https://www.boe.es/buscar/act.php?id=BOE-A-2007-6239).</w:t>
      </w:r>
    </w:p>
    <w:p>
      <w:pPr>
        <w:pStyle w:val="ListBullet"/>
      </w:pPr>
      <w:r>
        <w:rPr>
          <w:rFonts w:ascii="Arial" w:hAnsi="Arial" w:cs="Arial"/>
          <w:sz w:val="22"/>
        </w:rPr>
        <w:t>Real Decreto 1112/2018, accesibilidad de sitios web y aplicaciones móviles (https://www.boe.es/buscar/act.php?id=BOE-A-2018-12699).</w:t>
      </w:r>
    </w:p>
    <w:p>
      <w:pPr>
        <w:pStyle w:val="ListBullet"/>
      </w:pPr>
      <w:r>
        <w:rPr>
          <w:rFonts w:ascii="Arial" w:hAnsi="Arial" w:cs="Arial"/>
          <w:sz w:val="22"/>
        </w:rPr>
        <w:t>Real Decreto 193/2023, accesibilidad a bienes y servicios a disposición del público (https://www.boe.es/buscar/act.php?id=BOE-A-2023-7417).</w:t>
      </w:r>
    </w:p>
    <w:p>
      <w:pPr>
        <w:pStyle w:val="ListBullet"/>
      </w:pPr>
      <w:r>
        <w:rPr>
          <w:rFonts w:ascii="Arial" w:hAnsi="Arial" w:cs="Arial"/>
          <w:sz w:val="22"/>
        </w:rPr>
        <w:t>Ley 27/2007, lenguas de signos y apoyos a la comunicación oral (https://www.boe.es/buscar/act.php?id=BOE-A-2007-18476).</w:t>
      </w:r>
    </w:p>
    <w:p>
      <w:pPr>
        <w:pStyle w:val="ListBullet"/>
      </w:pPr>
      <w:r>
        <w:rPr>
          <w:rFonts w:ascii="Arial" w:hAnsi="Arial" w:cs="Arial"/>
          <w:sz w:val="22"/>
        </w:rPr>
        <w:t>Ley 19/2013, de transparencia, acceso a la información pública y buen gobierno (https://www.boe.es/buscar/act.php?id=BOE-A-2013-12887).</w:t>
      </w:r>
    </w:p>
    <w:p>
      <w:pPr>
        <w:pStyle w:val="ListBullet"/>
      </w:pPr>
      <w:r>
        <w:rPr>
          <w:rFonts w:ascii="Arial" w:hAnsi="Arial" w:cs="Arial"/>
          <w:sz w:val="22"/>
        </w:rPr>
        <w:t>Real Decreto 203/2021, actuación del sector público por medios electrónicos (https://www.boe.es/buscar/act.php?id=BOE-A-2021-5032).</w:t>
      </w:r>
    </w:p>
    <w:p>
      <w:pPr>
        <w:pStyle w:val="Heading1"/>
        <w:keepNext/>
      </w:pPr>
      <w:r>
        <w:rPr>
          <w:rFonts w:ascii="Arial" w:hAnsi="Arial" w:cs="Arial"/>
          <w:sz w:val="30"/>
        </w:rPr>
        <w:t>Antecedentes de examen y puntos especialmente preguntados</w:t>
      </w:r>
    </w:p>
    <w:p>
      <w:pPr>
        <w:jc w:val="both"/>
      </w:pPr>
      <w:r>
        <w:rPr>
          <w:rFonts w:ascii="Arial" w:hAnsi="Arial" w:cs="Arial"/>
          <w:sz w:val="22"/>
        </w:rPr>
        <w:t xml:space="preserve">El análisis se ha realizado sobre las preguntas oficiales de acceso libre publicadas para las convocatorias 2023, 2024 y 2025, con fecha de corte </w:t>
      </w:r>
      <w:r>
        <w:rPr>
          <w:rFonts w:ascii="Arial" w:hAnsi="Arial" w:cs="Arial"/>
          <w:b/>
          <w:sz w:val="22"/>
        </w:rPr>
        <w:t>30 de julio de 2026</w:t>
      </w:r>
      <w:r>
        <w:rPr>
          <w:rFonts w:ascii="Arial" w:hAnsi="Arial" w:cs="Arial"/>
          <w:sz w:val="22"/>
        </w:rPr>
        <w:t xml:space="preserve">. La base conserva las variantes necesarias para la trazabilidad, pero el recuento de frecuencia usa </w:t>
      </w:r>
      <w:r>
        <w:rPr>
          <w:rFonts w:ascii="Arial" w:hAnsi="Arial" w:cs="Arial"/>
          <w:b/>
          <w:sz w:val="22"/>
        </w:rPr>
        <w:t>una sola variante canónica por sesión</w:t>
      </w:r>
      <w:r>
        <w:rPr>
          <w:rFonts w:ascii="Arial" w:hAnsi="Arial" w:cs="Arial"/>
          <w:sz w:val="22"/>
        </w:rPr>
        <w:t>, de modo que los modelos o colores que únicamente permutan el orden o las opciones no se cuentan dos veces. Este criterio permite medir repeticiones reales entre sesiones sin inflar artificialmente la presencia del tema.</w:t>
      </w:r>
    </w:p>
    <w:tbl>
      <w:tblPr>
        <w:tblStyle w:val="TableGrid"/>
        <w:tblW w:type="dxa" w:w="9026"/>
        <w:jc w:val="left"/>
        <w:tblLayout w:type="fixed"/>
        <w:tblLook w:firstColumn="1" w:firstRow="1" w:lastColumn="0" w:lastRow="0" w:noHBand="0" w:noVBand="1" w:val="04A0"/>
        <w:tblInd w:w="120" w:type="dxa"/>
      </w:tblPr>
      <w:tblGrid>
        <w:gridCol w:w="6838"/>
        <w:gridCol w:w="2188"/>
      </w:tblGrid>
      <w:tr>
        <w:trPr>
          <w:tblHeader w:val="true"/>
        </w:trPr>
        <w:tc>
          <w:tcPr>
            <w:tcW w:type="dxa" w:w="683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Indicador</w:t>
            </w:r>
          </w:p>
        </w:tc>
        <w:tc>
          <w:tcPr>
            <w:tcW w:type="dxa" w:w="2188"/>
            <w:tcMar>
              <w:top w:w="80" w:type="dxa"/>
              <w:start w:w="120" w:type="dxa"/>
              <w:bottom w:w="80" w:type="dxa"/>
              <w:end w:w="120" w:type="dxa"/>
            </w:tcMar>
            <w:vAlign w:val="center"/>
            <w:shd w:fill="D9EAF7"/>
          </w:tcPr>
          <w:p>
            <w:pPr>
              <w:spacing w:before="0" w:after="0" w:line="240" w:lineRule="auto"/>
              <w:jc w:val="left"/>
            </w:pPr>
            <w:r>
              <w:rPr>
                <w:b/>
                <w:color w:val="17365D"/>
              </w:rPr>
            </w:r>
            <w:r>
              <w:rPr>
                <w:rFonts w:ascii="Arial" w:hAnsi="Arial" w:cs="Arial"/>
                <w:b/>
                <w:color w:val="17365D"/>
                <w:sz w:val="18"/>
              </w:rPr>
              <w:t>Resultado para G20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canónicas atribuidas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4</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Distribución por año de examen</w:t>
            </w:r>
          </w:p>
        </w:tc>
        <w:tc>
          <w:tcPr>
            <w:tcW w:type="dxa" w:w="2188"/>
            <w:tcMar>
              <w:top w:w="80" w:type="dxa"/>
              <w:start w:w="120" w:type="dxa"/>
              <w:bottom w:w="80" w:type="dxa"/>
              <w:end w:w="120" w:type="dxa"/>
            </w:tcMar>
            <w:vAlign w:val="center"/>
          </w:tcPr>
          <w:p>
            <w:pPr>
              <w:spacing w:before="0" w:after="0" w:line="240" w:lineRule="auto"/>
              <w:jc w:val="left"/>
            </w:pPr>
            <w:r/>
            <w:r>
              <w:rPr>
                <w:rFonts w:ascii="Arial" w:hAnsi="Arial" w:cs="Arial"/>
                <w:sz w:val="18"/>
              </w:rPr>
              <w:t>2024: 1, 2025: 3, 2026: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Teóricas / prácticas</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4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Preguntas de reserva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Anuladas / con respuesta modificada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 / 0</w:t>
            </w:r>
          </w:p>
        </w:tc>
      </w:tr>
      <w:tr>
        <w:tc>
          <w:tcPr>
            <w:tcW w:type="dxa" w:w="6838"/>
            <w:tcMar>
              <w:top w:w="80" w:type="dxa"/>
              <w:start w:w="120" w:type="dxa"/>
              <w:bottom w:w="80" w:type="dxa"/>
              <w:end w:w="120" w:type="dxa"/>
            </w:tcMar>
            <w:vAlign w:val="center"/>
          </w:tcPr>
          <w:p>
            <w:pPr>
              <w:spacing w:before="0" w:after="0" w:line="240" w:lineRule="auto"/>
              <w:jc w:val="left"/>
            </w:pPr>
            <w:r/>
            <w:r>
              <w:rPr>
                <w:rFonts w:ascii="Arial" w:hAnsi="Arial" w:cs="Arial"/>
                <w:sz w:val="18"/>
              </w:rPr>
              <w:t>Enunciados con excepción, negación o respuesta incorrecta</w:t>
            </w:r>
          </w:p>
        </w:tc>
        <w:tc>
          <w:tcPr>
            <w:tcW w:type="dxa" w:w="2188"/>
            <w:tcMar>
              <w:top w:w="80" w:type="dxa"/>
              <w:start w:w="120" w:type="dxa"/>
              <w:bottom w:w="80" w:type="dxa"/>
              <w:end w:w="120" w:type="dxa"/>
            </w:tcMar>
            <w:vAlign w:val="center"/>
          </w:tcPr>
          <w:p>
            <w:pPr>
              <w:spacing w:before="0" w:after="0" w:line="240" w:lineRule="auto"/>
              <w:jc w:val="center"/>
            </w:pPr>
            <w:r/>
            <w:r>
              <w:rPr>
                <w:rFonts w:ascii="Arial" w:hAnsi="Arial" w:cs="Arial"/>
                <w:sz w:val="18"/>
              </w:rPr>
              <w:t>0</w:t>
            </w:r>
          </w:p>
        </w:tc>
      </w:tr>
    </w:tbl>
    <w:p>
      <w:pPr>
        <w:spacing w:after="40"/>
      </w:pPr>
    </w:p>
    <w:p>
      <w:pPr>
        <w:jc w:val="both"/>
      </w:pPr>
      <w:r>
        <w:rPr>
          <w:rFonts w:ascii="Arial" w:hAnsi="Arial" w:cs="Arial"/>
          <w:b/>
          <w:sz w:val="22"/>
        </w:rPr>
        <w:t>Normas que más aparecen:</w:t>
      </w:r>
      <w:r>
        <w:rPr>
          <w:rFonts w:ascii="Arial" w:hAnsi="Arial" w:cs="Arial"/>
          <w:sz w:val="22"/>
        </w:rPr>
        <w:t xml:space="preserve"> Ley Orgánica 4/2001 (2); Real Decreto 208/1996 (2).</w:t>
      </w:r>
    </w:p>
    <w:p>
      <w:pPr>
        <w:jc w:val="both"/>
      </w:pPr>
      <w:r>
        <w:rPr>
          <w:rFonts w:ascii="Arial" w:hAnsi="Arial" w:cs="Arial"/>
          <w:b/>
          <w:sz w:val="22"/>
        </w:rPr>
        <w:t>Artículos o preceptos más repetidos:</w:t>
      </w:r>
      <w:r>
        <w:rPr>
          <w:rFonts w:ascii="Arial" w:hAnsi="Arial" w:cs="Arial"/>
          <w:sz w:val="22"/>
        </w:rPr>
        <w:t xml:space="preserve"> 7 (1); 5 (1); 6 (1).</w:t>
      </w:r>
    </w:p>
    <w:p>
      <w:pPr>
        <w:jc w:val="both"/>
      </w:pPr>
      <w:r>
        <w:rPr>
          <w:rFonts w:ascii="Arial" w:hAnsi="Arial" w:cs="Arial"/>
          <w:b/>
          <w:sz w:val="22"/>
        </w:rPr>
        <w:t>Formas de pregunta predominantes:</w:t>
      </w:r>
      <w:r>
        <w:rPr>
          <w:rFonts w:ascii="Arial" w:hAnsi="Arial" w:cs="Arial"/>
          <w:sz w:val="22"/>
        </w:rPr>
        <w:t xml:space="preserve"> Plazos (2); Artículos literales (2).</w:t>
      </w:r>
    </w:p>
    <w:p>
      <w:pPr>
        <w:pStyle w:val="Heading2"/>
        <w:keepNext/>
      </w:pPr>
      <w:r>
        <w:rPr>
          <w:rFonts w:ascii="Arial" w:hAnsi="Arial" w:cs="Arial"/>
          <w:sz w:val="25"/>
        </w:rPr>
        <w:t>Patrones observados</w:t>
      </w:r>
    </w:p>
    <w:p>
      <w:pPr>
        <w:pStyle w:val="ListBullet"/>
      </w:pPr>
      <w:r>
        <w:rPr>
          <w:rFonts w:ascii="Arial" w:hAnsi="Arial" w:cs="Arial"/>
          <w:b/>
          <w:sz w:val="22"/>
        </w:rPr>
        <w:t>2024, teoría 20:</w:t>
      </w:r>
      <w:r>
        <w:rPr>
          <w:rFonts w:ascii="Arial" w:hAnsi="Arial" w:cs="Arial"/>
          <w:sz w:val="22"/>
        </w:rPr>
        <w:t xml:space="preserve"> De acuerdo con e' artículo II de la Ley Orgánica 4/2001, de 12 de noviembre, reguladora del Derecho de Petición, una vez admitida a trámite una petición, la autoridad u órgano competente vendrán obligados a…</w:t>
      </w:r>
    </w:p>
    <w:p>
      <w:pPr>
        <w:pStyle w:val="ListBullet"/>
      </w:pPr>
      <w:r>
        <w:rPr>
          <w:rFonts w:ascii="Arial" w:hAnsi="Arial" w:cs="Arial"/>
          <w:b/>
          <w:sz w:val="22"/>
        </w:rPr>
        <w:t>2025, teoría 20:</w:t>
      </w:r>
      <w:r>
        <w:rPr>
          <w:rFonts w:ascii="Arial" w:hAnsi="Arial" w:cs="Arial"/>
          <w:sz w:val="22"/>
        </w:rPr>
        <w:t xml:space="preserve"> Según el artículo 7 de la Ley Orgánica 4/2001, de 12 de noviembre, reguladora del Derecho de Petición, si el escrito de petición no reuniera los requisitos establecidos, o no reflejara los datos necesarios…</w:t>
      </w:r>
    </w:p>
    <w:p>
      <w:pPr>
        <w:pStyle w:val="ListBullet"/>
      </w:pPr>
      <w:r>
        <w:rPr>
          <w:rFonts w:ascii="Arial" w:hAnsi="Arial" w:cs="Arial"/>
          <w:b/>
          <w:sz w:val="22"/>
        </w:rPr>
        <w:t>2025, teoría 20:</w:t>
      </w:r>
      <w:r>
        <w:rPr>
          <w:rFonts w:ascii="Arial" w:hAnsi="Arial" w:cs="Arial"/>
          <w:sz w:val="22"/>
        </w:rPr>
        <w:t xml:space="preserve"> Señale la afirmación correcta, de acuerdo con eI artículo 5 del Real Decreto 208/1996, de 9 de febrero, por el que se regulan los servicios de información administrativa y atención al ciudadano:</w:t>
      </w:r>
    </w:p>
    <w:p>
      <w:pPr>
        <w:pStyle w:val="ListBullet"/>
      </w:pPr>
      <w:r>
        <w:rPr>
          <w:rFonts w:ascii="Arial" w:hAnsi="Arial" w:cs="Arial"/>
          <w:b/>
          <w:sz w:val="22"/>
        </w:rPr>
        <w:t>2025, teoría 20:</w:t>
      </w:r>
      <w:r>
        <w:rPr>
          <w:rFonts w:ascii="Arial" w:hAnsi="Arial" w:cs="Arial"/>
          <w:sz w:val="22"/>
        </w:rPr>
        <w:t xml:space="preserve"> El artículo 6 del Real Decreto 208/1996, de 9 de febrero, por el que se regulan los servicios de información administrativa y atención al ciudadano, establece que, serán funciones del Centro de Información…</w:t>
      </w:r>
    </w:p>
    <w:p>
      <w:pPr>
        <w:pStyle w:val="Heading2"/>
        <w:keepNext/>
      </w:pPr>
      <w:r>
        <w:rPr>
          <w:rFonts w:ascii="Arial" w:hAnsi="Arial" w:cs="Arial"/>
          <w:sz w:val="25"/>
        </w:rPr>
        <w:t>Cómo trasladarlo al estudio</w:t>
      </w:r>
    </w:p>
    <w:p>
      <w:pPr>
        <w:spacing w:after="40"/>
        <w:ind w:left="369" w:hanging="227"/>
      </w:pPr>
      <w:r>
        <w:rPr>
          <w:rFonts w:ascii="Arial" w:hAnsi="Arial" w:cs="Arial"/>
          <w:sz w:val="22"/>
        </w:rPr>
        <w:t xml:space="preserve">1. </w:t>
      </w:r>
      <w:r>
        <w:rPr>
          <w:rFonts w:ascii="Arial" w:hAnsi="Arial" w:cs="Arial"/>
          <w:b/>
          <w:sz w:val="22"/>
        </w:rPr>
        <w:t>Priorice la literalidad útil.</w:t>
      </w:r>
      <w:r>
        <w:rPr>
          <w:rFonts w:ascii="Arial" w:hAnsi="Arial" w:cs="Arial"/>
          <w:sz w:val="22"/>
        </w:rPr>
        <w:t xml:space="preserve"> Memorice la regla, su artículo y la excepción, pero comprenda antes quién actúa, sobre qué supuesto y con qué plazo.</w:t>
      </w:r>
    </w:p>
    <w:p>
      <w:pPr>
        <w:spacing w:after="40"/>
        <w:ind w:left="369" w:hanging="227"/>
      </w:pPr>
      <w:r>
        <w:rPr>
          <w:rFonts w:ascii="Arial" w:hAnsi="Arial" w:cs="Arial"/>
          <w:sz w:val="22"/>
        </w:rPr>
        <w:t xml:space="preserve">2. </w:t>
      </w:r>
      <w:r>
        <w:rPr>
          <w:rFonts w:ascii="Arial" w:hAnsi="Arial" w:cs="Arial"/>
          <w:b/>
          <w:sz w:val="22"/>
        </w:rPr>
        <w:t>Entrene las negaciones.</w:t>
      </w:r>
      <w:r>
        <w:rPr>
          <w:rFonts w:ascii="Arial" w:hAnsi="Arial" w:cs="Arial"/>
          <w:sz w:val="22"/>
        </w:rPr>
        <w:t xml:space="preserve"> En este tema se han localizado 0 enunciados con fórmulas como «INCORRECTA», «NO», «salvo» o «excepto». Subraye siempre el mandato antes de leer las opciones.</w:t>
      </w:r>
    </w:p>
    <w:p>
      <w:pPr>
        <w:spacing w:after="40"/>
        <w:ind w:left="369" w:hanging="227"/>
      </w:pPr>
      <w:r>
        <w:rPr>
          <w:rFonts w:ascii="Arial" w:hAnsi="Arial" w:cs="Arial"/>
          <w:sz w:val="22"/>
        </w:rPr>
        <w:t xml:space="preserve">3. </w:t>
      </w:r>
      <w:r>
        <w:rPr>
          <w:rFonts w:ascii="Arial" w:hAnsi="Arial" w:cs="Arial"/>
          <w:b/>
          <w:sz w:val="22"/>
        </w:rPr>
        <w:t>Separe regla estable y dato anual.</w:t>
      </w:r>
      <w:r>
        <w:rPr>
          <w:rFonts w:ascii="Arial" w:hAnsi="Arial" w:cs="Arial"/>
          <w:sz w:val="22"/>
        </w:rPr>
        <w:t xml:space="preserve"> Cuando intervengan cuantías, bases, tipos, edades o porcentajes, anote el año de referencia y contraste la cifra con la norma consolidada vigente.</w:t>
      </w:r>
    </w:p>
    <w:p>
      <w:pPr>
        <w:spacing w:after="40"/>
        <w:ind w:left="369" w:hanging="227"/>
      </w:pPr>
      <w:r>
        <w:rPr>
          <w:rFonts w:ascii="Arial" w:hAnsi="Arial" w:cs="Arial"/>
          <w:sz w:val="22"/>
        </w:rPr>
        <w:t xml:space="preserve">4. </w:t>
      </w:r>
      <w:r>
        <w:rPr>
          <w:rFonts w:ascii="Arial" w:hAnsi="Arial" w:cs="Arial"/>
          <w:b/>
          <w:sz w:val="22"/>
        </w:rPr>
        <w:t>Use las anulaciones como señal de riesgo.</w:t>
      </w:r>
      <w:r>
        <w:rPr>
          <w:rFonts w:ascii="Arial" w:hAnsi="Arial" w:cs="Arial"/>
          <w:sz w:val="22"/>
        </w:rPr>
        <w:t xml:space="preserve"> Una pregunta anulada no desaparece del aprendizaje: suele revelar una redacción ambigua, una reforma reciente o dos preceptos que deben diferenciarse.</w:t>
      </w:r>
    </w:p>
    <w:p>
      <w:pPr>
        <w:spacing w:after="40"/>
        <w:ind w:left="369" w:hanging="227"/>
      </w:pPr>
      <w:r>
        <w:rPr>
          <w:rFonts w:ascii="Arial" w:hAnsi="Arial" w:cs="Arial"/>
          <w:sz w:val="22"/>
        </w:rPr>
        <w:t xml:space="preserve">5. </w:t>
      </w:r>
      <w:r>
        <w:rPr>
          <w:rFonts w:ascii="Arial" w:hAnsi="Arial" w:cs="Arial"/>
          <w:b/>
          <w:sz w:val="22"/>
        </w:rPr>
        <w:t>No confunda frecuencia con seguridad de aparición.</w:t>
      </w:r>
      <w:r>
        <w:rPr>
          <w:rFonts w:ascii="Arial" w:hAnsi="Arial" w:cs="Arial"/>
          <w:sz w:val="22"/>
        </w:rPr>
        <w:t xml:space="preserve"> El recuento describe el corpus disponible; no garantiza la distribución de una convocatoria futura ni permite excluir epígrafes poco preguntados.</w:t>
      </w:r>
    </w:p>
    <w:sectPr w:rsidR="00FC693F" w:rsidRPr="0006063C" w:rsidSect="00034616">
      <w:headerReference w:type="default" r:id="rId9"/>
      <w:headerReference w:type="first" r:id="rId10"/>
      <w:footerReference w:type="default" r:id="rId11"/>
      <w:footerReference w:type="first" r:id="rId12"/>
      <w:pgSz w:w="11906" w:h="16838"/>
      <w:pgMar w:top="1440" w:right="1440" w:bottom="1440" w:left="1440" w:header="709"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20"/>
      <w:jc w:val="both"/>
    </w:pPr>
    <w:r>
      <w:rPr>
        <w:rFonts w:ascii="Arial" w:hAnsi="Arial" w:cs="Arial"/>
        <w:color w:val="666666"/>
        <w:sz w:val="13"/>
      </w:rPr>
      <w:t>© 2026 ACADEMIA LORMAN. Todos los derechos reservados. Material protegido por el Real Decreto Legislativo 1/1996. Prohibida su reproducción, distribución, comunicación pública, modificación, venta, cesión, publicación o difusión total o parcial sin autorización escrita. No se permite su publicación en webs, plataformas, redes, mensajería, aplicaciones, repositorios ni servicios de intercambio.</w:t>
    </w:r>
  </w:p>
  <w:p>
    <w:pPr>
      <w:spacing w:before="0" w:after="0"/>
      <w:jc w:val="right"/>
    </w:pPr>
    <w:r>
      <w:rPr>
        <w:rFonts w:ascii="Arial" w:hAnsi="Arial" w:cs="Arial"/>
        <w:color w:val="666666"/>
        <w:sz w:val="14"/>
      </w:rPr>
      <w:t xml:space="preserve">Página </w:t>
    </w:r>
    <w:r>
      <w:rPr>
        <w:rFonts w:ascii="Arial" w:hAnsi="Arial" w:cs="Arial"/>
        <w:color w:val="666666"/>
        <w:sz w:val="14"/>
      </w:rPr>
      <w:fldChar w:fldCharType="begin"/>
      <w:instrText xml:space="preserve">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s="Arial"/>
        <w:color w:val="666666"/>
        <w:sz w:val="14"/>
      </w:rPr>
      <w:t>© 2026 ACADEMIA LORMAN. Todos los derechos reservados.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60"/>
      <w:jc w:val="left"/>
      <w:pBdr>
        <w:bottom w:val="single" w:sz="6" w:space="1" w:color="B4C7E7"/>
      </w:pBdr>
    </w:pPr>
    <w:r>
      <w:rPr>
        <w:rFonts w:ascii="Arial" w:hAnsi="Arial" w:cs="Arial"/>
        <w:b/>
        <w:color w:val="1F4E79"/>
        <w:sz w:val="16"/>
      </w:rPr>
      <w:t>G20 · Tema 20 · Actualizado 30-07-2026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80" w:line="269" w:lineRule="auto"/>
      <w:jc w:val="both"/>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Arial" w:hAnsi="Arial"/>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rial" w:hAnsi="Arial"/>
      <w:b/>
      <w:bCs/>
      <w:color w:val="2F75B5"/>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Arial" w:hAnsi="Arial"/>
      <w:b/>
      <w:bCs/>
      <w:i/>
      <w:iCs/>
      <w:color w:val="333333"/>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9" w:lineRule="auto"/>
      <w:ind w:left="539" w:hanging="272"/>
      <w:contextualSpacing/>
    </w:pPr>
    <w:rPr>
      <w:rFonts w:ascii="Arial" w:hAnsi="Arial"/>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9" w:lineRule="auto"/>
      <w:ind w:left="539" w:hanging="272"/>
      <w:contextualSpacing/>
    </w:pPr>
    <w:rPr>
      <w:rFonts w:ascii="Arial" w:hAnsi="Arial"/>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
    <w:name w:val="Question"/>
    <w:pPr>
      <w:keepNext/>
      <w:spacing w:before="200" w:after="80"/>
    </w:pPr>
    <w:rPr>
      <w:rFonts w:ascii="Arial" w:hAnsi="Arial"/>
      <w:b/>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Tema 20. Atención al público. Atención de personas con discapacidad. Los servicios de información administrativa. Información general y particular al…</dc:title>
  <dc:subject>Cuerpo Administrativo de la Administración de la Seguridad Social, subgrupo C1, acceso libre</dc:subject>
  <dc:creator>ACADEMIA LORMAN</dc:creator>
  <cp:keywords/>
  <dc:description>generated by python-docx</dc:description>
  <cp:lastModifiedBy>ACADEMIA LORMAN</cp:lastModifiedBy>
  <cp:revision>1</cp:revision>
  <dcterms:created xsi:type="dcterms:W3CDTF">2013-12-23T23:15:00Z</dcterms:created>
  <dcterms:modified xsi:type="dcterms:W3CDTF">2013-12-23T23:15:00Z</dcterms:modified>
  <cp:category/>
</cp:coreProperties>
</file>