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21</w:t>
      </w:r>
    </w:p>
    <w:p>
      <w:pPr>
        <w:keepNext/>
        <w:spacing w:before="0" w:after="280"/>
        <w:pBdr>
          <w:bottom w:val="single" w:sz="12" w:space="1" w:color="2F75B5"/>
        </w:pBdr>
      </w:pPr>
      <w:r>
        <w:rPr>
          <w:rFonts w:ascii="Arial" w:hAnsi="Arial" w:cs="Arial"/>
          <w:b/>
          <w:color w:val="17365D"/>
          <w:sz w:val="40"/>
        </w:rPr>
        <w:t>Políticas de igualdad y contra la violencia de género. Discapacidad y dependencia: régimen jurídico. La Ley 4/2023, de 28 de febrero, para la igualdad real y efectiva de las personas trans y para la garantía de los derechos de las personas LGTBI.</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El tema reúne cinco bloques distintos: igualdad entre mujeres y hombres, violencia de género, discapacidad, dependencia e igualdad LGTBI y trans. Hay que identificar la norma y el concepto aplicables sin mezclar sus reglas.</w:t>
      </w:r>
    </w:p>
    <w:p>
      <w:pPr>
        <w:jc w:val="both"/>
      </w:pPr>
      <w:r>
        <w:rPr>
          <w:rFonts w:ascii="Arial" w:hAnsi="Arial" w:cs="Arial"/>
          <w:sz w:val="22"/>
        </w:rPr>
        <w:t xml:space="preserve">Contenido actualizado a </w:t>
      </w:r>
      <w:r>
        <w:rPr>
          <w:rFonts w:ascii="Arial" w:hAnsi="Arial" w:cs="Arial"/>
          <w:b/>
          <w:sz w:val="22"/>
        </w:rPr>
        <w:t>30 de julio de 2026</w:t>
      </w:r>
      <w:r>
        <w:rPr>
          <w:rFonts w:ascii="Arial" w:hAnsi="Arial" w:cs="Arial"/>
          <w:sz w:val="22"/>
        </w:rPr>
        <w:t xml:space="preserve">, incluido el artículo 49 CE vigente y el </w:t>
      </w:r>
      <w:r>
        <w:rPr>
          <w:rFonts w:ascii="Arial" w:hAnsi="Arial" w:cs="Arial"/>
          <w:b/>
          <w:sz w:val="22"/>
        </w:rPr>
        <w:t>grado III+</w:t>
      </w:r>
      <w:r>
        <w:rPr>
          <w:rFonts w:ascii="Arial" w:hAnsi="Arial" w:cs="Arial"/>
          <w:sz w:val="22"/>
        </w:rPr>
        <w:t>, aplicable desde el 23 de octubre de 2025.</w:t>
      </w:r>
    </w:p>
    <w:p>
      <w:pPr>
        <w:pStyle w:val="Heading1"/>
        <w:keepNext/>
      </w:pPr>
      <w:r>
        <w:rPr>
          <w:rFonts w:ascii="Arial" w:hAnsi="Arial" w:cs="Arial"/>
          <w:sz w:val="30"/>
        </w:rPr>
        <w:t>1. Marco constitucional y europeo de la igualdad</w:t>
      </w:r>
    </w:p>
    <w:p>
      <w:pPr>
        <w:pStyle w:val="Heading2"/>
        <w:keepNext/>
      </w:pPr>
      <w:r>
        <w:rPr>
          <w:rFonts w:ascii="Arial" w:hAnsi="Arial" w:cs="Arial"/>
          <w:sz w:val="25"/>
        </w:rPr>
        <w:t>1.1. Igualdad formal e igualdad material</w:t>
      </w:r>
    </w:p>
    <w:p>
      <w:pPr>
        <w:jc w:val="both"/>
      </w:pPr>
      <w:r>
        <w:rPr>
          <w:rFonts w:ascii="Arial" w:hAnsi="Arial" w:cs="Arial"/>
          <w:sz w:val="22"/>
        </w:rPr>
        <w:t xml:space="preserve">El artículo 14 de la Constitución proclama la igualdad ante la ley y prohíbe toda discriminación por nacimiento, raza, sexo, religión, opinión o cualquier otra condición o circunstancia personal o social. Es una regla de igualdad </w:t>
      </w:r>
      <w:r>
        <w:rPr>
          <w:rFonts w:ascii="Arial" w:hAnsi="Arial" w:cs="Arial"/>
          <w:b/>
          <w:sz w:val="22"/>
        </w:rPr>
        <w:t>formal</w:t>
      </w:r>
      <w:r>
        <w:rPr>
          <w:rFonts w:ascii="Arial" w:hAnsi="Arial" w:cs="Arial"/>
          <w:sz w:val="22"/>
        </w:rPr>
        <w:t>: situaciones iguales deben recibir igual trato y las diferencias solo son admisibles si descansan en una justificación objetiva y razonable, son proporcionadas y persiguen una finalidad legítima.</w:t>
      </w:r>
    </w:p>
    <w:p>
      <w:pPr>
        <w:jc w:val="both"/>
      </w:pPr>
      <w:r>
        <w:rPr>
          <w:rFonts w:ascii="Arial" w:hAnsi="Arial" w:cs="Arial"/>
          <w:sz w:val="22"/>
        </w:rPr>
        <w:t xml:space="preserve">El artículo 9.2 encomienda a los poderes públicos promover las condiciones para que la libertad y la igualdad de las personas y de los grupos sean reales y efectivas, remover los obstáculos que impidan o dificulten su plenitud y facilitar la participación en la vida política, económica, cultural y social. Es el fundamento de la igualdad </w:t>
      </w:r>
      <w:r>
        <w:rPr>
          <w:rFonts w:ascii="Arial" w:hAnsi="Arial" w:cs="Arial"/>
          <w:b/>
          <w:sz w:val="22"/>
        </w:rPr>
        <w:t>material</w:t>
      </w:r>
      <w:r>
        <w:rPr>
          <w:rFonts w:ascii="Arial" w:hAnsi="Arial" w:cs="Arial"/>
          <w:sz w:val="22"/>
        </w:rPr>
        <w:t xml:space="preserve"> y permite adoptar medidas específicas frente a desventajas efectivas.</w:t>
      </w:r>
    </w:p>
    <w:p>
      <w:pPr>
        <w:jc w:val="both"/>
      </w:pPr>
      <w:r>
        <w:rPr>
          <w:rFonts w:ascii="Arial" w:hAnsi="Arial" w:cs="Arial"/>
          <w:sz w:val="22"/>
        </w:rPr>
        <w:t>Ambos preceptos se complementan. La igualdad real no autoriza cualquier diferencia de trato: las acciones positivas deben corregir una desigualdad comprobable, ser razonables, proporcionadas y temporales mientras subsista la situación que las justifica.</w:t>
      </w:r>
    </w:p>
    <w:p>
      <w:pPr>
        <w:jc w:val="both"/>
      </w:pPr>
      <w:r>
        <w:rPr>
          <w:rFonts w:ascii="Arial" w:hAnsi="Arial" w:cs="Arial"/>
          <w:sz w:val="22"/>
        </w:rPr>
        <w:t>Completan este marco la dignidad y el libre desarrollo de la personalidad del artículo 10.1, la igualdad en el acceso a funciones públicas del artículo 23.2, la no discriminación por sexo en el trabajo del artículo 35.1, la protección familiar del artículo 39 y el artículo 49 sobre discapacidad.</w:t>
      </w:r>
    </w:p>
    <w:p>
      <w:pPr>
        <w:pStyle w:val="Heading2"/>
        <w:keepNext/>
      </w:pPr>
      <w:r>
        <w:rPr>
          <w:rFonts w:ascii="Arial" w:hAnsi="Arial" w:cs="Arial"/>
          <w:sz w:val="25"/>
        </w:rPr>
        <w:t>1.2. Unión Europea y tratados</w:t>
      </w:r>
    </w:p>
    <w:p>
      <w:pPr>
        <w:jc w:val="both"/>
      </w:pPr>
      <w:r>
        <w:rPr>
          <w:rFonts w:ascii="Arial" w:hAnsi="Arial" w:cs="Arial"/>
          <w:sz w:val="22"/>
        </w:rPr>
        <w:t>La igualdad es un valor y objetivo de la Unión Europea y la Carta de Derechos Fundamentales prohíbe la discriminación. España está vinculada por la Convención sobre la eliminación de todas las formas de discriminación contra la mujer y por la Convención de Naciones Unidas sobre los derechos de las personas con discapacidad, que impulsa el modelo de derechos, autonomía, inclusión, accesibilidad y participación.</w:t>
      </w:r>
    </w:p>
    <w:p>
      <w:pPr>
        <w:pStyle w:val="Heading1"/>
        <w:keepNext/>
      </w:pPr>
      <w:r>
        <w:rPr>
          <w:rFonts w:ascii="Arial" w:hAnsi="Arial" w:cs="Arial"/>
          <w:sz w:val="30"/>
        </w:rPr>
        <w:t>2. Igualdad efectiva de mujeres y hombres: Ley Orgánica 3/2007</w:t>
      </w:r>
    </w:p>
    <w:p>
      <w:pPr>
        <w:pStyle w:val="Heading2"/>
        <w:keepNext/>
      </w:pPr>
      <w:r>
        <w:rPr>
          <w:rFonts w:ascii="Arial" w:hAnsi="Arial" w:cs="Arial"/>
          <w:sz w:val="25"/>
        </w:rPr>
        <w:t>2.1. Objeto y ámbito</w:t>
      </w:r>
    </w:p>
    <w:p>
      <w:pPr>
        <w:jc w:val="both"/>
      </w:pPr>
      <w:r>
        <w:rPr>
          <w:rFonts w:ascii="Arial" w:hAnsi="Arial" w:cs="Arial"/>
          <w:sz w:val="22"/>
        </w:rPr>
        <w:t xml:space="preserve">La </w:t>
      </w:r>
      <w:r>
        <w:rPr>
          <w:rFonts w:ascii="Arial" w:hAnsi="Arial" w:cs="Arial"/>
          <w:b/>
          <w:sz w:val="22"/>
        </w:rPr>
        <w:t>Ley Orgánica 3/2007, de 22 de marzo</w:t>
      </w:r>
      <w:r>
        <w:rPr>
          <w:rFonts w:ascii="Arial" w:hAnsi="Arial" w:cs="Arial"/>
          <w:sz w:val="22"/>
        </w:rPr>
        <w:t>, tiene por objeto hacer efectivo el derecho de igualdad de trato y de oportunidades entre mujeres y hombres, especialmente mediante la eliminación de la discriminación de las mujeres en los ámbitos político, civil, laboral, económico, social y cultural. Establece principios de actuación de los poderes públicos, derechos y deberes de personas físicas y jurídicas y medidas destinadas a eliminar y corregir la discriminación.</w:t>
      </w:r>
    </w:p>
    <w:p>
      <w:pPr>
        <w:jc w:val="both"/>
      </w:pPr>
      <w:r>
        <w:rPr>
          <w:rFonts w:ascii="Arial" w:hAnsi="Arial" w:cs="Arial"/>
          <w:sz w:val="22"/>
        </w:rPr>
        <w:t>Toda persona goza de los derechos derivados de la igualdad y de la prohibición de discriminación por razón de sexo. Las obligaciones legales se aplican a toda persona física o jurídica que se encuentre o actúe en territorio español, cualquiera que sea su nacionalidad, domicilio o residencia.</w:t>
      </w:r>
    </w:p>
    <w:p>
      <w:pPr>
        <w:jc w:val="both"/>
      </w:pPr>
      <w:r>
        <w:rPr>
          <w:rFonts w:ascii="Arial" w:hAnsi="Arial" w:cs="Arial"/>
          <w:sz w:val="22"/>
        </w:rPr>
        <w:t>La igualdad de trato y oportunidades es un principio informador del ordenamiento y debe integrarse al interpretar y aplicar las normas. No es, por tanto, una política sectorial aislada.</w:t>
      </w:r>
    </w:p>
    <w:p>
      <w:pPr>
        <w:pStyle w:val="Heading2"/>
        <w:keepNext/>
      </w:pPr>
      <w:r>
        <w:rPr>
          <w:rFonts w:ascii="Arial" w:hAnsi="Arial" w:cs="Arial"/>
          <w:sz w:val="25"/>
        </w:rPr>
        <w:t>2.2. Discriminación directa e indirecta</w:t>
      </w:r>
    </w:p>
    <w:p>
      <w:pPr>
        <w:jc w:val="both"/>
      </w:pPr>
      <w:r>
        <w:rPr>
          <w:rFonts w:ascii="Arial" w:hAnsi="Arial" w:cs="Arial"/>
          <w:sz w:val="22"/>
        </w:rPr>
        <w:t xml:space="preserve">Existe </w:t>
      </w:r>
      <w:r>
        <w:rPr>
          <w:rFonts w:ascii="Arial" w:hAnsi="Arial" w:cs="Arial"/>
          <w:b/>
          <w:sz w:val="22"/>
        </w:rPr>
        <w:t>discriminación directa por razón de sexo</w:t>
      </w:r>
      <w:r>
        <w:rPr>
          <w:rFonts w:ascii="Arial" w:hAnsi="Arial" w:cs="Arial"/>
          <w:sz w:val="22"/>
        </w:rPr>
        <w:t xml:space="preserve"> cuando una persona es, ha sido o pudiera ser tratada, atendiendo a su sexo, de manera menos favorable que otra en situación comparable.</w:t>
      </w:r>
    </w:p>
    <w:p>
      <w:pPr>
        <w:jc w:val="both"/>
      </w:pPr>
      <w:r>
        <w:rPr>
          <w:rFonts w:ascii="Arial" w:hAnsi="Arial" w:cs="Arial"/>
          <w:sz w:val="22"/>
        </w:rPr>
        <w:t xml:space="preserve">Existe </w:t>
      </w:r>
      <w:r>
        <w:rPr>
          <w:rFonts w:ascii="Arial" w:hAnsi="Arial" w:cs="Arial"/>
          <w:b/>
          <w:sz w:val="22"/>
        </w:rPr>
        <w:t>discriminación indirecta</w:t>
      </w:r>
      <w:r>
        <w:rPr>
          <w:rFonts w:ascii="Arial" w:hAnsi="Arial" w:cs="Arial"/>
          <w:sz w:val="22"/>
        </w:rPr>
        <w:t xml:space="preserve"> cuando una disposición, criterio o práctica aparentemente neutros sitúan a personas de un sexo en desventaja particular respecto de las del otro, salvo que puedan justificarse objetivamente por una finalidad legítima y que los medios para alcanzarla sean necesarios y adecuados.</w:t>
      </w:r>
    </w:p>
    <w:tbl>
      <w:tblPr>
        <w:tblStyle w:val="TableGrid"/>
        <w:tblW w:type="dxa" w:w="9026"/>
        <w:jc w:val="left"/>
        <w:tblLayout w:type="fixed"/>
        <w:tblLook w:firstColumn="1" w:firstRow="1" w:lastColumn="0" w:lastRow="0" w:noHBand="0" w:noVBand="1" w:val="04A0"/>
        <w:tblInd w:w="120" w:type="dxa"/>
      </w:tblPr>
      <w:tblGrid>
        <w:gridCol w:w="1527"/>
        <w:gridCol w:w="3333"/>
        <w:gridCol w:w="4166"/>
      </w:tblGrid>
      <w:tr>
        <w:trPr>
          <w:tblHeader w:val="true"/>
        </w:trPr>
        <w:tc>
          <w:tcPr>
            <w:tcW w:type="dxa" w:w="15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33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Discriminación directa</w:t>
            </w:r>
          </w:p>
        </w:tc>
        <w:tc>
          <w:tcPr>
            <w:tcW w:type="dxa" w:w="416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Discriminación indirecta</w:t>
            </w:r>
          </w:p>
        </w:tc>
      </w:tr>
      <w:tr>
        <w:tc>
          <w:tcPr>
            <w:tcW w:type="dxa" w:w="1527"/>
            <w:tcMar>
              <w:top w:w="80" w:type="dxa"/>
              <w:start w:w="120" w:type="dxa"/>
              <w:bottom w:w="80" w:type="dxa"/>
              <w:end w:w="120" w:type="dxa"/>
            </w:tcMar>
            <w:vAlign w:val="center"/>
          </w:tcPr>
          <w:p>
            <w:pPr>
              <w:spacing w:before="0" w:after="0" w:line="240" w:lineRule="auto"/>
              <w:jc w:val="left"/>
            </w:pPr>
            <w:r/>
            <w:r>
              <w:rPr>
                <w:rFonts w:ascii="Arial" w:hAnsi="Arial" w:cs="Arial"/>
                <w:sz w:val="18"/>
              </w:rPr>
              <w:t>Apariencia de la medida</w:t>
            </w:r>
          </w:p>
        </w:tc>
        <w:tc>
          <w:tcPr>
            <w:tcW w:type="dxa" w:w="3333"/>
            <w:tcMar>
              <w:top w:w="80" w:type="dxa"/>
              <w:start w:w="120" w:type="dxa"/>
              <w:bottom w:w="80" w:type="dxa"/>
              <w:end w:w="120" w:type="dxa"/>
            </w:tcMar>
            <w:vAlign w:val="center"/>
          </w:tcPr>
          <w:p>
            <w:pPr>
              <w:spacing w:before="0" w:after="0" w:line="240" w:lineRule="auto"/>
              <w:jc w:val="left"/>
            </w:pPr>
            <w:r/>
            <w:r>
              <w:rPr>
                <w:rFonts w:ascii="Arial" w:hAnsi="Arial" w:cs="Arial"/>
                <w:sz w:val="18"/>
              </w:rPr>
              <w:t>El sexo determina el trato</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La regla parece neutra</w:t>
            </w:r>
          </w:p>
        </w:tc>
      </w:tr>
      <w:tr>
        <w:tc>
          <w:tcPr>
            <w:tcW w:type="dxa" w:w="1527"/>
            <w:tcMar>
              <w:top w:w="80" w:type="dxa"/>
              <w:start w:w="120" w:type="dxa"/>
              <w:bottom w:w="80" w:type="dxa"/>
              <w:end w:w="120" w:type="dxa"/>
            </w:tcMar>
            <w:vAlign w:val="center"/>
          </w:tcPr>
          <w:p>
            <w:pPr>
              <w:spacing w:before="0" w:after="0" w:line="240" w:lineRule="auto"/>
              <w:jc w:val="left"/>
            </w:pPr>
            <w:r/>
            <w:r>
              <w:rPr>
                <w:rFonts w:ascii="Arial" w:hAnsi="Arial" w:cs="Arial"/>
                <w:sz w:val="18"/>
              </w:rPr>
              <w:t>Resultado</w:t>
            </w:r>
          </w:p>
        </w:tc>
        <w:tc>
          <w:tcPr>
            <w:tcW w:type="dxa" w:w="3333"/>
            <w:tcMar>
              <w:top w:w="80" w:type="dxa"/>
              <w:start w:w="120" w:type="dxa"/>
              <w:bottom w:w="80" w:type="dxa"/>
              <w:end w:w="120" w:type="dxa"/>
            </w:tcMar>
            <w:vAlign w:val="center"/>
          </w:tcPr>
          <w:p>
            <w:pPr>
              <w:spacing w:before="0" w:after="0" w:line="240" w:lineRule="auto"/>
              <w:jc w:val="left"/>
            </w:pPr>
            <w:r/>
            <w:r>
              <w:rPr>
                <w:rFonts w:ascii="Arial" w:hAnsi="Arial" w:cs="Arial"/>
                <w:sz w:val="18"/>
              </w:rPr>
              <w:t>Trato menos favorable en situación comparable</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Desventaja particular para un sexo</w:t>
            </w:r>
          </w:p>
        </w:tc>
      </w:tr>
      <w:tr>
        <w:tc>
          <w:tcPr>
            <w:tcW w:type="dxa" w:w="1527"/>
            <w:tcMar>
              <w:top w:w="80" w:type="dxa"/>
              <w:start w:w="120" w:type="dxa"/>
              <w:bottom w:w="80" w:type="dxa"/>
              <w:end w:w="120" w:type="dxa"/>
            </w:tcMar>
            <w:vAlign w:val="center"/>
          </w:tcPr>
          <w:p>
            <w:pPr>
              <w:spacing w:before="0" w:after="0" w:line="240" w:lineRule="auto"/>
              <w:jc w:val="left"/>
            </w:pPr>
            <w:r/>
            <w:r>
              <w:rPr>
                <w:rFonts w:ascii="Arial" w:hAnsi="Arial" w:cs="Arial"/>
                <w:sz w:val="18"/>
              </w:rPr>
              <w:t>Justificación ordinaria</w:t>
            </w:r>
          </w:p>
        </w:tc>
        <w:tc>
          <w:tcPr>
            <w:tcW w:type="dxa" w:w="3333"/>
            <w:tcMar>
              <w:top w:w="80" w:type="dxa"/>
              <w:start w:w="120" w:type="dxa"/>
              <w:bottom w:w="80" w:type="dxa"/>
              <w:end w:w="120" w:type="dxa"/>
            </w:tcMar>
            <w:vAlign w:val="center"/>
          </w:tcPr>
          <w:p>
            <w:pPr>
              <w:spacing w:before="0" w:after="0" w:line="240" w:lineRule="auto"/>
              <w:jc w:val="left"/>
            </w:pPr>
            <w:r/>
            <w:r>
              <w:rPr>
                <w:rFonts w:ascii="Arial" w:hAnsi="Arial" w:cs="Arial"/>
                <w:sz w:val="18"/>
              </w:rPr>
              <w:t>No se neutraliza con una finalidad empresarial genérica</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Cabe justificación objetiva, legítima, necesaria y adecuada</w:t>
            </w:r>
          </w:p>
        </w:tc>
      </w:tr>
      <w:tr>
        <w:tc>
          <w:tcPr>
            <w:tcW w:type="dxa" w:w="1527"/>
            <w:tcMar>
              <w:top w:w="80" w:type="dxa"/>
              <w:start w:w="120" w:type="dxa"/>
              <w:bottom w:w="80" w:type="dxa"/>
              <w:end w:w="120" w:type="dxa"/>
            </w:tcMar>
            <w:vAlign w:val="center"/>
          </w:tcPr>
          <w:p>
            <w:pPr>
              <w:spacing w:before="0" w:after="0" w:line="240" w:lineRule="auto"/>
              <w:jc w:val="left"/>
            </w:pPr>
            <w:r/>
            <w:r>
              <w:rPr>
                <w:rFonts w:ascii="Arial" w:hAnsi="Arial" w:cs="Arial"/>
                <w:sz w:val="18"/>
              </w:rPr>
              <w:t>Ejemplo</w:t>
            </w:r>
          </w:p>
        </w:tc>
        <w:tc>
          <w:tcPr>
            <w:tcW w:type="dxa" w:w="3333"/>
            <w:tcMar>
              <w:top w:w="80" w:type="dxa"/>
              <w:start w:w="120" w:type="dxa"/>
              <w:bottom w:w="80" w:type="dxa"/>
              <w:end w:w="120" w:type="dxa"/>
            </w:tcMar>
            <w:vAlign w:val="center"/>
          </w:tcPr>
          <w:p>
            <w:pPr>
              <w:spacing w:before="0" w:after="0" w:line="240" w:lineRule="auto"/>
              <w:jc w:val="left"/>
            </w:pPr>
            <w:r/>
            <w:r>
              <w:rPr>
                <w:rFonts w:ascii="Arial" w:hAnsi="Arial" w:cs="Arial"/>
                <w:sz w:val="18"/>
              </w:rPr>
              <w:t>Excluir mujeres de una selección por ser mujeres</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Exigir un requisito no necesario que perjudica especialmente a un sexo</w:t>
            </w:r>
          </w:p>
        </w:tc>
      </w:tr>
    </w:tbl>
    <w:p>
      <w:pPr>
        <w:spacing w:after="40"/>
      </w:pPr>
    </w:p>
    <w:p>
      <w:pPr>
        <w:jc w:val="both"/>
      </w:pPr>
      <w:r>
        <w:rPr>
          <w:rFonts w:ascii="Arial" w:hAnsi="Arial" w:cs="Arial"/>
          <w:sz w:val="22"/>
        </w:rPr>
        <w:t>El trato desfavorable relacionado con el embarazo o la maternidad constituye discriminación directa por razón de sexo. También es discriminatoria toda orden de discriminar directa o indirectamente.</w:t>
      </w:r>
    </w:p>
    <w:p>
      <w:pPr>
        <w:pStyle w:val="Heading2"/>
        <w:keepNext/>
      </w:pPr>
      <w:r>
        <w:rPr>
          <w:rFonts w:ascii="Arial" w:hAnsi="Arial" w:cs="Arial"/>
          <w:sz w:val="25"/>
        </w:rPr>
        <w:t>2.3. Acoso sexual y acoso por razón de sexo</w:t>
      </w:r>
    </w:p>
    <w:p>
      <w:pPr>
        <w:jc w:val="both"/>
      </w:pPr>
      <w:r>
        <w:rPr>
          <w:rFonts w:ascii="Arial" w:hAnsi="Arial" w:cs="Arial"/>
          <w:sz w:val="22"/>
        </w:rPr>
        <w:t xml:space="preserve">El </w:t>
      </w:r>
      <w:r>
        <w:rPr>
          <w:rFonts w:ascii="Arial" w:hAnsi="Arial" w:cs="Arial"/>
          <w:b/>
          <w:sz w:val="22"/>
        </w:rPr>
        <w:t>acoso sexual</w:t>
      </w:r>
      <w:r>
        <w:rPr>
          <w:rFonts w:ascii="Arial" w:hAnsi="Arial" w:cs="Arial"/>
          <w:sz w:val="22"/>
        </w:rPr>
        <w:t xml:space="preserve"> es cualquier comportamiento verbal, no verbal o físico de naturaleza sexual que tenga el propósito o produzca el efecto de atentar contra la dignidad de una persona, en particular cuando crea un entorno intimidatorio, degradante u ofensivo.</w:t>
      </w:r>
    </w:p>
    <w:p>
      <w:pPr>
        <w:jc w:val="both"/>
      </w:pPr>
      <w:r>
        <w:rPr>
          <w:rFonts w:ascii="Arial" w:hAnsi="Arial" w:cs="Arial"/>
          <w:sz w:val="22"/>
        </w:rPr>
        <w:t xml:space="preserve">El </w:t>
      </w:r>
      <w:r>
        <w:rPr>
          <w:rFonts w:ascii="Arial" w:hAnsi="Arial" w:cs="Arial"/>
          <w:b/>
          <w:sz w:val="22"/>
        </w:rPr>
        <w:t>acoso por razón de sexo</w:t>
      </w:r>
      <w:r>
        <w:rPr>
          <w:rFonts w:ascii="Arial" w:hAnsi="Arial" w:cs="Arial"/>
          <w:sz w:val="22"/>
        </w:rPr>
        <w:t xml:space="preserve"> es cualquier comportamiento realizado en función del sexo de una persona con ese mismo propósito o efecto lesivo. No exige que la conducta tenga contenido sexual.</w:t>
      </w:r>
    </w:p>
    <w:p>
      <w:pPr>
        <w:jc w:val="both"/>
      </w:pPr>
      <w:r>
        <w:rPr>
          <w:rFonts w:ascii="Arial" w:hAnsi="Arial" w:cs="Arial"/>
          <w:sz w:val="22"/>
        </w:rPr>
        <w:t>Ambos se consideran discriminatorios. Condicionar un derecho o una expectativa de derecho a aceptar una situación constitutiva de acoso también es discriminación. Conviene separar:</w:t>
      </w:r>
    </w:p>
    <w:p>
      <w:pPr>
        <w:pStyle w:val="ListBullet"/>
      </w:pPr>
      <w:r>
        <w:rPr>
          <w:rFonts w:ascii="Arial" w:hAnsi="Arial" w:cs="Arial"/>
          <w:sz w:val="22"/>
        </w:rPr>
        <w:t>Naturaleza sexual de la conducta: acoso sexual.</w:t>
      </w:r>
    </w:p>
    <w:p>
      <w:pPr>
        <w:pStyle w:val="ListBullet"/>
      </w:pPr>
      <w:r>
        <w:rPr>
          <w:rFonts w:ascii="Arial" w:hAnsi="Arial" w:cs="Arial"/>
          <w:sz w:val="22"/>
        </w:rPr>
        <w:t>Conducta basada en que la persona es mujer u hombre: acoso por razón de sexo.</w:t>
      </w:r>
    </w:p>
    <w:p>
      <w:pPr>
        <w:pStyle w:val="ListBullet"/>
      </w:pPr>
      <w:r>
        <w:rPr>
          <w:rFonts w:ascii="Arial" w:hAnsi="Arial" w:cs="Arial"/>
          <w:sz w:val="22"/>
        </w:rPr>
        <w:t>Conducta de control o violencia en una relación afectiva comprendida por la Ley Orgánica 1/2004: violencia de género en el sentido técnico de esa ley.</w:t>
      </w:r>
    </w:p>
    <w:p>
      <w:pPr>
        <w:pStyle w:val="Heading2"/>
        <w:keepNext/>
      </w:pPr>
      <w:r>
        <w:rPr>
          <w:rFonts w:ascii="Arial" w:hAnsi="Arial" w:cs="Arial"/>
          <w:sz w:val="25"/>
        </w:rPr>
        <w:t>2.4. Represalias, nulidad y tutela</w:t>
      </w:r>
    </w:p>
    <w:p>
      <w:pPr>
        <w:jc w:val="both"/>
      </w:pPr>
      <w:r>
        <w:rPr>
          <w:rFonts w:ascii="Arial" w:hAnsi="Arial" w:cs="Arial"/>
          <w:sz w:val="22"/>
        </w:rPr>
        <w:t xml:space="preserve">Es discriminación la reacción adversa contra quien presenta una queja, reclamación, denuncia, demanda o recurso dirigido a impedir la discriminación y exigir el cumplimiento efectivo de la igualdad. Es la denominada </w:t>
      </w:r>
      <w:r>
        <w:rPr>
          <w:rFonts w:ascii="Arial" w:hAnsi="Arial" w:cs="Arial"/>
          <w:b/>
          <w:sz w:val="22"/>
        </w:rPr>
        <w:t>indemnidad frente a represalias</w:t>
      </w:r>
      <w:r>
        <w:rPr>
          <w:rFonts w:ascii="Arial" w:hAnsi="Arial" w:cs="Arial"/>
          <w:sz w:val="22"/>
        </w:rPr>
        <w:t>.</w:t>
      </w:r>
    </w:p>
    <w:p>
      <w:pPr>
        <w:jc w:val="both"/>
      </w:pPr>
      <w:r>
        <w:rPr>
          <w:rFonts w:ascii="Arial" w:hAnsi="Arial" w:cs="Arial"/>
          <w:sz w:val="22"/>
        </w:rPr>
        <w:t>Los actos y cláusulas de negocios jurídicos que constituyan o causen discriminación por razón de sexo son nulos y carecen de efecto. Generan responsabilidad mediante reparaciones o indemnizaciones reales, efectivas y proporcionadas al perjuicio y, en su caso, mediante sanciones eficaces y disuasorias.</w:t>
      </w:r>
    </w:p>
    <w:p>
      <w:pPr>
        <w:jc w:val="both"/>
      </w:pPr>
      <w:r>
        <w:rPr>
          <w:rFonts w:ascii="Arial" w:hAnsi="Arial" w:cs="Arial"/>
          <w:sz w:val="22"/>
        </w:rPr>
        <w:t xml:space="preserve">Cuando una parte aporta indicios fundados de discriminación por razón de sexo, corresponde a la parte demandada probar la ausencia de discriminación y la proporcionalidad de sus medidas. Esta regla de desplazamiento de la carga probatoria </w:t>
      </w:r>
      <w:r>
        <w:rPr>
          <w:rFonts w:ascii="Arial" w:hAnsi="Arial" w:cs="Arial"/>
          <w:b/>
          <w:sz w:val="22"/>
        </w:rPr>
        <w:t>no se aplica al proceso penal</w:t>
      </w:r>
      <w:r>
        <w:rPr>
          <w:rFonts w:ascii="Arial" w:hAnsi="Arial" w:cs="Arial"/>
          <w:sz w:val="22"/>
        </w:rPr>
        <w:t>, en el que rige la presunción de inocencia.</w:t>
      </w:r>
    </w:p>
    <w:p>
      <w:pPr>
        <w:pStyle w:val="Heading2"/>
        <w:keepNext/>
      </w:pPr>
      <w:r>
        <w:rPr>
          <w:rFonts w:ascii="Arial" w:hAnsi="Arial" w:cs="Arial"/>
          <w:sz w:val="25"/>
        </w:rPr>
        <w:t>2.5. Acciones positivas</w:t>
      </w:r>
    </w:p>
    <w:p>
      <w:pPr>
        <w:jc w:val="both"/>
      </w:pPr>
      <w:r>
        <w:rPr>
          <w:rFonts w:ascii="Arial" w:hAnsi="Arial" w:cs="Arial"/>
          <w:sz w:val="22"/>
        </w:rPr>
        <w:t>Para hacer efectivo el derecho constitucional a la igualdad, los poderes públicos adoptarán medidas específicas a favor de las mujeres para corregir situaciones patentes de desigualdad de hecho respecto de los hombres. Deben:</w:t>
      </w:r>
    </w:p>
    <w:p>
      <w:pPr>
        <w:pStyle w:val="ListBullet"/>
      </w:pPr>
      <w:r>
        <w:rPr>
          <w:rFonts w:ascii="Arial" w:hAnsi="Arial" w:cs="Arial"/>
          <w:sz w:val="22"/>
        </w:rPr>
        <w:t>Perseguir la corrección de una desigualdad real.</w:t>
      </w:r>
    </w:p>
    <w:p>
      <w:pPr>
        <w:pStyle w:val="ListBullet"/>
      </w:pPr>
      <w:r>
        <w:rPr>
          <w:rFonts w:ascii="Arial" w:hAnsi="Arial" w:cs="Arial"/>
          <w:sz w:val="22"/>
        </w:rPr>
        <w:t>Ser razonables y proporcionadas al objetivo.</w:t>
      </w:r>
    </w:p>
    <w:p>
      <w:pPr>
        <w:pStyle w:val="ListBullet"/>
      </w:pPr>
      <w:r>
        <w:rPr>
          <w:rFonts w:ascii="Arial" w:hAnsi="Arial" w:cs="Arial"/>
          <w:sz w:val="22"/>
        </w:rPr>
        <w:t>Aplicarse mientras subsista la desigualdad.</w:t>
      </w:r>
    </w:p>
    <w:p>
      <w:pPr>
        <w:pStyle w:val="ListBullet"/>
      </w:pPr>
      <w:r>
        <w:rPr>
          <w:rFonts w:ascii="Arial" w:hAnsi="Arial" w:cs="Arial"/>
          <w:sz w:val="22"/>
        </w:rPr>
        <w:t>Respetar los demás derechos constitucionales.</w:t>
      </w:r>
    </w:p>
    <w:p>
      <w:pPr>
        <w:jc w:val="both"/>
      </w:pPr>
      <w:r>
        <w:rPr>
          <w:rFonts w:ascii="Arial" w:hAnsi="Arial" w:cs="Arial"/>
          <w:sz w:val="22"/>
        </w:rPr>
        <w:t>Las personas físicas y jurídicas privadas también pueden adoptar este tipo de medidas en los términos legales. Una acción positiva no es un privilegio permanente ni una excepción ilimitada al mérito; es una técnica de igualdad material.</w:t>
      </w:r>
    </w:p>
    <w:p>
      <w:pPr>
        <w:pStyle w:val="Heading2"/>
        <w:keepNext/>
      </w:pPr>
      <w:r>
        <w:rPr>
          <w:rFonts w:ascii="Arial" w:hAnsi="Arial" w:cs="Arial"/>
          <w:sz w:val="25"/>
        </w:rPr>
        <w:t>2.6. Transversalidad e instrumentos de planificación</w:t>
      </w:r>
    </w:p>
    <w:p>
      <w:pPr>
        <w:jc w:val="both"/>
      </w:pPr>
      <w:r>
        <w:rPr>
          <w:rFonts w:ascii="Arial" w:hAnsi="Arial" w:cs="Arial"/>
          <w:sz w:val="22"/>
        </w:rPr>
        <w:t xml:space="preserve">El principio de igualdad de trato y oportunidades debe informar, con carácter </w:t>
      </w:r>
      <w:r>
        <w:rPr>
          <w:rFonts w:ascii="Arial" w:hAnsi="Arial" w:cs="Arial"/>
          <w:b/>
          <w:sz w:val="22"/>
        </w:rPr>
        <w:t>transversal</w:t>
      </w:r>
      <w:r>
        <w:rPr>
          <w:rFonts w:ascii="Arial" w:hAnsi="Arial" w:cs="Arial"/>
          <w:sz w:val="22"/>
        </w:rPr>
        <w:t>, la actuación de todos los poderes públicos. Las Administraciones lo integrarán activamente al aprobar normas, definir y presupuestar políticas y desarrollar el conjunto de sus actividades.</w:t>
      </w:r>
    </w:p>
    <w:p>
      <w:pPr>
        <w:jc w:val="both"/>
      </w:pPr>
      <w:r>
        <w:rPr>
          <w:rFonts w:ascii="Arial" w:hAnsi="Arial" w:cs="Arial"/>
          <w:sz w:val="22"/>
        </w:rPr>
        <w:t>Entre los instrumentos estatales destacan:</w:t>
      </w:r>
    </w:p>
    <w:p>
      <w:pPr>
        <w:pStyle w:val="ListBullet"/>
      </w:pPr>
      <w:r>
        <w:rPr>
          <w:rFonts w:ascii="Arial" w:hAnsi="Arial" w:cs="Arial"/>
          <w:sz w:val="22"/>
        </w:rPr>
        <w:t xml:space="preserve">El </w:t>
      </w:r>
      <w:r>
        <w:rPr>
          <w:rFonts w:ascii="Arial" w:hAnsi="Arial" w:cs="Arial"/>
          <w:b/>
          <w:sz w:val="22"/>
        </w:rPr>
        <w:t>Plan Estratégico de Igualdad de Oportunidades</w:t>
      </w:r>
      <w:r>
        <w:rPr>
          <w:rFonts w:ascii="Arial" w:hAnsi="Arial" w:cs="Arial"/>
          <w:sz w:val="22"/>
        </w:rPr>
        <w:t>, que el Gobierno aprueba periódicamente en las materias competencia del Estado.</w:t>
      </w:r>
    </w:p>
    <w:p>
      <w:pPr>
        <w:pStyle w:val="ListBullet"/>
      </w:pPr>
      <w:r>
        <w:rPr>
          <w:rFonts w:ascii="Arial" w:hAnsi="Arial" w:cs="Arial"/>
          <w:sz w:val="22"/>
        </w:rPr>
        <w:t>El informe periódico del Gobierno a las Cortes Generales sobre la efectividad de las medidas.</w:t>
      </w:r>
    </w:p>
    <w:p>
      <w:pPr>
        <w:pStyle w:val="ListBullet"/>
      </w:pPr>
      <w:r>
        <w:rPr>
          <w:rFonts w:ascii="Arial" w:hAnsi="Arial" w:cs="Arial"/>
          <w:sz w:val="22"/>
        </w:rPr>
        <w:t>Los informes de impacto por razón de género en proyectos normativos y planes de especial relevancia económica, social, cultural o artística.</w:t>
      </w:r>
    </w:p>
    <w:p>
      <w:pPr>
        <w:pStyle w:val="ListBullet"/>
      </w:pPr>
      <w:r>
        <w:rPr>
          <w:rFonts w:ascii="Arial" w:hAnsi="Arial" w:cs="Arial"/>
          <w:sz w:val="22"/>
        </w:rPr>
        <w:t>La adecuación de estadísticas y estudios: inclusión sistemática de la variable sexo, indicadores que permitan conocer diferencias y discriminaciones múltiples, muestras suficientes y explotación que muestre situaciones diferenciadas.</w:t>
      </w:r>
    </w:p>
    <w:p>
      <w:pPr>
        <w:pStyle w:val="ListBullet"/>
      </w:pPr>
      <w:r>
        <w:rPr>
          <w:rFonts w:ascii="Arial" w:hAnsi="Arial" w:cs="Arial"/>
          <w:sz w:val="22"/>
        </w:rPr>
        <w:t>La colaboración entre Administración General del Estado, comunidades autónomas y entidades locales.</w:t>
      </w:r>
    </w:p>
    <w:p>
      <w:pPr>
        <w:jc w:val="both"/>
      </w:pPr>
      <w:r>
        <w:rPr>
          <w:rFonts w:ascii="Arial" w:hAnsi="Arial" w:cs="Arial"/>
          <w:b/>
          <w:sz w:val="22"/>
        </w:rPr>
        <w:t>Transversalidad</w:t>
      </w:r>
      <w:r>
        <w:rPr>
          <w:rFonts w:ascii="Arial" w:hAnsi="Arial" w:cs="Arial"/>
          <w:sz w:val="22"/>
        </w:rPr>
        <w:t xml:space="preserve"> significa integrar la perspectiva de género en toda política. </w:t>
      </w:r>
      <w:r>
        <w:rPr>
          <w:rFonts w:ascii="Arial" w:hAnsi="Arial" w:cs="Arial"/>
          <w:b/>
          <w:sz w:val="22"/>
        </w:rPr>
        <w:t>Acción positiva</w:t>
      </w:r>
      <w:r>
        <w:rPr>
          <w:rFonts w:ascii="Arial" w:hAnsi="Arial" w:cs="Arial"/>
          <w:sz w:val="22"/>
        </w:rPr>
        <w:t xml:space="preserve"> significa adoptar una medida específica para corregir una desventaja. No son sinónimos.</w:t>
      </w:r>
    </w:p>
    <w:p>
      <w:pPr>
        <w:pStyle w:val="Heading2"/>
        <w:keepNext/>
      </w:pPr>
      <w:r>
        <w:rPr>
          <w:rFonts w:ascii="Arial" w:hAnsi="Arial" w:cs="Arial"/>
          <w:sz w:val="25"/>
        </w:rPr>
        <w:t>2.7. Empleo público</w:t>
      </w:r>
    </w:p>
    <w:p>
      <w:pPr>
        <w:jc w:val="both"/>
      </w:pPr>
      <w:r>
        <w:rPr>
          <w:rFonts w:ascii="Arial" w:hAnsi="Arial" w:cs="Arial"/>
          <w:sz w:val="22"/>
        </w:rPr>
        <w:t>Las Administraciones deben remover obstáculos para la igualdad en el acceso, carrera y promoción; facilitar la conciliación de la vida personal, familiar y laboral sin menoscabo profesional; fomentar formación en igualdad y prevención de la violencia de género; promover presencia equilibrada en órganos de selección y valoración; establecer medidas frente al acoso sexual y por razón de sexo; eliminar discriminaciones retributivas y evaluar periódicamente la efectividad del principio.</w:t>
      </w:r>
    </w:p>
    <w:p>
      <w:pPr>
        <w:jc w:val="both"/>
      </w:pPr>
      <w:r>
        <w:rPr>
          <w:rFonts w:ascii="Arial" w:hAnsi="Arial" w:cs="Arial"/>
          <w:sz w:val="22"/>
        </w:rPr>
        <w:t>En la Administración General del Estado se prevén presencia equilibrada en nombramientos, órganos de selección y comisiones de valoración —salvo razones fundadas y motivadas—, protocolos frente al acoso, formación, informes de impacto de género en pruebas de acceso y unidades departamentales de igualdad.</w:t>
      </w:r>
    </w:p>
    <w:p>
      <w:pPr>
        <w:jc w:val="both"/>
      </w:pPr>
      <w:r>
        <w:rPr>
          <w:rFonts w:ascii="Arial" w:hAnsi="Arial" w:cs="Arial"/>
          <w:sz w:val="22"/>
        </w:rPr>
        <w:t xml:space="preserve">La Ley entiende por </w:t>
      </w:r>
      <w:r>
        <w:rPr>
          <w:rFonts w:ascii="Arial" w:hAnsi="Arial" w:cs="Arial"/>
          <w:b/>
          <w:sz w:val="22"/>
        </w:rPr>
        <w:t>composición equilibrada</w:t>
      </w:r>
      <w:r>
        <w:rPr>
          <w:rFonts w:ascii="Arial" w:hAnsi="Arial" w:cs="Arial"/>
          <w:sz w:val="22"/>
        </w:rPr>
        <w:t xml:space="preserve"> la presencia de mujeres y hombres de forma que, en el conjunto, las personas de cada sexo no superen el sesenta por ciento ni sean menos del cuarenta por ciento. No significa necesariamente una división exacta al cincuenta por ciento.</w:t>
      </w:r>
    </w:p>
    <w:p>
      <w:pPr>
        <w:pStyle w:val="Heading2"/>
        <w:keepNext/>
      </w:pPr>
      <w:r>
        <w:rPr>
          <w:rFonts w:ascii="Arial" w:hAnsi="Arial" w:cs="Arial"/>
          <w:sz w:val="25"/>
        </w:rPr>
        <w:t>2.8. Igualdad en las empresas</w:t>
      </w:r>
    </w:p>
    <w:p>
      <w:pPr>
        <w:jc w:val="both"/>
      </w:pPr>
      <w:r>
        <w:rPr>
          <w:rFonts w:ascii="Arial" w:hAnsi="Arial" w:cs="Arial"/>
          <w:sz w:val="22"/>
        </w:rPr>
        <w:t xml:space="preserve">Las empresas deben respetar la igualdad y adoptar medidas antidiscriminatorias, negociándolas cuando corresponda. Deben elaborar un </w:t>
      </w:r>
      <w:r>
        <w:rPr>
          <w:rFonts w:ascii="Arial" w:hAnsi="Arial" w:cs="Arial"/>
          <w:b/>
          <w:sz w:val="22"/>
        </w:rPr>
        <w:t>plan de igualdad</w:t>
      </w:r>
      <w:r>
        <w:rPr>
          <w:rFonts w:ascii="Arial" w:hAnsi="Arial" w:cs="Arial"/>
          <w:sz w:val="22"/>
        </w:rPr>
        <w:t xml:space="preserve"> las de </w:t>
      </w:r>
      <w:r>
        <w:rPr>
          <w:rFonts w:ascii="Arial" w:hAnsi="Arial" w:cs="Arial"/>
          <w:b/>
          <w:sz w:val="22"/>
        </w:rPr>
        <w:t>cincuenta o más personas trabajadoras</w:t>
      </w:r>
      <w:r>
        <w:rPr>
          <w:rFonts w:ascii="Arial" w:hAnsi="Arial" w:cs="Arial"/>
          <w:sz w:val="22"/>
        </w:rPr>
        <w:t>, las obligadas por convenio y las que deban hacerlo por acuerdo de la autoridad laboral en sustitución de sanciones accesorias. El plan, negociado y registrado, parte de un diagnóstico sobre selección, clasificación, formación, promoción, condiciones y auditoría salarial, corresponsabilidad, infrarrepresentación, retribuciones y prevención del acoso.</w:t>
      </w:r>
    </w:p>
    <w:p>
      <w:pPr>
        <w:jc w:val="both"/>
      </w:pPr>
      <w:r>
        <w:rPr>
          <w:rFonts w:ascii="Arial" w:hAnsi="Arial" w:cs="Arial"/>
          <w:sz w:val="22"/>
        </w:rPr>
        <w:t>No debe confundirse el plan empresarial de igualdad de la Ley Orgánica 3/2007 con las medidas LGTBI de la Ley 4/2023: tienen fundamento y contenido propios, aunque puedan coordinarse.</w:t>
      </w:r>
    </w:p>
    <w:p>
      <w:pPr>
        <w:pStyle w:val="Heading1"/>
        <w:keepNext/>
      </w:pPr>
      <w:r>
        <w:rPr>
          <w:rFonts w:ascii="Arial" w:hAnsi="Arial" w:cs="Arial"/>
          <w:sz w:val="30"/>
        </w:rPr>
        <w:t>3. Protección integral contra la violencia de género</w:t>
      </w:r>
    </w:p>
    <w:p>
      <w:pPr>
        <w:pStyle w:val="Heading2"/>
        <w:keepNext/>
      </w:pPr>
      <w:r>
        <w:rPr>
          <w:rFonts w:ascii="Arial" w:hAnsi="Arial" w:cs="Arial"/>
          <w:sz w:val="25"/>
        </w:rPr>
        <w:t>3.1. Concepto técnico de la Ley Orgánica 1/2004</w:t>
      </w:r>
    </w:p>
    <w:p>
      <w:pPr>
        <w:jc w:val="both"/>
      </w:pPr>
      <w:r>
        <w:rPr>
          <w:rFonts w:ascii="Arial" w:hAnsi="Arial" w:cs="Arial"/>
          <w:sz w:val="22"/>
        </w:rPr>
        <w:t xml:space="preserve">La </w:t>
      </w:r>
      <w:r>
        <w:rPr>
          <w:rFonts w:ascii="Arial" w:hAnsi="Arial" w:cs="Arial"/>
          <w:b/>
          <w:sz w:val="22"/>
        </w:rPr>
        <w:t>Ley Orgánica 1/2004, de 28 de diciembre</w:t>
      </w:r>
      <w:r>
        <w:rPr>
          <w:rFonts w:ascii="Arial" w:hAnsi="Arial" w:cs="Arial"/>
          <w:sz w:val="22"/>
        </w:rPr>
        <w:t>, actúa contra la violencia que, como manifestación de la discriminación, la situación de desigualdad y las relaciones de poder de los hombres sobre las mujeres, se ejerce sobre estas por quienes sean o hayan sido sus cónyuges o por quienes estén o hayan estado ligados a ellas por relaciones similares de afectividad, aun sin convivencia.</w:t>
      </w:r>
    </w:p>
    <w:p>
      <w:pPr>
        <w:jc w:val="both"/>
      </w:pPr>
      <w:r>
        <w:rPr>
          <w:rFonts w:ascii="Arial" w:hAnsi="Arial" w:cs="Arial"/>
          <w:sz w:val="22"/>
        </w:rPr>
        <w:t>Comprende todo acto de violencia física y psicológica, incluidas agresiones a la libertad sexual, amenazas, coacciones o privación arbitraria de libertad. También tiene por objeto prevenir, sancionar y erradicar esa violencia y prestar asistencia a las mujeres, a sus hijos menores y a los menores sujetos a tutela, guarda y custodia.</w:t>
      </w:r>
    </w:p>
    <w:p>
      <w:pPr>
        <w:jc w:val="both"/>
      </w:pPr>
      <w:r>
        <w:rPr>
          <w:rFonts w:ascii="Arial" w:hAnsi="Arial" w:cs="Arial"/>
          <w:sz w:val="22"/>
        </w:rPr>
        <w:t>En una pregunta sobre el artículo 1 de la Ley Orgánica 1/2004 debe aplicarse su delimitación técnica:</w:t>
      </w:r>
    </w:p>
    <w:tbl>
      <w:tblPr>
        <w:tblStyle w:val="TableGrid"/>
        <w:tblW w:type="dxa" w:w="9026"/>
        <w:jc w:val="left"/>
        <w:tblLayout w:type="fixed"/>
        <w:tblLook w:firstColumn="1" w:firstRow="1" w:lastColumn="0" w:lastRow="0" w:noHBand="0" w:noVBand="1" w:val="04A0"/>
        <w:tblInd w:w="120" w:type="dxa"/>
      </w:tblPr>
      <w:tblGrid>
        <w:gridCol w:w="2872"/>
        <w:gridCol w:w="6154"/>
      </w:tblGrid>
      <w:tr>
        <w:trPr>
          <w:tblHeader w:val="true"/>
        </w:trPr>
        <w:tc>
          <w:tcPr>
            <w:tcW w:type="dxa" w:w="287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615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 decisivo</w:t>
            </w:r>
          </w:p>
        </w:tc>
      </w:tr>
      <w:tr>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Violencia de género de la LO 1/2004</w:t>
            </w:r>
          </w:p>
        </w:tc>
        <w:tc>
          <w:tcPr>
            <w:tcW w:type="dxa" w:w="6154"/>
            <w:tcMar>
              <w:top w:w="80" w:type="dxa"/>
              <w:start w:w="120" w:type="dxa"/>
              <w:bottom w:w="80" w:type="dxa"/>
              <w:end w:w="120" w:type="dxa"/>
            </w:tcMar>
            <w:vAlign w:val="center"/>
          </w:tcPr>
          <w:p>
            <w:pPr>
              <w:spacing w:before="0" w:after="0" w:line="240" w:lineRule="auto"/>
              <w:jc w:val="left"/>
            </w:pPr>
            <w:r/>
            <w:r>
              <w:rPr>
                <w:rFonts w:ascii="Arial" w:hAnsi="Arial" w:cs="Arial"/>
                <w:sz w:val="18"/>
              </w:rPr>
              <w:t>Hombre agresor y mujer víctima unidos actual o anteriormente por matrimonio o afectividad análoga, aun sin convivencia</w:t>
            </w:r>
          </w:p>
        </w:tc>
      </w:tr>
      <w:tr>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Violencia doméstica</w:t>
            </w:r>
          </w:p>
        </w:tc>
        <w:tc>
          <w:tcPr>
            <w:tcW w:type="dxa" w:w="6154"/>
            <w:tcMar>
              <w:top w:w="80" w:type="dxa"/>
              <w:start w:w="120" w:type="dxa"/>
              <w:bottom w:w="80" w:type="dxa"/>
              <w:end w:w="120" w:type="dxa"/>
            </w:tcMar>
            <w:vAlign w:val="center"/>
          </w:tcPr>
          <w:p>
            <w:pPr>
              <w:spacing w:before="0" w:after="0" w:line="240" w:lineRule="auto"/>
              <w:jc w:val="left"/>
            </w:pPr>
            <w:r/>
            <w:r>
              <w:rPr>
                <w:rFonts w:ascii="Arial" w:hAnsi="Arial" w:cs="Arial"/>
                <w:sz w:val="18"/>
              </w:rPr>
              <w:t>Ámbito familiar o convivencial; no exige la relación hombre-mujer definida en el artículo 1</w:t>
            </w:r>
          </w:p>
        </w:tc>
      </w:tr>
      <w:tr>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Violencia sexual</w:t>
            </w:r>
          </w:p>
        </w:tc>
        <w:tc>
          <w:tcPr>
            <w:tcW w:type="dxa" w:w="6154"/>
            <w:tcMar>
              <w:top w:w="80" w:type="dxa"/>
              <w:start w:w="120" w:type="dxa"/>
              <w:bottom w:w="80" w:type="dxa"/>
              <w:end w:w="120" w:type="dxa"/>
            </w:tcMar>
            <w:vAlign w:val="center"/>
          </w:tcPr>
          <w:p>
            <w:pPr>
              <w:spacing w:before="0" w:after="0" w:line="240" w:lineRule="auto"/>
              <w:jc w:val="left"/>
            </w:pPr>
            <w:r/>
            <w:r>
              <w:rPr>
                <w:rFonts w:ascii="Arial" w:hAnsi="Arial" w:cs="Arial"/>
                <w:sz w:val="18"/>
              </w:rPr>
              <w:t>Ataque a la libertad sexual; se rige también por su legislación específica y puede existir fuera de pareja</w:t>
            </w:r>
          </w:p>
        </w:tc>
      </w:tr>
      <w:tr>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Acoso sexual</w:t>
            </w:r>
          </w:p>
        </w:tc>
        <w:tc>
          <w:tcPr>
            <w:tcW w:type="dxa" w:w="6154"/>
            <w:tcMar>
              <w:top w:w="80" w:type="dxa"/>
              <w:start w:w="120" w:type="dxa"/>
              <w:bottom w:w="80" w:type="dxa"/>
              <w:end w:w="120" w:type="dxa"/>
            </w:tcMar>
            <w:vAlign w:val="center"/>
          </w:tcPr>
          <w:p>
            <w:pPr>
              <w:spacing w:before="0" w:after="0" w:line="240" w:lineRule="auto"/>
              <w:jc w:val="left"/>
            </w:pPr>
            <w:r/>
            <w:r>
              <w:rPr>
                <w:rFonts w:ascii="Arial" w:hAnsi="Arial" w:cs="Arial"/>
                <w:sz w:val="18"/>
              </w:rPr>
              <w:t>Conducta sexual atentatoria contra la dignidad, con frecuencia en el ámbito laboral o profesional</w:t>
            </w:r>
          </w:p>
        </w:tc>
      </w:tr>
    </w:tbl>
    <w:p>
      <w:pPr>
        <w:spacing w:after="40"/>
      </w:pPr>
    </w:p>
    <w:p>
      <w:pPr>
        <w:pStyle w:val="Heading2"/>
        <w:keepNext/>
      </w:pPr>
      <w:r>
        <w:rPr>
          <w:rFonts w:ascii="Arial" w:hAnsi="Arial" w:cs="Arial"/>
          <w:sz w:val="25"/>
        </w:rPr>
        <w:t>3.2. Principios y medidas preventivas</w:t>
      </w:r>
    </w:p>
    <w:p>
      <w:pPr>
        <w:jc w:val="both"/>
      </w:pPr>
      <w:r>
        <w:rPr>
          <w:rFonts w:ascii="Arial" w:hAnsi="Arial" w:cs="Arial"/>
          <w:sz w:val="22"/>
        </w:rPr>
        <w:t xml:space="preserve">La respuesta es </w:t>
      </w:r>
      <w:r>
        <w:rPr>
          <w:rFonts w:ascii="Arial" w:hAnsi="Arial" w:cs="Arial"/>
          <w:b/>
          <w:sz w:val="22"/>
        </w:rPr>
        <w:t>integral</w:t>
      </w:r>
      <w:r>
        <w:rPr>
          <w:rFonts w:ascii="Arial" w:hAnsi="Arial" w:cs="Arial"/>
          <w:sz w:val="22"/>
        </w:rPr>
        <w:t>: combina sensibilización, educación, publicidad, sanidad, derechos sociales y laborales, tutela institucional, respuesta penal y especialización judicial. El Plan Estatal de Sensibilización y Prevención promueve igualdad y resolución pacífica de conflictos; educación, sanidad y publicidad incorporan formación, detección precoz, asistencia, seguimiento y control de contenidos.</w:t>
      </w:r>
    </w:p>
    <w:p>
      <w:pPr>
        <w:pStyle w:val="Heading2"/>
        <w:keepNext/>
      </w:pPr>
      <w:r>
        <w:rPr>
          <w:rFonts w:ascii="Arial" w:hAnsi="Arial" w:cs="Arial"/>
          <w:sz w:val="25"/>
        </w:rPr>
        <w:t>3.3. Derecho a la información y asistencia social integral</w:t>
      </w:r>
    </w:p>
    <w:p>
      <w:pPr>
        <w:jc w:val="both"/>
      </w:pPr>
      <w:r>
        <w:rPr>
          <w:rFonts w:ascii="Arial" w:hAnsi="Arial" w:cs="Arial"/>
          <w:sz w:val="22"/>
        </w:rPr>
        <w:t>Las víctimas tienen derecho a plena información y asesoramiento sobre protección, derechos, ayudas y recursos. Deben existir formatos accesibles y comprensibles para mujeres con discapacidad y medios adecuados ante otras dificultades personales o sociales.</w:t>
      </w:r>
    </w:p>
    <w:p>
      <w:pPr>
        <w:jc w:val="both"/>
      </w:pPr>
      <w:r>
        <w:rPr>
          <w:rFonts w:ascii="Arial" w:hAnsi="Arial" w:cs="Arial"/>
          <w:sz w:val="22"/>
        </w:rPr>
        <w:t>La asistencia social integral comprende servicios de:</w:t>
      </w:r>
    </w:p>
    <w:p>
      <w:pPr>
        <w:pStyle w:val="ListBullet"/>
      </w:pPr>
      <w:r>
        <w:rPr>
          <w:rFonts w:ascii="Arial" w:hAnsi="Arial" w:cs="Arial"/>
          <w:sz w:val="22"/>
        </w:rPr>
        <w:t>Atención.</w:t>
      </w:r>
    </w:p>
    <w:p>
      <w:pPr>
        <w:pStyle w:val="ListBullet"/>
      </w:pPr>
      <w:r>
        <w:rPr>
          <w:rFonts w:ascii="Arial" w:hAnsi="Arial" w:cs="Arial"/>
          <w:sz w:val="22"/>
        </w:rPr>
        <w:t>Emergencia.</w:t>
      </w:r>
    </w:p>
    <w:p>
      <w:pPr>
        <w:pStyle w:val="ListBullet"/>
      </w:pPr>
      <w:r>
        <w:rPr>
          <w:rFonts w:ascii="Arial" w:hAnsi="Arial" w:cs="Arial"/>
          <w:sz w:val="22"/>
        </w:rPr>
        <w:t>Apoyo y acogida.</w:t>
      </w:r>
    </w:p>
    <w:p>
      <w:pPr>
        <w:pStyle w:val="ListBullet"/>
      </w:pPr>
      <w:r>
        <w:rPr>
          <w:rFonts w:ascii="Arial" w:hAnsi="Arial" w:cs="Arial"/>
          <w:sz w:val="22"/>
        </w:rPr>
        <w:t>Recuperación integral.</w:t>
      </w:r>
    </w:p>
    <w:p>
      <w:pPr>
        <w:jc w:val="both"/>
      </w:pPr>
      <w:r>
        <w:rPr>
          <w:rFonts w:ascii="Arial" w:hAnsi="Arial" w:cs="Arial"/>
          <w:sz w:val="22"/>
        </w:rPr>
        <w:t>Debe ser permanente, urgente, especializada y multidisciplinar e incluir información, atención psicológica, apoyo social y educativo, seguimiento jurídico e inserción laboral. Los menores bajo patria potestad, guarda o custodia tienen derecho a asistencia, con atención particular a la violencia vicaria. También se garantiza atención sanitaria, psicológica y psiquiátrica.</w:t>
      </w:r>
    </w:p>
    <w:p>
      <w:pPr>
        <w:pStyle w:val="Heading2"/>
        <w:keepNext/>
      </w:pPr>
      <w:r>
        <w:rPr>
          <w:rFonts w:ascii="Arial" w:hAnsi="Arial" w:cs="Arial"/>
          <w:sz w:val="25"/>
        </w:rPr>
        <w:t>3.4. Asistencia jurídica</w:t>
      </w:r>
    </w:p>
    <w:p>
      <w:pPr>
        <w:jc w:val="both"/>
      </w:pPr>
      <w:r>
        <w:rPr>
          <w:rFonts w:ascii="Arial" w:hAnsi="Arial" w:cs="Arial"/>
          <w:sz w:val="22"/>
        </w:rPr>
        <w:t>Las víctimas tienen derecho a asesoramiento jurídico gratuito inmediatamente antes de denunciar y a defensa y representación gratuitas en procesos y procedimientos relacionados directa o indirectamente con la violencia, conforme a la normativa de asistencia jurídica gratuita. Se procura una misma dirección letrada; el derecho alcanza a causahabientes en caso de fallecimiento, salvo participación en los hechos.</w:t>
      </w:r>
    </w:p>
    <w:p>
      <w:pPr>
        <w:pStyle w:val="Heading2"/>
        <w:keepNext/>
      </w:pPr>
      <w:r>
        <w:rPr>
          <w:rFonts w:ascii="Arial" w:hAnsi="Arial" w:cs="Arial"/>
          <w:sz w:val="25"/>
        </w:rPr>
        <w:t>3.5. Derechos laborales, de Seguridad Social y empleo</w:t>
      </w:r>
    </w:p>
    <w:p>
      <w:pPr>
        <w:jc w:val="both"/>
      </w:pPr>
      <w:r>
        <w:rPr>
          <w:rFonts w:ascii="Arial" w:hAnsi="Arial" w:cs="Arial"/>
          <w:sz w:val="22"/>
        </w:rPr>
        <w:t>La trabajadora víctima puede reducir o reordenar el tiempo, obtener movilidad o cambio de centro, adaptar su puesto, suspender la relación con reserva, extinguir el contrato y justificar ausencias motivadas por su situación.</w:t>
      </w:r>
    </w:p>
    <w:p>
      <w:pPr>
        <w:jc w:val="both"/>
      </w:pPr>
      <w:r>
        <w:rPr>
          <w:rFonts w:ascii="Arial" w:hAnsi="Arial" w:cs="Arial"/>
          <w:sz w:val="22"/>
        </w:rPr>
        <w:t>Suspensión y extinción producen los efectos protectores que establecen Seguridad Social y desempleo; existe un programa específico de empleo. Las empleadas públicas tienen reducción o reordenación, movilidad y excedencia, y sus ausencias pueden justificarse por los servicios sociales o de salud.</w:t>
      </w:r>
    </w:p>
    <w:p>
      <w:pPr>
        <w:pStyle w:val="Heading2"/>
        <w:keepNext/>
      </w:pPr>
      <w:r>
        <w:rPr>
          <w:rFonts w:ascii="Arial" w:hAnsi="Arial" w:cs="Arial"/>
          <w:sz w:val="25"/>
        </w:rPr>
        <w:t>3.6. Acreditación de la situación</w:t>
      </w:r>
    </w:p>
    <w:p>
      <w:pPr>
        <w:jc w:val="both"/>
      </w:pPr>
      <w:r>
        <w:rPr>
          <w:rFonts w:ascii="Arial" w:hAnsi="Arial" w:cs="Arial"/>
          <w:sz w:val="22"/>
        </w:rPr>
        <w:t>La situación se acredita mediante sentencia condenatoria, orden de protección u otra resolución judicial cautelar, informe del Ministerio Fiscal sobre indicios, informe de servicios sociales, especializados o de acogida, y otros títulos admitidos por la normativa sectorial.</w:t>
      </w:r>
    </w:p>
    <w:p>
      <w:pPr>
        <w:jc w:val="both"/>
      </w:pPr>
      <w:r>
        <w:rPr>
          <w:rFonts w:ascii="Arial" w:hAnsi="Arial" w:cs="Arial"/>
          <w:sz w:val="22"/>
        </w:rPr>
        <w:t>La pluralidad de títulos evita identificar «víctima acreditada» únicamente con sentencia firme. Para determinados derechos habrá que atender, además, a la norma sectorial.</w:t>
      </w:r>
    </w:p>
    <w:p>
      <w:pPr>
        <w:pStyle w:val="Heading2"/>
        <w:keepNext/>
      </w:pPr>
      <w:r>
        <w:rPr>
          <w:rFonts w:ascii="Arial" w:hAnsi="Arial" w:cs="Arial"/>
          <w:sz w:val="25"/>
        </w:rPr>
        <w:t>3.7. Derechos económicos y vivienda</w:t>
      </w:r>
    </w:p>
    <w:p>
      <w:pPr>
        <w:jc w:val="both"/>
      </w:pPr>
      <w:r>
        <w:rPr>
          <w:rFonts w:ascii="Arial" w:hAnsi="Arial" w:cs="Arial"/>
          <w:sz w:val="22"/>
        </w:rPr>
        <w:t xml:space="preserve">Cuando una víctima carece de rentas superiores, en cómputo mensual, al </w:t>
      </w:r>
      <w:r>
        <w:rPr>
          <w:rFonts w:ascii="Arial" w:hAnsi="Arial" w:cs="Arial"/>
          <w:b/>
          <w:sz w:val="22"/>
        </w:rPr>
        <w:t>75 % del salario mínimo interprofesional</w:t>
      </w:r>
      <w:r>
        <w:rPr>
          <w:rFonts w:ascii="Arial" w:hAnsi="Arial" w:cs="Arial"/>
          <w:sz w:val="22"/>
        </w:rPr>
        <w:t>, excluida la parte proporcional de dos pagas extraordinarias, y se presume que por edad, preparación o circunstancias sociales tendrá especiales dificultades para obtener empleo, puede recibir la ayuda económica prevista legalmente. Su cuantía y duración varían en función de responsabilidades familiares y discapacidad, y es compatible o incompatible con otras prestaciones según la normativa aplicable.</w:t>
      </w:r>
    </w:p>
    <w:p>
      <w:pPr>
        <w:jc w:val="both"/>
      </w:pPr>
      <w:r>
        <w:rPr>
          <w:rFonts w:ascii="Arial" w:hAnsi="Arial" w:cs="Arial"/>
          <w:sz w:val="22"/>
        </w:rPr>
        <w:t>Las víctimas son colectivo prioritario en el acceso a viviendas protegidas y residencias públicas para mayores, de acuerdo con la legislación y programas correspondientes.</w:t>
      </w:r>
    </w:p>
    <w:p>
      <w:pPr>
        <w:pStyle w:val="Heading2"/>
        <w:keepNext/>
      </w:pPr>
      <w:r>
        <w:rPr>
          <w:rFonts w:ascii="Arial" w:hAnsi="Arial" w:cs="Arial"/>
          <w:sz w:val="25"/>
        </w:rPr>
        <w:t>3.8. Organización institucional</w:t>
      </w:r>
    </w:p>
    <w:p>
      <w:pPr>
        <w:jc w:val="both"/>
      </w:pPr>
      <w:r>
        <w:rPr>
          <w:rFonts w:ascii="Arial" w:hAnsi="Arial" w:cs="Arial"/>
          <w:sz w:val="22"/>
        </w:rPr>
        <w:t xml:space="preserve">La </w:t>
      </w:r>
      <w:r>
        <w:rPr>
          <w:rFonts w:ascii="Arial" w:hAnsi="Arial" w:cs="Arial"/>
          <w:b/>
          <w:sz w:val="22"/>
        </w:rPr>
        <w:t>Delegación del Gobierno contra la Violencia de Género</w:t>
      </w:r>
      <w:r>
        <w:rPr>
          <w:rFonts w:ascii="Arial" w:hAnsi="Arial" w:cs="Arial"/>
          <w:sz w:val="22"/>
        </w:rPr>
        <w:t xml:space="preserve"> formula, impulsa y coordina políticas; la Macroencuesta se realiza como mínimo cada tres años. El </w:t>
      </w:r>
      <w:r>
        <w:rPr>
          <w:rFonts w:ascii="Arial" w:hAnsi="Arial" w:cs="Arial"/>
          <w:b/>
          <w:sz w:val="22"/>
        </w:rPr>
        <w:t>Observatorio Estatal de Violencia sobre la Mujer</w:t>
      </w:r>
      <w:r>
        <w:rPr>
          <w:rFonts w:ascii="Arial" w:hAnsi="Arial" w:cs="Arial"/>
          <w:sz w:val="22"/>
        </w:rPr>
        <w:t xml:space="preserve"> asesora, evalúa, informa y propone. El sistema se completa con fiscalías y órganos judiciales especializados, policía, valoración forense y servicios sanitarios y sociales.</w:t>
      </w:r>
    </w:p>
    <w:p>
      <w:pPr>
        <w:pStyle w:val="Heading1"/>
        <w:keepNext/>
      </w:pPr>
      <w:r>
        <w:rPr>
          <w:rFonts w:ascii="Arial" w:hAnsi="Arial" w:cs="Arial"/>
          <w:sz w:val="30"/>
        </w:rPr>
        <w:t>4. Personas con discapacidad: Constitución y régimen general</w:t>
      </w:r>
    </w:p>
    <w:p>
      <w:pPr>
        <w:pStyle w:val="Heading2"/>
        <w:keepNext/>
      </w:pPr>
      <w:r>
        <w:rPr>
          <w:rFonts w:ascii="Arial" w:hAnsi="Arial" w:cs="Arial"/>
          <w:sz w:val="25"/>
        </w:rPr>
        <w:t>4.1. El artículo 49 de la Constitución vigente</w:t>
      </w:r>
    </w:p>
    <w:p>
      <w:pPr>
        <w:jc w:val="both"/>
      </w:pPr>
      <w:r>
        <w:rPr>
          <w:rFonts w:ascii="Arial" w:hAnsi="Arial" w:cs="Arial"/>
          <w:sz w:val="22"/>
        </w:rPr>
        <w:t>La reforma constitucional de 15 de febrero de 2024 sustituyó la redacción originaria del artículo 49. Desde el 17 de febrero de 2024 dispone:</w:t>
      </w:r>
    </w:p>
    <w:p>
      <w:pPr>
        <w:spacing w:after="40"/>
        <w:ind w:left="369" w:hanging="227"/>
      </w:pPr>
      <w:r>
        <w:rPr>
          <w:rFonts w:ascii="Arial" w:hAnsi="Arial" w:cs="Arial"/>
          <w:sz w:val="22"/>
        </w:rPr>
        <w:t>1. Las personas con discapacidad ejercen los derechos previstos en el título I en condiciones de libertad e igualdad reales y efectivas. Se regulará por ley la protección especial que sea necesaria para dicho ejercicio.</w:t>
      </w:r>
    </w:p>
    <w:p>
      <w:pPr>
        <w:spacing w:after="40"/>
        <w:ind w:left="369" w:hanging="227"/>
      </w:pPr>
      <w:r>
        <w:rPr>
          <w:rFonts w:ascii="Arial" w:hAnsi="Arial" w:cs="Arial"/>
          <w:sz w:val="22"/>
        </w:rPr>
        <w:t>2. Los poderes públicos impulsarán políticas que garanticen la plena autonomía personal y la inclusión social en entornos universalmente accesibles. Fomentarán la participación de sus organizaciones en los términos legales y atenderán particularmente las necesidades específicas de las mujeres y los menores con discapacidad.</w:t>
      </w:r>
    </w:p>
    <w:p>
      <w:pPr>
        <w:jc w:val="both"/>
      </w:pPr>
      <w:r>
        <w:rPr>
          <w:rFonts w:ascii="Arial" w:hAnsi="Arial" w:cs="Arial"/>
          <w:sz w:val="22"/>
        </w:rPr>
        <w:t xml:space="preserve">La nueva redacción abandona terminología superada y constitucionaliza de modo más claro el enfoque de derechos, autonomía, inclusión, accesibilidad y participación. No crea un catálogo separado: asegura a las personas con discapacidad el ejercicio efectivo de </w:t>
      </w:r>
      <w:r>
        <w:rPr>
          <w:rFonts w:ascii="Arial" w:hAnsi="Arial" w:cs="Arial"/>
          <w:b/>
          <w:sz w:val="22"/>
        </w:rPr>
        <w:t>todos</w:t>
      </w:r>
      <w:r>
        <w:rPr>
          <w:rFonts w:ascii="Arial" w:hAnsi="Arial" w:cs="Arial"/>
          <w:sz w:val="22"/>
        </w:rPr>
        <w:t xml:space="preserve"> los derechos del título I.</w:t>
      </w:r>
    </w:p>
    <w:p>
      <w:pPr>
        <w:pStyle w:val="Heading2"/>
        <w:keepNext/>
      </w:pPr>
      <w:r>
        <w:rPr>
          <w:rFonts w:ascii="Arial" w:hAnsi="Arial" w:cs="Arial"/>
          <w:sz w:val="25"/>
        </w:rPr>
        <w:t>4.2. Texto refundido de 2013 y modelo social</w:t>
      </w:r>
    </w:p>
    <w:p>
      <w:pPr>
        <w:jc w:val="both"/>
      </w:pPr>
      <w:r>
        <w:rPr>
          <w:rFonts w:ascii="Arial" w:hAnsi="Arial" w:cs="Arial"/>
          <w:sz w:val="22"/>
        </w:rPr>
        <w:t xml:space="preserve">El </w:t>
      </w:r>
      <w:r>
        <w:rPr>
          <w:rFonts w:ascii="Arial" w:hAnsi="Arial" w:cs="Arial"/>
          <w:b/>
          <w:sz w:val="22"/>
        </w:rPr>
        <w:t>Real Decreto Legislativo 1/2013, de 29 de noviembre</w:t>
      </w:r>
      <w:r>
        <w:rPr>
          <w:rFonts w:ascii="Arial" w:hAnsi="Arial" w:cs="Arial"/>
          <w:sz w:val="22"/>
        </w:rPr>
        <w:t>, aprueba el texto refundido de la Ley General de derechos de las personas con discapacidad y de su inclusión social. Refunde la legislación general de integración, igualdad de oportunidades y accesibilidad.</w:t>
      </w:r>
    </w:p>
    <w:p>
      <w:pPr>
        <w:jc w:val="both"/>
      </w:pPr>
      <w:r>
        <w:rPr>
          <w:rFonts w:ascii="Arial" w:hAnsi="Arial" w:cs="Arial"/>
          <w:sz w:val="22"/>
        </w:rPr>
        <w:t>La discapacidad resulta de la interacción entre deficiencias previsiblemente permanentes y barreras que limitan la participación plena y efectiva. Frente al modelo asistencial, el modelo social prioriza derechos, autonomía, apoyos, accesibilidad e inclusión y reconoce a la persona como titular y participante.</w:t>
      </w:r>
    </w:p>
    <w:p>
      <w:pPr>
        <w:pStyle w:val="Heading2"/>
        <w:keepNext/>
      </w:pPr>
      <w:r>
        <w:rPr>
          <w:rFonts w:ascii="Arial" w:hAnsi="Arial" w:cs="Arial"/>
          <w:sz w:val="25"/>
        </w:rPr>
        <w:t>4.3. Titulares y grado de discapacidad</w:t>
      </w:r>
    </w:p>
    <w:p>
      <w:pPr>
        <w:jc w:val="both"/>
      </w:pPr>
      <w:r>
        <w:rPr>
          <w:rFonts w:ascii="Arial" w:hAnsi="Arial" w:cs="Arial"/>
          <w:sz w:val="22"/>
        </w:rPr>
        <w:t>Son personas con discapacidad quienes presentan deficiencias físicas, mentales, intelectuales o sensoriales previsiblemente permanentes que, al interactuar con diversas barreras, pueden impedir su participación plena y efectiva en igualdad.</w:t>
      </w:r>
    </w:p>
    <w:p>
      <w:pPr>
        <w:jc w:val="both"/>
      </w:pPr>
      <w:r>
        <w:rPr>
          <w:rFonts w:ascii="Arial" w:hAnsi="Arial" w:cs="Arial"/>
          <w:sz w:val="22"/>
        </w:rPr>
        <w:t xml:space="preserve">Además, a los efectos de la ley tienen la consideración de personas con discapacidad quienes tengan reconocido un </w:t>
      </w:r>
      <w:r>
        <w:rPr>
          <w:rFonts w:ascii="Arial" w:hAnsi="Arial" w:cs="Arial"/>
          <w:b/>
          <w:sz w:val="22"/>
        </w:rPr>
        <w:t>grado igual o superior al 33 %</w:t>
      </w:r>
      <w:r>
        <w:rPr>
          <w:rFonts w:ascii="Arial" w:hAnsi="Arial" w:cs="Arial"/>
          <w:sz w:val="22"/>
        </w:rPr>
        <w:t>. En los supuestos y con el alcance legalmente previstos, se considera que alcanzan ese grado los pensionistas de la Seguridad Social que tengan reconocida una pensión de incapacidad permanente total, absoluta o gran invalidez y los pensionistas de clases pasivas con pensión de jubilación o retiro por incapacidad permanente para el servicio o inutilidad.</w:t>
      </w:r>
    </w:p>
    <w:p>
      <w:pPr>
        <w:jc w:val="both"/>
      </w:pPr>
      <w:r>
        <w:rPr>
          <w:rFonts w:ascii="Arial" w:hAnsi="Arial" w:cs="Arial"/>
          <w:sz w:val="22"/>
        </w:rPr>
        <w:t>El grado se reconoce por el órgano competente mediante el procedimiento y baremo reglamentarios y tiene validez en todo el territorio español. El reconocimiento administrativo del porcentaje y el concepto general de persona con discapacidad no son exactamente lo mismo: la definición material describe una situación; el porcentaje permite acceder a efectos jurídicos concretos.</w:t>
      </w:r>
    </w:p>
    <w:p>
      <w:pPr>
        <w:jc w:val="both"/>
      </w:pPr>
      <w:r>
        <w:rPr>
          <w:rFonts w:ascii="Arial" w:hAnsi="Arial" w:cs="Arial"/>
          <w:sz w:val="22"/>
        </w:rPr>
        <w:t xml:space="preserve">Las referencias de las Administraciones y normas deben utilizar la expresión </w:t>
      </w:r>
      <w:r>
        <w:rPr>
          <w:rFonts w:ascii="Arial" w:hAnsi="Arial" w:cs="Arial"/>
          <w:b/>
          <w:sz w:val="22"/>
        </w:rPr>
        <w:t>persona con discapacidad</w:t>
      </w:r>
      <w:r>
        <w:rPr>
          <w:rFonts w:ascii="Arial" w:hAnsi="Arial" w:cs="Arial"/>
          <w:sz w:val="22"/>
        </w:rPr>
        <w:t>, respetando la terminología constitucional vigente.</w:t>
      </w:r>
    </w:p>
    <w:p>
      <w:pPr>
        <w:pStyle w:val="Heading2"/>
        <w:keepNext/>
      </w:pPr>
      <w:r>
        <w:rPr>
          <w:rFonts w:ascii="Arial" w:hAnsi="Arial" w:cs="Arial"/>
          <w:sz w:val="25"/>
        </w:rPr>
        <w:t>4.4. Principios</w:t>
      </w:r>
    </w:p>
    <w:p>
      <w:pPr>
        <w:jc w:val="both"/>
      </w:pPr>
      <w:r>
        <w:rPr>
          <w:rFonts w:ascii="Arial" w:hAnsi="Arial" w:cs="Arial"/>
          <w:sz w:val="22"/>
        </w:rPr>
        <w:t>Sus principios son dignidad, autonomía y decisión; vida independiente; no discriminación; respeto a la diferencia; igualdad de oportunidades y entre mujeres y hombres; normalización; accesibilidad y diseño universal; participación e inclusión; diálogo civil; respeto a la evolución de niños y niñas; y transversalidad.</w:t>
      </w:r>
    </w:p>
    <w:p>
      <w:pPr>
        <w:jc w:val="both"/>
      </w:pPr>
      <w:r>
        <w:rPr>
          <w:rFonts w:ascii="Arial" w:hAnsi="Arial" w:cs="Arial"/>
          <w:sz w:val="22"/>
        </w:rPr>
        <w:t>La libertad de decisión debe ejercerse con información en formatos adecuados, según las circunstancias personales y siguiendo las reglas de accesibilidad y diseño universal. Los apoyos deben favorecer que la propia persona comprenda, elija y manifieste su voluntad.</w:t>
      </w:r>
    </w:p>
    <w:p>
      <w:pPr>
        <w:pStyle w:val="Heading2"/>
        <w:keepNext/>
      </w:pPr>
      <w:r>
        <w:rPr>
          <w:rFonts w:ascii="Arial" w:hAnsi="Arial" w:cs="Arial"/>
          <w:sz w:val="25"/>
        </w:rPr>
        <w:t>4.5. Conceptos que deben diferenciarse</w:t>
      </w:r>
    </w:p>
    <w:p>
      <w:pPr>
        <w:jc w:val="both"/>
      </w:pPr>
      <w:r>
        <w:rPr>
          <w:rFonts w:ascii="Arial" w:hAnsi="Arial" w:cs="Arial"/>
          <w:b/>
          <w:sz w:val="22"/>
        </w:rPr>
        <w:t>Accesibilidad universal</w:t>
      </w:r>
      <w:r>
        <w:rPr>
          <w:rFonts w:ascii="Arial" w:hAnsi="Arial" w:cs="Arial"/>
          <w:sz w:val="22"/>
        </w:rPr>
        <w:t xml:space="preserve"> es la condición que permite que entornos, procesos, bienes, productos y servicios sean comprensibles, utilizables y practicables por todas las personas con seguridad, comodidad y máxima autonomía; incluye accesibilidad cognitiva.</w:t>
      </w:r>
    </w:p>
    <w:p>
      <w:pPr>
        <w:jc w:val="both"/>
      </w:pPr>
      <w:r>
        <w:rPr>
          <w:rFonts w:ascii="Arial" w:hAnsi="Arial" w:cs="Arial"/>
          <w:b/>
          <w:sz w:val="22"/>
        </w:rPr>
        <w:t>Diseño universal</w:t>
      </w:r>
      <w:r>
        <w:rPr>
          <w:rFonts w:ascii="Arial" w:hAnsi="Arial" w:cs="Arial"/>
          <w:sz w:val="22"/>
        </w:rPr>
        <w:t xml:space="preserve"> los concibe desde el origen para todas las personas, sin perjuicio de productos de apoyo.</w:t>
      </w:r>
    </w:p>
    <w:p>
      <w:pPr>
        <w:jc w:val="both"/>
      </w:pPr>
      <w:r>
        <w:rPr>
          <w:rFonts w:ascii="Arial" w:hAnsi="Arial" w:cs="Arial"/>
          <w:b/>
          <w:sz w:val="22"/>
        </w:rPr>
        <w:t>Ajustes razonables</w:t>
      </w:r>
      <w:r>
        <w:rPr>
          <w:rFonts w:ascii="Arial" w:hAnsi="Arial" w:cs="Arial"/>
          <w:sz w:val="22"/>
        </w:rPr>
        <w:t xml:space="preserve"> son modificaciones necesarias y adecuadas para un caso particular que no impongan carga desproporcionada. Se valoran coste, efectos de su negativa, capacidad de quien los realiza y ayudas disponibles.</w:t>
      </w:r>
    </w:p>
    <w:p>
      <w:pPr>
        <w:jc w:val="both"/>
      </w:pPr>
      <w:r>
        <w:rPr>
          <w:rFonts w:ascii="Arial" w:hAnsi="Arial" w:cs="Arial"/>
          <w:b/>
          <w:sz w:val="22"/>
        </w:rPr>
        <w:t>Vida independiente</w:t>
      </w:r>
      <w:r>
        <w:rPr>
          <w:rFonts w:ascii="Arial" w:hAnsi="Arial" w:cs="Arial"/>
          <w:sz w:val="22"/>
        </w:rPr>
        <w:t xml:space="preserve"> implica decidir sobre la propia existencia y participar en la comunidad; </w:t>
      </w:r>
      <w:r>
        <w:rPr>
          <w:rFonts w:ascii="Arial" w:hAnsi="Arial" w:cs="Arial"/>
          <w:b/>
          <w:sz w:val="22"/>
        </w:rPr>
        <w:t>normalización</w:t>
      </w:r>
      <w:r>
        <w:rPr>
          <w:rFonts w:ascii="Arial" w:hAnsi="Arial" w:cs="Arial"/>
          <w:sz w:val="22"/>
        </w:rPr>
        <w:t xml:space="preserve">, acceder a los ámbitos ordinarios en igualdad; </w:t>
      </w:r>
      <w:r>
        <w:rPr>
          <w:rFonts w:ascii="Arial" w:hAnsi="Arial" w:cs="Arial"/>
          <w:b/>
          <w:sz w:val="22"/>
        </w:rPr>
        <w:t>diálogo civil</w:t>
      </w:r>
      <w:r>
        <w:rPr>
          <w:rFonts w:ascii="Arial" w:hAnsi="Arial" w:cs="Arial"/>
          <w:sz w:val="22"/>
        </w:rPr>
        <w:t xml:space="preserve">, participación de las organizaciones representativas en políticas; y </w:t>
      </w:r>
      <w:r>
        <w:rPr>
          <w:rFonts w:ascii="Arial" w:hAnsi="Arial" w:cs="Arial"/>
          <w:b/>
          <w:sz w:val="22"/>
        </w:rPr>
        <w:t>transversalidad</w:t>
      </w:r>
      <w:r>
        <w:rPr>
          <w:rFonts w:ascii="Arial" w:hAnsi="Arial" w:cs="Arial"/>
          <w:sz w:val="22"/>
        </w:rPr>
        <w:t>, consideración de la discapacidad en toda acción pública.</w:t>
      </w:r>
    </w:p>
    <w:p>
      <w:pPr>
        <w:pStyle w:val="Heading2"/>
        <w:keepNext/>
      </w:pPr>
      <w:r>
        <w:rPr>
          <w:rFonts w:ascii="Arial" w:hAnsi="Arial" w:cs="Arial"/>
          <w:sz w:val="25"/>
        </w:rPr>
        <w:t>4.6. Discriminación y medidas de garantía</w:t>
      </w:r>
    </w:p>
    <w:p>
      <w:pPr>
        <w:jc w:val="both"/>
      </w:pPr>
      <w:r>
        <w:rPr>
          <w:rFonts w:ascii="Arial" w:hAnsi="Arial" w:cs="Arial"/>
          <w:sz w:val="22"/>
        </w:rPr>
        <w:t>Se prohíben discriminación directa, indirecta y por asociación; acoso; incumplimiento de accesibilidad y negativa a ajustes razonables. La indirecta deriva de una regla aparentemente neutra que causa desventaja sin justificación legítima, adecuada y necesaria.</w:t>
      </w:r>
    </w:p>
    <w:p>
      <w:pPr>
        <w:jc w:val="both"/>
      </w:pPr>
      <w:r>
        <w:rPr>
          <w:rFonts w:ascii="Arial" w:hAnsi="Arial" w:cs="Arial"/>
          <w:sz w:val="22"/>
        </w:rPr>
        <w:t>Las acciones positivas previenen o compensan desventajas, con atención especial a mujeres, menores, grandes necesidades de apoyo, ámbito rural y discriminación múltiple.</w:t>
      </w:r>
    </w:p>
    <w:p>
      <w:pPr>
        <w:jc w:val="both"/>
      </w:pPr>
      <w:r>
        <w:rPr>
          <w:rFonts w:ascii="Arial" w:hAnsi="Arial" w:cs="Arial"/>
          <w:sz w:val="22"/>
        </w:rPr>
        <w:t>Los actos discriminatorios son nulos. La tutela judicial y administrativa puede comprender cese, prevención, reparación e indemnización. Aportados indicios fundados, corresponde a la parte demandada justificar objetiva y razonablemente las medidas y su proporcionalidad; esta regla no opera en procesos penales ni sancionadores administrativos de la misma forma que en el proceso civil o social.</w:t>
      </w:r>
    </w:p>
    <w:p>
      <w:pPr>
        <w:pStyle w:val="Heading2"/>
        <w:keepNext/>
      </w:pPr>
      <w:r>
        <w:rPr>
          <w:rFonts w:ascii="Arial" w:hAnsi="Arial" w:cs="Arial"/>
          <w:sz w:val="25"/>
        </w:rPr>
        <w:t>4.7. Derechos materiales</w:t>
      </w:r>
    </w:p>
    <w:p>
      <w:pPr>
        <w:jc w:val="both"/>
      </w:pPr>
      <w:r>
        <w:rPr>
          <w:rFonts w:ascii="Arial" w:hAnsi="Arial" w:cs="Arial"/>
          <w:sz w:val="22"/>
        </w:rPr>
        <w:t>El texto reconoce derechos a salud, educación inclusiva, vida independiente y accesibilidad, trabajo, protección social, participación pública y acceso a la justicia con apoyos.</w:t>
      </w:r>
    </w:p>
    <w:p>
      <w:pPr>
        <w:jc w:val="both"/>
      </w:pPr>
      <w:r>
        <w:rPr>
          <w:rFonts w:ascii="Arial" w:hAnsi="Arial" w:cs="Arial"/>
          <w:sz w:val="22"/>
        </w:rPr>
        <w:t>La accesibilidad alcanza espacios, servicios, transportes, información y tecnologías, en ámbitos urbanos y rurales. El empleo puede ser ordinario, protegido o autónomo; el empleador adapta puesto y accesibilidad salvo carga excesiva. En empleo público existen reserva de plazas y adaptaciones.</w:t>
      </w:r>
    </w:p>
    <w:p>
      <w:pPr>
        <w:jc w:val="both"/>
      </w:pPr>
      <w:r>
        <w:rPr>
          <w:rFonts w:ascii="Arial" w:hAnsi="Arial" w:cs="Arial"/>
          <w:sz w:val="22"/>
        </w:rPr>
        <w:t>No se debe confundir:</w:t>
      </w:r>
    </w:p>
    <w:p>
      <w:pPr>
        <w:pStyle w:val="ListBullet"/>
      </w:pPr>
      <w:r>
        <w:rPr>
          <w:rFonts w:ascii="Arial" w:hAnsi="Arial" w:cs="Arial"/>
          <w:b/>
          <w:sz w:val="22"/>
        </w:rPr>
        <w:t>Grado de discapacidad:</w:t>
      </w:r>
      <w:r>
        <w:rPr>
          <w:rFonts w:ascii="Arial" w:hAnsi="Arial" w:cs="Arial"/>
          <w:sz w:val="22"/>
        </w:rPr>
        <w:t xml:space="preserve"> porcentaje que mide las limitaciones y factores contextuales con efectos legalmente previstos.</w:t>
      </w:r>
    </w:p>
    <w:p>
      <w:pPr>
        <w:pStyle w:val="ListBullet"/>
      </w:pPr>
      <w:r>
        <w:rPr>
          <w:rFonts w:ascii="Arial" w:hAnsi="Arial" w:cs="Arial"/>
          <w:b/>
          <w:sz w:val="22"/>
        </w:rPr>
        <w:t>Incapacidad permanente:</w:t>
      </w:r>
      <w:r>
        <w:rPr>
          <w:rFonts w:ascii="Arial" w:hAnsi="Arial" w:cs="Arial"/>
          <w:sz w:val="22"/>
        </w:rPr>
        <w:t xml:space="preserve"> situación de Seguridad Social respecto de la capacidad laboral.</w:t>
      </w:r>
    </w:p>
    <w:p>
      <w:pPr>
        <w:pStyle w:val="ListBullet"/>
      </w:pPr>
      <w:r>
        <w:rPr>
          <w:rFonts w:ascii="Arial" w:hAnsi="Arial" w:cs="Arial"/>
          <w:b/>
          <w:sz w:val="22"/>
        </w:rPr>
        <w:t>Dependencia:</w:t>
      </w:r>
      <w:r>
        <w:rPr>
          <w:rFonts w:ascii="Arial" w:hAnsi="Arial" w:cs="Arial"/>
          <w:sz w:val="22"/>
        </w:rPr>
        <w:t xml:space="preserve"> necesidad permanente de ayuda o apoyos para actividades básicas o autonomía.</w:t>
      </w:r>
    </w:p>
    <w:p>
      <w:pPr>
        <w:jc w:val="both"/>
      </w:pPr>
      <w:r>
        <w:rPr>
          <w:rFonts w:ascii="Arial" w:hAnsi="Arial" w:cs="Arial"/>
          <w:sz w:val="22"/>
        </w:rPr>
        <w:t>Pueden coincidir en una persona, pero cada figura tiene definición, valoración y consecuencias propias.</w:t>
      </w:r>
    </w:p>
    <w:p>
      <w:pPr>
        <w:pStyle w:val="Heading1"/>
        <w:keepNext/>
      </w:pPr>
      <w:r>
        <w:rPr>
          <w:rFonts w:ascii="Arial" w:hAnsi="Arial" w:cs="Arial"/>
          <w:sz w:val="30"/>
        </w:rPr>
        <w:t>5. Autonomía personal y dependencia: Ley 39/2006</w:t>
      </w:r>
    </w:p>
    <w:p>
      <w:pPr>
        <w:pStyle w:val="Heading2"/>
        <w:keepNext/>
      </w:pPr>
      <w:r>
        <w:rPr>
          <w:rFonts w:ascii="Arial" w:hAnsi="Arial" w:cs="Arial"/>
          <w:sz w:val="25"/>
        </w:rPr>
        <w:t>5.1. Objeto y Sistema para la Autonomía y Atención a la Dependencia</w:t>
      </w:r>
    </w:p>
    <w:p>
      <w:pPr>
        <w:jc w:val="both"/>
      </w:pPr>
      <w:r>
        <w:rPr>
          <w:rFonts w:ascii="Arial" w:hAnsi="Arial" w:cs="Arial"/>
          <w:sz w:val="22"/>
        </w:rPr>
        <w:t xml:space="preserve">La </w:t>
      </w:r>
      <w:r>
        <w:rPr>
          <w:rFonts w:ascii="Arial" w:hAnsi="Arial" w:cs="Arial"/>
          <w:b/>
          <w:sz w:val="22"/>
        </w:rPr>
        <w:t>Ley 39/2006, de 14 de diciembre</w:t>
      </w:r>
      <w:r>
        <w:rPr>
          <w:rFonts w:ascii="Arial" w:hAnsi="Arial" w:cs="Arial"/>
          <w:sz w:val="22"/>
        </w:rPr>
        <w:t xml:space="preserve">, garantiza el derecho subjetivo de ciudadanía a promover autonomía y atender dependencia. Crea el </w:t>
      </w:r>
      <w:r>
        <w:rPr>
          <w:rFonts w:ascii="Arial" w:hAnsi="Arial" w:cs="Arial"/>
          <w:b/>
          <w:sz w:val="22"/>
        </w:rPr>
        <w:t>SAAD</w:t>
      </w:r>
      <w:r>
        <w:rPr>
          <w:rFonts w:ascii="Arial" w:hAnsi="Arial" w:cs="Arial"/>
          <w:sz w:val="22"/>
        </w:rPr>
        <w:t>, sistema público coordinado entre Administraciones, con contenido mínimo estatal y cooperación con sanidad, Seguridad Social y servicios sociales.</w:t>
      </w:r>
    </w:p>
    <w:p>
      <w:pPr>
        <w:pStyle w:val="Heading2"/>
        <w:keepNext/>
      </w:pPr>
      <w:r>
        <w:rPr>
          <w:rFonts w:ascii="Arial" w:hAnsi="Arial" w:cs="Arial"/>
          <w:sz w:val="25"/>
        </w:rPr>
        <w:t>5.2. Definiciones esenciales</w:t>
      </w:r>
    </w:p>
    <w:p>
      <w:pPr>
        <w:jc w:val="both"/>
      </w:pPr>
      <w:r>
        <w:rPr>
          <w:rFonts w:ascii="Arial" w:hAnsi="Arial" w:cs="Arial"/>
          <w:b/>
          <w:sz w:val="22"/>
        </w:rPr>
        <w:t>Autonomía</w:t>
      </w:r>
      <w:r>
        <w:rPr>
          <w:rFonts w:ascii="Arial" w:hAnsi="Arial" w:cs="Arial"/>
          <w:sz w:val="22"/>
        </w:rPr>
        <w:t xml:space="preserve"> es la capacidad de tomar por iniciativa propia decisiones sobre cómo vivir y desarrollar actividades básicas de la vida diaria.</w:t>
      </w:r>
    </w:p>
    <w:p>
      <w:pPr>
        <w:jc w:val="both"/>
      </w:pPr>
      <w:r>
        <w:rPr>
          <w:rFonts w:ascii="Arial" w:hAnsi="Arial" w:cs="Arial"/>
          <w:b/>
          <w:sz w:val="22"/>
        </w:rPr>
        <w:t>Dependencia</w:t>
      </w:r>
      <w:r>
        <w:rPr>
          <w:rFonts w:ascii="Arial" w:hAnsi="Arial" w:cs="Arial"/>
          <w:sz w:val="22"/>
        </w:rPr>
        <w:t xml:space="preserve"> es el estado permanente en que, por edad, enfermedad o discapacidad y pérdida de autonomía física, mental, intelectual o sensorial, se necesita ayuda para actividades básicas o, ante discapacidad intelectual o enfermedad mental, otros apoyos para la autonomía.</w:t>
      </w:r>
    </w:p>
    <w:p>
      <w:pPr>
        <w:jc w:val="both"/>
      </w:pPr>
      <w:r>
        <w:rPr>
          <w:rFonts w:ascii="Arial" w:hAnsi="Arial" w:cs="Arial"/>
          <w:sz w:val="22"/>
        </w:rPr>
        <w:t xml:space="preserve">Las </w:t>
      </w:r>
      <w:r>
        <w:rPr>
          <w:rFonts w:ascii="Arial" w:hAnsi="Arial" w:cs="Arial"/>
          <w:b/>
          <w:sz w:val="22"/>
        </w:rPr>
        <w:t>ABVD</w:t>
      </w:r>
      <w:r>
        <w:rPr>
          <w:rFonts w:ascii="Arial" w:hAnsi="Arial" w:cs="Arial"/>
          <w:sz w:val="22"/>
        </w:rPr>
        <w:t xml:space="preserve"> incluyen cuidado personal, tareas domésticas básicas, movilidad esencial, reconocimiento, orientación y comprensión y ejecución de tareas sencillas.</w:t>
      </w:r>
    </w:p>
    <w:p>
      <w:pPr>
        <w:jc w:val="both"/>
      </w:pPr>
      <w:r>
        <w:rPr>
          <w:rFonts w:ascii="Arial" w:hAnsi="Arial" w:cs="Arial"/>
          <w:sz w:val="22"/>
        </w:rPr>
        <w:t xml:space="preserve">Los cuidados pueden ser no profesionales —familia o entorno— o profesionales. La </w:t>
      </w:r>
      <w:r>
        <w:rPr>
          <w:rFonts w:ascii="Arial" w:hAnsi="Arial" w:cs="Arial"/>
          <w:b/>
          <w:sz w:val="22"/>
        </w:rPr>
        <w:t>asistencia personal</w:t>
      </w:r>
      <w:r>
        <w:rPr>
          <w:rFonts w:ascii="Arial" w:hAnsi="Arial" w:cs="Arial"/>
          <w:sz w:val="22"/>
        </w:rPr>
        <w:t xml:space="preserve"> apoya tareas cotidianas para fomentar independencia, autonomía y participación.</w:t>
      </w:r>
    </w:p>
    <w:p>
      <w:pPr>
        <w:pStyle w:val="Heading2"/>
        <w:keepNext/>
      </w:pPr>
      <w:r>
        <w:rPr>
          <w:rFonts w:ascii="Arial" w:hAnsi="Arial" w:cs="Arial"/>
          <w:sz w:val="25"/>
        </w:rPr>
        <w:t>5.3. Principios</w:t>
      </w:r>
    </w:p>
    <w:p>
      <w:pPr>
        <w:jc w:val="both"/>
      </w:pPr>
      <w:r>
        <w:rPr>
          <w:rFonts w:ascii="Arial" w:hAnsi="Arial" w:cs="Arial"/>
          <w:sz w:val="22"/>
        </w:rPr>
        <w:t>Rigen carácter público, universalidad en igualdad, atención integral y personalizada, prevención, máxima autonomía, permanencia en el entorno, calidad, sostenibilidad, accesibilidad, participación, coordinación sociosanitaria, cooperación, perspectiva de género y preferencia a grandes dependencias.</w:t>
      </w:r>
    </w:p>
    <w:p>
      <w:pPr>
        <w:jc w:val="both"/>
      </w:pPr>
      <w:r>
        <w:rPr>
          <w:rFonts w:ascii="Arial" w:hAnsi="Arial" w:cs="Arial"/>
          <w:sz w:val="22"/>
        </w:rPr>
        <w:t>Universalidad no significa gratuidad absoluta: la persona beneficiaria participa en el coste según tipo y coste del servicio y su capacidad económica, sin quedar excluida por insuficiencia de recursos.</w:t>
      </w:r>
    </w:p>
    <w:p>
      <w:pPr>
        <w:pStyle w:val="Heading2"/>
        <w:keepNext/>
      </w:pPr>
      <w:r>
        <w:rPr>
          <w:rFonts w:ascii="Arial" w:hAnsi="Arial" w:cs="Arial"/>
          <w:sz w:val="25"/>
        </w:rPr>
        <w:t>5.4. Titulares</w:t>
      </w:r>
    </w:p>
    <w:p>
      <w:pPr>
        <w:jc w:val="both"/>
      </w:pPr>
      <w:r>
        <w:rPr>
          <w:rFonts w:ascii="Arial" w:hAnsi="Arial" w:cs="Arial"/>
          <w:sz w:val="22"/>
        </w:rPr>
        <w:t>Con carácter general, son titulares las personas españolas que:</w:t>
      </w:r>
    </w:p>
    <w:p>
      <w:pPr>
        <w:spacing w:after="40"/>
        <w:ind w:left="369" w:hanging="227"/>
      </w:pPr>
      <w:r>
        <w:rPr>
          <w:rFonts w:ascii="Arial" w:hAnsi="Arial" w:cs="Arial"/>
          <w:sz w:val="22"/>
        </w:rPr>
        <w:t>1. Se encuentren en situación de dependencia en alguno de los grados.</w:t>
      </w:r>
    </w:p>
    <w:p>
      <w:pPr>
        <w:spacing w:after="40"/>
        <w:ind w:left="369" w:hanging="227"/>
      </w:pPr>
      <w:r>
        <w:rPr>
          <w:rFonts w:ascii="Arial" w:hAnsi="Arial" w:cs="Arial"/>
          <w:sz w:val="22"/>
        </w:rPr>
        <w:t>2. Para menores de tres años, cumplan las condiciones específicas legales.</w:t>
      </w:r>
    </w:p>
    <w:p>
      <w:pPr>
        <w:spacing w:after="40"/>
        <w:ind w:left="369" w:hanging="227"/>
      </w:pPr>
      <w:r>
        <w:rPr>
          <w:rFonts w:ascii="Arial" w:hAnsi="Arial" w:cs="Arial"/>
          <w:sz w:val="22"/>
        </w:rPr>
        <w:t xml:space="preserve">3. Residan en España y lo hayan hecho durante </w:t>
      </w:r>
      <w:r>
        <w:rPr>
          <w:rFonts w:ascii="Arial" w:hAnsi="Arial" w:cs="Arial"/>
          <w:b/>
          <w:sz w:val="22"/>
        </w:rPr>
        <w:t>cinco años</w:t>
      </w:r>
      <w:r>
        <w:rPr>
          <w:rFonts w:ascii="Arial" w:hAnsi="Arial" w:cs="Arial"/>
          <w:sz w:val="22"/>
        </w:rPr>
        <w:t xml:space="preserve">, de los cuales </w:t>
      </w:r>
      <w:r>
        <w:rPr>
          <w:rFonts w:ascii="Arial" w:hAnsi="Arial" w:cs="Arial"/>
          <w:b/>
          <w:sz w:val="22"/>
        </w:rPr>
        <w:t>dos</w:t>
      </w:r>
      <w:r>
        <w:rPr>
          <w:rFonts w:ascii="Arial" w:hAnsi="Arial" w:cs="Arial"/>
          <w:sz w:val="22"/>
        </w:rPr>
        <w:t xml:space="preserve"> deben ser inmediatamente anteriores a la solicitud.</w:t>
      </w:r>
    </w:p>
    <w:p>
      <w:pPr>
        <w:jc w:val="both"/>
      </w:pPr>
      <w:r>
        <w:rPr>
          <w:rFonts w:ascii="Arial" w:hAnsi="Arial" w:cs="Arial"/>
          <w:sz w:val="22"/>
        </w:rPr>
        <w:t>Para menores de cinco años, el período de residencia se exige a quien ejerza su guarda y custodia. Las personas extranjeras se rigen por la legislación de extranjería, tratados y convenios. La ley permite medidas para españoles retornados que no cumplan el requisito de residencia.</w:t>
      </w:r>
    </w:p>
    <w:p>
      <w:pPr>
        <w:pStyle w:val="Heading2"/>
        <w:keepNext/>
      </w:pPr>
      <w:r>
        <w:rPr>
          <w:rFonts w:ascii="Arial" w:hAnsi="Arial" w:cs="Arial"/>
          <w:sz w:val="25"/>
        </w:rPr>
        <w:t>5.5. Niveles de protección</w:t>
      </w:r>
    </w:p>
    <w:p>
      <w:pPr>
        <w:jc w:val="both"/>
      </w:pPr>
      <w:r>
        <w:rPr>
          <w:rFonts w:ascii="Arial" w:hAnsi="Arial" w:cs="Arial"/>
          <w:sz w:val="22"/>
        </w:rPr>
        <w:t>La protección se articula en tres niveles:</w:t>
      </w:r>
    </w:p>
    <w:tbl>
      <w:tblPr>
        <w:tblStyle w:val="TableGrid"/>
        <w:tblW w:type="dxa" w:w="9026"/>
        <w:jc w:val="left"/>
        <w:tblLayout w:type="fixed"/>
        <w:tblLook w:firstColumn="1" w:firstRow="1" w:lastColumn="0" w:lastRow="0" w:noHBand="0" w:noVBand="1" w:val="04A0"/>
        <w:tblInd w:w="120" w:type="dxa"/>
      </w:tblPr>
      <w:tblGrid>
        <w:gridCol w:w="1177"/>
        <w:gridCol w:w="7849"/>
      </w:tblGrid>
      <w:tr>
        <w:trPr>
          <w:tblHeader w:val="true"/>
        </w:trPr>
        <w:tc>
          <w:tcPr>
            <w:tcW w:type="dxa" w:w="117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Nivel</w:t>
            </w:r>
          </w:p>
        </w:tc>
        <w:tc>
          <w:tcPr>
            <w:tcW w:type="dxa" w:w="784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177"/>
            <w:tcMar>
              <w:top w:w="80" w:type="dxa"/>
              <w:start w:w="120" w:type="dxa"/>
              <w:bottom w:w="80" w:type="dxa"/>
              <w:end w:w="120" w:type="dxa"/>
            </w:tcMar>
            <w:vAlign w:val="center"/>
          </w:tcPr>
          <w:p>
            <w:pPr>
              <w:spacing w:before="0" w:after="0" w:line="240" w:lineRule="auto"/>
              <w:jc w:val="left"/>
            </w:pPr>
            <w:r/>
            <w:r>
              <w:rPr>
                <w:rFonts w:ascii="Arial" w:hAnsi="Arial" w:cs="Arial"/>
                <w:sz w:val="18"/>
              </w:rPr>
              <w:t>Mínimo</w:t>
            </w:r>
          </w:p>
        </w:tc>
        <w:tc>
          <w:tcPr>
            <w:tcW w:type="dxa" w:w="7849"/>
            <w:tcMar>
              <w:top w:w="80" w:type="dxa"/>
              <w:start w:w="120" w:type="dxa"/>
              <w:bottom w:w="80" w:type="dxa"/>
              <w:end w:w="120" w:type="dxa"/>
            </w:tcMar>
            <w:vAlign w:val="center"/>
          </w:tcPr>
          <w:p>
            <w:pPr>
              <w:spacing w:before="0" w:after="0" w:line="240" w:lineRule="auto"/>
              <w:jc w:val="left"/>
            </w:pPr>
            <w:r/>
            <w:r>
              <w:rPr>
                <w:rFonts w:ascii="Arial" w:hAnsi="Arial" w:cs="Arial"/>
                <w:sz w:val="18"/>
              </w:rPr>
              <w:t>Determinado y financiado por la Administración General del Estado para cada beneficiario</w:t>
            </w:r>
          </w:p>
        </w:tc>
      </w:tr>
      <w:tr>
        <w:tc>
          <w:tcPr>
            <w:tcW w:type="dxa" w:w="1177"/>
            <w:tcMar>
              <w:top w:w="80" w:type="dxa"/>
              <w:start w:w="120" w:type="dxa"/>
              <w:bottom w:w="80" w:type="dxa"/>
              <w:end w:w="120" w:type="dxa"/>
            </w:tcMar>
            <w:vAlign w:val="center"/>
          </w:tcPr>
          <w:p>
            <w:pPr>
              <w:spacing w:before="0" w:after="0" w:line="240" w:lineRule="auto"/>
              <w:jc w:val="left"/>
            </w:pPr>
            <w:r/>
            <w:r>
              <w:rPr>
                <w:rFonts w:ascii="Arial" w:hAnsi="Arial" w:cs="Arial"/>
                <w:sz w:val="18"/>
              </w:rPr>
              <w:t>Acordado</w:t>
            </w:r>
          </w:p>
        </w:tc>
        <w:tc>
          <w:tcPr>
            <w:tcW w:type="dxa" w:w="7849"/>
            <w:tcMar>
              <w:top w:w="80" w:type="dxa"/>
              <w:start w:w="120" w:type="dxa"/>
              <w:bottom w:w="80" w:type="dxa"/>
              <w:end w:w="120" w:type="dxa"/>
            </w:tcMar>
            <w:vAlign w:val="center"/>
          </w:tcPr>
          <w:p>
            <w:pPr>
              <w:spacing w:before="0" w:after="0" w:line="240" w:lineRule="auto"/>
              <w:jc w:val="left"/>
            </w:pPr>
            <w:r/>
            <w:r>
              <w:rPr>
                <w:rFonts w:ascii="Arial" w:hAnsi="Arial" w:cs="Arial"/>
                <w:sz w:val="18"/>
              </w:rPr>
              <w:t>Cooperación AGE-comunidad autónoma mediante convenios y criterios del Consejo Territorial</w:t>
            </w:r>
          </w:p>
        </w:tc>
      </w:tr>
      <w:tr>
        <w:tc>
          <w:tcPr>
            <w:tcW w:type="dxa" w:w="1177"/>
            <w:tcMar>
              <w:top w:w="80" w:type="dxa"/>
              <w:start w:w="120" w:type="dxa"/>
              <w:bottom w:w="80" w:type="dxa"/>
              <w:end w:w="120" w:type="dxa"/>
            </w:tcMar>
            <w:vAlign w:val="center"/>
          </w:tcPr>
          <w:p>
            <w:pPr>
              <w:spacing w:before="0" w:after="0" w:line="240" w:lineRule="auto"/>
              <w:jc w:val="left"/>
            </w:pPr>
            <w:r/>
            <w:r>
              <w:rPr>
                <w:rFonts w:ascii="Arial" w:hAnsi="Arial" w:cs="Arial"/>
                <w:sz w:val="18"/>
              </w:rPr>
              <w:t>Adicional</w:t>
            </w:r>
          </w:p>
        </w:tc>
        <w:tc>
          <w:tcPr>
            <w:tcW w:type="dxa" w:w="7849"/>
            <w:tcMar>
              <w:top w:w="80" w:type="dxa"/>
              <w:start w:w="120" w:type="dxa"/>
              <w:bottom w:w="80" w:type="dxa"/>
              <w:end w:w="120" w:type="dxa"/>
            </w:tcMar>
            <w:vAlign w:val="center"/>
          </w:tcPr>
          <w:p>
            <w:pPr>
              <w:spacing w:before="0" w:after="0" w:line="240" w:lineRule="auto"/>
              <w:jc w:val="left"/>
            </w:pPr>
            <w:r/>
            <w:r>
              <w:rPr>
                <w:rFonts w:ascii="Arial" w:hAnsi="Arial" w:cs="Arial"/>
                <w:sz w:val="18"/>
              </w:rPr>
              <w:t>El que cada comunidad autónoma decida establecer con cargo a sus presupuestos</w:t>
            </w:r>
          </w:p>
        </w:tc>
      </w:tr>
    </w:tbl>
    <w:p>
      <w:pPr>
        <w:spacing w:after="40"/>
      </w:pPr>
    </w:p>
    <w:p>
      <w:pPr>
        <w:jc w:val="both"/>
      </w:pPr>
      <w:r>
        <w:rPr>
          <w:rFonts w:ascii="Arial" w:hAnsi="Arial" w:cs="Arial"/>
          <w:sz w:val="22"/>
        </w:rPr>
        <w:t>La red pública de utilización integra centros autonómicos y locales, centros estatales de referencia y privados concertados acreditados.</w:t>
      </w:r>
    </w:p>
    <w:p>
      <w:pPr>
        <w:pStyle w:val="Heading2"/>
        <w:keepNext/>
      </w:pPr>
      <w:r>
        <w:rPr>
          <w:rFonts w:ascii="Arial" w:hAnsi="Arial" w:cs="Arial"/>
          <w:sz w:val="25"/>
        </w:rPr>
        <w:t>5.6. Grados de dependencia</w:t>
      </w:r>
    </w:p>
    <w:p>
      <w:pPr>
        <w:jc w:val="both"/>
      </w:pPr>
      <w:r>
        <w:rPr>
          <w:rFonts w:ascii="Arial" w:hAnsi="Arial" w:cs="Arial"/>
          <w:sz w:val="22"/>
        </w:rPr>
        <w:t>La clasificación ordinaria es:</w:t>
      </w:r>
    </w:p>
    <w:p>
      <w:pPr>
        <w:pStyle w:val="ListBullet"/>
      </w:pPr>
      <w:r>
        <w:rPr>
          <w:rFonts w:ascii="Arial" w:hAnsi="Arial" w:cs="Arial"/>
          <w:b/>
          <w:sz w:val="22"/>
        </w:rPr>
        <w:t>Grado I, dependencia moderada:</w:t>
      </w:r>
      <w:r>
        <w:rPr>
          <w:rFonts w:ascii="Arial" w:hAnsi="Arial" w:cs="Arial"/>
          <w:sz w:val="22"/>
        </w:rPr>
        <w:t xml:space="preserve"> ayuda para varias ABVD al menos una vez al día o necesidades de apoyo intermitente o limitado para la autonomía.</w:t>
      </w:r>
    </w:p>
    <w:p>
      <w:pPr>
        <w:pStyle w:val="ListBullet"/>
      </w:pPr>
      <w:r>
        <w:rPr>
          <w:rFonts w:ascii="Arial" w:hAnsi="Arial" w:cs="Arial"/>
          <w:b/>
          <w:sz w:val="22"/>
        </w:rPr>
        <w:t>Grado II, dependencia severa:</w:t>
      </w:r>
      <w:r>
        <w:rPr>
          <w:rFonts w:ascii="Arial" w:hAnsi="Arial" w:cs="Arial"/>
          <w:sz w:val="22"/>
        </w:rPr>
        <w:t xml:space="preserve"> ayuda para varias ABVD dos o tres veces al día, pero sin apoyo permanente de cuidador, o necesidades de apoyo extenso.</w:t>
      </w:r>
    </w:p>
    <w:p>
      <w:pPr>
        <w:pStyle w:val="ListBullet"/>
      </w:pPr>
      <w:r>
        <w:rPr>
          <w:rFonts w:ascii="Arial" w:hAnsi="Arial" w:cs="Arial"/>
          <w:b/>
          <w:sz w:val="22"/>
        </w:rPr>
        <w:t>Grado III, gran dependencia:</w:t>
      </w:r>
      <w:r>
        <w:rPr>
          <w:rFonts w:ascii="Arial" w:hAnsi="Arial" w:cs="Arial"/>
          <w:sz w:val="22"/>
        </w:rPr>
        <w:t xml:space="preserve"> ayuda para varias ABVD varias veces al día y, por pérdida total de autonomía física, mental, intelectual o sensorial, apoyo indispensable y continuo de otra persona, o necesidades de apoyo generalizado.</w:t>
      </w:r>
    </w:p>
    <w:p>
      <w:pPr>
        <w:jc w:val="both"/>
      </w:pPr>
      <w:r>
        <w:rPr>
          <w:rFonts w:ascii="Arial" w:hAnsi="Arial" w:cs="Arial"/>
          <w:sz w:val="22"/>
        </w:rPr>
        <w:t>Los antiguos niveles dentro de cada grado fueron suprimidos. Por ello, una opción que hable de «grado II, nivel 1» responde a una regulación histórica, no a la vigente.</w:t>
      </w:r>
    </w:p>
    <w:p>
      <w:pPr>
        <w:jc w:val="both"/>
      </w:pPr>
      <w:r>
        <w:rPr>
          <w:rFonts w:ascii="Arial" w:hAnsi="Arial" w:cs="Arial"/>
          <w:sz w:val="22"/>
        </w:rPr>
        <w:t xml:space="preserve">Desde el </w:t>
      </w:r>
      <w:r>
        <w:rPr>
          <w:rFonts w:ascii="Arial" w:hAnsi="Arial" w:cs="Arial"/>
          <w:b/>
          <w:sz w:val="22"/>
        </w:rPr>
        <w:t>23 de octubre de 2025</w:t>
      </w:r>
      <w:r>
        <w:rPr>
          <w:rFonts w:ascii="Arial" w:hAnsi="Arial" w:cs="Arial"/>
          <w:sz w:val="22"/>
        </w:rPr>
        <w:t xml:space="preserve">, la disposición adicional decimoséptima reconoce el </w:t>
      </w:r>
      <w:r>
        <w:rPr>
          <w:rFonts w:ascii="Arial" w:hAnsi="Arial" w:cs="Arial"/>
          <w:b/>
          <w:sz w:val="22"/>
        </w:rPr>
        <w:t>grado III+ de dependencia extrema</w:t>
      </w:r>
      <w:r>
        <w:rPr>
          <w:rFonts w:ascii="Arial" w:hAnsi="Arial" w:cs="Arial"/>
          <w:sz w:val="22"/>
        </w:rPr>
        <w:t>. Incluye a quienes tienen grado III y ELA avanzada o una enfermedad o proceso irreversible de alta complejidad que cumpla el Real Decreto 969/2025. El Acuerdo del Consejo Territorial de 9 de diciembre de 2025 concreta la ELA avanzada: grado III y dos de tres criterios —soporte ventilatorio superior a ocho horas diarias, aspiración diaria de secreciones e inmovilidad del tren superior—. Reconocimiento o revisión debe resolverse en tres meses.</w:t>
      </w:r>
    </w:p>
    <w:p>
      <w:pPr>
        <w:jc w:val="both"/>
      </w:pPr>
      <w:r>
        <w:rPr>
          <w:rFonts w:ascii="Arial" w:hAnsi="Arial" w:cs="Arial"/>
          <w:sz w:val="22"/>
        </w:rPr>
        <w:t>El III+ tiene protección mínima estatal específica; la prestación vinculada se destina únicamente a ayuda a domicilio o se reconoce asistencia personal. No es «grado IV», sino cualificación reforzada del grado III.</w:t>
      </w:r>
    </w:p>
    <w:p>
      <w:pPr>
        <w:pStyle w:val="Heading2"/>
        <w:keepNext/>
      </w:pPr>
      <w:r>
        <w:rPr>
          <w:rFonts w:ascii="Arial" w:hAnsi="Arial" w:cs="Arial"/>
          <w:sz w:val="25"/>
        </w:rPr>
        <w:t>5.7. Catálogo de servicios</w:t>
      </w:r>
    </w:p>
    <w:p>
      <w:pPr>
        <w:jc w:val="both"/>
      </w:pPr>
      <w:r>
        <w:rPr>
          <w:rFonts w:ascii="Arial" w:hAnsi="Arial" w:cs="Arial"/>
          <w:sz w:val="22"/>
        </w:rPr>
        <w:t>Los servicios tienen carácter prioritario y se prestan mediante la oferta pública de la red. El catálogo comprende:</w:t>
      </w:r>
    </w:p>
    <w:p>
      <w:pPr>
        <w:spacing w:after="40"/>
        <w:ind w:left="369" w:hanging="227"/>
      </w:pPr>
      <w:r>
        <w:rPr>
          <w:rFonts w:ascii="Arial" w:hAnsi="Arial" w:cs="Arial"/>
          <w:sz w:val="22"/>
        </w:rPr>
        <w:t>1. Servicios de prevención de situaciones de dependencia y promoción de autonomía.</w:t>
      </w:r>
    </w:p>
    <w:p>
      <w:pPr>
        <w:spacing w:after="40"/>
        <w:ind w:left="369" w:hanging="227"/>
      </w:pPr>
      <w:r>
        <w:rPr>
          <w:rFonts w:ascii="Arial" w:hAnsi="Arial" w:cs="Arial"/>
          <w:sz w:val="22"/>
        </w:rPr>
        <w:t>2. Teleasistencia.</w:t>
      </w:r>
    </w:p>
    <w:p>
      <w:pPr>
        <w:spacing w:after="40"/>
        <w:ind w:left="369" w:hanging="227"/>
      </w:pPr>
      <w:r>
        <w:rPr>
          <w:rFonts w:ascii="Arial" w:hAnsi="Arial" w:cs="Arial"/>
          <w:sz w:val="22"/>
        </w:rPr>
        <w:t>3. Ayuda a domicilio:</w:t>
      </w:r>
    </w:p>
    <w:p>
      <w:pPr>
        <w:pStyle w:val="ListBullet"/>
      </w:pPr>
      <w:r>
        <w:rPr>
          <w:rFonts w:ascii="Arial" w:hAnsi="Arial" w:cs="Arial"/>
          <w:sz w:val="22"/>
        </w:rPr>
        <w:t>Atención de necesidades del hogar.</w:t>
      </w:r>
    </w:p>
    <w:p>
      <w:pPr>
        <w:pStyle w:val="ListBullet"/>
      </w:pPr>
      <w:r>
        <w:rPr>
          <w:rFonts w:ascii="Arial" w:hAnsi="Arial" w:cs="Arial"/>
          <w:sz w:val="22"/>
        </w:rPr>
        <w:t>Cuidados personales.</w:t>
      </w:r>
    </w:p>
    <w:p>
      <w:pPr>
        <w:spacing w:after="40"/>
        <w:ind w:left="369" w:hanging="227"/>
      </w:pPr>
      <w:r>
        <w:rPr>
          <w:rFonts w:ascii="Arial" w:hAnsi="Arial" w:cs="Arial"/>
          <w:sz w:val="22"/>
        </w:rPr>
        <w:t>4. Centro de día y de noche:</w:t>
      </w:r>
    </w:p>
    <w:p>
      <w:pPr>
        <w:pStyle w:val="ListBullet"/>
      </w:pPr>
      <w:r>
        <w:rPr>
          <w:rFonts w:ascii="Arial" w:hAnsi="Arial" w:cs="Arial"/>
          <w:sz w:val="22"/>
        </w:rPr>
        <w:t>Centro de día para mayores.</w:t>
      </w:r>
    </w:p>
    <w:p>
      <w:pPr>
        <w:pStyle w:val="ListBullet"/>
      </w:pPr>
      <w:r>
        <w:rPr>
          <w:rFonts w:ascii="Arial" w:hAnsi="Arial" w:cs="Arial"/>
          <w:sz w:val="22"/>
        </w:rPr>
        <w:t>Centro de día para menores de 65 años.</w:t>
      </w:r>
    </w:p>
    <w:p>
      <w:pPr>
        <w:pStyle w:val="ListBullet"/>
      </w:pPr>
      <w:r>
        <w:rPr>
          <w:rFonts w:ascii="Arial" w:hAnsi="Arial" w:cs="Arial"/>
          <w:sz w:val="22"/>
        </w:rPr>
        <w:t>Centro de día de atención especializada.</w:t>
      </w:r>
    </w:p>
    <w:p>
      <w:pPr>
        <w:pStyle w:val="ListBullet"/>
      </w:pPr>
      <w:r>
        <w:rPr>
          <w:rFonts w:ascii="Arial" w:hAnsi="Arial" w:cs="Arial"/>
          <w:sz w:val="22"/>
        </w:rPr>
        <w:t>Centro de noche.</w:t>
      </w:r>
    </w:p>
    <w:p>
      <w:pPr>
        <w:spacing w:after="40"/>
        <w:ind w:left="369" w:hanging="227"/>
      </w:pPr>
      <w:r>
        <w:rPr>
          <w:rFonts w:ascii="Arial" w:hAnsi="Arial" w:cs="Arial"/>
          <w:sz w:val="22"/>
        </w:rPr>
        <w:t>5. Atención residencial:</w:t>
      </w:r>
    </w:p>
    <w:p>
      <w:pPr>
        <w:pStyle w:val="ListBullet"/>
      </w:pPr>
      <w:r>
        <w:rPr>
          <w:rFonts w:ascii="Arial" w:hAnsi="Arial" w:cs="Arial"/>
          <w:sz w:val="22"/>
        </w:rPr>
        <w:t>Residencia de personas mayores dependientes.</w:t>
      </w:r>
    </w:p>
    <w:p>
      <w:pPr>
        <w:pStyle w:val="ListBullet"/>
      </w:pPr>
      <w:r>
        <w:rPr>
          <w:rFonts w:ascii="Arial" w:hAnsi="Arial" w:cs="Arial"/>
          <w:sz w:val="22"/>
        </w:rPr>
        <w:t>Centro de atención a personas dependientes según tipos de discapacidad.</w:t>
      </w:r>
    </w:p>
    <w:p>
      <w:pPr>
        <w:pStyle w:val="Heading2"/>
        <w:keepNext/>
      </w:pPr>
      <w:r>
        <w:rPr>
          <w:rFonts w:ascii="Arial" w:hAnsi="Arial" w:cs="Arial"/>
          <w:sz w:val="25"/>
        </w:rPr>
        <w:t>5.8. Prestaciones económicas</w:t>
      </w:r>
    </w:p>
    <w:p>
      <w:pPr>
        <w:jc w:val="both"/>
      </w:pPr>
      <w:r>
        <w:rPr>
          <w:rFonts w:ascii="Arial" w:hAnsi="Arial" w:cs="Arial"/>
          <w:sz w:val="22"/>
        </w:rPr>
        <w:t>La ley prevé tres:</w:t>
      </w:r>
    </w:p>
    <w:p>
      <w:pPr>
        <w:pStyle w:val="ListBullet"/>
      </w:pPr>
      <w:r>
        <w:rPr>
          <w:rFonts w:ascii="Arial" w:hAnsi="Arial" w:cs="Arial"/>
          <w:b/>
          <w:sz w:val="22"/>
        </w:rPr>
        <w:t>Prestación vinculada al servicio:</w:t>
      </w:r>
      <w:r>
        <w:rPr>
          <w:rFonts w:ascii="Arial" w:hAnsi="Arial" w:cs="Arial"/>
          <w:sz w:val="22"/>
        </w:rPr>
        <w:t xml:space="preserve"> periódica y personal, se reconoce cuando no sea posible acceder a un servicio público o concertado adecuado y debe aplicarse a adquirir el servicio previsto en el programa individual.</w:t>
      </w:r>
    </w:p>
    <w:p>
      <w:pPr>
        <w:pStyle w:val="ListBullet"/>
      </w:pPr>
      <w:r>
        <w:rPr>
          <w:rFonts w:ascii="Arial" w:hAnsi="Arial" w:cs="Arial"/>
          <w:b/>
          <w:sz w:val="22"/>
        </w:rPr>
        <w:t>Prestación para cuidados en el entorno familiar y apoyo a cuidadores no profesionales:</w:t>
      </w:r>
      <w:r>
        <w:rPr>
          <w:rFonts w:ascii="Arial" w:hAnsi="Arial" w:cs="Arial"/>
          <w:sz w:val="22"/>
        </w:rPr>
        <w:t xml:space="preserve"> excepcional, cuando la persona esté atendida por su entorno y se cumplan convivencia, habitabilidad y demás requisitos. El cuidador se incorpora a programas de información, formación y descanso y al régimen de Seguridad Social previsto.</w:t>
      </w:r>
    </w:p>
    <w:p>
      <w:pPr>
        <w:pStyle w:val="ListBullet"/>
      </w:pPr>
      <w:r>
        <w:rPr>
          <w:rFonts w:ascii="Arial" w:hAnsi="Arial" w:cs="Arial"/>
          <w:b/>
          <w:sz w:val="22"/>
        </w:rPr>
        <w:t>Prestación de asistencia personal:</w:t>
      </w:r>
      <w:r>
        <w:rPr>
          <w:rFonts w:ascii="Arial" w:hAnsi="Arial" w:cs="Arial"/>
          <w:sz w:val="22"/>
        </w:rPr>
        <w:t xml:space="preserve"> contribuye a contratar asistencia durante un número de horas para facilitar educación, trabajo y una vida más autónoma, y se reconoce en cualquiera de los grados según condiciones del programa individual.</w:t>
      </w:r>
    </w:p>
    <w:p>
      <w:pPr>
        <w:jc w:val="both"/>
      </w:pPr>
      <w:r>
        <w:rPr>
          <w:rFonts w:ascii="Arial" w:hAnsi="Arial" w:cs="Arial"/>
          <w:sz w:val="22"/>
        </w:rPr>
        <w:t>El servicio es prioritario; la prestación familiar es excepcional.</w:t>
      </w:r>
    </w:p>
    <w:p>
      <w:pPr>
        <w:pStyle w:val="Heading2"/>
        <w:keepNext/>
      </w:pPr>
      <w:r>
        <w:rPr>
          <w:rFonts w:ascii="Arial" w:hAnsi="Arial" w:cs="Arial"/>
          <w:sz w:val="25"/>
        </w:rPr>
        <w:t>5.9. Compatibilidad</w:t>
      </w:r>
    </w:p>
    <w:p>
      <w:pPr>
        <w:jc w:val="both"/>
      </w:pPr>
      <w:r>
        <w:rPr>
          <w:rFonts w:ascii="Arial" w:hAnsi="Arial" w:cs="Arial"/>
          <w:sz w:val="22"/>
        </w:rPr>
        <w:t>Las prestaciones económicas son incompatibles entre sí y con los servicios del catálogo, salvo prevención, promoción de autonomía y teleasistencia. Los servicios son incompatibles entre sí, salvo:</w:t>
      </w:r>
    </w:p>
    <w:p>
      <w:pPr>
        <w:pStyle w:val="ListBullet"/>
      </w:pPr>
      <w:r>
        <w:rPr>
          <w:rFonts w:ascii="Arial" w:hAnsi="Arial" w:cs="Arial"/>
          <w:sz w:val="22"/>
        </w:rPr>
        <w:t>Teleasistencia con prevención y promoción.</w:t>
      </w:r>
    </w:p>
    <w:p>
      <w:pPr>
        <w:pStyle w:val="ListBullet"/>
      </w:pPr>
      <w:r>
        <w:rPr>
          <w:rFonts w:ascii="Arial" w:hAnsi="Arial" w:cs="Arial"/>
          <w:sz w:val="22"/>
        </w:rPr>
        <w:t>Teleasistencia con ayuda a domicilio.</w:t>
      </w:r>
    </w:p>
    <w:p>
      <w:pPr>
        <w:pStyle w:val="ListBullet"/>
      </w:pPr>
      <w:r>
        <w:rPr>
          <w:rFonts w:ascii="Arial" w:hAnsi="Arial" w:cs="Arial"/>
          <w:sz w:val="22"/>
        </w:rPr>
        <w:t>Teleasistencia con centro de día o de noche.</w:t>
      </w:r>
    </w:p>
    <w:p>
      <w:pPr>
        <w:pStyle w:val="ListBullet"/>
      </w:pPr>
      <w:r>
        <w:rPr>
          <w:rFonts w:ascii="Arial" w:hAnsi="Arial" w:cs="Arial"/>
          <w:sz w:val="22"/>
        </w:rPr>
        <w:t>Compatibilidades de servicios de apoyo domiciliario que la Administración competente pueda establecer dentro de intensidades máximas.</w:t>
      </w:r>
    </w:p>
    <w:p>
      <w:pPr>
        <w:jc w:val="both"/>
      </w:pPr>
      <w:r>
        <w:rPr>
          <w:rFonts w:ascii="Arial" w:hAnsi="Arial" w:cs="Arial"/>
          <w:sz w:val="22"/>
        </w:rPr>
        <w:t>En examen debe aplicarse primero la regla de incompatibilidad y después comprobar la excepción.</w:t>
      </w:r>
    </w:p>
    <w:p>
      <w:pPr>
        <w:pStyle w:val="Heading2"/>
        <w:keepNext/>
      </w:pPr>
      <w:r>
        <w:rPr>
          <w:rFonts w:ascii="Arial" w:hAnsi="Arial" w:cs="Arial"/>
          <w:sz w:val="25"/>
        </w:rPr>
        <w:t>5.10. Reconocimiento y programa individual de atención</w:t>
      </w:r>
    </w:p>
    <w:p>
      <w:pPr>
        <w:jc w:val="both"/>
      </w:pPr>
      <w:r>
        <w:rPr>
          <w:rFonts w:ascii="Arial" w:hAnsi="Arial" w:cs="Arial"/>
          <w:sz w:val="22"/>
        </w:rPr>
        <w:t>La valoración la realizan órganos públicos determinados por las comunidades autónomas mediante un baremo común aprobado por el Gobierno. Se examinan informes de salud y entorno, capacidad para ABVD, necesidad de apoyo y demás factores reglamentarios. Las funciones de valoración, prescripción de servicios y prestaciones y gestión de prestaciones económicas no pueden ser objeto de contratación con entidades privadas.</w:t>
      </w:r>
    </w:p>
    <w:p>
      <w:pPr>
        <w:jc w:val="both"/>
      </w:pPr>
      <w:r>
        <w:rPr>
          <w:rFonts w:ascii="Arial" w:hAnsi="Arial" w:cs="Arial"/>
          <w:sz w:val="22"/>
        </w:rPr>
        <w:t>La resolución de grado tiene validez en todo el Estado. El grado se revisa por mejoría o empeoramiento y por error de diagnóstico o aplicación del baremo. El cambio de residencia a otra comunidad exige comunicación y coordinación, pero no una nueva condición estatal de persona dependiente.</w:t>
      </w:r>
    </w:p>
    <w:p>
      <w:pPr>
        <w:jc w:val="both"/>
      </w:pPr>
      <w:r>
        <w:rPr>
          <w:rFonts w:ascii="Arial" w:hAnsi="Arial" w:cs="Arial"/>
          <w:sz w:val="22"/>
        </w:rPr>
        <w:t xml:space="preserve">Reconocida la situación, los servicios sociales elaboran el </w:t>
      </w:r>
      <w:r>
        <w:rPr>
          <w:rFonts w:ascii="Arial" w:hAnsi="Arial" w:cs="Arial"/>
          <w:b/>
          <w:sz w:val="22"/>
        </w:rPr>
        <w:t>programa individual de atención (PIA)</w:t>
      </w:r>
      <w:r>
        <w:rPr>
          <w:rFonts w:ascii="Arial" w:hAnsi="Arial" w:cs="Arial"/>
          <w:sz w:val="22"/>
        </w:rPr>
        <w:t>, que determina las modalidades más adecuadas entre las compatibles con el grado. Se participa y, cuando proceda, se elige entre alternativas propuestas. El PIA puede revisarse a instancia de la persona o representantes, de oficio y por traslado de comunidad autónoma.</w:t>
      </w:r>
    </w:p>
    <w:p>
      <w:pPr>
        <w:jc w:val="both"/>
      </w:pPr>
      <w:r>
        <w:rPr>
          <w:rFonts w:ascii="Arial" w:hAnsi="Arial" w:cs="Arial"/>
          <w:sz w:val="22"/>
        </w:rPr>
        <w:t xml:space="preserve">El plazo máximo entre la entrada de la solicitud y la resolución de reconocimiento de prestación es de </w:t>
      </w:r>
      <w:r>
        <w:rPr>
          <w:rFonts w:ascii="Arial" w:hAnsi="Arial" w:cs="Arial"/>
          <w:b/>
          <w:sz w:val="22"/>
        </w:rPr>
        <w:t>seis meses</w:t>
      </w:r>
      <w:r>
        <w:rPr>
          <w:rFonts w:ascii="Arial" w:hAnsi="Arial" w:cs="Arial"/>
          <w:sz w:val="22"/>
        </w:rPr>
        <w:t>, con las especialidades aplicables a menores de tres años. El derecho de acceso se produce desde la resolución o, si se supera aquel plazo sin notificación, desde el día siguiente a su cumplimiento, sin perjuicio de reglas específicas sobre la prestación familiar.</w:t>
      </w:r>
    </w:p>
    <w:p>
      <w:pPr>
        <w:jc w:val="both"/>
      </w:pPr>
      <w:r>
        <w:rPr>
          <w:rFonts w:ascii="Arial" w:hAnsi="Arial" w:cs="Arial"/>
          <w:sz w:val="22"/>
        </w:rPr>
        <w:t>La financiación combina nivel mínimo estatal, aportaciones convenidas, nivel adicional autonómico y participación del beneficiario según capacidad económica.</w:t>
      </w:r>
    </w:p>
    <w:p>
      <w:pPr>
        <w:pStyle w:val="Heading1"/>
        <w:keepNext/>
      </w:pPr>
      <w:r>
        <w:rPr>
          <w:rFonts w:ascii="Arial" w:hAnsi="Arial" w:cs="Arial"/>
          <w:sz w:val="30"/>
        </w:rPr>
        <w:t>6. Igualdad de las personas LGTBI y derechos de las personas trans</w:t>
      </w:r>
    </w:p>
    <w:p>
      <w:pPr>
        <w:pStyle w:val="Heading2"/>
        <w:keepNext/>
      </w:pPr>
      <w:r>
        <w:rPr>
          <w:rFonts w:ascii="Arial" w:hAnsi="Arial" w:cs="Arial"/>
          <w:sz w:val="25"/>
        </w:rPr>
        <w:t>6.1. Objeto y ámbito de la Ley 4/2023</w:t>
      </w:r>
    </w:p>
    <w:p>
      <w:pPr>
        <w:jc w:val="both"/>
      </w:pPr>
      <w:r>
        <w:rPr>
          <w:rFonts w:ascii="Arial" w:hAnsi="Arial" w:cs="Arial"/>
          <w:sz w:val="22"/>
        </w:rPr>
        <w:t xml:space="preserve">La </w:t>
      </w:r>
      <w:r>
        <w:rPr>
          <w:rFonts w:ascii="Arial" w:hAnsi="Arial" w:cs="Arial"/>
          <w:b/>
          <w:sz w:val="22"/>
        </w:rPr>
        <w:t>Ley 4/2023, de 28 de febrero</w:t>
      </w:r>
      <w:r>
        <w:rPr>
          <w:rFonts w:ascii="Arial" w:hAnsi="Arial" w:cs="Arial"/>
          <w:sz w:val="22"/>
        </w:rPr>
        <w:t>, garantiza y promueve el derecho a la igualdad real y efectiva de las personas lesbianas, gais, trans, bisexuales e intersexuales y de sus familias. Regula derechos de las personas trans y medidas de prevención, corrección y eliminación de la discriminación en los ámbitos público y privado.</w:t>
      </w:r>
    </w:p>
    <w:p>
      <w:pPr>
        <w:jc w:val="both"/>
      </w:pPr>
      <w:r>
        <w:rPr>
          <w:rFonts w:ascii="Arial" w:hAnsi="Arial" w:cs="Arial"/>
          <w:sz w:val="22"/>
        </w:rPr>
        <w:t>Se aplica, en los términos de cada precepto, a toda persona física o jurídica pública o privada incluida en su ámbito. Los poderes públicos deben reconocer la diversidad sexual, familiar y de género, asegurar igualdad y combatir estereotipos.</w:t>
      </w:r>
    </w:p>
    <w:p>
      <w:pPr>
        <w:pStyle w:val="Heading2"/>
        <w:keepNext/>
      </w:pPr>
      <w:r>
        <w:rPr>
          <w:rFonts w:ascii="Arial" w:hAnsi="Arial" w:cs="Arial"/>
          <w:sz w:val="25"/>
        </w:rPr>
        <w:t>6.2. Conceptos legales</w:t>
      </w:r>
    </w:p>
    <w:p>
      <w:pPr>
        <w:jc w:val="both"/>
      </w:pPr>
      <w:r>
        <w:rPr>
          <w:rFonts w:ascii="Arial" w:hAnsi="Arial" w:cs="Arial"/>
          <w:sz w:val="22"/>
        </w:rPr>
        <w:t>Son especialmente preguntables:</w:t>
      </w:r>
    </w:p>
    <w:p>
      <w:pPr>
        <w:pStyle w:val="ListBullet"/>
      </w:pPr>
      <w:r>
        <w:rPr>
          <w:rFonts w:ascii="Arial" w:hAnsi="Arial" w:cs="Arial"/>
          <w:b/>
          <w:sz w:val="22"/>
        </w:rPr>
        <w:t>Orientación sexual:</w:t>
      </w:r>
      <w:r>
        <w:rPr>
          <w:rFonts w:ascii="Arial" w:hAnsi="Arial" w:cs="Arial"/>
          <w:sz w:val="22"/>
        </w:rPr>
        <w:t xml:space="preserve"> atracción física, sexual o afectiva hacia una persona; puede ser heterosexual, homosexual o bisexual.</w:t>
      </w:r>
    </w:p>
    <w:p>
      <w:pPr>
        <w:pStyle w:val="ListBullet"/>
      </w:pPr>
      <w:r>
        <w:rPr>
          <w:rFonts w:ascii="Arial" w:hAnsi="Arial" w:cs="Arial"/>
          <w:b/>
          <w:sz w:val="22"/>
        </w:rPr>
        <w:t>Identidad sexual:</w:t>
      </w:r>
      <w:r>
        <w:rPr>
          <w:rFonts w:ascii="Arial" w:hAnsi="Arial" w:cs="Arial"/>
          <w:sz w:val="22"/>
        </w:rPr>
        <w:t xml:space="preserve"> vivencia interna e individual del sexo tal como cada persona la siente y autodefine, que puede corresponder o no con el asignado al nacer.</w:t>
      </w:r>
    </w:p>
    <w:p>
      <w:pPr>
        <w:pStyle w:val="ListBullet"/>
      </w:pPr>
      <w:r>
        <w:rPr>
          <w:rFonts w:ascii="Arial" w:hAnsi="Arial" w:cs="Arial"/>
          <w:b/>
          <w:sz w:val="22"/>
        </w:rPr>
        <w:t>Expresión de género:</w:t>
      </w:r>
      <w:r>
        <w:rPr>
          <w:rFonts w:ascii="Arial" w:hAnsi="Arial" w:cs="Arial"/>
          <w:sz w:val="22"/>
        </w:rPr>
        <w:t xml:space="preserve"> manifestación por cada persona de su identidad sexual.</w:t>
      </w:r>
    </w:p>
    <w:p>
      <w:pPr>
        <w:pStyle w:val="ListBullet"/>
      </w:pPr>
      <w:r>
        <w:rPr>
          <w:rFonts w:ascii="Arial" w:hAnsi="Arial" w:cs="Arial"/>
          <w:b/>
          <w:sz w:val="22"/>
        </w:rPr>
        <w:t>Persona trans:</w:t>
      </w:r>
      <w:r>
        <w:rPr>
          <w:rFonts w:ascii="Arial" w:hAnsi="Arial" w:cs="Arial"/>
          <w:sz w:val="22"/>
        </w:rPr>
        <w:t xml:space="preserve"> aquella cuya identidad sexual no corresponde con el sexo asignado al nacer.</w:t>
      </w:r>
    </w:p>
    <w:p>
      <w:pPr>
        <w:pStyle w:val="ListBullet"/>
      </w:pPr>
      <w:r>
        <w:rPr>
          <w:rFonts w:ascii="Arial" w:hAnsi="Arial" w:cs="Arial"/>
          <w:b/>
          <w:sz w:val="22"/>
        </w:rPr>
        <w:t>Intersexualidad:</w:t>
      </w:r>
      <w:r>
        <w:rPr>
          <w:rFonts w:ascii="Arial" w:hAnsi="Arial" w:cs="Arial"/>
          <w:sz w:val="22"/>
        </w:rPr>
        <w:t xml:space="preserve"> condición de personas nacidas con características biológicas, anatómicas o fisiológicas sexuales que no se corresponden con definiciones típicas del cuerpo masculino o femenino.</w:t>
      </w:r>
    </w:p>
    <w:p>
      <w:pPr>
        <w:pStyle w:val="ListBullet"/>
      </w:pPr>
      <w:r>
        <w:rPr>
          <w:rFonts w:ascii="Arial" w:hAnsi="Arial" w:cs="Arial"/>
          <w:b/>
          <w:sz w:val="22"/>
        </w:rPr>
        <w:t>LGTBIfobia:</w:t>
      </w:r>
      <w:r>
        <w:rPr>
          <w:rFonts w:ascii="Arial" w:hAnsi="Arial" w:cs="Arial"/>
          <w:sz w:val="22"/>
        </w:rPr>
        <w:t xml:space="preserve"> rechazo, odio, prejuicio o discriminación hacia personas LGTBI o percibidas como tales.</w:t>
      </w:r>
    </w:p>
    <w:p>
      <w:pPr>
        <w:jc w:val="both"/>
      </w:pPr>
      <w:r>
        <w:rPr>
          <w:rFonts w:ascii="Arial" w:hAnsi="Arial" w:cs="Arial"/>
          <w:sz w:val="22"/>
        </w:rPr>
        <w:t>Además de discriminación directa e indirecta, la ley define:</w:t>
      </w:r>
    </w:p>
    <w:p>
      <w:pPr>
        <w:pStyle w:val="ListBullet"/>
      </w:pPr>
      <w:r>
        <w:rPr>
          <w:rFonts w:ascii="Arial" w:hAnsi="Arial" w:cs="Arial"/>
          <w:b/>
          <w:sz w:val="22"/>
        </w:rPr>
        <w:t>Discriminación múltiple:</w:t>
      </w:r>
      <w:r>
        <w:rPr>
          <w:rFonts w:ascii="Arial" w:hAnsi="Arial" w:cs="Arial"/>
          <w:sz w:val="22"/>
        </w:rPr>
        <w:t xml:space="preserve"> concurren dos o más causas de discriminación.</w:t>
      </w:r>
    </w:p>
    <w:p>
      <w:pPr>
        <w:pStyle w:val="ListBullet"/>
      </w:pPr>
      <w:r>
        <w:rPr>
          <w:rFonts w:ascii="Arial" w:hAnsi="Arial" w:cs="Arial"/>
          <w:b/>
          <w:sz w:val="22"/>
        </w:rPr>
        <w:t>Discriminación interseccional:</w:t>
      </w:r>
      <w:r>
        <w:rPr>
          <w:rFonts w:ascii="Arial" w:hAnsi="Arial" w:cs="Arial"/>
          <w:sz w:val="22"/>
        </w:rPr>
        <w:t xml:space="preserve"> las causas interactúan generando una forma específica de discriminación.</w:t>
      </w:r>
    </w:p>
    <w:p>
      <w:pPr>
        <w:pStyle w:val="ListBullet"/>
      </w:pPr>
      <w:r>
        <w:rPr>
          <w:rFonts w:ascii="Arial" w:hAnsi="Arial" w:cs="Arial"/>
          <w:b/>
          <w:sz w:val="22"/>
        </w:rPr>
        <w:t>Discriminación por asociación:</w:t>
      </w:r>
      <w:r>
        <w:rPr>
          <w:rFonts w:ascii="Arial" w:hAnsi="Arial" w:cs="Arial"/>
          <w:sz w:val="22"/>
        </w:rPr>
        <w:t xml:space="preserve"> se perjudica a alguien por su relación con una persona o grupo LGTBI.</w:t>
      </w:r>
    </w:p>
    <w:p>
      <w:pPr>
        <w:pStyle w:val="ListBullet"/>
      </w:pPr>
      <w:r>
        <w:rPr>
          <w:rFonts w:ascii="Arial" w:hAnsi="Arial" w:cs="Arial"/>
          <w:b/>
          <w:sz w:val="22"/>
        </w:rPr>
        <w:t>Discriminación por error:</w:t>
      </w:r>
      <w:r>
        <w:rPr>
          <w:rFonts w:ascii="Arial" w:hAnsi="Arial" w:cs="Arial"/>
          <w:sz w:val="22"/>
        </w:rPr>
        <w:t xml:space="preserve"> el trato se basa en una apreciación incorrecta sobre las características de la persona.</w:t>
      </w:r>
    </w:p>
    <w:p>
      <w:pPr>
        <w:pStyle w:val="ListBullet"/>
      </w:pPr>
      <w:r>
        <w:rPr>
          <w:rFonts w:ascii="Arial" w:hAnsi="Arial" w:cs="Arial"/>
          <w:b/>
          <w:sz w:val="22"/>
        </w:rPr>
        <w:t>Acoso discriminatorio:</w:t>
      </w:r>
      <w:r>
        <w:rPr>
          <w:rFonts w:ascii="Arial" w:hAnsi="Arial" w:cs="Arial"/>
          <w:sz w:val="22"/>
        </w:rPr>
        <w:t xml:space="preserve"> conducta relacionada con una causa legal que vulnera dignidad y crea entorno intimidatorio, hostil, degradante, humillante u ofensivo.</w:t>
      </w:r>
    </w:p>
    <w:p>
      <w:pPr>
        <w:pStyle w:val="ListBullet"/>
      </w:pPr>
      <w:r>
        <w:rPr>
          <w:rFonts w:ascii="Arial" w:hAnsi="Arial" w:cs="Arial"/>
          <w:b/>
          <w:sz w:val="22"/>
        </w:rPr>
        <w:t>Represalia:</w:t>
      </w:r>
      <w:r>
        <w:rPr>
          <w:rFonts w:ascii="Arial" w:hAnsi="Arial" w:cs="Arial"/>
          <w:sz w:val="22"/>
        </w:rPr>
        <w:t xml:space="preserve"> trato adverso por haber presentado o participado en queja, reclamación, denuncia, demanda o recurso.</w:t>
      </w:r>
    </w:p>
    <w:p>
      <w:pPr>
        <w:pStyle w:val="ListBullet"/>
      </w:pPr>
      <w:r>
        <w:rPr>
          <w:rFonts w:ascii="Arial" w:hAnsi="Arial" w:cs="Arial"/>
          <w:b/>
          <w:sz w:val="22"/>
        </w:rPr>
        <w:t>Victimización secundaria:</w:t>
      </w:r>
      <w:r>
        <w:rPr>
          <w:rFonts w:ascii="Arial" w:hAnsi="Arial" w:cs="Arial"/>
          <w:sz w:val="22"/>
        </w:rPr>
        <w:t xml:space="preserve"> perjuicio adicional producido por deficiencias de la intervención institucional.</w:t>
      </w:r>
    </w:p>
    <w:p>
      <w:pPr>
        <w:pStyle w:val="Heading2"/>
        <w:keepNext/>
      </w:pPr>
      <w:r>
        <w:rPr>
          <w:rFonts w:ascii="Arial" w:hAnsi="Arial" w:cs="Arial"/>
          <w:sz w:val="25"/>
        </w:rPr>
        <w:t>6.3. Políticas públicas</w:t>
      </w:r>
    </w:p>
    <w:p>
      <w:pPr>
        <w:jc w:val="both"/>
      </w:pPr>
      <w:r>
        <w:rPr>
          <w:rFonts w:ascii="Arial" w:hAnsi="Arial" w:cs="Arial"/>
          <w:sz w:val="22"/>
        </w:rPr>
        <w:t>La igualdad LGTBI es transversal. Las Administraciones deben adecuar servicios, formar al personal, incorporar estadísticas con protección de datos, colaborar con organizaciones e impulsar medidas contra estereotipos.</w:t>
      </w:r>
    </w:p>
    <w:p>
      <w:pPr>
        <w:jc w:val="both"/>
      </w:pPr>
      <w:r>
        <w:rPr>
          <w:rFonts w:ascii="Arial" w:hAnsi="Arial" w:cs="Arial"/>
          <w:sz w:val="22"/>
        </w:rPr>
        <w:t xml:space="preserve">La </w:t>
      </w:r>
      <w:r>
        <w:rPr>
          <w:rFonts w:ascii="Arial" w:hAnsi="Arial" w:cs="Arial"/>
          <w:b/>
          <w:sz w:val="22"/>
        </w:rPr>
        <w:t>Estrategia estatal</w:t>
      </w:r>
      <w:r>
        <w:rPr>
          <w:rFonts w:ascii="Arial" w:hAnsi="Arial" w:cs="Arial"/>
          <w:sz w:val="22"/>
        </w:rPr>
        <w:t xml:space="preserve"> articula la colaboración territorial y el </w:t>
      </w:r>
      <w:r>
        <w:rPr>
          <w:rFonts w:ascii="Arial" w:hAnsi="Arial" w:cs="Arial"/>
          <w:b/>
          <w:sz w:val="22"/>
        </w:rPr>
        <w:t>Consejo de Participación</w:t>
      </w:r>
      <w:r>
        <w:rPr>
          <w:rFonts w:ascii="Arial" w:hAnsi="Arial" w:cs="Arial"/>
          <w:sz w:val="22"/>
        </w:rPr>
        <w:t xml:space="preserve"> sirve de consulta. Las medidas abarcan empleo, salud, educación, cultura, deporte, medios, familia, edades, medio rural, violencia y acceso a bienes y servicios.</w:t>
      </w:r>
    </w:p>
    <w:p>
      <w:pPr>
        <w:jc w:val="both"/>
      </w:pPr>
      <w:r>
        <w:rPr>
          <w:rFonts w:ascii="Arial" w:hAnsi="Arial" w:cs="Arial"/>
          <w:sz w:val="22"/>
        </w:rPr>
        <w:t>Quedan prohibidas las prácticas de modificación de la orientación o identidad sexual o de la expresión de género, incluso aunque medie consentimiento. Respecto de menores intersexuales, las modificaciones genitales se someten a las garantías y límites legales y no pueden responder a una mera adecuación estética al patrón binario.</w:t>
      </w:r>
    </w:p>
    <w:p>
      <w:pPr>
        <w:pStyle w:val="Heading2"/>
        <w:keepNext/>
      </w:pPr>
      <w:r>
        <w:rPr>
          <w:rFonts w:ascii="Arial" w:hAnsi="Arial" w:cs="Arial"/>
          <w:sz w:val="25"/>
        </w:rPr>
        <w:t>6.4. Medidas en empresas</w:t>
      </w:r>
    </w:p>
    <w:p>
      <w:pPr>
        <w:jc w:val="both"/>
      </w:pPr>
      <w:r>
        <w:rPr>
          <w:rFonts w:ascii="Arial" w:hAnsi="Arial" w:cs="Arial"/>
          <w:sz w:val="22"/>
        </w:rPr>
        <w:t xml:space="preserve">Las empresas de </w:t>
      </w:r>
      <w:r>
        <w:rPr>
          <w:rFonts w:ascii="Arial" w:hAnsi="Arial" w:cs="Arial"/>
          <w:b/>
          <w:sz w:val="22"/>
        </w:rPr>
        <w:t>más de cincuenta personas trabajadoras</w:t>
      </w:r>
      <w:r>
        <w:rPr>
          <w:rFonts w:ascii="Arial" w:hAnsi="Arial" w:cs="Arial"/>
          <w:sz w:val="22"/>
        </w:rPr>
        <w:t xml:space="preserve"> deben contar con un conjunto planificado de medidas y recursos para alcanzar la igualdad real y efectiva de las personas LGTBI, incluido un protocolo frente al acoso o la violencia. Las medidas se pactan mediante negociación colectiva y se acuerdan con la representación legal.</w:t>
      </w:r>
    </w:p>
    <w:p>
      <w:pPr>
        <w:jc w:val="both"/>
      </w:pPr>
      <w:r>
        <w:rPr>
          <w:rFonts w:ascii="Arial" w:hAnsi="Arial" w:cs="Arial"/>
          <w:sz w:val="22"/>
        </w:rPr>
        <w:t xml:space="preserve">El </w:t>
      </w:r>
      <w:r>
        <w:rPr>
          <w:rFonts w:ascii="Arial" w:hAnsi="Arial" w:cs="Arial"/>
          <w:b/>
          <w:sz w:val="22"/>
        </w:rPr>
        <w:t>Real Decreto 1026/2024</w:t>
      </w:r>
      <w:r>
        <w:rPr>
          <w:rFonts w:ascii="Arial" w:hAnsi="Arial" w:cs="Arial"/>
          <w:sz w:val="22"/>
        </w:rPr>
        <w:t xml:space="preserve"> desarrolla cláusulas de igualdad, acceso y promoción, formación, lenguaje, permisos, disciplina y protocolo. Atención al umbral: Ley 4/2023 dice </w:t>
      </w:r>
      <w:r>
        <w:rPr>
          <w:rFonts w:ascii="Arial" w:hAnsi="Arial" w:cs="Arial"/>
          <w:b/>
          <w:sz w:val="22"/>
        </w:rPr>
        <w:t>más de cincuenta</w:t>
      </w:r>
      <w:r>
        <w:rPr>
          <w:rFonts w:ascii="Arial" w:hAnsi="Arial" w:cs="Arial"/>
          <w:sz w:val="22"/>
        </w:rPr>
        <w:t xml:space="preserve">; el plan de igualdad, </w:t>
      </w:r>
      <w:r>
        <w:rPr>
          <w:rFonts w:ascii="Arial" w:hAnsi="Arial" w:cs="Arial"/>
          <w:b/>
          <w:sz w:val="22"/>
        </w:rPr>
        <w:t>cincuenta o más</w:t>
      </w:r>
      <w:r>
        <w:rPr>
          <w:rFonts w:ascii="Arial" w:hAnsi="Arial" w:cs="Arial"/>
          <w:sz w:val="22"/>
        </w:rPr>
        <w:t>.</w:t>
      </w:r>
    </w:p>
    <w:p>
      <w:pPr>
        <w:pStyle w:val="Heading2"/>
        <w:keepNext/>
      </w:pPr>
      <w:r>
        <w:rPr>
          <w:rFonts w:ascii="Arial" w:hAnsi="Arial" w:cs="Arial"/>
          <w:sz w:val="25"/>
        </w:rPr>
        <w:t>6.5. Rectificación registral de la mención relativa al sexo</w:t>
      </w:r>
    </w:p>
    <w:p>
      <w:pPr>
        <w:jc w:val="both"/>
      </w:pPr>
      <w:r>
        <w:rPr>
          <w:rFonts w:ascii="Arial" w:hAnsi="Arial" w:cs="Arial"/>
          <w:sz w:val="22"/>
        </w:rPr>
        <w:t>Puede solicitarla una persona de nacionalidad española:</w:t>
      </w:r>
    </w:p>
    <w:tbl>
      <w:tblPr>
        <w:tblStyle w:val="TableGrid"/>
        <w:tblW w:type="dxa" w:w="9026"/>
        <w:jc w:val="left"/>
        <w:tblLayout w:type="fixed"/>
        <w:tblLook w:firstColumn="1" w:firstRow="1" w:lastColumn="0" w:lastRow="0" w:noHBand="0" w:noVBand="1" w:val="04A0"/>
        <w:tblInd w:w="120" w:type="dxa"/>
      </w:tblPr>
      <w:tblGrid>
        <w:gridCol w:w="1993"/>
        <w:gridCol w:w="7033"/>
      </w:tblGrid>
      <w:tr>
        <w:trPr>
          <w:tblHeader w:val="true"/>
        </w:trPr>
        <w:tc>
          <w:tcPr>
            <w:tcW w:type="dxa" w:w="199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Edad</w:t>
            </w:r>
          </w:p>
        </w:tc>
        <w:tc>
          <w:tcPr>
            <w:tcW w:type="dxa" w:w="703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Vía</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16 años o más</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Solicitud personal por sí misma</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Más de 14 y menos de 16</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Solicitud personal asistida por representantes legales</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Más de 12 y menos de 14</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Autorización judicial mediante expediente de jurisdicción voluntaria</w:t>
            </w:r>
          </w:p>
        </w:tc>
      </w:tr>
      <w:tr>
        <w:tc>
          <w:tcPr>
            <w:tcW w:type="dxa" w:w="1993"/>
            <w:tcMar>
              <w:top w:w="80" w:type="dxa"/>
              <w:start w:w="120" w:type="dxa"/>
              <w:bottom w:w="80" w:type="dxa"/>
              <w:end w:w="120" w:type="dxa"/>
            </w:tcMar>
            <w:vAlign w:val="center"/>
          </w:tcPr>
          <w:p>
            <w:pPr>
              <w:spacing w:before="0" w:after="0" w:line="240" w:lineRule="auto"/>
              <w:jc w:val="left"/>
            </w:pPr>
            <w:r/>
            <w:r>
              <w:rPr>
                <w:rFonts w:ascii="Arial" w:hAnsi="Arial" w:cs="Arial"/>
                <w:sz w:val="18"/>
              </w:rPr>
              <w:t>Menos de 12</w:t>
            </w:r>
          </w:p>
        </w:tc>
        <w:tc>
          <w:tcPr>
            <w:tcW w:type="dxa" w:w="7033"/>
            <w:tcMar>
              <w:top w:w="80" w:type="dxa"/>
              <w:start w:w="120" w:type="dxa"/>
              <w:bottom w:w="80" w:type="dxa"/>
              <w:end w:w="120" w:type="dxa"/>
            </w:tcMar>
            <w:vAlign w:val="center"/>
          </w:tcPr>
          <w:p>
            <w:pPr>
              <w:spacing w:before="0" w:after="0" w:line="240" w:lineRule="auto"/>
              <w:jc w:val="left"/>
            </w:pPr>
            <w:r/>
            <w:r>
              <w:rPr>
                <w:rFonts w:ascii="Arial" w:hAnsi="Arial" w:cs="Arial"/>
                <w:sz w:val="18"/>
              </w:rPr>
              <w:t>No accede a rectificación de sexo por esta vía; puede solicitar cambio de nombre en los términos legales</w:t>
            </w:r>
          </w:p>
        </w:tc>
      </w:tr>
    </w:tbl>
    <w:p>
      <w:pPr>
        <w:spacing w:after="40"/>
      </w:pPr>
    </w:p>
    <w:p>
      <w:pPr>
        <w:jc w:val="both"/>
      </w:pPr>
      <w:r>
        <w:rPr>
          <w:rFonts w:ascii="Arial" w:hAnsi="Arial" w:cs="Arial"/>
          <w:sz w:val="22"/>
        </w:rPr>
        <w:t>Si existe desacuerdo entre representantes o entre estos y la persona mayor de catorce y menor de dieciséis, se nombra defensor judicial.</w:t>
      </w:r>
    </w:p>
    <w:p>
      <w:pPr>
        <w:jc w:val="both"/>
      </w:pPr>
      <w:r>
        <w:rPr>
          <w:rFonts w:ascii="Arial" w:hAnsi="Arial" w:cs="Arial"/>
          <w:sz w:val="22"/>
        </w:rPr>
        <w:t>No se exige informe médico o psicológico, modificación corporal, tratamiento ni diagnóstico. Las personas con discapacidad reciben los apoyos necesarios.</w:t>
      </w:r>
    </w:p>
    <w:p>
      <w:pPr>
        <w:jc w:val="both"/>
      </w:pPr>
      <w:r>
        <w:rPr>
          <w:rFonts w:ascii="Arial" w:hAnsi="Arial" w:cs="Arial"/>
          <w:sz w:val="22"/>
        </w:rPr>
        <w:t xml:space="preserve">La solicitud puede presentarse ante cualquier oficina del Registro Civil. En la comparecencia inicial se informa de consecuencias jurídicas y medidas de asistencia. En un plazo máximo de </w:t>
      </w:r>
      <w:r>
        <w:rPr>
          <w:rFonts w:ascii="Arial" w:hAnsi="Arial" w:cs="Arial"/>
          <w:b/>
          <w:sz w:val="22"/>
        </w:rPr>
        <w:t>tres meses</w:t>
      </w:r>
      <w:r>
        <w:rPr>
          <w:rFonts w:ascii="Arial" w:hAnsi="Arial" w:cs="Arial"/>
          <w:sz w:val="22"/>
        </w:rPr>
        <w:t xml:space="preserve">, la persona es citada de nuevo para ratificar su solicitud y afirmar la persistencia de su decisión. Ratificada, la resolución debe dictarse en un plazo máximo de </w:t>
      </w:r>
      <w:r>
        <w:rPr>
          <w:rFonts w:ascii="Arial" w:hAnsi="Arial" w:cs="Arial"/>
          <w:b/>
          <w:sz w:val="22"/>
        </w:rPr>
        <w:t>un mes</w:t>
      </w:r>
      <w:r>
        <w:rPr>
          <w:rFonts w:ascii="Arial" w:hAnsi="Arial" w:cs="Arial"/>
          <w:sz w:val="22"/>
        </w:rPr>
        <w:t xml:space="preserve"> desde la segunda comparecencia.</w:t>
      </w:r>
    </w:p>
    <w:p>
      <w:pPr>
        <w:jc w:val="both"/>
      </w:pPr>
      <w:r>
        <w:rPr>
          <w:rFonts w:ascii="Arial" w:hAnsi="Arial" w:cs="Arial"/>
          <w:sz w:val="22"/>
        </w:rPr>
        <w:t>La rectificación produce efectos constitutivos desde la inscripción y permite obtener nuevos documentos conservando el número identificativo, sin alterar derechos y obligaciones anteriores en los términos legales.</w:t>
      </w:r>
    </w:p>
    <w:p>
      <w:pPr>
        <w:jc w:val="both"/>
      </w:pPr>
      <w:r>
        <w:rPr>
          <w:rFonts w:ascii="Arial" w:hAnsi="Arial" w:cs="Arial"/>
          <w:sz w:val="22"/>
        </w:rPr>
        <w:t xml:space="preserve">Transcurridos </w:t>
      </w:r>
      <w:r>
        <w:rPr>
          <w:rFonts w:ascii="Arial" w:hAnsi="Arial" w:cs="Arial"/>
          <w:b/>
          <w:sz w:val="22"/>
        </w:rPr>
        <w:t>seis meses</w:t>
      </w:r>
      <w:r>
        <w:rPr>
          <w:rFonts w:ascii="Arial" w:hAnsi="Arial" w:cs="Arial"/>
          <w:sz w:val="22"/>
        </w:rPr>
        <w:t xml:space="preserve"> desde la inscripción, puede recuperar la mención registral anterior siguiendo el mismo procedimiento. Una rectificación posterior a esa reversión requiere aprobación judicial mediante jurisdicción voluntaria.</w:t>
      </w:r>
    </w:p>
    <w:p>
      <w:pPr>
        <w:jc w:val="both"/>
      </w:pPr>
      <w:r>
        <w:rPr>
          <w:rFonts w:ascii="Arial" w:hAnsi="Arial" w:cs="Arial"/>
          <w:sz w:val="22"/>
        </w:rPr>
        <w:t>La rectificación no permite eludir el régimen de la Ley Orgánica 1/2004 por hechos anteriores. La ley contiene reglas específicas sobre medidas de acción positiva y situaciones jurídicas consolidadas para evitar fraude y preservar seguridad jurídica.</w:t>
      </w:r>
    </w:p>
    <w:p>
      <w:pPr>
        <w:pStyle w:val="Heading2"/>
        <w:keepNext/>
      </w:pPr>
      <w:r>
        <w:rPr>
          <w:rFonts w:ascii="Arial" w:hAnsi="Arial" w:cs="Arial"/>
          <w:sz w:val="25"/>
        </w:rPr>
        <w:t>6.6. Protección frente a la discriminación</w:t>
      </w:r>
    </w:p>
    <w:p>
      <w:pPr>
        <w:jc w:val="both"/>
      </w:pPr>
      <w:r>
        <w:rPr>
          <w:rFonts w:ascii="Arial" w:hAnsi="Arial" w:cs="Arial"/>
          <w:sz w:val="22"/>
        </w:rPr>
        <w:t>Son nulas las cláusulas contractuales y disposiciones que causen discriminación. La tutela comprende prevención, cese inmediato, restablecimiento, reparación e indemnización. Se presume daño moral acreditada la discriminación, sin perjuicio de determinar su cuantía según circunstancias, gravedad y difusión.</w:t>
      </w:r>
    </w:p>
    <w:p>
      <w:pPr>
        <w:jc w:val="both"/>
      </w:pPr>
      <w:r>
        <w:rPr>
          <w:rFonts w:ascii="Arial" w:hAnsi="Arial" w:cs="Arial"/>
          <w:sz w:val="22"/>
        </w:rPr>
        <w:t>Fuera del proceso penal, aportados indicios fundados de discriminación corresponde a quien se imputa justificar de manera objetiva, razonable y proporcionada las medidas. Las Administraciones deben proteger frente a represalias y evitar victimización secundaria.</w:t>
      </w:r>
    </w:p>
    <w:p>
      <w:pPr>
        <w:jc w:val="both"/>
      </w:pPr>
      <w:r>
        <w:rPr>
          <w:rFonts w:ascii="Arial" w:hAnsi="Arial" w:cs="Arial"/>
          <w:sz w:val="22"/>
        </w:rPr>
        <w:t>El régimen estatal de infracciones distingue:</w:t>
      </w:r>
    </w:p>
    <w:p>
      <w:pPr>
        <w:pStyle w:val="ListBullet"/>
      </w:pPr>
      <w:r>
        <w:rPr>
          <w:rFonts w:ascii="Arial" w:hAnsi="Arial" w:cs="Arial"/>
          <w:sz w:val="22"/>
        </w:rPr>
        <w:t xml:space="preserve">Leves: apercibimiento o multa de </w:t>
      </w:r>
      <w:r>
        <w:rPr>
          <w:rFonts w:ascii="Arial" w:hAnsi="Arial" w:cs="Arial"/>
          <w:b/>
          <w:sz w:val="22"/>
        </w:rPr>
        <w:t>200 a 2.000 euros</w:t>
      </w:r>
      <w:r>
        <w:rPr>
          <w:rFonts w:ascii="Arial" w:hAnsi="Arial" w:cs="Arial"/>
          <w:sz w:val="22"/>
        </w:rPr>
        <w:t>.</w:t>
      </w:r>
    </w:p>
    <w:p>
      <w:pPr>
        <w:pStyle w:val="ListBullet"/>
      </w:pPr>
      <w:r>
        <w:rPr>
          <w:rFonts w:ascii="Arial" w:hAnsi="Arial" w:cs="Arial"/>
          <w:sz w:val="22"/>
        </w:rPr>
        <w:t xml:space="preserve">Graves: multa de </w:t>
      </w:r>
      <w:r>
        <w:rPr>
          <w:rFonts w:ascii="Arial" w:hAnsi="Arial" w:cs="Arial"/>
          <w:b/>
          <w:sz w:val="22"/>
        </w:rPr>
        <w:t>2.001 a 10.000 euros</w:t>
      </w:r>
      <w:r>
        <w:rPr>
          <w:rFonts w:ascii="Arial" w:hAnsi="Arial" w:cs="Arial"/>
          <w:sz w:val="22"/>
        </w:rPr>
        <w:t>.</w:t>
      </w:r>
    </w:p>
    <w:p>
      <w:pPr>
        <w:pStyle w:val="ListBullet"/>
      </w:pPr>
      <w:r>
        <w:rPr>
          <w:rFonts w:ascii="Arial" w:hAnsi="Arial" w:cs="Arial"/>
          <w:sz w:val="22"/>
        </w:rPr>
        <w:t xml:space="preserve">Muy graves: multa de </w:t>
      </w:r>
      <w:r>
        <w:rPr>
          <w:rFonts w:ascii="Arial" w:hAnsi="Arial" w:cs="Arial"/>
          <w:b/>
          <w:sz w:val="22"/>
        </w:rPr>
        <w:t>10.001 a 150.000 euros</w:t>
      </w:r>
      <w:r>
        <w:rPr>
          <w:rFonts w:ascii="Arial" w:hAnsi="Arial" w:cs="Arial"/>
          <w:sz w:val="22"/>
        </w:rPr>
        <w:t>.</w:t>
      </w:r>
    </w:p>
    <w:p>
      <w:pPr>
        <w:jc w:val="both"/>
      </w:pPr>
      <w:r>
        <w:rPr>
          <w:rFonts w:ascii="Arial" w:hAnsi="Arial" w:cs="Arial"/>
          <w:sz w:val="22"/>
        </w:rPr>
        <w:t>Pueden añadirse sanciones accesorias según gravedad, como prohibición de contratar con la Administración, pérdida de subvenciones, cierre temporal o cese en la actividad. En materia laboral, penal, educativa u otras se aplica con preferencia el régimen sectorial correspondiente y deben respetarse legalidad, tipicidad y prohibición de doble sanción por los mismos hechos, sujeto y fundamento.</w:t>
      </w:r>
    </w:p>
    <w:p>
      <w:pPr>
        <w:pStyle w:val="Heading1"/>
        <w:keepNext/>
      </w:pPr>
      <w:r>
        <w:rPr>
          <w:rFonts w:ascii="Arial" w:hAnsi="Arial" w:cs="Arial"/>
          <w:sz w:val="30"/>
        </w:rPr>
        <w:t>7. Cuadros integrados de diferencias</w:t>
      </w:r>
    </w:p>
    <w:p>
      <w:pPr>
        <w:pStyle w:val="Heading2"/>
        <w:keepNext/>
      </w:pPr>
      <w:r>
        <w:rPr>
          <w:rFonts w:ascii="Arial" w:hAnsi="Arial" w:cs="Arial"/>
          <w:sz w:val="25"/>
        </w:rPr>
        <w:t>7.1. Igualdad, transversalidad, presencia y acción positiva</w:t>
      </w:r>
    </w:p>
    <w:tbl>
      <w:tblPr>
        <w:tblStyle w:val="TableGrid"/>
        <w:tblW w:type="dxa" w:w="9026"/>
        <w:jc w:val="left"/>
        <w:tblLayout w:type="fixed"/>
        <w:tblLook w:firstColumn="1" w:firstRow="1" w:lastColumn="0" w:lastRow="0" w:noHBand="0" w:noVBand="1" w:val="04A0"/>
        <w:tblInd w:w="120" w:type="dxa"/>
      </w:tblPr>
      <w:tblGrid>
        <w:gridCol w:w="1861"/>
        <w:gridCol w:w="2978"/>
        <w:gridCol w:w="4187"/>
      </w:tblGrid>
      <w:tr>
        <w:trPr>
          <w:tblHeader w:val="true"/>
        </w:trPr>
        <w:tc>
          <w:tcPr>
            <w:tcW w:type="dxa" w:w="186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Técnica</w:t>
            </w:r>
          </w:p>
        </w:tc>
        <w:tc>
          <w:tcPr>
            <w:tcW w:type="dxa" w:w="297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Finalidad</w:t>
            </w:r>
          </w:p>
        </w:tc>
        <w:tc>
          <w:tcPr>
            <w:tcW w:type="dxa" w:w="418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Rasgo</w:t>
            </w:r>
          </w:p>
        </w:tc>
      </w:tr>
      <w:tr>
        <w:tc>
          <w:tcPr>
            <w:tcW w:type="dxa" w:w="1861"/>
            <w:tcMar>
              <w:top w:w="80" w:type="dxa"/>
              <w:start w:w="120" w:type="dxa"/>
              <w:bottom w:w="80" w:type="dxa"/>
              <w:end w:w="120" w:type="dxa"/>
            </w:tcMar>
            <w:vAlign w:val="center"/>
          </w:tcPr>
          <w:p>
            <w:pPr>
              <w:spacing w:before="0" w:after="0" w:line="240" w:lineRule="auto"/>
              <w:jc w:val="left"/>
            </w:pPr>
            <w:r/>
            <w:r>
              <w:rPr>
                <w:rFonts w:ascii="Arial" w:hAnsi="Arial" w:cs="Arial"/>
                <w:sz w:val="18"/>
              </w:rPr>
              <w:t>Igualdad formal</w:t>
            </w:r>
          </w:p>
        </w:tc>
        <w:tc>
          <w:tcPr>
            <w:tcW w:type="dxa" w:w="2978"/>
            <w:tcMar>
              <w:top w:w="80" w:type="dxa"/>
              <w:start w:w="120" w:type="dxa"/>
              <w:bottom w:w="80" w:type="dxa"/>
              <w:end w:w="120" w:type="dxa"/>
            </w:tcMar>
            <w:vAlign w:val="center"/>
          </w:tcPr>
          <w:p>
            <w:pPr>
              <w:spacing w:before="0" w:after="0" w:line="240" w:lineRule="auto"/>
              <w:jc w:val="left"/>
            </w:pPr>
            <w:r/>
            <w:r>
              <w:rPr>
                <w:rFonts w:ascii="Arial" w:hAnsi="Arial" w:cs="Arial"/>
                <w:sz w:val="18"/>
              </w:rPr>
              <w:t>Evitar trato desigual injustificado</w:t>
            </w:r>
          </w:p>
        </w:tc>
        <w:tc>
          <w:tcPr>
            <w:tcW w:type="dxa" w:w="4187"/>
            <w:tcMar>
              <w:top w:w="80" w:type="dxa"/>
              <w:start w:w="120" w:type="dxa"/>
              <w:bottom w:w="80" w:type="dxa"/>
              <w:end w:w="120" w:type="dxa"/>
            </w:tcMar>
            <w:vAlign w:val="center"/>
          </w:tcPr>
          <w:p>
            <w:pPr>
              <w:spacing w:before="0" w:after="0" w:line="240" w:lineRule="auto"/>
              <w:jc w:val="left"/>
            </w:pPr>
            <w:r/>
            <w:r>
              <w:rPr>
                <w:rFonts w:ascii="Arial" w:hAnsi="Arial" w:cs="Arial"/>
                <w:sz w:val="18"/>
              </w:rPr>
              <w:t>Comparación y prohibición de discriminación</w:t>
            </w:r>
          </w:p>
        </w:tc>
      </w:tr>
      <w:tr>
        <w:tc>
          <w:tcPr>
            <w:tcW w:type="dxa" w:w="1861"/>
            <w:tcMar>
              <w:top w:w="80" w:type="dxa"/>
              <w:start w:w="120" w:type="dxa"/>
              <w:bottom w:w="80" w:type="dxa"/>
              <w:end w:w="120" w:type="dxa"/>
            </w:tcMar>
            <w:vAlign w:val="center"/>
          </w:tcPr>
          <w:p>
            <w:pPr>
              <w:spacing w:before="0" w:after="0" w:line="240" w:lineRule="auto"/>
              <w:jc w:val="left"/>
            </w:pPr>
            <w:r/>
            <w:r>
              <w:rPr>
                <w:rFonts w:ascii="Arial" w:hAnsi="Arial" w:cs="Arial"/>
                <w:sz w:val="18"/>
              </w:rPr>
              <w:t>Igualdad material</w:t>
            </w:r>
          </w:p>
        </w:tc>
        <w:tc>
          <w:tcPr>
            <w:tcW w:type="dxa" w:w="2978"/>
            <w:tcMar>
              <w:top w:w="80" w:type="dxa"/>
              <w:start w:w="120" w:type="dxa"/>
              <w:bottom w:w="80" w:type="dxa"/>
              <w:end w:w="120" w:type="dxa"/>
            </w:tcMar>
            <w:vAlign w:val="center"/>
          </w:tcPr>
          <w:p>
            <w:pPr>
              <w:spacing w:before="0" w:after="0" w:line="240" w:lineRule="auto"/>
              <w:jc w:val="left"/>
            </w:pPr>
            <w:r/>
            <w:r>
              <w:rPr>
                <w:rFonts w:ascii="Arial" w:hAnsi="Arial" w:cs="Arial"/>
                <w:sz w:val="18"/>
              </w:rPr>
              <w:t>Lograr libertad e igualdad reales</w:t>
            </w:r>
          </w:p>
        </w:tc>
        <w:tc>
          <w:tcPr>
            <w:tcW w:type="dxa" w:w="4187"/>
            <w:tcMar>
              <w:top w:w="80" w:type="dxa"/>
              <w:start w:w="120" w:type="dxa"/>
              <w:bottom w:w="80" w:type="dxa"/>
              <w:end w:w="120" w:type="dxa"/>
            </w:tcMar>
            <w:vAlign w:val="center"/>
          </w:tcPr>
          <w:p>
            <w:pPr>
              <w:spacing w:before="0" w:after="0" w:line="240" w:lineRule="auto"/>
              <w:jc w:val="left"/>
            </w:pPr>
            <w:r/>
            <w:r>
              <w:rPr>
                <w:rFonts w:ascii="Arial" w:hAnsi="Arial" w:cs="Arial"/>
                <w:sz w:val="18"/>
              </w:rPr>
              <w:t>Remoción de obstáculos, artículo 9.2 CE</w:t>
            </w:r>
          </w:p>
        </w:tc>
      </w:tr>
      <w:tr>
        <w:tc>
          <w:tcPr>
            <w:tcW w:type="dxa" w:w="1861"/>
            <w:tcMar>
              <w:top w:w="80" w:type="dxa"/>
              <w:start w:w="120" w:type="dxa"/>
              <w:bottom w:w="80" w:type="dxa"/>
              <w:end w:w="120" w:type="dxa"/>
            </w:tcMar>
            <w:vAlign w:val="center"/>
          </w:tcPr>
          <w:p>
            <w:pPr>
              <w:spacing w:before="0" w:after="0" w:line="240" w:lineRule="auto"/>
              <w:jc w:val="left"/>
            </w:pPr>
            <w:r/>
            <w:r>
              <w:rPr>
                <w:rFonts w:ascii="Arial" w:hAnsi="Arial" w:cs="Arial"/>
                <w:sz w:val="18"/>
              </w:rPr>
              <w:t>Transversalidad</w:t>
            </w:r>
          </w:p>
        </w:tc>
        <w:tc>
          <w:tcPr>
            <w:tcW w:type="dxa" w:w="2978"/>
            <w:tcMar>
              <w:top w:w="80" w:type="dxa"/>
              <w:start w:w="120" w:type="dxa"/>
              <w:bottom w:w="80" w:type="dxa"/>
              <w:end w:w="120" w:type="dxa"/>
            </w:tcMar>
            <w:vAlign w:val="center"/>
          </w:tcPr>
          <w:p>
            <w:pPr>
              <w:spacing w:before="0" w:after="0" w:line="240" w:lineRule="auto"/>
              <w:jc w:val="left"/>
            </w:pPr>
            <w:r/>
            <w:r>
              <w:rPr>
                <w:rFonts w:ascii="Arial" w:hAnsi="Arial" w:cs="Arial"/>
                <w:sz w:val="18"/>
              </w:rPr>
              <w:t>Integrar igualdad en toda política</w:t>
            </w:r>
          </w:p>
        </w:tc>
        <w:tc>
          <w:tcPr>
            <w:tcW w:type="dxa" w:w="4187"/>
            <w:tcMar>
              <w:top w:w="80" w:type="dxa"/>
              <w:start w:w="120" w:type="dxa"/>
              <w:bottom w:w="80" w:type="dxa"/>
              <w:end w:w="120" w:type="dxa"/>
            </w:tcMar>
            <w:vAlign w:val="center"/>
          </w:tcPr>
          <w:p>
            <w:pPr>
              <w:spacing w:before="0" w:after="0" w:line="240" w:lineRule="auto"/>
              <w:jc w:val="left"/>
            </w:pPr>
            <w:r/>
            <w:r>
              <w:rPr>
                <w:rFonts w:ascii="Arial" w:hAnsi="Arial" w:cs="Arial"/>
                <w:sz w:val="18"/>
              </w:rPr>
              <w:t>Actúa al regular, planificar, presupuestar y ejecutar</w:t>
            </w:r>
          </w:p>
        </w:tc>
      </w:tr>
      <w:tr>
        <w:tc>
          <w:tcPr>
            <w:tcW w:type="dxa" w:w="1861"/>
            <w:tcMar>
              <w:top w:w="80" w:type="dxa"/>
              <w:start w:w="120" w:type="dxa"/>
              <w:bottom w:w="80" w:type="dxa"/>
              <w:end w:w="120" w:type="dxa"/>
            </w:tcMar>
            <w:vAlign w:val="center"/>
          </w:tcPr>
          <w:p>
            <w:pPr>
              <w:spacing w:before="0" w:after="0" w:line="240" w:lineRule="auto"/>
              <w:jc w:val="left"/>
            </w:pPr>
            <w:r/>
            <w:r>
              <w:rPr>
                <w:rFonts w:ascii="Arial" w:hAnsi="Arial" w:cs="Arial"/>
                <w:sz w:val="18"/>
              </w:rPr>
              <w:t>Acción positiva</w:t>
            </w:r>
          </w:p>
        </w:tc>
        <w:tc>
          <w:tcPr>
            <w:tcW w:type="dxa" w:w="2978"/>
            <w:tcMar>
              <w:top w:w="80" w:type="dxa"/>
              <w:start w:w="120" w:type="dxa"/>
              <w:bottom w:w="80" w:type="dxa"/>
              <w:end w:w="120" w:type="dxa"/>
            </w:tcMar>
            <w:vAlign w:val="center"/>
          </w:tcPr>
          <w:p>
            <w:pPr>
              <w:spacing w:before="0" w:after="0" w:line="240" w:lineRule="auto"/>
              <w:jc w:val="left"/>
            </w:pPr>
            <w:r/>
            <w:r>
              <w:rPr>
                <w:rFonts w:ascii="Arial" w:hAnsi="Arial" w:cs="Arial"/>
                <w:sz w:val="18"/>
              </w:rPr>
              <w:t>Corregir desventaja efectiva</w:t>
            </w:r>
          </w:p>
        </w:tc>
        <w:tc>
          <w:tcPr>
            <w:tcW w:type="dxa" w:w="4187"/>
            <w:tcMar>
              <w:top w:w="80" w:type="dxa"/>
              <w:start w:w="120" w:type="dxa"/>
              <w:bottom w:w="80" w:type="dxa"/>
              <w:end w:w="120" w:type="dxa"/>
            </w:tcMar>
            <w:vAlign w:val="center"/>
          </w:tcPr>
          <w:p>
            <w:pPr>
              <w:spacing w:before="0" w:after="0" w:line="240" w:lineRule="auto"/>
              <w:jc w:val="left"/>
            </w:pPr>
            <w:r/>
            <w:r>
              <w:rPr>
                <w:rFonts w:ascii="Arial" w:hAnsi="Arial" w:cs="Arial"/>
                <w:sz w:val="18"/>
              </w:rPr>
              <w:t>Específica, razonable, proporcionada y temporal</w:t>
            </w:r>
          </w:p>
        </w:tc>
      </w:tr>
      <w:tr>
        <w:tc>
          <w:tcPr>
            <w:tcW w:type="dxa" w:w="1861"/>
            <w:tcMar>
              <w:top w:w="80" w:type="dxa"/>
              <w:start w:w="120" w:type="dxa"/>
              <w:bottom w:w="80" w:type="dxa"/>
              <w:end w:w="120" w:type="dxa"/>
            </w:tcMar>
            <w:vAlign w:val="center"/>
          </w:tcPr>
          <w:p>
            <w:pPr>
              <w:spacing w:before="0" w:after="0" w:line="240" w:lineRule="auto"/>
              <w:jc w:val="left"/>
            </w:pPr>
            <w:r/>
            <w:r>
              <w:rPr>
                <w:rFonts w:ascii="Arial" w:hAnsi="Arial" w:cs="Arial"/>
                <w:sz w:val="18"/>
              </w:rPr>
              <w:t>Presencia equilibrada</w:t>
            </w:r>
          </w:p>
        </w:tc>
        <w:tc>
          <w:tcPr>
            <w:tcW w:type="dxa" w:w="2978"/>
            <w:tcMar>
              <w:top w:w="80" w:type="dxa"/>
              <w:start w:w="120" w:type="dxa"/>
              <w:bottom w:w="80" w:type="dxa"/>
              <w:end w:w="120" w:type="dxa"/>
            </w:tcMar>
            <w:vAlign w:val="center"/>
          </w:tcPr>
          <w:p>
            <w:pPr>
              <w:spacing w:before="0" w:after="0" w:line="240" w:lineRule="auto"/>
              <w:jc w:val="left"/>
            </w:pPr>
            <w:r/>
            <w:r>
              <w:rPr>
                <w:rFonts w:ascii="Arial" w:hAnsi="Arial" w:cs="Arial"/>
                <w:sz w:val="18"/>
              </w:rPr>
              <w:t>Evitar infrarrepresentación</w:t>
            </w:r>
          </w:p>
        </w:tc>
        <w:tc>
          <w:tcPr>
            <w:tcW w:type="dxa" w:w="4187"/>
            <w:tcMar>
              <w:top w:w="80" w:type="dxa"/>
              <w:start w:w="120" w:type="dxa"/>
              <w:bottom w:w="80" w:type="dxa"/>
              <w:end w:w="120" w:type="dxa"/>
            </w:tcMar>
            <w:vAlign w:val="center"/>
          </w:tcPr>
          <w:p>
            <w:pPr>
              <w:spacing w:before="0" w:after="0" w:line="240" w:lineRule="auto"/>
              <w:jc w:val="left"/>
            </w:pPr>
            <w:r/>
            <w:r>
              <w:rPr>
                <w:rFonts w:ascii="Arial" w:hAnsi="Arial" w:cs="Arial"/>
                <w:sz w:val="18"/>
              </w:rPr>
              <w:t>Cada sexo entre 40 % y 60 % en el conjunto</w:t>
            </w:r>
          </w:p>
        </w:tc>
      </w:tr>
    </w:tbl>
    <w:p>
      <w:pPr>
        <w:spacing w:after="40"/>
      </w:pPr>
    </w:p>
    <w:p>
      <w:pPr>
        <w:pStyle w:val="Heading2"/>
        <w:keepNext/>
      </w:pPr>
      <w:r>
        <w:rPr>
          <w:rFonts w:ascii="Arial" w:hAnsi="Arial" w:cs="Arial"/>
          <w:sz w:val="25"/>
        </w:rPr>
        <w:t>7.2. Discapacidad y dependencia</w:t>
      </w:r>
    </w:p>
    <w:tbl>
      <w:tblPr>
        <w:tblStyle w:val="TableGrid"/>
        <w:tblW w:type="dxa" w:w="9026"/>
        <w:jc w:val="left"/>
        <w:tblLayout w:type="fixed"/>
        <w:tblLook w:firstColumn="1" w:firstRow="1" w:lastColumn="0" w:lastRow="0" w:noHBand="0" w:noVBand="1" w:val="04A0"/>
        <w:tblInd w:w="120" w:type="dxa"/>
      </w:tblPr>
      <w:tblGrid>
        <w:gridCol w:w="2158"/>
        <w:gridCol w:w="3630"/>
        <w:gridCol w:w="3238"/>
      </w:tblGrid>
      <w:tr>
        <w:trPr>
          <w:tblHeader w:val="true"/>
        </w:trPr>
        <w:tc>
          <w:tcPr>
            <w:tcW w:type="dxa" w:w="215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Cuestión</w:t>
            </w:r>
          </w:p>
        </w:tc>
        <w:tc>
          <w:tcPr>
            <w:tcW w:type="dxa" w:w="363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Discapacidad</w:t>
            </w:r>
          </w:p>
        </w:tc>
        <w:tc>
          <w:tcPr>
            <w:tcW w:type="dxa" w:w="323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Dependencia</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Norma central</w:t>
            </w:r>
          </w:p>
        </w:tc>
        <w:tc>
          <w:tcPr>
            <w:tcW w:type="dxa" w:w="3630"/>
            <w:tcMar>
              <w:top w:w="80" w:type="dxa"/>
              <w:start w:w="120" w:type="dxa"/>
              <w:bottom w:w="80" w:type="dxa"/>
              <w:end w:w="120" w:type="dxa"/>
            </w:tcMar>
            <w:vAlign w:val="center"/>
          </w:tcPr>
          <w:p>
            <w:pPr>
              <w:spacing w:before="0" w:after="0" w:line="240" w:lineRule="auto"/>
              <w:jc w:val="center"/>
            </w:pPr>
            <w:r/>
            <w:r>
              <w:rPr>
                <w:rFonts w:ascii="Arial" w:hAnsi="Arial" w:cs="Arial"/>
                <w:sz w:val="18"/>
              </w:rPr>
              <w:t>RDL 1/2013</w:t>
            </w:r>
          </w:p>
        </w:tc>
        <w:tc>
          <w:tcPr>
            <w:tcW w:type="dxa" w:w="3238"/>
            <w:tcMar>
              <w:top w:w="80" w:type="dxa"/>
              <w:start w:w="120" w:type="dxa"/>
              <w:bottom w:w="80" w:type="dxa"/>
              <w:end w:w="120" w:type="dxa"/>
            </w:tcMar>
            <w:vAlign w:val="center"/>
          </w:tcPr>
          <w:p>
            <w:pPr>
              <w:spacing w:before="0" w:after="0" w:line="240" w:lineRule="auto"/>
              <w:jc w:val="center"/>
            </w:pPr>
            <w:r/>
            <w:r>
              <w:rPr>
                <w:rFonts w:ascii="Arial" w:hAnsi="Arial" w:cs="Arial"/>
                <w:sz w:val="18"/>
              </w:rPr>
              <w:t>Ley 39/2006</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Núcleo</w:t>
            </w:r>
          </w:p>
        </w:tc>
        <w:tc>
          <w:tcPr>
            <w:tcW w:type="dxa" w:w="3630"/>
            <w:tcMar>
              <w:top w:w="80" w:type="dxa"/>
              <w:start w:w="120" w:type="dxa"/>
              <w:bottom w:w="80" w:type="dxa"/>
              <w:end w:w="120" w:type="dxa"/>
            </w:tcMar>
            <w:vAlign w:val="center"/>
          </w:tcPr>
          <w:p>
            <w:pPr>
              <w:spacing w:before="0" w:after="0" w:line="240" w:lineRule="auto"/>
              <w:jc w:val="left"/>
            </w:pPr>
            <w:r/>
            <w:r>
              <w:rPr>
                <w:rFonts w:ascii="Arial" w:hAnsi="Arial" w:cs="Arial"/>
                <w:sz w:val="18"/>
              </w:rPr>
              <w:t>Interacción de deficiencias y barreras</w:t>
            </w:r>
          </w:p>
        </w:tc>
        <w:tc>
          <w:tcPr>
            <w:tcW w:type="dxa" w:w="3238"/>
            <w:tcMar>
              <w:top w:w="80" w:type="dxa"/>
              <w:start w:w="120" w:type="dxa"/>
              <w:bottom w:w="80" w:type="dxa"/>
              <w:end w:w="120" w:type="dxa"/>
            </w:tcMar>
            <w:vAlign w:val="center"/>
          </w:tcPr>
          <w:p>
            <w:pPr>
              <w:spacing w:before="0" w:after="0" w:line="240" w:lineRule="auto"/>
              <w:jc w:val="left"/>
            </w:pPr>
            <w:r/>
            <w:r>
              <w:rPr>
                <w:rFonts w:ascii="Arial" w:hAnsi="Arial" w:cs="Arial"/>
                <w:sz w:val="18"/>
              </w:rPr>
              <w:t>Necesidad permanente de ayuda o apoyos</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Medición administrativa</w:t>
            </w:r>
          </w:p>
        </w:tc>
        <w:tc>
          <w:tcPr>
            <w:tcW w:type="dxa" w:w="3630"/>
            <w:tcMar>
              <w:top w:w="80" w:type="dxa"/>
              <w:start w:w="120" w:type="dxa"/>
              <w:bottom w:w="80" w:type="dxa"/>
              <w:end w:w="120" w:type="dxa"/>
            </w:tcMar>
            <w:vAlign w:val="center"/>
          </w:tcPr>
          <w:p>
            <w:pPr>
              <w:spacing w:before="0" w:after="0" w:line="240" w:lineRule="auto"/>
              <w:jc w:val="left"/>
            </w:pPr>
            <w:r/>
            <w:r>
              <w:rPr>
                <w:rFonts w:ascii="Arial" w:hAnsi="Arial" w:cs="Arial"/>
                <w:sz w:val="18"/>
              </w:rPr>
              <w:t>Grado porcentual</w:t>
            </w:r>
          </w:p>
        </w:tc>
        <w:tc>
          <w:tcPr>
            <w:tcW w:type="dxa" w:w="3238"/>
            <w:tcMar>
              <w:top w:w="80" w:type="dxa"/>
              <w:start w:w="120" w:type="dxa"/>
              <w:bottom w:w="80" w:type="dxa"/>
              <w:end w:w="120" w:type="dxa"/>
            </w:tcMar>
            <w:vAlign w:val="center"/>
          </w:tcPr>
          <w:p>
            <w:pPr>
              <w:spacing w:before="0" w:after="0" w:line="240" w:lineRule="auto"/>
              <w:jc w:val="left"/>
            </w:pPr>
            <w:r/>
            <w:r>
              <w:rPr>
                <w:rFonts w:ascii="Arial" w:hAnsi="Arial" w:cs="Arial"/>
                <w:sz w:val="18"/>
              </w:rPr>
              <w:t>Grados I, II, III y cualificación III+</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Sistema</w:t>
            </w:r>
          </w:p>
        </w:tc>
        <w:tc>
          <w:tcPr>
            <w:tcW w:type="dxa" w:w="3630"/>
            <w:tcMar>
              <w:top w:w="80" w:type="dxa"/>
              <w:start w:w="120" w:type="dxa"/>
              <w:bottom w:w="80" w:type="dxa"/>
              <w:end w:w="120" w:type="dxa"/>
            </w:tcMar>
            <w:vAlign w:val="center"/>
          </w:tcPr>
          <w:p>
            <w:pPr>
              <w:spacing w:before="0" w:after="0" w:line="240" w:lineRule="auto"/>
              <w:jc w:val="left"/>
            </w:pPr>
            <w:r/>
            <w:r>
              <w:rPr>
                <w:rFonts w:ascii="Arial" w:hAnsi="Arial" w:cs="Arial"/>
                <w:sz w:val="18"/>
              </w:rPr>
              <w:t>Derechos, accesibilidad, inclusión y tutela</w:t>
            </w:r>
          </w:p>
        </w:tc>
        <w:tc>
          <w:tcPr>
            <w:tcW w:type="dxa" w:w="3238"/>
            <w:tcMar>
              <w:top w:w="80" w:type="dxa"/>
              <w:start w:w="120" w:type="dxa"/>
              <w:bottom w:w="80" w:type="dxa"/>
              <w:end w:w="120" w:type="dxa"/>
            </w:tcMar>
            <w:vAlign w:val="center"/>
          </w:tcPr>
          <w:p>
            <w:pPr>
              <w:spacing w:before="0" w:after="0" w:line="240" w:lineRule="auto"/>
              <w:jc w:val="left"/>
            </w:pPr>
            <w:r/>
            <w:r>
              <w:rPr>
                <w:rFonts w:ascii="Arial" w:hAnsi="Arial" w:cs="Arial"/>
                <w:sz w:val="18"/>
              </w:rPr>
              <w:t>SAAD, servicios y prestaciones</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Puede existir una sin otra</w:t>
            </w:r>
          </w:p>
        </w:tc>
        <w:tc>
          <w:tcPr>
            <w:tcW w:type="dxa" w:w="363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238"/>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2158"/>
            <w:tcMar>
              <w:top w:w="80" w:type="dxa"/>
              <w:start w:w="120" w:type="dxa"/>
              <w:bottom w:w="80" w:type="dxa"/>
              <w:end w:w="120" w:type="dxa"/>
            </w:tcMar>
            <w:vAlign w:val="center"/>
          </w:tcPr>
          <w:p>
            <w:pPr>
              <w:spacing w:before="0" w:after="0" w:line="240" w:lineRule="auto"/>
              <w:jc w:val="left"/>
            </w:pPr>
            <w:r/>
            <w:r>
              <w:rPr>
                <w:rFonts w:ascii="Arial" w:hAnsi="Arial" w:cs="Arial"/>
                <w:sz w:val="18"/>
              </w:rPr>
              <w:t>Resolución</w:t>
            </w:r>
          </w:p>
        </w:tc>
        <w:tc>
          <w:tcPr>
            <w:tcW w:type="dxa" w:w="3630"/>
            <w:tcMar>
              <w:top w:w="80" w:type="dxa"/>
              <w:start w:w="120" w:type="dxa"/>
              <w:bottom w:w="80" w:type="dxa"/>
              <w:end w:w="120" w:type="dxa"/>
            </w:tcMar>
            <w:vAlign w:val="center"/>
          </w:tcPr>
          <w:p>
            <w:pPr>
              <w:spacing w:before="0" w:after="0" w:line="240" w:lineRule="auto"/>
              <w:jc w:val="left"/>
            </w:pPr>
            <w:r/>
            <w:r>
              <w:rPr>
                <w:rFonts w:ascii="Arial" w:hAnsi="Arial" w:cs="Arial"/>
                <w:sz w:val="18"/>
              </w:rPr>
              <w:t>Efectos legales del grado</w:t>
            </w:r>
          </w:p>
        </w:tc>
        <w:tc>
          <w:tcPr>
            <w:tcW w:type="dxa" w:w="3238"/>
            <w:tcMar>
              <w:top w:w="80" w:type="dxa"/>
              <w:start w:w="120" w:type="dxa"/>
              <w:bottom w:w="80" w:type="dxa"/>
              <w:end w:w="120" w:type="dxa"/>
            </w:tcMar>
            <w:vAlign w:val="center"/>
          </w:tcPr>
          <w:p>
            <w:pPr>
              <w:spacing w:before="0" w:after="0" w:line="240" w:lineRule="auto"/>
              <w:jc w:val="left"/>
            </w:pPr>
            <w:r/>
            <w:r>
              <w:rPr>
                <w:rFonts w:ascii="Arial" w:hAnsi="Arial" w:cs="Arial"/>
                <w:sz w:val="18"/>
              </w:rPr>
              <w:t>Grado y posterior PIA</w:t>
            </w:r>
          </w:p>
        </w:tc>
      </w:tr>
    </w:tbl>
    <w:p>
      <w:pPr>
        <w:spacing w:after="40"/>
      </w:pPr>
    </w:p>
    <w:p>
      <w:pPr>
        <w:pStyle w:val="Heading2"/>
        <w:keepNext/>
      </w:pPr>
      <w:r>
        <w:rPr>
          <w:rFonts w:ascii="Arial" w:hAnsi="Arial" w:cs="Arial"/>
          <w:sz w:val="25"/>
        </w:rPr>
        <w:t>7.3. Umbrales empresariales</w:t>
      </w:r>
    </w:p>
    <w:tbl>
      <w:tblPr>
        <w:tblStyle w:val="TableGrid"/>
        <w:tblW w:type="dxa" w:w="9026"/>
        <w:jc w:val="left"/>
        <w:tblLayout w:type="fixed"/>
        <w:tblLook w:firstColumn="1" w:firstRow="1" w:lastColumn="0" w:lastRow="0" w:noHBand="0" w:noVBand="1" w:val="04A0"/>
        <w:tblInd w:w="120" w:type="dxa"/>
      </w:tblPr>
      <w:tblGrid>
        <w:gridCol w:w="4824"/>
        <w:gridCol w:w="4202"/>
      </w:tblGrid>
      <w:tr>
        <w:trPr>
          <w:tblHeader w:val="true"/>
        </w:trPr>
        <w:tc>
          <w:tcPr>
            <w:tcW w:type="dxa" w:w="482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Obligación</w:t>
            </w:r>
          </w:p>
        </w:tc>
        <w:tc>
          <w:tcPr>
            <w:tcW w:type="dxa" w:w="420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Umbral legal</w:t>
            </w:r>
          </w:p>
        </w:tc>
      </w:tr>
      <w:tr>
        <w:tc>
          <w:tcPr>
            <w:tcW w:type="dxa" w:w="4824"/>
            <w:tcMar>
              <w:top w:w="80" w:type="dxa"/>
              <w:start w:w="120" w:type="dxa"/>
              <w:bottom w:w="80" w:type="dxa"/>
              <w:end w:w="120" w:type="dxa"/>
            </w:tcMar>
            <w:vAlign w:val="center"/>
          </w:tcPr>
          <w:p>
            <w:pPr>
              <w:spacing w:before="0" w:after="0" w:line="240" w:lineRule="auto"/>
              <w:jc w:val="left"/>
            </w:pPr>
            <w:r/>
            <w:r>
              <w:rPr>
                <w:rFonts w:ascii="Arial" w:hAnsi="Arial" w:cs="Arial"/>
                <w:sz w:val="18"/>
              </w:rPr>
              <w:t>Plan de igualdad de mujeres y hombres</w:t>
            </w:r>
          </w:p>
        </w:tc>
        <w:tc>
          <w:tcPr>
            <w:tcW w:type="dxa" w:w="4202"/>
            <w:tcMar>
              <w:top w:w="80" w:type="dxa"/>
              <w:start w:w="120" w:type="dxa"/>
              <w:bottom w:w="80" w:type="dxa"/>
              <w:end w:w="120" w:type="dxa"/>
            </w:tcMar>
            <w:vAlign w:val="center"/>
          </w:tcPr>
          <w:p>
            <w:pPr>
              <w:spacing w:before="0" w:after="0" w:line="240" w:lineRule="auto"/>
              <w:jc w:val="left"/>
            </w:pPr>
            <w:r/>
            <w:r>
              <w:rPr>
                <w:rFonts w:ascii="Arial" w:hAnsi="Arial" w:cs="Arial"/>
                <w:sz w:val="18"/>
              </w:rPr>
              <w:t>50 o más personas trabajadoras</w:t>
            </w:r>
          </w:p>
        </w:tc>
      </w:tr>
      <w:tr>
        <w:tc>
          <w:tcPr>
            <w:tcW w:type="dxa" w:w="4824"/>
            <w:tcMar>
              <w:top w:w="80" w:type="dxa"/>
              <w:start w:w="120" w:type="dxa"/>
              <w:bottom w:w="80" w:type="dxa"/>
              <w:end w:w="120" w:type="dxa"/>
            </w:tcMar>
            <w:vAlign w:val="center"/>
          </w:tcPr>
          <w:p>
            <w:pPr>
              <w:spacing w:before="0" w:after="0" w:line="240" w:lineRule="auto"/>
              <w:jc w:val="left"/>
            </w:pPr>
            <w:r/>
            <w:r>
              <w:rPr>
                <w:rFonts w:ascii="Arial" w:hAnsi="Arial" w:cs="Arial"/>
                <w:sz w:val="18"/>
              </w:rPr>
              <w:t>Medidas LGTBI y protocolo</w:t>
            </w:r>
          </w:p>
        </w:tc>
        <w:tc>
          <w:tcPr>
            <w:tcW w:type="dxa" w:w="4202"/>
            <w:tcMar>
              <w:top w:w="80" w:type="dxa"/>
              <w:start w:w="120" w:type="dxa"/>
              <w:bottom w:w="80" w:type="dxa"/>
              <w:end w:w="120" w:type="dxa"/>
            </w:tcMar>
            <w:vAlign w:val="center"/>
          </w:tcPr>
          <w:p>
            <w:pPr>
              <w:spacing w:before="0" w:after="0" w:line="240" w:lineRule="auto"/>
              <w:jc w:val="left"/>
            </w:pPr>
            <w:r/>
            <w:r>
              <w:rPr>
                <w:rFonts w:ascii="Arial" w:hAnsi="Arial" w:cs="Arial"/>
                <w:sz w:val="18"/>
              </w:rPr>
              <w:t>Más de 50 personas trabajadoras</w:t>
            </w:r>
          </w:p>
        </w:tc>
      </w:tr>
    </w:tbl>
    <w:p>
      <w:pPr>
        <w:spacing w:after="40"/>
      </w:pPr>
    </w:p>
    <w:p>
      <w:pPr>
        <w:pStyle w:val="Heading1"/>
        <w:keepNext/>
      </w:pPr>
      <w:r>
        <w:rPr>
          <w:rFonts w:ascii="Arial" w:hAnsi="Arial" w:cs="Arial"/>
          <w:sz w:val="30"/>
        </w:rPr>
        <w:t>8. Trampas frecuentes</w:t>
      </w:r>
    </w:p>
    <w:p>
      <w:pPr>
        <w:spacing w:after="40"/>
        <w:ind w:left="369" w:hanging="227"/>
      </w:pPr>
      <w:r>
        <w:rPr>
          <w:rFonts w:ascii="Arial" w:hAnsi="Arial" w:cs="Arial"/>
          <w:sz w:val="22"/>
        </w:rPr>
        <w:t xml:space="preserve">1. </w:t>
      </w:r>
      <w:r>
        <w:rPr>
          <w:rFonts w:ascii="Arial" w:hAnsi="Arial" w:cs="Arial"/>
          <w:b/>
          <w:sz w:val="22"/>
        </w:rPr>
        <w:t>Igualdad formal no agota la igualdad.</w:t>
      </w:r>
      <w:r>
        <w:rPr>
          <w:rFonts w:ascii="Arial" w:hAnsi="Arial" w:cs="Arial"/>
          <w:sz w:val="22"/>
        </w:rPr>
        <w:t xml:space="preserve"> El artículo 9.2 permite políticas de igualdad real.</w:t>
      </w:r>
    </w:p>
    <w:p>
      <w:pPr>
        <w:spacing w:after="40"/>
        <w:ind w:left="369" w:hanging="227"/>
      </w:pPr>
      <w:r>
        <w:rPr>
          <w:rFonts w:ascii="Arial" w:hAnsi="Arial" w:cs="Arial"/>
          <w:sz w:val="22"/>
        </w:rPr>
        <w:t xml:space="preserve">2. </w:t>
      </w:r>
      <w:r>
        <w:rPr>
          <w:rFonts w:ascii="Arial" w:hAnsi="Arial" w:cs="Arial"/>
          <w:b/>
          <w:sz w:val="22"/>
        </w:rPr>
        <w:t>Toda diferencia no es discriminación.</w:t>
      </w:r>
      <w:r>
        <w:rPr>
          <w:rFonts w:ascii="Arial" w:hAnsi="Arial" w:cs="Arial"/>
          <w:sz w:val="22"/>
        </w:rPr>
        <w:t xml:space="preserve"> Debe carecer de justificación objetiva, razonable y proporcionada; en discriminación directa por sexo el análisis es especialmente estricto.</w:t>
      </w:r>
    </w:p>
    <w:p>
      <w:pPr>
        <w:spacing w:after="40"/>
        <w:ind w:left="369" w:hanging="227"/>
      </w:pPr>
      <w:r>
        <w:rPr>
          <w:rFonts w:ascii="Arial" w:hAnsi="Arial" w:cs="Arial"/>
          <w:sz w:val="22"/>
        </w:rPr>
        <w:t xml:space="preserve">3. </w:t>
      </w:r>
      <w:r>
        <w:rPr>
          <w:rFonts w:ascii="Arial" w:hAnsi="Arial" w:cs="Arial"/>
          <w:b/>
          <w:sz w:val="22"/>
        </w:rPr>
        <w:t>Discriminación indirecta parece neutra.</w:t>
      </w:r>
      <w:r>
        <w:rPr>
          <w:rFonts w:ascii="Arial" w:hAnsi="Arial" w:cs="Arial"/>
          <w:sz w:val="22"/>
        </w:rPr>
        <w:t xml:space="preserve"> Lo decisivo es la desventaja particular y su falta de justificación.</w:t>
      </w:r>
    </w:p>
    <w:p>
      <w:pPr>
        <w:spacing w:after="40"/>
        <w:ind w:left="369" w:hanging="227"/>
      </w:pPr>
      <w:r>
        <w:rPr>
          <w:rFonts w:ascii="Arial" w:hAnsi="Arial" w:cs="Arial"/>
          <w:sz w:val="22"/>
        </w:rPr>
        <w:t xml:space="preserve">4. </w:t>
      </w:r>
      <w:r>
        <w:rPr>
          <w:rFonts w:ascii="Arial" w:hAnsi="Arial" w:cs="Arial"/>
          <w:b/>
          <w:sz w:val="22"/>
        </w:rPr>
        <w:t>Acoso sexual no equivale a acoso por razón de sexo.</w:t>
      </w:r>
      <w:r>
        <w:rPr>
          <w:rFonts w:ascii="Arial" w:hAnsi="Arial" w:cs="Arial"/>
          <w:sz w:val="22"/>
        </w:rPr>
        <w:t xml:space="preserve"> El primero tiene naturaleza sexual; el segundo se basa en el sexo.</w:t>
      </w:r>
    </w:p>
    <w:p>
      <w:pPr>
        <w:spacing w:after="40"/>
        <w:ind w:left="369" w:hanging="227"/>
      </w:pPr>
      <w:r>
        <w:rPr>
          <w:rFonts w:ascii="Arial" w:hAnsi="Arial" w:cs="Arial"/>
          <w:sz w:val="22"/>
        </w:rPr>
        <w:t xml:space="preserve">5. </w:t>
      </w:r>
      <w:r>
        <w:rPr>
          <w:rFonts w:ascii="Arial" w:hAnsi="Arial" w:cs="Arial"/>
          <w:b/>
          <w:sz w:val="22"/>
        </w:rPr>
        <w:t>Acción positiva no es cuota permanente.</w:t>
      </w:r>
      <w:r>
        <w:rPr>
          <w:rFonts w:ascii="Arial" w:hAnsi="Arial" w:cs="Arial"/>
          <w:sz w:val="22"/>
        </w:rPr>
        <w:t xml:space="preserve"> Dura mientras subsiste la desigualdad y debe ser proporcionada.</w:t>
      </w:r>
    </w:p>
    <w:p>
      <w:pPr>
        <w:spacing w:after="40"/>
        <w:ind w:left="369" w:hanging="227"/>
      </w:pPr>
      <w:r>
        <w:rPr>
          <w:rFonts w:ascii="Arial" w:hAnsi="Arial" w:cs="Arial"/>
          <w:sz w:val="22"/>
        </w:rPr>
        <w:t xml:space="preserve">6. </w:t>
      </w:r>
      <w:r>
        <w:rPr>
          <w:rFonts w:ascii="Arial" w:hAnsi="Arial" w:cs="Arial"/>
          <w:b/>
          <w:sz w:val="22"/>
        </w:rPr>
        <w:t>Presencia equilibrada no es 50/50.</w:t>
      </w:r>
      <w:r>
        <w:rPr>
          <w:rFonts w:ascii="Arial" w:hAnsi="Arial" w:cs="Arial"/>
          <w:sz w:val="22"/>
        </w:rPr>
        <w:t xml:space="preserve"> El intervalo es 40/60.</w:t>
      </w:r>
    </w:p>
    <w:p>
      <w:pPr>
        <w:spacing w:after="40"/>
        <w:ind w:left="369" w:hanging="227"/>
      </w:pPr>
      <w:r>
        <w:rPr>
          <w:rFonts w:ascii="Arial" w:hAnsi="Arial" w:cs="Arial"/>
          <w:sz w:val="22"/>
        </w:rPr>
        <w:t xml:space="preserve">7. </w:t>
      </w:r>
      <w:r>
        <w:rPr>
          <w:rFonts w:ascii="Arial" w:hAnsi="Arial" w:cs="Arial"/>
          <w:b/>
          <w:sz w:val="22"/>
        </w:rPr>
        <w:t>Violencia de género de la LO 1/2004 no es cualquier violencia intrafamiliar.</w:t>
      </w:r>
      <w:r>
        <w:rPr>
          <w:rFonts w:ascii="Arial" w:hAnsi="Arial" w:cs="Arial"/>
          <w:sz w:val="22"/>
        </w:rPr>
        <w:t xml:space="preserve"> Exige la relación afectiva que define el artículo 1.</w:t>
      </w:r>
    </w:p>
    <w:p>
      <w:pPr>
        <w:spacing w:after="40"/>
        <w:ind w:left="369" w:hanging="227"/>
      </w:pPr>
      <w:r>
        <w:rPr>
          <w:rFonts w:ascii="Arial" w:hAnsi="Arial" w:cs="Arial"/>
          <w:sz w:val="22"/>
        </w:rPr>
        <w:t xml:space="preserve">8. </w:t>
      </w:r>
      <w:r>
        <w:rPr>
          <w:rFonts w:ascii="Arial" w:hAnsi="Arial" w:cs="Arial"/>
          <w:b/>
          <w:sz w:val="22"/>
        </w:rPr>
        <w:t>No siempre se exige sentencia para acreditar violencia de género.</w:t>
      </w:r>
      <w:r>
        <w:rPr>
          <w:rFonts w:ascii="Arial" w:hAnsi="Arial" w:cs="Arial"/>
          <w:sz w:val="22"/>
        </w:rPr>
        <w:t xml:space="preserve"> Existen órdenes, informes del fiscal y de servicios especializados y otros títulos.</w:t>
      </w:r>
    </w:p>
    <w:p>
      <w:pPr>
        <w:spacing w:after="40"/>
        <w:ind w:left="369" w:hanging="227"/>
      </w:pPr>
      <w:r>
        <w:rPr>
          <w:rFonts w:ascii="Arial" w:hAnsi="Arial" w:cs="Arial"/>
          <w:sz w:val="22"/>
        </w:rPr>
        <w:t xml:space="preserve">9. </w:t>
      </w:r>
      <w:r>
        <w:rPr>
          <w:rFonts w:ascii="Arial" w:hAnsi="Arial" w:cs="Arial"/>
          <w:b/>
          <w:sz w:val="22"/>
        </w:rPr>
        <w:t>El artículo 49 CE ya no conserva su antigua redacción.</w:t>
      </w:r>
      <w:r>
        <w:rPr>
          <w:rFonts w:ascii="Arial" w:hAnsi="Arial" w:cs="Arial"/>
          <w:sz w:val="22"/>
        </w:rPr>
        <w:t xml:space="preserve"> Habla de personas con discapacidad, autonomía, inclusión, accesibilidad y participación.</w:t>
      </w:r>
    </w:p>
    <w:p>
      <w:pPr>
        <w:spacing w:after="40"/>
        <w:ind w:left="369" w:hanging="227"/>
      </w:pPr>
      <w:r>
        <w:rPr>
          <w:rFonts w:ascii="Arial" w:hAnsi="Arial" w:cs="Arial"/>
          <w:sz w:val="22"/>
        </w:rPr>
        <w:t xml:space="preserve">10. </w:t>
      </w:r>
      <w:r>
        <w:rPr>
          <w:rFonts w:ascii="Arial" w:hAnsi="Arial" w:cs="Arial"/>
          <w:b/>
          <w:sz w:val="22"/>
        </w:rPr>
        <w:t>Discapacidad no equivale a dependencia ni a incapacidad laboral.</w:t>
      </w:r>
      <w:r>
        <w:rPr>
          <w:rFonts w:ascii="Arial" w:hAnsi="Arial" w:cs="Arial"/>
          <w:sz w:val="22"/>
        </w:rPr>
        <w:t xml:space="preserve"> Pueden coexistir, pero tienen valoraciones distintas.</w:t>
      </w:r>
    </w:p>
    <w:p>
      <w:pPr>
        <w:spacing w:after="40"/>
        <w:ind w:left="369" w:hanging="227"/>
      </w:pPr>
      <w:r>
        <w:rPr>
          <w:rFonts w:ascii="Arial" w:hAnsi="Arial" w:cs="Arial"/>
          <w:sz w:val="22"/>
        </w:rPr>
        <w:t xml:space="preserve">11. </w:t>
      </w:r>
      <w:r>
        <w:rPr>
          <w:rFonts w:ascii="Arial" w:hAnsi="Arial" w:cs="Arial"/>
          <w:b/>
          <w:sz w:val="22"/>
        </w:rPr>
        <w:t>El 33 % es un umbral administrativo relevante, no toda la definición material.</w:t>
      </w:r>
    </w:p>
    <w:p>
      <w:pPr>
        <w:spacing w:after="40"/>
        <w:ind w:left="369" w:hanging="227"/>
      </w:pPr>
      <w:r>
        <w:rPr>
          <w:rFonts w:ascii="Arial" w:hAnsi="Arial" w:cs="Arial"/>
          <w:sz w:val="22"/>
        </w:rPr>
        <w:t xml:space="preserve">12. </w:t>
      </w:r>
      <w:r>
        <w:rPr>
          <w:rFonts w:ascii="Arial" w:hAnsi="Arial" w:cs="Arial"/>
          <w:b/>
          <w:sz w:val="22"/>
        </w:rPr>
        <w:t>Accesibilidad universal no es solo eliminar barreras físicas.</w:t>
      </w:r>
      <w:r>
        <w:rPr>
          <w:rFonts w:ascii="Arial" w:hAnsi="Arial" w:cs="Arial"/>
          <w:sz w:val="22"/>
        </w:rPr>
        <w:t xml:space="preserve"> Comprende también comunicación, tecnologías y dimensión cognitiva.</w:t>
      </w:r>
    </w:p>
    <w:p>
      <w:pPr>
        <w:spacing w:after="40"/>
        <w:ind w:left="369" w:hanging="227"/>
      </w:pPr>
      <w:r>
        <w:rPr>
          <w:rFonts w:ascii="Arial" w:hAnsi="Arial" w:cs="Arial"/>
          <w:sz w:val="22"/>
        </w:rPr>
        <w:t xml:space="preserve">13. </w:t>
      </w:r>
      <w:r>
        <w:rPr>
          <w:rFonts w:ascii="Arial" w:hAnsi="Arial" w:cs="Arial"/>
          <w:b/>
          <w:sz w:val="22"/>
        </w:rPr>
        <w:t>Ajuste razonable es individual y no debe imponer carga desproporcionada.</w:t>
      </w:r>
      <w:r>
        <w:rPr>
          <w:rFonts w:ascii="Arial" w:hAnsi="Arial" w:cs="Arial"/>
          <w:sz w:val="22"/>
        </w:rPr>
        <w:t xml:space="preserve"> No sustituye el deber general de accesibilidad.</w:t>
      </w:r>
    </w:p>
    <w:p>
      <w:pPr>
        <w:spacing w:after="40"/>
        <w:ind w:left="369" w:hanging="227"/>
      </w:pPr>
      <w:r>
        <w:rPr>
          <w:rFonts w:ascii="Arial" w:hAnsi="Arial" w:cs="Arial"/>
          <w:sz w:val="22"/>
        </w:rPr>
        <w:t xml:space="preserve">14. </w:t>
      </w:r>
      <w:r>
        <w:rPr>
          <w:rFonts w:ascii="Arial" w:hAnsi="Arial" w:cs="Arial"/>
          <w:b/>
          <w:sz w:val="22"/>
        </w:rPr>
        <w:t>Los servicios de dependencia tienen prioridad.</w:t>
      </w:r>
      <w:r>
        <w:rPr>
          <w:rFonts w:ascii="Arial" w:hAnsi="Arial" w:cs="Arial"/>
          <w:sz w:val="22"/>
        </w:rPr>
        <w:t xml:space="preserve"> La prestación familiar es excepcional.</w:t>
      </w:r>
    </w:p>
    <w:p>
      <w:pPr>
        <w:spacing w:after="40"/>
        <w:ind w:left="369" w:hanging="227"/>
      </w:pPr>
      <w:r>
        <w:rPr>
          <w:rFonts w:ascii="Arial" w:hAnsi="Arial" w:cs="Arial"/>
          <w:sz w:val="22"/>
        </w:rPr>
        <w:t xml:space="preserve">15. </w:t>
      </w:r>
      <w:r>
        <w:rPr>
          <w:rFonts w:ascii="Arial" w:hAnsi="Arial" w:cs="Arial"/>
          <w:b/>
          <w:sz w:val="22"/>
        </w:rPr>
        <w:t>Los grados de dependencia ya no tienen niveles.</w:t>
      </w:r>
      <w:r>
        <w:rPr>
          <w:rFonts w:ascii="Arial" w:hAnsi="Arial" w:cs="Arial"/>
          <w:sz w:val="22"/>
        </w:rPr>
        <w:t xml:space="preserve"> «Grado I, nivel 2» es terminología derogada.</w:t>
      </w:r>
    </w:p>
    <w:p>
      <w:pPr>
        <w:spacing w:after="40"/>
        <w:ind w:left="369" w:hanging="227"/>
      </w:pPr>
      <w:r>
        <w:rPr>
          <w:rFonts w:ascii="Arial" w:hAnsi="Arial" w:cs="Arial"/>
          <w:sz w:val="22"/>
        </w:rPr>
        <w:t xml:space="preserve">16. </w:t>
      </w:r>
      <w:r>
        <w:rPr>
          <w:rFonts w:ascii="Arial" w:hAnsi="Arial" w:cs="Arial"/>
          <w:b/>
          <w:sz w:val="22"/>
        </w:rPr>
        <w:t>III+ no es grado IV.</w:t>
      </w:r>
      <w:r>
        <w:rPr>
          <w:rFonts w:ascii="Arial" w:hAnsi="Arial" w:cs="Arial"/>
          <w:sz w:val="22"/>
        </w:rPr>
        <w:t xml:space="preserve"> Refuerza la protección de determinados supuestos dentro del grado III.</w:t>
      </w:r>
    </w:p>
    <w:p>
      <w:pPr>
        <w:spacing w:after="40"/>
        <w:ind w:left="369" w:hanging="227"/>
      </w:pPr>
      <w:r>
        <w:rPr>
          <w:rFonts w:ascii="Arial" w:hAnsi="Arial" w:cs="Arial"/>
          <w:sz w:val="22"/>
        </w:rPr>
        <w:t xml:space="preserve">17. </w:t>
      </w:r>
      <w:r>
        <w:rPr>
          <w:rFonts w:ascii="Arial" w:hAnsi="Arial" w:cs="Arial"/>
          <w:b/>
          <w:sz w:val="22"/>
        </w:rPr>
        <w:t>Valoración y PIA no son lo mismo.</w:t>
      </w:r>
      <w:r>
        <w:rPr>
          <w:rFonts w:ascii="Arial" w:hAnsi="Arial" w:cs="Arial"/>
          <w:sz w:val="22"/>
        </w:rPr>
        <w:t xml:space="preserve"> La primera reconoce grado; el segundo selecciona modalidad de atención.</w:t>
      </w:r>
    </w:p>
    <w:p>
      <w:pPr>
        <w:spacing w:after="40"/>
        <w:ind w:left="369" w:hanging="227"/>
      </w:pPr>
      <w:r>
        <w:rPr>
          <w:rFonts w:ascii="Arial" w:hAnsi="Arial" w:cs="Arial"/>
          <w:sz w:val="22"/>
        </w:rPr>
        <w:t xml:space="preserve">18. </w:t>
      </w:r>
      <w:r>
        <w:rPr>
          <w:rFonts w:ascii="Arial" w:hAnsi="Arial" w:cs="Arial"/>
          <w:b/>
          <w:sz w:val="22"/>
        </w:rPr>
        <w:t>Rectificación registral desde 16 años no exige informe médico.</w:t>
      </w:r>
    </w:p>
    <w:p>
      <w:pPr>
        <w:spacing w:after="40"/>
        <w:ind w:left="369" w:hanging="227"/>
      </w:pPr>
      <w:r>
        <w:rPr>
          <w:rFonts w:ascii="Arial" w:hAnsi="Arial" w:cs="Arial"/>
          <w:sz w:val="22"/>
        </w:rPr>
        <w:t xml:space="preserve">19. </w:t>
      </w:r>
      <w:r>
        <w:rPr>
          <w:rFonts w:ascii="Arial" w:hAnsi="Arial" w:cs="Arial"/>
          <w:b/>
          <w:sz w:val="22"/>
        </w:rPr>
        <w:t>Entre 12 y 14 años la vía es judicial.</w:t>
      </w:r>
      <w:r>
        <w:rPr>
          <w:rFonts w:ascii="Arial" w:hAnsi="Arial" w:cs="Arial"/>
          <w:sz w:val="22"/>
        </w:rPr>
        <w:t xml:space="preserve"> Entre más de 14 y menos de 16, la solicitud es personal con asistencia.</w:t>
      </w:r>
    </w:p>
    <w:p>
      <w:pPr>
        <w:spacing w:after="40"/>
        <w:ind w:left="369" w:hanging="227"/>
      </w:pPr>
      <w:r>
        <w:rPr>
          <w:rFonts w:ascii="Arial" w:hAnsi="Arial" w:cs="Arial"/>
          <w:sz w:val="22"/>
        </w:rPr>
        <w:t xml:space="preserve">20. </w:t>
      </w:r>
      <w:r>
        <w:rPr>
          <w:rFonts w:ascii="Arial" w:hAnsi="Arial" w:cs="Arial"/>
          <w:b/>
          <w:sz w:val="22"/>
        </w:rPr>
        <w:t>Segunda comparecencia no es inmediata:</w:t>
      </w:r>
      <w:r>
        <w:rPr>
          <w:rFonts w:ascii="Arial" w:hAnsi="Arial" w:cs="Arial"/>
          <w:sz w:val="22"/>
        </w:rPr>
        <w:t xml:space="preserve"> debe realizarse dentro del máximo de tres meses; la resolución, en un mes desde ella.</w:t>
      </w:r>
    </w:p>
    <w:p>
      <w:pPr>
        <w:spacing w:after="40"/>
        <w:ind w:left="369" w:hanging="227"/>
      </w:pPr>
      <w:r>
        <w:rPr>
          <w:rFonts w:ascii="Arial" w:hAnsi="Arial" w:cs="Arial"/>
          <w:sz w:val="22"/>
        </w:rPr>
        <w:t xml:space="preserve">21. </w:t>
      </w:r>
      <w:r>
        <w:rPr>
          <w:rFonts w:ascii="Arial" w:hAnsi="Arial" w:cs="Arial"/>
          <w:b/>
          <w:sz w:val="22"/>
        </w:rPr>
        <w:t>Los umbrales empresariales no coinciden literalmente.</w:t>
      </w:r>
      <w:r>
        <w:rPr>
          <w:rFonts w:ascii="Arial" w:hAnsi="Arial" w:cs="Arial"/>
          <w:sz w:val="22"/>
        </w:rPr>
        <w:t xml:space="preserve"> Igualdad: 50 o más; LGTBI: más de 50.</w:t>
      </w:r>
    </w:p>
    <w:p>
      <w:pPr>
        <w:spacing w:after="40"/>
        <w:ind w:left="369" w:hanging="227"/>
      </w:pPr>
      <w:r>
        <w:rPr>
          <w:rFonts w:ascii="Arial" w:hAnsi="Arial" w:cs="Arial"/>
          <w:sz w:val="22"/>
        </w:rPr>
        <w:t xml:space="preserve">22. </w:t>
      </w:r>
      <w:r>
        <w:rPr>
          <w:rFonts w:ascii="Arial" w:hAnsi="Arial" w:cs="Arial"/>
          <w:b/>
          <w:sz w:val="22"/>
        </w:rPr>
        <w:t>La inversión de carga no rige en el proceso penal.</w:t>
      </w:r>
    </w:p>
    <w:p>
      <w:pPr>
        <w:pStyle w:val="Heading1"/>
        <w:keepNext/>
      </w:pPr>
      <w:r>
        <w:rPr>
          <w:rFonts w:ascii="Arial" w:hAnsi="Arial" w:cs="Arial"/>
          <w:sz w:val="30"/>
        </w:rPr>
        <w:t>9. Resumen final de memoria</w:t>
      </w:r>
    </w:p>
    <w:p>
      <w:pPr>
        <w:pStyle w:val="ListBullet"/>
      </w:pPr>
      <w:r>
        <w:rPr>
          <w:rFonts w:ascii="Arial" w:hAnsi="Arial" w:cs="Arial"/>
          <w:sz w:val="22"/>
        </w:rPr>
        <w:t>Los artículos 14 y 9.2 CE fundamentan igualdad formal y material.</w:t>
      </w:r>
    </w:p>
    <w:p>
      <w:pPr>
        <w:pStyle w:val="ListBullet"/>
      </w:pPr>
      <w:r>
        <w:rPr>
          <w:rFonts w:ascii="Arial" w:hAnsi="Arial" w:cs="Arial"/>
          <w:sz w:val="22"/>
        </w:rPr>
        <w:t>La LO 3/2007 distingue discriminación directa, indirecta, acoso sexual y acoso por razón de sexo.</w:t>
      </w:r>
    </w:p>
    <w:p>
      <w:pPr>
        <w:pStyle w:val="ListBullet"/>
      </w:pPr>
      <w:r>
        <w:rPr>
          <w:rFonts w:ascii="Arial" w:hAnsi="Arial" w:cs="Arial"/>
          <w:sz w:val="22"/>
        </w:rPr>
        <w:t>Embarazo y maternidad generan, cuando existe trato desfavorable, discriminación directa por razón de sexo.</w:t>
      </w:r>
    </w:p>
    <w:p>
      <w:pPr>
        <w:pStyle w:val="ListBullet"/>
      </w:pPr>
      <w:r>
        <w:rPr>
          <w:rFonts w:ascii="Arial" w:hAnsi="Arial" w:cs="Arial"/>
          <w:sz w:val="22"/>
        </w:rPr>
        <w:t>La transversalidad integra igualdad en todas las políticas; la acción positiva corrige una desigualdad concreta.</w:t>
      </w:r>
    </w:p>
    <w:p>
      <w:pPr>
        <w:pStyle w:val="ListBullet"/>
      </w:pPr>
      <w:r>
        <w:rPr>
          <w:rFonts w:ascii="Arial" w:hAnsi="Arial" w:cs="Arial"/>
          <w:sz w:val="22"/>
        </w:rPr>
        <w:t>Composición equilibrada significa que cada sexo representa entre 40 % y 60 %.</w:t>
      </w:r>
    </w:p>
    <w:p>
      <w:pPr>
        <w:pStyle w:val="ListBullet"/>
      </w:pPr>
      <w:r>
        <w:rPr>
          <w:rFonts w:ascii="Arial" w:hAnsi="Arial" w:cs="Arial"/>
          <w:sz w:val="22"/>
        </w:rPr>
        <w:t>El plan de igualdad empresarial se exige desde cincuenta personas trabajadoras.</w:t>
      </w:r>
    </w:p>
    <w:p>
      <w:pPr>
        <w:pStyle w:val="ListBullet"/>
      </w:pPr>
      <w:r>
        <w:rPr>
          <w:rFonts w:ascii="Arial" w:hAnsi="Arial" w:cs="Arial"/>
          <w:sz w:val="22"/>
        </w:rPr>
        <w:t>La LO 1/2004 delimita violencia ejercida por hombre sobre mujer dentro de relación matrimonial o análoga, presente o pasada, aun sin convivencia.</w:t>
      </w:r>
    </w:p>
    <w:p>
      <w:pPr>
        <w:pStyle w:val="ListBullet"/>
      </w:pPr>
      <w:r>
        <w:rPr>
          <w:rFonts w:ascii="Arial" w:hAnsi="Arial" w:cs="Arial"/>
          <w:sz w:val="22"/>
        </w:rPr>
        <w:t>Las víctimas tienen derechos de información, asistencia integral, asistencia jurídica, trabajo, empleo público, Seguridad Social y ayudas.</w:t>
      </w:r>
    </w:p>
    <w:p>
      <w:pPr>
        <w:pStyle w:val="ListBullet"/>
      </w:pPr>
      <w:r>
        <w:rPr>
          <w:rFonts w:ascii="Arial" w:hAnsi="Arial" w:cs="Arial"/>
          <w:sz w:val="22"/>
        </w:rPr>
        <w:t>La violencia puede acreditarse sin sentencia firme mediante otros títulos legales.</w:t>
      </w:r>
    </w:p>
    <w:p>
      <w:pPr>
        <w:pStyle w:val="ListBullet"/>
      </w:pPr>
      <w:r>
        <w:rPr>
          <w:rFonts w:ascii="Arial" w:hAnsi="Arial" w:cs="Arial"/>
          <w:sz w:val="22"/>
        </w:rPr>
        <w:t>El artículo 49 CE vigente garantiza derechos, autonomía, inclusión, accesibilidad y participación de las personas con discapacidad.</w:t>
      </w:r>
    </w:p>
    <w:p>
      <w:pPr>
        <w:pStyle w:val="ListBullet"/>
      </w:pPr>
      <w:r>
        <w:rPr>
          <w:rFonts w:ascii="Arial" w:hAnsi="Arial" w:cs="Arial"/>
          <w:sz w:val="22"/>
        </w:rPr>
        <w:t>El RDL 1/2013 adopta el modelo social: discapacidad es interacción entre deficiencias y barreras.</w:t>
      </w:r>
    </w:p>
    <w:p>
      <w:pPr>
        <w:pStyle w:val="ListBullet"/>
      </w:pPr>
      <w:r>
        <w:rPr>
          <w:rFonts w:ascii="Arial" w:hAnsi="Arial" w:cs="Arial"/>
          <w:sz w:val="22"/>
        </w:rPr>
        <w:t>Accesibilidad, diseño universal y ajuste razonable son conceptos relacionados, pero distintos.</w:t>
      </w:r>
    </w:p>
    <w:p>
      <w:pPr>
        <w:pStyle w:val="ListBullet"/>
      </w:pPr>
      <w:r>
        <w:rPr>
          <w:rFonts w:ascii="Arial" w:hAnsi="Arial" w:cs="Arial"/>
          <w:sz w:val="22"/>
        </w:rPr>
        <w:t>El 33 % es el umbral administrativo general para tener consideración legal a determinados efectos.</w:t>
      </w:r>
    </w:p>
    <w:p>
      <w:pPr>
        <w:pStyle w:val="ListBullet"/>
      </w:pPr>
      <w:r>
        <w:rPr>
          <w:rFonts w:ascii="Arial" w:hAnsi="Arial" w:cs="Arial"/>
          <w:sz w:val="22"/>
        </w:rPr>
        <w:t>Dependencia es una situación permanente de necesidad de ayuda o apoyos; no equivale a discapacidad.</w:t>
      </w:r>
    </w:p>
    <w:p>
      <w:pPr>
        <w:pStyle w:val="ListBullet"/>
      </w:pPr>
      <w:r>
        <w:rPr>
          <w:rFonts w:ascii="Arial" w:hAnsi="Arial" w:cs="Arial"/>
          <w:sz w:val="22"/>
        </w:rPr>
        <w:t>El SAAD ofrece prevención, teleasistencia, ayuda a domicilio, centros y residencia; los servicios tienen prioridad.</w:t>
      </w:r>
    </w:p>
    <w:p>
      <w:pPr>
        <w:pStyle w:val="ListBullet"/>
      </w:pPr>
      <w:r>
        <w:rPr>
          <w:rFonts w:ascii="Arial" w:hAnsi="Arial" w:cs="Arial"/>
          <w:sz w:val="22"/>
        </w:rPr>
        <w:t>Hay prestaciones vinculada al servicio, de cuidados familiares y de asistencia personal.</w:t>
      </w:r>
    </w:p>
    <w:p>
      <w:pPr>
        <w:pStyle w:val="ListBullet"/>
      </w:pPr>
      <w:r>
        <w:rPr>
          <w:rFonts w:ascii="Arial" w:hAnsi="Arial" w:cs="Arial"/>
          <w:sz w:val="22"/>
        </w:rPr>
        <w:t>Los grados son I, II y III; desde octubre de 2025 existe la cualificación reforzada III+.</w:t>
      </w:r>
    </w:p>
    <w:p>
      <w:pPr>
        <w:pStyle w:val="ListBullet"/>
      </w:pPr>
      <w:r>
        <w:rPr>
          <w:rFonts w:ascii="Arial" w:hAnsi="Arial" w:cs="Arial"/>
          <w:sz w:val="22"/>
        </w:rPr>
        <w:t>Valoración, reconocimiento de grado y PIA son fases diferentes; el plazo general máximo es seis meses.</w:t>
      </w:r>
    </w:p>
    <w:p>
      <w:pPr>
        <w:pStyle w:val="ListBullet"/>
      </w:pPr>
      <w:r>
        <w:rPr>
          <w:rFonts w:ascii="Arial" w:hAnsi="Arial" w:cs="Arial"/>
          <w:sz w:val="22"/>
        </w:rPr>
        <w:t>La Ley 4/2023 protege igualdad LGTBI y derechos trans en ámbitos públicos y privados.</w:t>
      </w:r>
    </w:p>
    <w:p>
      <w:pPr>
        <w:pStyle w:val="ListBullet"/>
      </w:pPr>
      <w:r>
        <w:rPr>
          <w:rFonts w:ascii="Arial" w:hAnsi="Arial" w:cs="Arial"/>
          <w:sz w:val="22"/>
        </w:rPr>
        <w:t>Las empresas de más de cincuenta personas deben disponer de medidas LGTBI y protocolo.</w:t>
      </w:r>
    </w:p>
    <w:p>
      <w:pPr>
        <w:pStyle w:val="ListBullet"/>
      </w:pPr>
      <w:r>
        <w:rPr>
          <w:rFonts w:ascii="Arial" w:hAnsi="Arial" w:cs="Arial"/>
          <w:sz w:val="22"/>
        </w:rPr>
        <w:t>La rectificación registral es personal desde los dieciséis años, asistida entre más de catorce y menos de dieciséis y judicial entre más de doce y menos de catorce.</w:t>
      </w:r>
    </w:p>
    <w:p>
      <w:pPr>
        <w:pStyle w:val="ListBullet"/>
      </w:pPr>
      <w:r>
        <w:rPr>
          <w:rFonts w:ascii="Arial" w:hAnsi="Arial" w:cs="Arial"/>
          <w:sz w:val="22"/>
        </w:rPr>
        <w:t>No se exige diagnóstico ni tratamiento; hay ratificación dentro de tres meses y resolución dentro del mes siguiente.</w:t>
      </w:r>
    </w:p>
    <w:p>
      <w:pPr>
        <w:pStyle w:val="Heading1"/>
        <w:keepNext/>
      </w:pPr>
      <w:r>
        <w:rPr>
          <w:rFonts w:ascii="Arial" w:hAnsi="Arial" w:cs="Arial"/>
          <w:sz w:val="30"/>
        </w:rPr>
        <w:t>10. Datos preguntables</w:t>
      </w:r>
    </w:p>
    <w:tbl>
      <w:tblPr>
        <w:tblStyle w:val="TableGrid"/>
        <w:tblW w:type="dxa" w:w="9026"/>
        <w:jc w:val="left"/>
        <w:tblLayout w:type="fixed"/>
        <w:tblLook w:firstColumn="1" w:firstRow="1" w:lastColumn="0" w:lastRow="0" w:noHBand="0" w:noVBand="1" w:val="04A0"/>
        <w:tblInd w:w="120" w:type="dxa"/>
      </w:tblPr>
      <w:tblGrid>
        <w:gridCol w:w="4988"/>
        <w:gridCol w:w="4038"/>
      </w:tblGrid>
      <w:tr>
        <w:trPr>
          <w:tblHeader w:val="true"/>
        </w:trPr>
        <w:tc>
          <w:tcPr>
            <w:tcW w:type="dxa" w:w="49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403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Respuesta</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Igualdad ante la ley</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14 CE</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Igualdad real y efectiva</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9.2 CE</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Personas con discapacidad</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Artículo 49 CE, reformado en 2024</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Igualdad efectiva de mujeres y hombres</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LO 3/2007</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Composición equilibrada</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Cada sexo entre 40 % y 60 %</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Plan de igualdad empresarial</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50 o más personas trabajadoras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integral frente a violencia de género</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LO 1/2004</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Umbral de renta de ayuda de la LO 1/2004</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75 % del SMI mensual, sin prorrata de extras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Periodicidad mínima de la Macroencuesta</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3 años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Régimen general de discapacidad</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RDL 1/2013</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Grado administrativo de referencia</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Igual o superior al 33 %</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Dependencia y SAAD</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Ley 39/2006</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Residencia general para dependencia</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5 años; 2 inmediatamente anteriores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Grados ordinarios</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I, II y III</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III+ vigente</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Desde 23 de octubre de 2025</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Plazo máximo general dependencia-prestación</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Igualdad LGTBI y trans</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Ley 4/2023</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Medidas empresariales LGTBI</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Más de 50 personas trabajadoras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Rectificación registral autónoma</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Desde 16 años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Solicitud asistida</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Más de 14 y menos de 16</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Autorización judicial</w:t>
            </w:r>
          </w:p>
        </w:tc>
        <w:tc>
          <w:tcPr>
            <w:tcW w:type="dxa" w:w="4038"/>
            <w:tcMar>
              <w:top w:w="80" w:type="dxa"/>
              <w:start w:w="120" w:type="dxa"/>
              <w:bottom w:w="80" w:type="dxa"/>
              <w:end w:w="120" w:type="dxa"/>
            </w:tcMar>
            <w:vAlign w:val="center"/>
          </w:tcPr>
          <w:p>
            <w:pPr>
              <w:spacing w:before="0" w:after="0" w:line="240" w:lineRule="auto"/>
              <w:jc w:val="left"/>
            </w:pPr>
            <w:r/>
            <w:r>
              <w:rPr>
                <w:rFonts w:ascii="Arial" w:hAnsi="Arial" w:cs="Arial"/>
                <w:sz w:val="18"/>
              </w:rPr>
              <w:t>Más de 12 y menos de 14</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Segunda comparecencia registral</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Máximo 3 meses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tras segunda comparecencia</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Máximo 1 mes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Reversión registral ordinaria</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Tras 6 meses</w:t>
            </w:r>
          </w:p>
        </w:tc>
      </w:tr>
      <w:tr>
        <w:tc>
          <w:tcPr>
            <w:tcW w:type="dxa" w:w="4988"/>
            <w:tcMar>
              <w:top w:w="80" w:type="dxa"/>
              <w:start w:w="120" w:type="dxa"/>
              <w:bottom w:w="80" w:type="dxa"/>
              <w:end w:w="120" w:type="dxa"/>
            </w:tcMar>
            <w:vAlign w:val="center"/>
          </w:tcPr>
          <w:p>
            <w:pPr>
              <w:spacing w:before="0" w:after="0" w:line="240" w:lineRule="auto"/>
              <w:jc w:val="left"/>
            </w:pPr>
            <w:r/>
            <w:r>
              <w:rPr>
                <w:rFonts w:ascii="Arial" w:hAnsi="Arial" w:cs="Arial"/>
                <w:sz w:val="18"/>
              </w:rPr>
              <w:t>Multa máxima de la Ley 4/2023</w:t>
            </w:r>
          </w:p>
        </w:tc>
        <w:tc>
          <w:tcPr>
            <w:tcW w:type="dxa" w:w="4038"/>
            <w:tcMar>
              <w:top w:w="80" w:type="dxa"/>
              <w:start w:w="120" w:type="dxa"/>
              <w:bottom w:w="80" w:type="dxa"/>
              <w:end w:w="120" w:type="dxa"/>
            </w:tcMar>
            <w:vAlign w:val="center"/>
          </w:tcPr>
          <w:p>
            <w:pPr>
              <w:spacing w:before="0" w:after="0" w:line="240" w:lineRule="auto"/>
              <w:jc w:val="center"/>
            </w:pPr>
            <w:r/>
            <w:r>
              <w:rPr>
                <w:rFonts w:ascii="Arial" w:hAnsi="Arial" w:cs="Arial"/>
                <w:sz w:val="18"/>
              </w:rPr>
              <w:t>150.000 euros</w:t>
            </w:r>
          </w:p>
        </w:tc>
      </w:tr>
    </w:tbl>
    <w:p>
      <w:pPr>
        <w:spacing w:after="40"/>
      </w:pP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G21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Legislativo 1/2013 (2); Ley 4/2023 (1); ley 4/2023 (1); Ley Orgánica 3/2007 (1).</w:t>
      </w:r>
    </w:p>
    <w:p>
      <w:pPr>
        <w:jc w:val="both"/>
      </w:pPr>
      <w:r>
        <w:rPr>
          <w:rFonts w:ascii="Arial" w:hAnsi="Arial" w:cs="Arial"/>
          <w:b/>
          <w:sz w:val="22"/>
        </w:rPr>
        <w:t>Artículos o preceptos más repetidos:</w:t>
      </w:r>
      <w:r>
        <w:rPr>
          <w:rFonts w:ascii="Arial" w:hAnsi="Arial" w:cs="Arial"/>
          <w:sz w:val="22"/>
        </w:rPr>
        <w:t xml:space="preserve"> 10 (2); 87 (1); 60 (1); 56 (1); 27 (1); 37 (1).</w:t>
      </w:r>
    </w:p>
    <w:p>
      <w:pPr>
        <w:jc w:val="both"/>
      </w:pPr>
      <w:r>
        <w:rPr>
          <w:rFonts w:ascii="Arial" w:hAnsi="Arial" w:cs="Arial"/>
          <w:b/>
          <w:sz w:val="22"/>
        </w:rPr>
        <w:t>Formas de pregunta predominantes:</w:t>
      </w:r>
      <w:r>
        <w:rPr>
          <w:rFonts w:ascii="Arial" w:hAnsi="Arial" w:cs="Arial"/>
          <w:sz w:val="22"/>
        </w:rPr>
        <w:t xml:space="preserve"> Artículos literales (6); Órganos (1).</w:t>
      </w:r>
    </w:p>
    <w:p>
      <w:pPr>
        <w:pStyle w:val="Heading2"/>
        <w:keepNext/>
      </w:pPr>
      <w:r>
        <w:rPr>
          <w:rFonts w:ascii="Arial" w:hAnsi="Arial" w:cs="Arial"/>
          <w:sz w:val="25"/>
        </w:rPr>
        <w:t>Patrones observados</w:t>
      </w:r>
    </w:p>
    <w:p>
      <w:pPr>
        <w:pStyle w:val="ListBullet"/>
      </w:pPr>
      <w:r>
        <w:rPr>
          <w:rFonts w:ascii="Arial" w:hAnsi="Arial" w:cs="Arial"/>
          <w:b/>
          <w:sz w:val="22"/>
        </w:rPr>
        <w:t>2024, teoría 21:</w:t>
      </w:r>
      <w:r>
        <w:rPr>
          <w:rFonts w:ascii="Arial" w:hAnsi="Arial" w:cs="Arial"/>
          <w:sz w:val="22"/>
        </w:rPr>
        <w:t xml:space="preserve"> Según eI artículo 10 de la Ley 4/2023, de 28 de febrero, para la igualdad real y efectiva de las personas trans y para la garantía de los derechos de las personas LGTBI, la Estrategia estatal para la igualdad…</w:t>
      </w:r>
    </w:p>
    <w:p>
      <w:pPr>
        <w:pStyle w:val="ListBullet"/>
      </w:pPr>
      <w:r>
        <w:rPr>
          <w:rFonts w:ascii="Arial" w:hAnsi="Arial" w:cs="Arial"/>
          <w:b/>
          <w:sz w:val="22"/>
        </w:rPr>
        <w:t>2025, teoría 21:</w:t>
      </w:r>
      <w:r>
        <w:rPr>
          <w:rFonts w:ascii="Arial" w:hAnsi="Arial" w:cs="Arial"/>
          <w:sz w:val="22"/>
        </w:rPr>
        <w:t xml:space="preserve"> Según el artículo 87 del Real Decreto Legislativo 1/2013, de 29 de noviembre, por el que se aprueba el Texto Refundido de la Ley General de derechos de las personas con discapacidad y de su inclusión social,…</w:t>
      </w:r>
    </w:p>
    <w:p>
      <w:pPr>
        <w:pStyle w:val="ListBullet"/>
      </w:pPr>
      <w:r>
        <w:rPr>
          <w:rFonts w:ascii="Arial" w:hAnsi="Arial" w:cs="Arial"/>
          <w:b/>
          <w:sz w:val="22"/>
        </w:rPr>
        <w:t>2025, teoría 21:</w:t>
      </w:r>
      <w:r>
        <w:rPr>
          <w:rFonts w:ascii="Arial" w:hAnsi="Arial" w:cs="Arial"/>
          <w:sz w:val="22"/>
        </w:rPr>
        <w:t xml:space="preserve"> Según el artículo 60 de la Ley Orgánica 312007, de 22 de marzo, para la igualdad efectiva de mujeres y hombres:</w:t>
      </w:r>
    </w:p>
    <w:p>
      <w:pPr>
        <w:pStyle w:val="ListBullet"/>
      </w:pPr>
      <w:r>
        <w:rPr>
          <w:rFonts w:ascii="Arial" w:hAnsi="Arial" w:cs="Arial"/>
          <w:b/>
          <w:sz w:val="22"/>
        </w:rPr>
        <w:t>2025, teoría 21:</w:t>
      </w:r>
      <w:r>
        <w:rPr>
          <w:rFonts w:ascii="Arial" w:hAnsi="Arial" w:cs="Arial"/>
          <w:sz w:val="22"/>
        </w:rPr>
        <w:t xml:space="preserve"> Según lo establecido en el artículo 10 de la ley 4/2023, de 28 de febrero, para la igualdad real y efectiva de las personas trans y para la garantía de los derechos de las personas LGTBI, la estrategia…</w:t>
      </w:r>
    </w:p>
    <w:p>
      <w:pPr>
        <w:pStyle w:val="ListBullet"/>
      </w:pPr>
      <w:r>
        <w:rPr>
          <w:rFonts w:ascii="Arial" w:hAnsi="Arial" w:cs="Arial"/>
          <w:b/>
          <w:sz w:val="22"/>
        </w:rPr>
        <w:t>2026, teoría 25:</w:t>
      </w:r>
      <w:r>
        <w:rPr>
          <w:rFonts w:ascii="Arial" w:hAnsi="Arial" w:cs="Arial"/>
          <w:sz w:val="22"/>
        </w:rPr>
        <w:t xml:space="preserve"> De acuerdo con 10 dispuesto en el artículo 56 del Real Decreto Legislativo 1/2013, de 29 de noviembre, por eI que se aprueba eI Texto Refundido de la Ley General de los Derechos de las Personas con…</w:t>
      </w:r>
    </w:p>
    <w:p>
      <w:pPr>
        <w:pStyle w:val="ListBullet"/>
      </w:pPr>
      <w:r>
        <w:rPr>
          <w:rFonts w:ascii="Arial" w:hAnsi="Arial" w:cs="Arial"/>
          <w:b/>
          <w:sz w:val="22"/>
        </w:rPr>
        <w:t>2026, teoría 26:</w:t>
      </w:r>
      <w:r>
        <w:rPr>
          <w:rFonts w:ascii="Arial" w:hAnsi="Arial" w:cs="Arial"/>
          <w:sz w:val="22"/>
        </w:rPr>
        <w:t xml:space="preserve"> De conformidad con eI artículo 27 de la Ley Orgánica 3/2007, de 22 de marzo, para la igualdad efectiva de mujeres y hombres, las políticas, estrategias y programas de salud integrarán las distintas…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(https://www.boe.es/buscar/act.php?id=BOE-A-1978-31229).</w:t>
      </w:r>
    </w:p>
    <w:p>
      <w:pPr>
        <w:pStyle w:val="ListBullet"/>
        <w:ind w:left="397" w:hanging="198"/>
      </w:pPr>
      <w:r>
        <w:rPr>
          <w:rFonts w:ascii="Arial" w:hAnsi="Arial" w:cs="Arial"/>
          <w:sz w:val="18"/>
        </w:rPr>
        <w:t>Reforma del artículo 49 de la Constitución, de 15 de febrero de 2024 (https://www.boe.es/buscar/doc.php?id=BOE-A-2024-3099).</w:t>
      </w:r>
    </w:p>
    <w:p>
      <w:pPr>
        <w:pStyle w:val="ListBullet"/>
        <w:ind w:left="397" w:hanging="198"/>
      </w:pPr>
      <w:r>
        <w:rPr>
          <w:rFonts w:ascii="Arial" w:hAnsi="Arial" w:cs="Arial"/>
          <w:sz w:val="18"/>
        </w:rPr>
        <w:t>Ley Orgánica 3/2007, de 22 de marzo, para la igualdad efectiva de mujeres y hombres, texto consolidado (https://www.boe.es/buscar/act.php?id=BOE-A-2007-6115).</w:t>
      </w:r>
    </w:p>
    <w:p>
      <w:pPr>
        <w:pStyle w:val="ListBullet"/>
        <w:ind w:left="397" w:hanging="198"/>
      </w:pPr>
      <w:r>
        <w:rPr>
          <w:rFonts w:ascii="Arial" w:hAnsi="Arial" w:cs="Arial"/>
          <w:sz w:val="18"/>
        </w:rPr>
        <w:t>Ley Orgánica 1/2004, de 28 de diciembre, de Medidas de Protección Integral contra la Violencia de Género, texto consolidado (https://www.boe.es/buscar/act.php?id=BOE-A-2004-21760).</w:t>
      </w:r>
    </w:p>
    <w:p>
      <w:pPr>
        <w:pStyle w:val="ListBullet"/>
        <w:ind w:left="397" w:hanging="198"/>
      </w:pPr>
      <w:r>
        <w:rPr>
          <w:rFonts w:ascii="Arial" w:hAnsi="Arial" w:cs="Arial"/>
          <w:sz w:val="18"/>
        </w:rPr>
        <w:t>Real Decreto Legislativo 1/2013, de 29 de noviembre, texto refundido de la Ley General de derechos de las personas con discapacidad y de su inclusión social (https://www.boe.es/buscar/act.php?id=BOE-A-2013-12632).</w:t>
      </w:r>
    </w:p>
    <w:p>
      <w:pPr>
        <w:pStyle w:val="ListBullet"/>
        <w:ind w:left="397" w:hanging="198"/>
      </w:pPr>
      <w:r>
        <w:rPr>
          <w:rFonts w:ascii="Arial" w:hAnsi="Arial" w:cs="Arial"/>
          <w:sz w:val="18"/>
        </w:rPr>
        <w:t>Ley 39/2006, de 14 de diciembre, de Promoción de la Autonomía Personal y Atención a las personas en situación de dependencia, texto consolidado (https://www.boe.es/buscar/act.php?id=BOE-A-2006-21990).</w:t>
      </w:r>
    </w:p>
    <w:p>
      <w:pPr>
        <w:pStyle w:val="ListBullet"/>
        <w:ind w:left="397" w:hanging="198"/>
      </w:pPr>
      <w:r>
        <w:rPr>
          <w:rFonts w:ascii="Arial" w:hAnsi="Arial" w:cs="Arial"/>
          <w:sz w:val="18"/>
        </w:rPr>
        <w:t>Real Decreto-ley 11/2025, de 21 de octubre, que incorpora el grado III+ (https://www.boe.es/eli/es/rdl/2025/10/21/11).</w:t>
      </w:r>
    </w:p>
    <w:p>
      <w:pPr>
        <w:pStyle w:val="ListBullet"/>
        <w:ind w:left="397" w:hanging="198"/>
      </w:pPr>
      <w:r>
        <w:rPr>
          <w:rFonts w:ascii="Arial" w:hAnsi="Arial" w:cs="Arial"/>
          <w:sz w:val="18"/>
        </w:rPr>
        <w:t>Real Decreto 969/2025, de 28 de octubre, sobre procesos irreversibles y de alta complejidad (https://www.boe.es/eli/es/rd/2025/10/28/969/con).</w:t>
      </w:r>
    </w:p>
    <w:p>
      <w:pPr>
        <w:pStyle w:val="ListBullet"/>
        <w:ind w:left="397" w:hanging="198"/>
      </w:pPr>
      <w:r>
        <w:rPr>
          <w:rFonts w:ascii="Arial" w:hAnsi="Arial" w:cs="Arial"/>
          <w:sz w:val="18"/>
        </w:rPr>
        <w:t>Acuerdo del Consejo Territorial de 9 de diciembre de 2025 sobre el grado III+ (https://www.boe.es/eli/es/res/2025/12/18/%285%29).</w:t>
      </w:r>
    </w:p>
    <w:p>
      <w:pPr>
        <w:pStyle w:val="ListBullet"/>
        <w:ind w:left="397" w:hanging="198"/>
      </w:pPr>
      <w:r>
        <w:rPr>
          <w:rFonts w:ascii="Arial" w:hAnsi="Arial" w:cs="Arial"/>
          <w:sz w:val="18"/>
        </w:rPr>
        <w:t>Ley 4/2023, de 28 de febrero, para la igualdad real y efectiva de las personas trans y para la garantía de los derechos de las personas LGTBI (https://www.boe.es/buscar/act.php?id=BOE-A-2023-5366).</w:t>
      </w:r>
    </w:p>
    <w:p>
      <w:pPr>
        <w:pStyle w:val="ListBullet"/>
        <w:ind w:left="397" w:hanging="198"/>
      </w:pPr>
      <w:r>
        <w:rPr>
          <w:rFonts w:ascii="Arial" w:hAnsi="Arial" w:cs="Arial"/>
          <w:sz w:val="18"/>
        </w:rPr>
        <w:t>Real Decreto 1026/2024, de 8 de octubre, sobre medidas para la igualdad y no discriminación de las personas LGTBI en las empresas (https://www.boe.es/buscar/act.php?id=BOE-A-2024-20402).</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G21 · Tema 21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21. Políticas de igualdad y contra la violencia de género. Discapacidad y dependencia - régimen jurídico. La Ley 4 -2023, de 28 de febrero, para…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