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GENERAL</w:t>
      </w:r>
    </w:p>
    <w:p>
      <w:pPr>
        <w:spacing w:before="0" w:after="160"/>
      </w:pPr>
      <w:r>
        <w:rPr>
          <w:rFonts w:ascii="Arial" w:hAnsi="Arial" w:cs="Arial"/>
          <w:b/>
          <w:color w:val="1F4E79"/>
          <w:sz w:val="26"/>
        </w:rPr>
        <w:t>TEMA 23</w:t>
      </w:r>
    </w:p>
    <w:p>
      <w:pPr>
        <w:keepNext/>
        <w:spacing w:before="0" w:after="280"/>
        <w:pBdr>
          <w:bottom w:val="single" w:sz="12" w:space="1" w:color="2F75B5"/>
        </w:pBdr>
      </w:pPr>
      <w:r>
        <w:rPr>
          <w:rFonts w:ascii="Arial" w:hAnsi="Arial" w:cs="Arial"/>
          <w:b/>
          <w:color w:val="17365D"/>
          <w:sz w:val="40"/>
        </w:rPr>
        <w:t>El funcionamiento electrónico del sector público. Derecho y obligación de relacionarse electrónicamente con las Administraciones Públicas, registros y archivo electrónico.</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 xml:space="preserve">El funcionamiento electrónico no constituye una Administración distinta ni un procedimiento paralelo: es la forma ordinaria en la que el sector público organiza su actividad, se identifica, firma, intercambia datos, registra documentos, forma expedientes y practica comunicaciones y notificaciones. Su finalidad es hacer efectivos los principios de legalidad, eficacia, seguridad, accesibilidad e igualdad sin reducir las garantías del procedimiento administrativo. La exposición se ajusta al ordenamiento vigente a </w:t>
      </w:r>
      <w:r>
        <w:rPr>
          <w:rFonts w:ascii="Arial" w:hAnsi="Arial" w:cs="Arial"/>
          <w:b/>
          <w:sz w:val="22"/>
        </w:rPr>
        <w:t>30 de julio de 2026</w:t>
      </w:r>
      <w:r>
        <w:rPr>
          <w:rFonts w:ascii="Arial" w:hAnsi="Arial" w:cs="Arial"/>
          <w:sz w:val="22"/>
        </w:rPr>
        <w:t>.</w:t>
      </w:r>
    </w:p>
    <w:p>
      <w:pPr>
        <w:pStyle w:val="Heading1"/>
        <w:keepNext/>
      </w:pPr>
      <w:r>
        <w:rPr>
          <w:rFonts w:ascii="Arial" w:hAnsi="Arial" w:cs="Arial"/>
          <w:sz w:val="30"/>
        </w:rPr>
        <w:t>1. Marco normativo y conceptos iniciales</w:t>
      </w:r>
    </w:p>
    <w:p>
      <w:pPr>
        <w:jc w:val="both"/>
      </w:pPr>
      <w:r>
        <w:rPr>
          <w:rFonts w:ascii="Arial" w:hAnsi="Arial" w:cs="Arial"/>
          <w:sz w:val="22"/>
        </w:rPr>
        <w:t>Las normas centrales son:</w:t>
      </w:r>
    </w:p>
    <w:p>
      <w:pPr>
        <w:pStyle w:val="ListBullet"/>
      </w:pPr>
      <w:r>
        <w:rPr>
          <w:rFonts w:ascii="Arial" w:hAnsi="Arial" w:cs="Arial"/>
          <w:sz w:val="22"/>
        </w:rPr>
        <w:t xml:space="preserve">la </w:t>
      </w:r>
      <w:r>
        <w:rPr>
          <w:rFonts w:ascii="Arial" w:hAnsi="Arial" w:cs="Arial"/>
          <w:b/>
          <w:sz w:val="22"/>
        </w:rPr>
        <w:t>Ley 39/2015, de 1 de octubre, del Procedimiento Administrativo Común de las Administraciones Públicas</w:t>
      </w:r>
      <w:r>
        <w:rPr>
          <w:rFonts w:ascii="Arial" w:hAnsi="Arial" w:cs="Arial"/>
          <w:sz w:val="22"/>
        </w:rPr>
        <w:t xml:space="preserve"> —LPAC—, que regula las relaciones externas con las personas interesadas, la identificación y firma, los registros, los documentos, el expediente, las notificaciones y el procedimiento;</w:t>
      </w:r>
    </w:p>
    <w:p>
      <w:pPr>
        <w:pStyle w:val="ListBullet"/>
      </w:pPr>
      <w:r>
        <w:rPr>
          <w:rFonts w:ascii="Arial" w:hAnsi="Arial" w:cs="Arial"/>
          <w:sz w:val="22"/>
        </w:rPr>
        <w:t xml:space="preserve">la </w:t>
      </w:r>
      <w:r>
        <w:rPr>
          <w:rFonts w:ascii="Arial" w:hAnsi="Arial" w:cs="Arial"/>
          <w:b/>
          <w:sz w:val="22"/>
        </w:rPr>
        <w:t>Ley 40/2015, de 1 de octubre, de Régimen Jurídico del Sector Público</w:t>
      </w:r>
      <w:r>
        <w:rPr>
          <w:rFonts w:ascii="Arial" w:hAnsi="Arial" w:cs="Arial"/>
          <w:sz w:val="22"/>
        </w:rPr>
        <w:t xml:space="preserve"> —LRJSP—, que disciplina el funcionamiento interno e interadministrativo, las sedes, portales, sistemas de identificación administrativa, actuación automatizada e intercambio de datos;</w:t>
      </w:r>
    </w:p>
    <w:p>
      <w:pPr>
        <w:pStyle w:val="ListBullet"/>
      </w:pPr>
      <w:r>
        <w:rPr>
          <w:rFonts w:ascii="Arial" w:hAnsi="Arial" w:cs="Arial"/>
          <w:sz w:val="22"/>
        </w:rPr>
        <w:t xml:space="preserve">el </w:t>
      </w:r>
      <w:r>
        <w:rPr>
          <w:rFonts w:ascii="Arial" w:hAnsi="Arial" w:cs="Arial"/>
          <w:b/>
          <w:sz w:val="22"/>
        </w:rPr>
        <w:t>Real Decreto 203/2021, de 30 de marzo</w:t>
      </w:r>
      <w:r>
        <w:rPr>
          <w:rFonts w:ascii="Arial" w:hAnsi="Arial" w:cs="Arial"/>
          <w:sz w:val="22"/>
        </w:rPr>
        <w:t>, que aprueba el Reglamento de actuación y funcionamiento del sector público por medios electrónicos —RAFME— y desarrolla ambas leyes;</w:t>
      </w:r>
    </w:p>
    <w:p>
      <w:pPr>
        <w:pStyle w:val="ListBullet"/>
      </w:pPr>
      <w:r>
        <w:rPr>
          <w:rFonts w:ascii="Arial" w:hAnsi="Arial" w:cs="Arial"/>
          <w:sz w:val="22"/>
        </w:rPr>
        <w:t>el Reglamento (UE) 910/2014 —</w:t>
      </w:r>
      <w:r>
        <w:rPr>
          <w:rFonts w:ascii="Arial" w:hAnsi="Arial" w:cs="Arial"/>
          <w:b/>
          <w:sz w:val="22"/>
        </w:rPr>
        <w:t>eIDAS</w:t>
      </w:r>
      <w:r>
        <w:rPr>
          <w:rFonts w:ascii="Arial" w:hAnsi="Arial" w:cs="Arial"/>
          <w:sz w:val="22"/>
        </w:rPr>
        <w:t>—, modificado por el Reglamento (UE) 2024/1183 en lo relativo al marco europeo de identidad digital, y la legislación nacional sobre servicios electrónicos de confianza;</w:t>
      </w:r>
    </w:p>
    <w:p>
      <w:pPr>
        <w:pStyle w:val="ListBullet"/>
      </w:pPr>
      <w:r>
        <w:rPr>
          <w:rFonts w:ascii="Arial" w:hAnsi="Arial" w:cs="Arial"/>
          <w:sz w:val="22"/>
        </w:rPr>
        <w:t xml:space="preserve">el </w:t>
      </w:r>
      <w:r>
        <w:rPr>
          <w:rFonts w:ascii="Arial" w:hAnsi="Arial" w:cs="Arial"/>
          <w:b/>
          <w:sz w:val="22"/>
        </w:rPr>
        <w:t>Esquema Nacional de Interoperabilidad</w:t>
      </w:r>
      <w:r>
        <w:rPr>
          <w:rFonts w:ascii="Arial" w:hAnsi="Arial" w:cs="Arial"/>
          <w:sz w:val="22"/>
        </w:rPr>
        <w:t xml:space="preserve"> —Real Decreto 4/2010— y el </w:t>
      </w:r>
      <w:r>
        <w:rPr>
          <w:rFonts w:ascii="Arial" w:hAnsi="Arial" w:cs="Arial"/>
          <w:b/>
          <w:sz w:val="22"/>
        </w:rPr>
        <w:t>Esquema Nacional de Seguridad</w:t>
      </w:r>
      <w:r>
        <w:rPr>
          <w:rFonts w:ascii="Arial" w:hAnsi="Arial" w:cs="Arial"/>
          <w:sz w:val="22"/>
        </w:rPr>
        <w:t xml:space="preserve"> —Real Decreto 311/2022—;</w:t>
      </w:r>
    </w:p>
    <w:p>
      <w:pPr>
        <w:pStyle w:val="ListBullet"/>
      </w:pPr>
      <w:r>
        <w:rPr>
          <w:rFonts w:ascii="Arial" w:hAnsi="Arial" w:cs="Arial"/>
          <w:sz w:val="22"/>
        </w:rPr>
        <w:t>la normativa de protección de datos, transparencia, archivos y reutilización de la información pública.</w:t>
      </w:r>
    </w:p>
    <w:p>
      <w:pPr>
        <w:jc w:val="both"/>
      </w:pPr>
      <w:r>
        <w:rPr>
          <w:rFonts w:ascii="Arial" w:hAnsi="Arial" w:cs="Arial"/>
          <w:sz w:val="22"/>
        </w:rPr>
        <w:t>La LPAC y la LRJSP deben leerse conjuntamente. La primera responde, sobre todo, a la pregunta «¿cómo actúa la persona ante la Administración y cómo se tramita su procedimiento?»; la segunda, a «¿cómo se organiza e identifica electrónicamente el sector público y cómo se relacionan sus componentes?». El Real Decreto 203/2021 concreta ambos planos.</w:t>
      </w:r>
    </w:p>
    <w:p>
      <w:pPr>
        <w:jc w:val="both"/>
      </w:pPr>
      <w:r>
        <w:rPr>
          <w:rFonts w:ascii="Arial" w:hAnsi="Arial" w:cs="Arial"/>
          <w:sz w:val="22"/>
        </w:rPr>
        <w:t>La LRJSP ordena que las Administraciones se relacionen entre sí y con sus órganos, organismos y entidades vinculados o dependientes por medios electrónicos que aseguren interoperabilidad y seguridad, protección de datos y prestación conjunta de servicios. En las relaciones con la ciudadanía hay que distinguir:</w:t>
      </w:r>
    </w:p>
    <w:p>
      <w:pPr>
        <w:spacing w:after="40"/>
        <w:ind w:left="369" w:hanging="227"/>
      </w:pPr>
      <w:r>
        <w:rPr>
          <w:rFonts w:ascii="Arial" w:hAnsi="Arial" w:cs="Arial"/>
          <w:sz w:val="22"/>
        </w:rPr>
        <w:t xml:space="preserve">1. </w:t>
      </w:r>
      <w:r>
        <w:rPr>
          <w:rFonts w:ascii="Arial" w:hAnsi="Arial" w:cs="Arial"/>
          <w:b/>
          <w:sz w:val="22"/>
        </w:rPr>
        <w:t>Derecho a usar medios electrónicos</w:t>
      </w:r>
      <w:r>
        <w:rPr>
          <w:rFonts w:ascii="Arial" w:hAnsi="Arial" w:cs="Arial"/>
          <w:sz w:val="22"/>
        </w:rPr>
        <w:t>, que corresponde a quienes no están obligados.</w:t>
      </w:r>
    </w:p>
    <w:p>
      <w:pPr>
        <w:spacing w:after="40"/>
        <w:ind w:left="369" w:hanging="227"/>
      </w:pPr>
      <w:r>
        <w:rPr>
          <w:rFonts w:ascii="Arial" w:hAnsi="Arial" w:cs="Arial"/>
          <w:sz w:val="22"/>
        </w:rPr>
        <w:t xml:space="preserve">2. </w:t>
      </w:r>
      <w:r>
        <w:rPr>
          <w:rFonts w:ascii="Arial" w:hAnsi="Arial" w:cs="Arial"/>
          <w:b/>
          <w:sz w:val="22"/>
        </w:rPr>
        <w:t>Obligación legal o reglamentaria</w:t>
      </w:r>
      <w:r>
        <w:rPr>
          <w:rFonts w:ascii="Arial" w:hAnsi="Arial" w:cs="Arial"/>
          <w:sz w:val="22"/>
        </w:rPr>
        <w:t>, que elimina la opción para un procedimiento o actuación.</w:t>
      </w:r>
    </w:p>
    <w:p>
      <w:pPr>
        <w:spacing w:after="40"/>
        <w:ind w:left="369" w:hanging="227"/>
      </w:pPr>
      <w:r>
        <w:rPr>
          <w:rFonts w:ascii="Arial" w:hAnsi="Arial" w:cs="Arial"/>
          <w:sz w:val="22"/>
        </w:rPr>
        <w:t xml:space="preserve">3. </w:t>
      </w:r>
      <w:r>
        <w:rPr>
          <w:rFonts w:ascii="Arial" w:hAnsi="Arial" w:cs="Arial"/>
          <w:b/>
          <w:sz w:val="22"/>
        </w:rPr>
        <w:t>Elección voluntaria del canal electrónico</w:t>
      </w:r>
      <w:r>
        <w:rPr>
          <w:rFonts w:ascii="Arial" w:hAnsi="Arial" w:cs="Arial"/>
          <w:sz w:val="22"/>
        </w:rPr>
        <w:t>, que puede efectuar una persona física no obligada y modificar después.</w:t>
      </w:r>
    </w:p>
    <w:p>
      <w:pPr>
        <w:spacing w:after="40"/>
        <w:ind w:left="369" w:hanging="227"/>
      </w:pPr>
      <w:r>
        <w:rPr>
          <w:rFonts w:ascii="Arial" w:hAnsi="Arial" w:cs="Arial"/>
          <w:sz w:val="22"/>
        </w:rPr>
        <w:t xml:space="preserve">4. </w:t>
      </w:r>
      <w:r>
        <w:rPr>
          <w:rFonts w:ascii="Arial" w:hAnsi="Arial" w:cs="Arial"/>
          <w:b/>
          <w:sz w:val="22"/>
        </w:rPr>
        <w:t>Funcionamiento electrónico interno</w:t>
      </w:r>
      <w:r>
        <w:rPr>
          <w:rFonts w:ascii="Arial" w:hAnsi="Arial" w:cs="Arial"/>
          <w:sz w:val="22"/>
        </w:rPr>
        <w:t>, que no depende de que el interesado haya elegido papel o vía electrónica.</w:t>
      </w:r>
    </w:p>
    <w:p>
      <w:pPr>
        <w:spacing w:after="100"/>
        <w:ind w:left="340" w:right="227"/>
        <w:shd w:fill="EAF2F8"/>
      </w:pPr>
      <w:r>
        <w:rPr>
          <w:rFonts w:ascii="Arial" w:hAnsi="Arial" w:cs="Arial"/>
          <w:b/>
          <w:sz w:val="20"/>
        </w:rPr>
        <w:t>Idea clave:</w:t>
      </w:r>
      <w:r>
        <w:rPr>
          <w:rFonts w:ascii="Arial" w:hAnsi="Arial" w:cs="Arial"/>
          <w:sz w:val="20"/>
        </w:rPr>
        <w:t xml:space="preserve"> «preferentemente electrónico» describe la actuación administrativa; «derecho u obligación» determina el canal exigible a la persona.</w:t>
      </w:r>
    </w:p>
    <w:p>
      <w:pPr>
        <w:pStyle w:val="Heading1"/>
        <w:keepNext/>
      </w:pPr>
      <w:r>
        <w:rPr>
          <w:rFonts w:ascii="Arial" w:hAnsi="Arial" w:cs="Arial"/>
          <w:sz w:val="30"/>
        </w:rPr>
        <w:t>2. Principios del funcionamiento electrónico</w:t>
      </w:r>
    </w:p>
    <w:p>
      <w:pPr>
        <w:jc w:val="both"/>
      </w:pPr>
      <w:r>
        <w:rPr>
          <w:rFonts w:ascii="Arial" w:hAnsi="Arial" w:cs="Arial"/>
          <w:sz w:val="22"/>
        </w:rPr>
        <w:t>El artículo 2 del Reglamento de 2021 sistematiza seis principios:</w:t>
      </w:r>
    </w:p>
    <w:tbl>
      <w:tblPr>
        <w:tblStyle w:val="TableGrid"/>
        <w:tblW w:type="dxa" w:w="9026"/>
        <w:jc w:val="left"/>
        <w:tblLayout w:type="fixed"/>
        <w:tblLook w:firstColumn="1" w:firstRow="1" w:lastColumn="0" w:lastRow="0" w:noHBand="0" w:noVBand="1" w:val="04A0"/>
        <w:tblInd w:w="120" w:type="dxa"/>
      </w:tblPr>
      <w:tblGrid>
        <w:gridCol w:w="3385"/>
        <w:gridCol w:w="5641"/>
      </w:tblGrid>
      <w:tr>
        <w:trPr>
          <w:tblHeader w:val="true"/>
        </w:trPr>
        <w:tc>
          <w:tcPr>
            <w:tcW w:type="dxa" w:w="338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Principio</w:t>
            </w:r>
          </w:p>
        </w:tc>
        <w:tc>
          <w:tcPr>
            <w:tcW w:type="dxa" w:w="564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Contenido práctico</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Neutralidad tecnológica y adaptabilidad</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Uso de estándares abiertos y, cuando proceda, de uso general; las herramientas no deben discriminar ni imponer una tecnología injustificada</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Accesibilidad</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Servicios y contenidos utilizables por todas las personas, especialmente quienes tengan discapacidad</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Facilidad de uso</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Diseño centrado en la persona, con el mínimo conocimiento técnico necesario</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Interoperabilidad</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Capacidad de compartir información y utilizarla de forma coordinada entre sistemas</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Proporcionalidad</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Solo se exigen garantías y medidas de seguridad adecuadas a la naturaleza y riesgo del trámite</w:t>
            </w:r>
          </w:p>
        </w:tc>
      </w:tr>
      <w:tr>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Personalización y proactividad</w:t>
            </w:r>
          </w:p>
        </w:tc>
        <w:tc>
          <w:tcPr>
            <w:tcW w:type="dxa" w:w="5641"/>
            <w:tcMar>
              <w:top w:w="80" w:type="dxa"/>
              <w:start w:w="120" w:type="dxa"/>
              <w:bottom w:w="80" w:type="dxa"/>
              <w:end w:w="120" w:type="dxa"/>
            </w:tcMar>
            <w:vAlign w:val="center"/>
          </w:tcPr>
          <w:p>
            <w:pPr>
              <w:spacing w:before="0" w:after="0" w:line="240" w:lineRule="auto"/>
              <w:jc w:val="left"/>
            </w:pPr>
            <w:r/>
            <w:r>
              <w:rPr>
                <w:rFonts w:ascii="Arial" w:hAnsi="Arial" w:cs="Arial"/>
                <w:sz w:val="18"/>
              </w:rPr>
              <w:t>Servicios adaptados a circunstancias conocidas y anticipación de necesidades, dentro de la legalidad y la protección de datos</w:t>
            </w:r>
          </w:p>
        </w:tc>
      </w:tr>
    </w:tbl>
    <w:p>
      <w:pPr>
        <w:spacing w:after="40"/>
      </w:pPr>
    </w:p>
    <w:p>
      <w:pPr>
        <w:jc w:val="both"/>
      </w:pPr>
      <w:r>
        <w:rPr>
          <w:rFonts w:ascii="Arial" w:hAnsi="Arial" w:cs="Arial"/>
          <w:sz w:val="22"/>
        </w:rPr>
        <w:t>A ellos se añaden los principios generales de la LRJSP: servicio efectivo, simplicidad, claridad, proximidad, participación, objetividad, transparencia, racionalización, agilidad, buena fe, confianza legítima, responsabilidad, planificación, dirección por objetivos, cooperación y eficiencia. La tecnología no autoriza a prescindir de competencia, procedimiento, motivación, audiencia o recurso.</w:t>
      </w:r>
    </w:p>
    <w:p>
      <w:pPr>
        <w:jc w:val="both"/>
      </w:pPr>
      <w:r>
        <w:rPr>
          <w:rFonts w:ascii="Arial" w:hAnsi="Arial" w:cs="Arial"/>
          <w:sz w:val="22"/>
        </w:rPr>
        <w:t xml:space="preserve">La </w:t>
      </w:r>
      <w:r>
        <w:rPr>
          <w:rFonts w:ascii="Arial" w:hAnsi="Arial" w:cs="Arial"/>
          <w:b/>
          <w:sz w:val="22"/>
        </w:rPr>
        <w:t>interoperabilidad</w:t>
      </w:r>
      <w:r>
        <w:rPr>
          <w:rFonts w:ascii="Arial" w:hAnsi="Arial" w:cs="Arial"/>
          <w:sz w:val="22"/>
        </w:rPr>
        <w:t xml:space="preserve"> no significa acceso ilimitado a cualquier dato. El intercambio ha de apoyarse en una finalidad y base jurídica, respetar minimización, exactitud, confidencialidad y trazabilidad, y aplicar las medidas de seguridad correspondientes. La Administración puede consultar datos necesarios que obren en poder de otra Administración, pero no convertir esa posibilidad en una recopilación indiscriminada.</w:t>
      </w:r>
    </w:p>
    <w:p>
      <w:pPr>
        <w:jc w:val="both"/>
      </w:pPr>
      <w:r>
        <w:rPr>
          <w:rFonts w:ascii="Arial" w:hAnsi="Arial" w:cs="Arial"/>
          <w:sz w:val="22"/>
        </w:rPr>
        <w:t xml:space="preserve">La </w:t>
      </w:r>
      <w:r>
        <w:rPr>
          <w:rFonts w:ascii="Arial" w:hAnsi="Arial" w:cs="Arial"/>
          <w:b/>
          <w:sz w:val="22"/>
        </w:rPr>
        <w:t>neutralidad tecnológica</w:t>
      </w:r>
      <w:r>
        <w:rPr>
          <w:rFonts w:ascii="Arial" w:hAnsi="Arial" w:cs="Arial"/>
          <w:sz w:val="22"/>
        </w:rPr>
        <w:t xml:space="preserve"> tampoco obliga a admitir cualquier programa o formato imaginable. Permite establecer especificaciones necesarias, siempre que sean proporcionadas, interoperables y no creen barreras arbitrarias. La accesibilidad alcanza portales, sedes, documentos y servicios, no solo la apariencia de la página inicial.</w:t>
      </w:r>
    </w:p>
    <w:p>
      <w:pPr>
        <w:pStyle w:val="Heading1"/>
        <w:keepNext/>
      </w:pPr>
      <w:r>
        <w:rPr>
          <w:rFonts w:ascii="Arial" w:hAnsi="Arial" w:cs="Arial"/>
          <w:sz w:val="30"/>
        </w:rPr>
        <w:t>3. Derechos digitales y asistencia</w:t>
      </w:r>
    </w:p>
    <w:p>
      <w:pPr>
        <w:jc w:val="both"/>
      </w:pPr>
      <w:r>
        <w:rPr>
          <w:rFonts w:ascii="Arial" w:hAnsi="Arial" w:cs="Arial"/>
          <w:sz w:val="22"/>
        </w:rPr>
        <w:t>El artículo 13 LPAC reconoce a quienes tienen capacidad de obrar, entre otros derechos, comunicarse a través del Punto de Acceso General electrónico, ser asistidos en el uso de medios electrónicos, utilizar las lenguas oficiales, acceder a información pública, ser tratados con respeto, exigir responsabilidades, obtener y usar medios de identificación y firma y proteger sus datos personales. Si ya existe un procedimiento, el artículo 53 añade los derechos específicos del interesado: conocer su estado, identificar autoridades y personal responsables, acceder y obtener copia, no aportar documentos no exigibles o ya disponibles, formular alegaciones, obtener información sobre requisitos y actuar asistido.</w:t>
      </w:r>
    </w:p>
    <w:p>
      <w:pPr>
        <w:jc w:val="both"/>
      </w:pPr>
      <w:r>
        <w:rPr>
          <w:rFonts w:ascii="Arial" w:hAnsi="Arial" w:cs="Arial"/>
          <w:sz w:val="22"/>
        </w:rPr>
        <w:t xml:space="preserve">La Administración debe proporcionar </w:t>
      </w:r>
      <w:r>
        <w:rPr>
          <w:rFonts w:ascii="Arial" w:hAnsi="Arial" w:cs="Arial"/>
          <w:b/>
          <w:sz w:val="22"/>
        </w:rPr>
        <w:t>asistencia en el uso de medios electrónicos</w:t>
      </w:r>
      <w:r>
        <w:rPr>
          <w:rFonts w:ascii="Arial" w:hAnsi="Arial" w:cs="Arial"/>
          <w:sz w:val="22"/>
        </w:rPr>
        <w:t>, especialmente en identificación y firma, presentación por registro electrónico general y obtención de copias auténticas. El Reglamento prevé varios canales:</w:t>
      </w:r>
    </w:p>
    <w:p>
      <w:pPr>
        <w:pStyle w:val="ListBullet"/>
      </w:pPr>
      <w:r>
        <w:rPr>
          <w:rFonts w:ascii="Arial" w:hAnsi="Arial" w:cs="Arial"/>
          <w:sz w:val="22"/>
        </w:rPr>
        <w:t>presencial, a través de las oficinas de asistencia en materia de registros;</w:t>
      </w:r>
    </w:p>
    <w:p>
      <w:pPr>
        <w:pStyle w:val="ListBullet"/>
      </w:pPr>
      <w:r>
        <w:rPr>
          <w:rFonts w:ascii="Arial" w:hAnsi="Arial" w:cs="Arial"/>
          <w:sz w:val="22"/>
        </w:rPr>
        <w:t>portales de internet y sedes electrónicas;</w:t>
      </w:r>
    </w:p>
    <w:p>
      <w:pPr>
        <w:pStyle w:val="ListBullet"/>
      </w:pPr>
      <w:r>
        <w:rPr>
          <w:rFonts w:ascii="Arial" w:hAnsi="Arial" w:cs="Arial"/>
          <w:sz w:val="22"/>
        </w:rPr>
        <w:t>redes sociales cuando se habiliten;</w:t>
      </w:r>
    </w:p>
    <w:p>
      <w:pPr>
        <w:pStyle w:val="ListBullet"/>
      </w:pPr>
      <w:r>
        <w:rPr>
          <w:rFonts w:ascii="Arial" w:hAnsi="Arial" w:cs="Arial"/>
          <w:sz w:val="22"/>
        </w:rPr>
        <w:t>teléfono;</w:t>
      </w:r>
    </w:p>
    <w:p>
      <w:pPr>
        <w:pStyle w:val="ListBullet"/>
      </w:pPr>
      <w:r>
        <w:rPr>
          <w:rFonts w:ascii="Arial" w:hAnsi="Arial" w:cs="Arial"/>
          <w:sz w:val="22"/>
        </w:rPr>
        <w:t>correo electrónico;</w:t>
      </w:r>
    </w:p>
    <w:p>
      <w:pPr>
        <w:pStyle w:val="ListBullet"/>
      </w:pPr>
      <w:r>
        <w:rPr>
          <w:rFonts w:ascii="Arial" w:hAnsi="Arial" w:cs="Arial"/>
          <w:sz w:val="22"/>
        </w:rPr>
        <w:t>cualquier otro canal que se establezca.</w:t>
      </w:r>
    </w:p>
    <w:p>
      <w:pPr>
        <w:jc w:val="both"/>
      </w:pPr>
      <w:r>
        <w:rPr>
          <w:rFonts w:ascii="Arial" w:hAnsi="Arial" w:cs="Arial"/>
          <w:sz w:val="22"/>
        </w:rPr>
        <w:t xml:space="preserve">La asistencia no convierte al empleado público en representante del ciudadano ni le permite decidir el contenido de la solicitud. Cuando una persona no obligada carece de medios, su identificación o firma puede ser realizada válidamente por un </w:t>
      </w:r>
      <w:r>
        <w:rPr>
          <w:rFonts w:ascii="Arial" w:hAnsi="Arial" w:cs="Arial"/>
          <w:b/>
          <w:sz w:val="22"/>
        </w:rPr>
        <w:t>funcionario público habilitado</w:t>
      </w:r>
      <w:r>
        <w:rPr>
          <w:rFonts w:ascii="Arial" w:hAnsi="Arial" w:cs="Arial"/>
          <w:sz w:val="22"/>
        </w:rPr>
        <w:t>, mediante el sistema del que este disponga. La persona debe identificarse y prestar consentimiento expreso para esa actuación, dejando constancia por si hubiera discrepancia o litigio.</w:t>
      </w:r>
    </w:p>
    <w:p>
      <w:pPr>
        <w:jc w:val="both"/>
      </w:pPr>
      <w:r>
        <w:rPr>
          <w:rFonts w:ascii="Arial" w:hAnsi="Arial" w:cs="Arial"/>
          <w:sz w:val="22"/>
        </w:rPr>
        <w:t>Las Administraciones mantienen un registro o sistema equivalente de funcionarios habilitados, interoperable. Deben figurar, al menos, quienes trabajan en oficinas de asistencia. La habilitación para identificar o firmar por el interesado no sustituye las reglas de representación: si actúa otra persona en nombre del interesado, deberá acreditarla cuando la LPAC lo exige.</w:t>
      </w:r>
    </w:p>
    <w:p>
      <w:pPr>
        <w:pStyle w:val="Heading1"/>
        <w:keepNext/>
      </w:pPr>
      <w:r>
        <w:rPr>
          <w:rFonts w:ascii="Arial" w:hAnsi="Arial" w:cs="Arial"/>
          <w:sz w:val="30"/>
        </w:rPr>
        <w:t>4. Derecho y obligación de relacionarse electrónicamente</w:t>
      </w:r>
    </w:p>
    <w:p>
      <w:pPr>
        <w:pStyle w:val="Heading2"/>
        <w:keepNext/>
      </w:pPr>
      <w:r>
        <w:rPr>
          <w:rFonts w:ascii="Arial" w:hAnsi="Arial" w:cs="Arial"/>
          <w:sz w:val="25"/>
        </w:rPr>
        <w:t>4.1. Personas físicas no obligadas</w:t>
      </w:r>
    </w:p>
    <w:p>
      <w:pPr>
        <w:jc w:val="both"/>
      </w:pPr>
      <w:r>
        <w:rPr>
          <w:rFonts w:ascii="Arial" w:hAnsi="Arial" w:cs="Arial"/>
          <w:sz w:val="22"/>
        </w:rPr>
        <w:t xml:space="preserve">Como regla, una persona física puede elegir en todo momento si se comunica electrónicamente o no para ejercer derechos y obligaciones. El medio elegido puede modificarse. Conforme al Reglamento, el cambio produce efectos desde el </w:t>
      </w:r>
      <w:r>
        <w:rPr>
          <w:rFonts w:ascii="Arial" w:hAnsi="Arial" w:cs="Arial"/>
          <w:b/>
          <w:sz w:val="22"/>
        </w:rPr>
        <w:t>quinto día hábil siguiente</w:t>
      </w:r>
      <w:r>
        <w:rPr>
          <w:rFonts w:ascii="Arial" w:hAnsi="Arial" w:cs="Arial"/>
          <w:sz w:val="22"/>
        </w:rPr>
        <w:t xml:space="preserve"> a aquel en que el órgano competente tenga constancia de él, sin perjudicar actuaciones ya practicadas.</w:t>
      </w:r>
    </w:p>
    <w:p>
      <w:pPr>
        <w:jc w:val="both"/>
      </w:pPr>
      <w:r>
        <w:rPr>
          <w:rFonts w:ascii="Arial" w:hAnsi="Arial" w:cs="Arial"/>
          <w:sz w:val="22"/>
        </w:rPr>
        <w:t>La elección no es una renuncia general y perpetua. Puede referirse a un procedimiento, y no impide que una norma establezca obligación electrónica para otro. Tampoco autoriza a exigir papel a la Administración cuando esta debe formar el expediente, firmar o conservar electrónicamente.</w:t>
      </w:r>
    </w:p>
    <w:p>
      <w:pPr>
        <w:pStyle w:val="Heading2"/>
        <w:keepNext/>
      </w:pPr>
      <w:r>
        <w:rPr>
          <w:rFonts w:ascii="Arial" w:hAnsi="Arial" w:cs="Arial"/>
          <w:sz w:val="25"/>
        </w:rPr>
        <w:t>4.2. Sujetos obligados del artículo 14.2 LPAC</w:t>
      </w:r>
    </w:p>
    <w:p>
      <w:pPr>
        <w:jc w:val="both"/>
      </w:pPr>
      <w:r>
        <w:rPr>
          <w:rFonts w:ascii="Arial" w:hAnsi="Arial" w:cs="Arial"/>
          <w:sz w:val="22"/>
        </w:rPr>
        <w:t>Están obligados, al menos, los siguientes:</w:t>
      </w:r>
    </w:p>
    <w:p>
      <w:pPr>
        <w:spacing w:after="40"/>
        <w:ind w:left="369" w:hanging="227"/>
      </w:pPr>
      <w:r>
        <w:rPr>
          <w:rFonts w:ascii="Arial" w:hAnsi="Arial" w:cs="Arial"/>
          <w:sz w:val="22"/>
        </w:rPr>
        <w:t xml:space="preserve">1. </w:t>
      </w:r>
      <w:r>
        <w:rPr>
          <w:rFonts w:ascii="Arial" w:hAnsi="Arial" w:cs="Arial"/>
          <w:b/>
          <w:sz w:val="22"/>
        </w:rPr>
        <w:t>Personas jurídicas</w:t>
      </w:r>
      <w:r>
        <w:rPr>
          <w:rFonts w:ascii="Arial" w:hAnsi="Arial" w:cs="Arial"/>
          <w:sz w:val="22"/>
        </w:rPr>
        <w:t>, cualquiera que sea su forma.</w:t>
      </w:r>
    </w:p>
    <w:p>
      <w:pPr>
        <w:spacing w:after="40"/>
        <w:ind w:left="369" w:hanging="227"/>
      </w:pPr>
      <w:r>
        <w:rPr>
          <w:rFonts w:ascii="Arial" w:hAnsi="Arial" w:cs="Arial"/>
          <w:sz w:val="22"/>
        </w:rPr>
        <w:t xml:space="preserve">2. </w:t>
      </w:r>
      <w:r>
        <w:rPr>
          <w:rFonts w:ascii="Arial" w:hAnsi="Arial" w:cs="Arial"/>
          <w:b/>
          <w:sz w:val="22"/>
        </w:rPr>
        <w:t>Entidades sin personalidad jurídica</w:t>
      </w:r>
      <w:r>
        <w:rPr>
          <w:rFonts w:ascii="Arial" w:hAnsi="Arial" w:cs="Arial"/>
          <w:sz w:val="22"/>
        </w:rPr>
        <w:t>, como ciertas comunidades de bienes o herencias yacentes.</w:t>
      </w:r>
    </w:p>
    <w:p>
      <w:pPr>
        <w:spacing w:after="40"/>
        <w:ind w:left="369" w:hanging="227"/>
      </w:pPr>
      <w:r>
        <w:rPr>
          <w:rFonts w:ascii="Arial" w:hAnsi="Arial" w:cs="Arial"/>
          <w:sz w:val="22"/>
        </w:rPr>
        <w:t xml:space="preserve">3. Quienes ejerzan una </w:t>
      </w:r>
      <w:r>
        <w:rPr>
          <w:rFonts w:ascii="Arial" w:hAnsi="Arial" w:cs="Arial"/>
          <w:b/>
          <w:sz w:val="22"/>
        </w:rPr>
        <w:t>actividad profesional para la que se requiera colegiación obligatoria</w:t>
      </w:r>
      <w:r>
        <w:rPr>
          <w:rFonts w:ascii="Arial" w:hAnsi="Arial" w:cs="Arial"/>
          <w:sz w:val="22"/>
        </w:rPr>
        <w:t>, respecto de los trámites y actuaciones realizados con las Administraciones por razón de esa actividad. La ley incluye expresamente a notarios y registradores de la propiedad y mercantiles.</w:t>
      </w:r>
    </w:p>
    <w:p>
      <w:pPr>
        <w:spacing w:after="40"/>
        <w:ind w:left="369" w:hanging="227"/>
      </w:pPr>
      <w:r>
        <w:rPr>
          <w:rFonts w:ascii="Arial" w:hAnsi="Arial" w:cs="Arial"/>
          <w:sz w:val="22"/>
        </w:rPr>
        <w:t xml:space="preserve">4. Quienes </w:t>
      </w:r>
      <w:r>
        <w:rPr>
          <w:rFonts w:ascii="Arial" w:hAnsi="Arial" w:cs="Arial"/>
          <w:b/>
          <w:sz w:val="22"/>
        </w:rPr>
        <w:t>representen a un interesado obligado</w:t>
      </w:r>
      <w:r>
        <w:rPr>
          <w:rFonts w:ascii="Arial" w:hAnsi="Arial" w:cs="Arial"/>
          <w:sz w:val="22"/>
        </w:rPr>
        <w:t xml:space="preserve"> a relacionarse electrónicamente.</w:t>
      </w:r>
    </w:p>
    <w:p>
      <w:pPr>
        <w:spacing w:after="40"/>
        <w:ind w:left="369" w:hanging="227"/>
      </w:pPr>
      <w:r>
        <w:rPr>
          <w:rFonts w:ascii="Arial" w:hAnsi="Arial" w:cs="Arial"/>
          <w:sz w:val="22"/>
        </w:rPr>
        <w:t xml:space="preserve">5. </w:t>
      </w:r>
      <w:r>
        <w:rPr>
          <w:rFonts w:ascii="Arial" w:hAnsi="Arial" w:cs="Arial"/>
          <w:b/>
          <w:sz w:val="22"/>
        </w:rPr>
        <w:t>Empleados de las Administraciones Públicas</w:t>
      </w:r>
      <w:r>
        <w:rPr>
          <w:rFonts w:ascii="Arial" w:hAnsi="Arial" w:cs="Arial"/>
          <w:sz w:val="22"/>
        </w:rPr>
        <w:t>, para los trámites y actuaciones que realicen con ellas por razón de su condición, en la forma que reglamentariamente determine cada Administración.</w:t>
      </w:r>
    </w:p>
    <w:p>
      <w:pPr>
        <w:jc w:val="both"/>
      </w:pPr>
      <w:r>
        <w:rPr>
          <w:rFonts w:ascii="Arial" w:hAnsi="Arial" w:cs="Arial"/>
          <w:sz w:val="22"/>
        </w:rPr>
        <w:t>La obligación del representante depende aquí de que el representado esté obligado. No debe confundirse con que todo representante profesional quede siempre obligado por cualquier actuación: habrá que comprobar también si él mismo entra en otra letra del artículo 14.2.</w:t>
      </w:r>
    </w:p>
    <w:p>
      <w:pPr>
        <w:pStyle w:val="Heading2"/>
        <w:keepNext/>
      </w:pPr>
      <w:r>
        <w:rPr>
          <w:rFonts w:ascii="Arial" w:hAnsi="Arial" w:cs="Arial"/>
          <w:sz w:val="25"/>
        </w:rPr>
        <w:t>4.3. Ampliación reglamentaria</w:t>
      </w:r>
    </w:p>
    <w:p>
      <w:pPr>
        <w:jc w:val="both"/>
      </w:pPr>
      <w:r>
        <w:rPr>
          <w:rFonts w:ascii="Arial" w:hAnsi="Arial" w:cs="Arial"/>
          <w:sz w:val="22"/>
        </w:rPr>
        <w:t>Las Administraciones pueden establecer reglamentariamente la obligación para determinados procedimientos y para ciertos colectivos de personas físicas cuando, por su capacidad económica, técnica, dedicación profesional u otros motivos acreditados, quede demostrado que tienen acceso y disponibilidad de los medios necesarios.</w:t>
      </w:r>
    </w:p>
    <w:p>
      <w:pPr>
        <w:jc w:val="both"/>
      </w:pPr>
      <w:r>
        <w:rPr>
          <w:rFonts w:ascii="Arial" w:hAnsi="Arial" w:cs="Arial"/>
          <w:sz w:val="22"/>
        </w:rPr>
        <w:t>La habilitación no permite una imposición informal mediante instrucciones, avisos de una web o formularios. Hace falta la norma reglamentaria correspondiente y una delimitación justificable del colectivo y de los trámites. En la Administración General del Estado, el Reglamento contempla que la obligación se establezca mediante real decreto acordado en Consejo de Ministros o, en el ámbito de competencias ministeriales, por orden de la persona titular del departamento.</w:t>
      </w:r>
    </w:p>
    <w:p>
      <w:pPr>
        <w:pStyle w:val="Heading2"/>
        <w:keepNext/>
      </w:pPr>
      <w:r>
        <w:rPr>
          <w:rFonts w:ascii="Arial" w:hAnsi="Arial" w:cs="Arial"/>
          <w:sz w:val="25"/>
        </w:rPr>
        <w:t>4.4. Consecuencia del incumplimiento</w:t>
      </w:r>
    </w:p>
    <w:p>
      <w:pPr>
        <w:jc w:val="both"/>
      </w:pPr>
      <w:r>
        <w:rPr>
          <w:rFonts w:ascii="Arial" w:hAnsi="Arial" w:cs="Arial"/>
          <w:sz w:val="22"/>
        </w:rPr>
        <w:t xml:space="preserve">Si una persona obligada presenta presencialmente una solicitud, la Administración debe requerirle para que la </w:t>
      </w:r>
      <w:r>
        <w:rPr>
          <w:rFonts w:ascii="Arial" w:hAnsi="Arial" w:cs="Arial"/>
          <w:b/>
          <w:sz w:val="22"/>
        </w:rPr>
        <w:t>subsane mediante presentación electrónica</w:t>
      </w:r>
      <w:r>
        <w:rPr>
          <w:rFonts w:ascii="Arial" w:hAnsi="Arial" w:cs="Arial"/>
          <w:sz w:val="22"/>
        </w:rPr>
        <w:t>. A efectos de plazo, se considera fecha de presentación aquella en que se efectúa la subsanación electrónica, no la entrega inicial en papel. La misma regla se aplica a quien, sin estar obligado, hubiera elegido relacionarse electrónicamente en ese procedimiento.</w:t>
      </w:r>
    </w:p>
    <w:p>
      <w:pPr>
        <w:jc w:val="both"/>
      </w:pPr>
      <w:r>
        <w:rPr>
          <w:rFonts w:ascii="Arial" w:hAnsi="Arial" w:cs="Arial"/>
          <w:sz w:val="22"/>
        </w:rPr>
        <w:t xml:space="preserve">El requerimiento concede, con carácter general, </w:t>
      </w:r>
      <w:r>
        <w:rPr>
          <w:rFonts w:ascii="Arial" w:hAnsi="Arial" w:cs="Arial"/>
          <w:b/>
          <w:sz w:val="22"/>
        </w:rPr>
        <w:t>diez días</w:t>
      </w:r>
      <w:r>
        <w:rPr>
          <w:rFonts w:ascii="Arial" w:hAnsi="Arial" w:cs="Arial"/>
          <w:sz w:val="22"/>
        </w:rPr>
        <w:t xml:space="preserve"> conforme al artículo 68 LPAC. Si no se subsana, puede tenerse al solicitante por desistido, previa resolución; cuando se trate de otro trámite, producirse la pérdida del derecho al trámite si concurren los requisitos legales. No cabe «digitalizar de oficio» la solicitud presencial y conservar como fecha válida la del papel cuando opera el artículo 68.4.</w:t>
      </w:r>
    </w:p>
    <w:p>
      <w:pPr>
        <w:spacing w:after="100"/>
        <w:ind w:left="340" w:right="227"/>
        <w:shd w:fill="EAF2F8"/>
      </w:pPr>
      <w:r>
        <w:rPr>
          <w:rFonts w:ascii="Arial" w:hAnsi="Arial" w:cs="Arial"/>
          <w:b/>
          <w:sz w:val="20"/>
        </w:rPr>
        <w:t>Trampa frecuente:</w:t>
      </w:r>
      <w:r>
        <w:rPr>
          <w:rFonts w:ascii="Arial" w:hAnsi="Arial" w:cs="Arial"/>
          <w:sz w:val="20"/>
        </w:rPr>
        <w:t xml:space="preserve"> una presentación presencial incorrecta de un obligado no se considera presentada electrónicamente el día del papel; la fecha relevante es la de la subsanación.</w:t>
      </w:r>
    </w:p>
    <w:p>
      <w:pPr>
        <w:pStyle w:val="Heading1"/>
        <w:keepNext/>
      </w:pPr>
      <w:r>
        <w:rPr>
          <w:rFonts w:ascii="Arial" w:hAnsi="Arial" w:cs="Arial"/>
          <w:sz w:val="30"/>
        </w:rPr>
        <w:t>5. Punto de Acceso General, carpeta, portal y sede</w:t>
      </w:r>
    </w:p>
    <w:p>
      <w:pPr>
        <w:pStyle w:val="Heading2"/>
        <w:keepNext/>
      </w:pPr>
      <w:r>
        <w:rPr>
          <w:rFonts w:ascii="Arial" w:hAnsi="Arial" w:cs="Arial"/>
          <w:sz w:val="25"/>
        </w:rPr>
        <w:t>5.1. Punto de Acceso General y carpeta</w:t>
      </w:r>
    </w:p>
    <w:p>
      <w:pPr>
        <w:jc w:val="both"/>
      </w:pPr>
      <w:r>
        <w:rPr>
          <w:rFonts w:ascii="Arial" w:hAnsi="Arial" w:cs="Arial"/>
          <w:sz w:val="22"/>
        </w:rPr>
        <w:t xml:space="preserve">Cada Administración dispone de un </w:t>
      </w:r>
      <w:r>
        <w:rPr>
          <w:rFonts w:ascii="Arial" w:hAnsi="Arial" w:cs="Arial"/>
          <w:b/>
          <w:sz w:val="22"/>
        </w:rPr>
        <w:t>Punto de Acceso General electrónico</w:t>
      </w:r>
      <w:r>
        <w:rPr>
          <w:rFonts w:ascii="Arial" w:hAnsi="Arial" w:cs="Arial"/>
          <w:sz w:val="22"/>
        </w:rPr>
        <w:t xml:space="preserve"> —PAGe— que facilita el acceso a servicios, trámites e información. En el ámbito estatal, la Carpeta Ciudadana ofrece un espacio personalizado para consultar información, expedientes, comunicaciones, notificaciones, datos y certificados, directamente o mediante enlaces a sedes competentes.</w:t>
      </w:r>
    </w:p>
    <w:p>
      <w:pPr>
        <w:jc w:val="both"/>
      </w:pPr>
      <w:r>
        <w:rPr>
          <w:rFonts w:ascii="Arial" w:hAnsi="Arial" w:cs="Arial"/>
          <w:sz w:val="22"/>
        </w:rPr>
        <w:t>Puede acceder la persona interesada, su representante legal o quien tenga inscrito un poder general suficiente. La carpeta no sustituye la competencia del órgano, no transforma cualquier información mostrada en acto administrativo y no es, por sí sola, un nuevo registro universal. Es una capa de acceso e integración.</w:t>
      </w:r>
    </w:p>
    <w:p>
      <w:pPr>
        <w:pStyle w:val="Heading2"/>
        <w:keepNext/>
      </w:pPr>
      <w:r>
        <w:rPr>
          <w:rFonts w:ascii="Arial" w:hAnsi="Arial" w:cs="Arial"/>
          <w:sz w:val="25"/>
        </w:rPr>
        <w:t>5.2. Portal de internet</w:t>
      </w:r>
    </w:p>
    <w:p>
      <w:pPr>
        <w:jc w:val="both"/>
      </w:pPr>
      <w:r>
        <w:rPr>
          <w:rFonts w:ascii="Arial" w:hAnsi="Arial" w:cs="Arial"/>
          <w:sz w:val="22"/>
        </w:rPr>
        <w:t xml:space="preserve">El artículo 39 LRJSP define el </w:t>
      </w:r>
      <w:r>
        <w:rPr>
          <w:rFonts w:ascii="Arial" w:hAnsi="Arial" w:cs="Arial"/>
          <w:b/>
          <w:sz w:val="22"/>
        </w:rPr>
        <w:t>portal de internet</w:t>
      </w:r>
      <w:r>
        <w:rPr>
          <w:rFonts w:ascii="Arial" w:hAnsi="Arial" w:cs="Arial"/>
          <w:sz w:val="22"/>
        </w:rPr>
        <w:t xml:space="preserve"> como el punto de acceso electrónico cuya titularidad corresponde a una Administración, organismo o entidad pública y que permite acceder a información publicada y, en su caso, a la sede correspondiente. Predomina su función informativa y de entrada.</w:t>
      </w:r>
    </w:p>
    <w:p>
      <w:pPr>
        <w:pStyle w:val="Heading2"/>
        <w:keepNext/>
      </w:pPr>
      <w:r>
        <w:rPr>
          <w:rFonts w:ascii="Arial" w:hAnsi="Arial" w:cs="Arial"/>
          <w:sz w:val="25"/>
        </w:rPr>
        <w:t>5.3. Sede electrónica y sede asociada</w:t>
      </w:r>
    </w:p>
    <w:p>
      <w:pPr>
        <w:jc w:val="both"/>
      </w:pPr>
      <w:r>
        <w:rPr>
          <w:rFonts w:ascii="Arial" w:hAnsi="Arial" w:cs="Arial"/>
          <w:sz w:val="22"/>
        </w:rPr>
        <w:t xml:space="preserve">La </w:t>
      </w:r>
      <w:r>
        <w:rPr>
          <w:rFonts w:ascii="Arial" w:hAnsi="Arial" w:cs="Arial"/>
          <w:b/>
          <w:sz w:val="22"/>
        </w:rPr>
        <w:t>sede electrónica</w:t>
      </w:r>
      <w:r>
        <w:rPr>
          <w:rFonts w:ascii="Arial" w:hAnsi="Arial" w:cs="Arial"/>
          <w:sz w:val="22"/>
        </w:rPr>
        <w:t xml:space="preserve"> es la dirección electrónica disponible para la ciudadanía cuya titularidad corresponde a una Administración o a uno o varios organismos o entidades públicas. Se utiliza para actuaciones y servicios que requieren identificar a la Administración y, cuando sea necesario, identificar o firmar al interesado.</w:t>
      </w:r>
    </w:p>
    <w:p>
      <w:pPr>
        <w:jc w:val="both"/>
      </w:pPr>
      <w:r>
        <w:rPr>
          <w:rFonts w:ascii="Arial" w:hAnsi="Arial" w:cs="Arial"/>
          <w:sz w:val="22"/>
        </w:rPr>
        <w:t xml:space="preserve">La titularidad comporta responsabilidad sobre integridad, veracidad y actualización de la información y los servicios propios. El órgano o entidad que incorpora contenidos de su competencia responde de ellos. La </w:t>
      </w:r>
      <w:r>
        <w:rPr>
          <w:rFonts w:ascii="Arial" w:hAnsi="Arial" w:cs="Arial"/>
          <w:b/>
          <w:sz w:val="22"/>
        </w:rPr>
        <w:t>sede electrónica asociada</w:t>
      </w:r>
      <w:r>
        <w:rPr>
          <w:rFonts w:ascii="Arial" w:hAnsi="Arial" w:cs="Arial"/>
          <w:sz w:val="22"/>
        </w:rPr>
        <w:t xml:space="preserve"> tiene la misma consideración y régimen jurídico que la sede, aunque se cree por razones técnicas u organizativas para servicios determinados.</w:t>
      </w:r>
    </w:p>
    <w:p>
      <w:pPr>
        <w:jc w:val="both"/>
      </w:pPr>
      <w:r>
        <w:rPr>
          <w:rFonts w:ascii="Arial" w:hAnsi="Arial" w:cs="Arial"/>
          <w:sz w:val="22"/>
        </w:rPr>
        <w:t>El acto de creación identifica, entre otros extremos, titularidad, órgano gestor, ámbito, dirección, medios de formulación de sugerencias y quejas y canales de acceso. Su creación y supresión se publican en el boletín oficial correspondiente y se incorporan al directorio del PAGe.</w:t>
      </w:r>
    </w:p>
    <w:p>
      <w:pPr>
        <w:jc w:val="both"/>
      </w:pPr>
      <w:r>
        <w:rPr>
          <w:rFonts w:ascii="Arial" w:hAnsi="Arial" w:cs="Arial"/>
          <w:sz w:val="22"/>
        </w:rPr>
        <w:t>En la sede han de poder localizarse, según proceda:</w:t>
      </w:r>
    </w:p>
    <w:p>
      <w:pPr>
        <w:pStyle w:val="ListBullet"/>
      </w:pPr>
      <w:r>
        <w:rPr>
          <w:rFonts w:ascii="Arial" w:hAnsi="Arial" w:cs="Arial"/>
          <w:sz w:val="22"/>
        </w:rPr>
        <w:t>identificación del titular y órgano responsable;</w:t>
      </w:r>
    </w:p>
    <w:p>
      <w:pPr>
        <w:pStyle w:val="ListBullet"/>
      </w:pPr>
      <w:r>
        <w:rPr>
          <w:rFonts w:ascii="Arial" w:hAnsi="Arial" w:cs="Arial"/>
          <w:sz w:val="22"/>
        </w:rPr>
        <w:t>acto de creación y normativa aplicable;</w:t>
      </w:r>
    </w:p>
    <w:p>
      <w:pPr>
        <w:pStyle w:val="ListBullet"/>
      </w:pPr>
      <w:r>
        <w:rPr>
          <w:rFonts w:ascii="Arial" w:hAnsi="Arial" w:cs="Arial"/>
          <w:sz w:val="22"/>
        </w:rPr>
        <w:t>sistemas admitidos para identificación y firma;</w:t>
      </w:r>
    </w:p>
    <w:p>
      <w:pPr>
        <w:pStyle w:val="ListBullet"/>
      </w:pPr>
      <w:r>
        <w:rPr>
          <w:rFonts w:ascii="Arial" w:hAnsi="Arial" w:cs="Arial"/>
          <w:sz w:val="22"/>
        </w:rPr>
        <w:t>relación actualizada de trámites y servicios;</w:t>
      </w:r>
    </w:p>
    <w:p>
      <w:pPr>
        <w:pStyle w:val="ListBullet"/>
      </w:pPr>
      <w:r>
        <w:rPr>
          <w:rFonts w:ascii="Arial" w:hAnsi="Arial" w:cs="Arial"/>
          <w:sz w:val="22"/>
        </w:rPr>
        <w:t>acceso al registro electrónico y sus reglas;</w:t>
      </w:r>
    </w:p>
    <w:p>
      <w:pPr>
        <w:pStyle w:val="ListBullet"/>
      </w:pPr>
      <w:r>
        <w:rPr>
          <w:rFonts w:ascii="Arial" w:hAnsi="Arial" w:cs="Arial"/>
          <w:sz w:val="22"/>
        </w:rPr>
        <w:t>fecha y hora oficiales, calendario de días inhábiles e incidencias técnicas;</w:t>
      </w:r>
    </w:p>
    <w:p>
      <w:pPr>
        <w:pStyle w:val="ListBullet"/>
      </w:pPr>
      <w:r>
        <w:rPr>
          <w:rFonts w:ascii="Arial" w:hAnsi="Arial" w:cs="Arial"/>
          <w:sz w:val="22"/>
        </w:rPr>
        <w:t>relación de actuaciones administrativas automatizadas;</w:t>
      </w:r>
    </w:p>
    <w:p>
      <w:pPr>
        <w:pStyle w:val="ListBullet"/>
      </w:pPr>
      <w:r>
        <w:rPr>
          <w:rFonts w:ascii="Arial" w:hAnsi="Arial" w:cs="Arial"/>
          <w:sz w:val="22"/>
        </w:rPr>
        <w:t>sistemas para comprobar certificados, sellos y códigos seguros de verificación;</w:t>
      </w:r>
    </w:p>
    <w:p>
      <w:pPr>
        <w:pStyle w:val="ListBullet"/>
      </w:pPr>
      <w:r>
        <w:rPr>
          <w:rFonts w:ascii="Arial" w:hAnsi="Arial" w:cs="Arial"/>
          <w:sz w:val="22"/>
        </w:rPr>
        <w:t>información de accesibilidad, protección de datos, quejas y sugerencias;</w:t>
      </w:r>
    </w:p>
    <w:p>
      <w:pPr>
        <w:pStyle w:val="ListBullet"/>
      </w:pPr>
      <w:r>
        <w:rPr>
          <w:rFonts w:ascii="Arial" w:hAnsi="Arial" w:cs="Arial"/>
          <w:sz w:val="22"/>
        </w:rPr>
        <w:t>modelos, formularios, resoluciones y comunicaciones exigidos.</w:t>
      </w:r>
    </w:p>
    <w:p>
      <w:pPr>
        <w:pStyle w:val="Heading2"/>
        <w:keepNext/>
      </w:pPr>
      <w:r>
        <w:rPr>
          <w:rFonts w:ascii="Arial" w:hAnsi="Arial" w:cs="Arial"/>
          <w:sz w:val="25"/>
        </w:rPr>
        <w:t>5.4. Diferencias preguntables</w:t>
      </w:r>
    </w:p>
    <w:tbl>
      <w:tblPr>
        <w:tblStyle w:val="TableGrid"/>
        <w:tblW w:type="dxa" w:w="9026"/>
        <w:jc w:val="left"/>
        <w:tblLayout w:type="fixed"/>
        <w:tblLook w:firstColumn="1" w:firstRow="1" w:lastColumn="0" w:lastRow="0" w:noHBand="0" w:noVBand="1" w:val="04A0"/>
        <w:tblInd w:w="120" w:type="dxa"/>
      </w:tblPr>
      <w:tblGrid>
        <w:gridCol w:w="1313"/>
        <w:gridCol w:w="4923"/>
        <w:gridCol w:w="2790"/>
      </w:tblGrid>
      <w:tr>
        <w:trPr>
          <w:tblHeader w:val="true"/>
        </w:trPr>
        <w:tc>
          <w:tcPr>
            <w:tcW w:type="dxa" w:w="131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Instrumento</w:t>
            </w:r>
          </w:p>
        </w:tc>
        <w:tc>
          <w:tcPr>
            <w:tcW w:type="dxa" w:w="492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Función dominante</w:t>
            </w:r>
          </w:p>
        </w:tc>
        <w:tc>
          <w:tcPr>
            <w:tcW w:type="dxa" w:w="279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No debe confundirse con</w:t>
            </w:r>
          </w:p>
        </w:tc>
      </w:tr>
      <w:tr>
        <w:tc>
          <w:tcPr>
            <w:tcW w:type="dxa" w:w="1313"/>
            <w:tcMar>
              <w:top w:w="80" w:type="dxa"/>
              <w:start w:w="120" w:type="dxa"/>
              <w:bottom w:w="80" w:type="dxa"/>
              <w:end w:w="120" w:type="dxa"/>
            </w:tcMar>
            <w:vAlign w:val="center"/>
          </w:tcPr>
          <w:p>
            <w:pPr>
              <w:spacing w:before="0" w:after="0" w:line="240" w:lineRule="auto"/>
              <w:jc w:val="left"/>
            </w:pPr>
            <w:r/>
            <w:r>
              <w:rPr>
                <w:rFonts w:ascii="Arial" w:hAnsi="Arial" w:cs="Arial"/>
                <w:sz w:val="18"/>
              </w:rPr>
              <w:t>PAGe</w:t>
            </w:r>
          </w:p>
        </w:tc>
        <w:tc>
          <w:tcPr>
            <w:tcW w:type="dxa" w:w="4923"/>
            <w:tcMar>
              <w:top w:w="80" w:type="dxa"/>
              <w:start w:w="120" w:type="dxa"/>
              <w:bottom w:w="80" w:type="dxa"/>
              <w:end w:w="120" w:type="dxa"/>
            </w:tcMar>
            <w:vAlign w:val="center"/>
          </w:tcPr>
          <w:p>
            <w:pPr>
              <w:spacing w:before="0" w:after="0" w:line="240" w:lineRule="auto"/>
              <w:jc w:val="left"/>
            </w:pPr>
            <w:r/>
            <w:r>
              <w:rPr>
                <w:rFonts w:ascii="Arial" w:hAnsi="Arial" w:cs="Arial"/>
                <w:sz w:val="18"/>
              </w:rPr>
              <w:t>Entrada común a servicios e información de una Administración</w:t>
            </w:r>
          </w:p>
        </w:tc>
        <w:tc>
          <w:tcPr>
            <w:tcW w:type="dxa" w:w="2790"/>
            <w:tcMar>
              <w:top w:w="80" w:type="dxa"/>
              <w:start w:w="120" w:type="dxa"/>
              <w:bottom w:w="80" w:type="dxa"/>
              <w:end w:w="120" w:type="dxa"/>
            </w:tcMar>
            <w:vAlign w:val="center"/>
          </w:tcPr>
          <w:p>
            <w:pPr>
              <w:spacing w:before="0" w:after="0" w:line="240" w:lineRule="auto"/>
              <w:jc w:val="left"/>
            </w:pPr>
            <w:r/>
            <w:r>
              <w:rPr>
                <w:rFonts w:ascii="Arial" w:hAnsi="Arial" w:cs="Arial"/>
                <w:sz w:val="18"/>
              </w:rPr>
              <w:t>Un registro único para cualquier efecto</w:t>
            </w:r>
          </w:p>
        </w:tc>
      </w:tr>
      <w:tr>
        <w:tc>
          <w:tcPr>
            <w:tcW w:type="dxa" w:w="1313"/>
            <w:tcMar>
              <w:top w:w="80" w:type="dxa"/>
              <w:start w:w="120" w:type="dxa"/>
              <w:bottom w:w="80" w:type="dxa"/>
              <w:end w:w="120" w:type="dxa"/>
            </w:tcMar>
            <w:vAlign w:val="center"/>
          </w:tcPr>
          <w:p>
            <w:pPr>
              <w:spacing w:before="0" w:after="0" w:line="240" w:lineRule="auto"/>
              <w:jc w:val="left"/>
            </w:pPr>
            <w:r/>
            <w:r>
              <w:rPr>
                <w:rFonts w:ascii="Arial" w:hAnsi="Arial" w:cs="Arial"/>
                <w:sz w:val="18"/>
              </w:rPr>
              <w:t>Carpeta Ciudadana</w:t>
            </w:r>
          </w:p>
        </w:tc>
        <w:tc>
          <w:tcPr>
            <w:tcW w:type="dxa" w:w="4923"/>
            <w:tcMar>
              <w:top w:w="80" w:type="dxa"/>
              <w:start w:w="120" w:type="dxa"/>
              <w:bottom w:w="80" w:type="dxa"/>
              <w:end w:w="120" w:type="dxa"/>
            </w:tcMar>
            <w:vAlign w:val="center"/>
          </w:tcPr>
          <w:p>
            <w:pPr>
              <w:spacing w:before="0" w:after="0" w:line="240" w:lineRule="auto"/>
              <w:jc w:val="left"/>
            </w:pPr>
            <w:r/>
            <w:r>
              <w:rPr>
                <w:rFonts w:ascii="Arial" w:hAnsi="Arial" w:cs="Arial"/>
                <w:sz w:val="18"/>
              </w:rPr>
              <w:t>Área personalizada de consulta e interacción</w:t>
            </w:r>
          </w:p>
        </w:tc>
        <w:tc>
          <w:tcPr>
            <w:tcW w:type="dxa" w:w="2790"/>
            <w:tcMar>
              <w:top w:w="80" w:type="dxa"/>
              <w:start w:w="120" w:type="dxa"/>
              <w:bottom w:w="80" w:type="dxa"/>
              <w:end w:w="120" w:type="dxa"/>
            </w:tcMar>
            <w:vAlign w:val="center"/>
          </w:tcPr>
          <w:p>
            <w:pPr>
              <w:spacing w:before="0" w:after="0" w:line="240" w:lineRule="auto"/>
              <w:jc w:val="left"/>
            </w:pPr>
            <w:r/>
            <w:r>
              <w:rPr>
                <w:rFonts w:ascii="Arial" w:hAnsi="Arial" w:cs="Arial"/>
                <w:sz w:val="18"/>
              </w:rPr>
              <w:t>El expediente administrativo completo</w:t>
            </w:r>
          </w:p>
        </w:tc>
      </w:tr>
      <w:tr>
        <w:tc>
          <w:tcPr>
            <w:tcW w:type="dxa" w:w="1313"/>
            <w:tcMar>
              <w:top w:w="80" w:type="dxa"/>
              <w:start w:w="120" w:type="dxa"/>
              <w:bottom w:w="80" w:type="dxa"/>
              <w:end w:w="120" w:type="dxa"/>
            </w:tcMar>
            <w:vAlign w:val="center"/>
          </w:tcPr>
          <w:p>
            <w:pPr>
              <w:spacing w:before="0" w:after="0" w:line="240" w:lineRule="auto"/>
              <w:jc w:val="left"/>
            </w:pPr>
            <w:r/>
            <w:r>
              <w:rPr>
                <w:rFonts w:ascii="Arial" w:hAnsi="Arial" w:cs="Arial"/>
                <w:sz w:val="18"/>
              </w:rPr>
              <w:t>Portal</w:t>
            </w:r>
          </w:p>
        </w:tc>
        <w:tc>
          <w:tcPr>
            <w:tcW w:type="dxa" w:w="4923"/>
            <w:tcMar>
              <w:top w:w="80" w:type="dxa"/>
              <w:start w:w="120" w:type="dxa"/>
              <w:bottom w:w="80" w:type="dxa"/>
              <w:end w:w="120" w:type="dxa"/>
            </w:tcMar>
            <w:vAlign w:val="center"/>
          </w:tcPr>
          <w:p>
            <w:pPr>
              <w:spacing w:before="0" w:after="0" w:line="240" w:lineRule="auto"/>
              <w:jc w:val="left"/>
            </w:pPr>
            <w:r/>
            <w:r>
              <w:rPr>
                <w:rFonts w:ascii="Arial" w:hAnsi="Arial" w:cs="Arial"/>
                <w:sz w:val="18"/>
              </w:rPr>
              <w:t>Acceso a información y, en su caso, enlace a sedes</w:t>
            </w:r>
          </w:p>
        </w:tc>
        <w:tc>
          <w:tcPr>
            <w:tcW w:type="dxa" w:w="2790"/>
            <w:tcMar>
              <w:top w:w="80" w:type="dxa"/>
              <w:start w:w="120" w:type="dxa"/>
              <w:bottom w:w="80" w:type="dxa"/>
              <w:end w:w="120" w:type="dxa"/>
            </w:tcMar>
            <w:vAlign w:val="center"/>
          </w:tcPr>
          <w:p>
            <w:pPr>
              <w:spacing w:before="0" w:after="0" w:line="240" w:lineRule="auto"/>
              <w:jc w:val="left"/>
            </w:pPr>
            <w:r/>
            <w:r>
              <w:rPr>
                <w:rFonts w:ascii="Arial" w:hAnsi="Arial" w:cs="Arial"/>
                <w:sz w:val="18"/>
              </w:rPr>
              <w:t>Sede con garantías de identificación</w:t>
            </w:r>
          </w:p>
        </w:tc>
      </w:tr>
      <w:tr>
        <w:tc>
          <w:tcPr>
            <w:tcW w:type="dxa" w:w="1313"/>
            <w:tcMar>
              <w:top w:w="80" w:type="dxa"/>
              <w:start w:w="120" w:type="dxa"/>
              <w:bottom w:w="80" w:type="dxa"/>
              <w:end w:w="120" w:type="dxa"/>
            </w:tcMar>
            <w:vAlign w:val="center"/>
          </w:tcPr>
          <w:p>
            <w:pPr>
              <w:spacing w:before="0" w:after="0" w:line="240" w:lineRule="auto"/>
              <w:jc w:val="left"/>
            </w:pPr>
            <w:r/>
            <w:r>
              <w:rPr>
                <w:rFonts w:ascii="Arial" w:hAnsi="Arial" w:cs="Arial"/>
                <w:sz w:val="18"/>
              </w:rPr>
              <w:t>Sede</w:t>
            </w:r>
          </w:p>
        </w:tc>
        <w:tc>
          <w:tcPr>
            <w:tcW w:type="dxa" w:w="4923"/>
            <w:tcMar>
              <w:top w:w="80" w:type="dxa"/>
              <w:start w:w="120" w:type="dxa"/>
              <w:bottom w:w="80" w:type="dxa"/>
              <w:end w:w="120" w:type="dxa"/>
            </w:tcMar>
            <w:vAlign w:val="center"/>
          </w:tcPr>
          <w:p>
            <w:pPr>
              <w:spacing w:before="0" w:after="0" w:line="240" w:lineRule="auto"/>
              <w:jc w:val="left"/>
            </w:pPr>
            <w:r/>
            <w:r>
              <w:rPr>
                <w:rFonts w:ascii="Arial" w:hAnsi="Arial" w:cs="Arial"/>
                <w:sz w:val="18"/>
              </w:rPr>
              <w:t>Actuaciones, procedimientos y servicios con identificación administrativa</w:t>
            </w:r>
          </w:p>
        </w:tc>
        <w:tc>
          <w:tcPr>
            <w:tcW w:type="dxa" w:w="2790"/>
            <w:tcMar>
              <w:top w:w="80" w:type="dxa"/>
              <w:start w:w="120" w:type="dxa"/>
              <w:bottom w:w="80" w:type="dxa"/>
              <w:end w:w="120" w:type="dxa"/>
            </w:tcMar>
            <w:vAlign w:val="center"/>
          </w:tcPr>
          <w:p>
            <w:pPr>
              <w:spacing w:before="0" w:after="0" w:line="240" w:lineRule="auto"/>
              <w:jc w:val="left"/>
            </w:pPr>
            <w:r/>
            <w:r>
              <w:rPr>
                <w:rFonts w:ascii="Arial" w:hAnsi="Arial" w:cs="Arial"/>
                <w:sz w:val="18"/>
              </w:rPr>
              <w:t>Una simple web informativa</w:t>
            </w:r>
          </w:p>
        </w:tc>
      </w:tr>
      <w:tr>
        <w:tc>
          <w:tcPr>
            <w:tcW w:type="dxa" w:w="1313"/>
            <w:tcMar>
              <w:top w:w="80" w:type="dxa"/>
              <w:start w:w="120" w:type="dxa"/>
              <w:bottom w:w="80" w:type="dxa"/>
              <w:end w:w="120" w:type="dxa"/>
            </w:tcMar>
            <w:vAlign w:val="center"/>
          </w:tcPr>
          <w:p>
            <w:pPr>
              <w:spacing w:before="0" w:after="0" w:line="240" w:lineRule="auto"/>
              <w:jc w:val="left"/>
            </w:pPr>
            <w:r/>
            <w:r>
              <w:rPr>
                <w:rFonts w:ascii="Arial" w:hAnsi="Arial" w:cs="Arial"/>
                <w:sz w:val="18"/>
              </w:rPr>
              <w:t>Sede asociada</w:t>
            </w:r>
          </w:p>
        </w:tc>
        <w:tc>
          <w:tcPr>
            <w:tcW w:type="dxa" w:w="4923"/>
            <w:tcMar>
              <w:top w:w="80" w:type="dxa"/>
              <w:start w:w="120" w:type="dxa"/>
              <w:bottom w:w="80" w:type="dxa"/>
              <w:end w:w="120" w:type="dxa"/>
            </w:tcMar>
            <w:vAlign w:val="center"/>
          </w:tcPr>
          <w:p>
            <w:pPr>
              <w:spacing w:before="0" w:after="0" w:line="240" w:lineRule="auto"/>
              <w:jc w:val="left"/>
            </w:pPr>
            <w:r/>
            <w:r>
              <w:rPr>
                <w:rFonts w:ascii="Arial" w:hAnsi="Arial" w:cs="Arial"/>
                <w:sz w:val="18"/>
              </w:rPr>
              <w:t>Sede vinculada para ámbitos o servicios concretos</w:t>
            </w:r>
          </w:p>
        </w:tc>
        <w:tc>
          <w:tcPr>
            <w:tcW w:type="dxa" w:w="2790"/>
            <w:tcMar>
              <w:top w:w="80" w:type="dxa"/>
              <w:start w:w="120" w:type="dxa"/>
              <w:bottom w:w="80" w:type="dxa"/>
              <w:end w:w="120" w:type="dxa"/>
            </w:tcMar>
            <w:vAlign w:val="center"/>
          </w:tcPr>
          <w:p>
            <w:pPr>
              <w:spacing w:before="0" w:after="0" w:line="240" w:lineRule="auto"/>
              <w:jc w:val="left"/>
            </w:pPr>
            <w:r/>
            <w:r>
              <w:rPr>
                <w:rFonts w:ascii="Arial" w:hAnsi="Arial" w:cs="Arial"/>
                <w:sz w:val="18"/>
              </w:rPr>
              <w:t>Portal secundario sin régimen de sede</w:t>
            </w:r>
          </w:p>
        </w:tc>
      </w:tr>
    </w:tbl>
    <w:p>
      <w:pPr>
        <w:spacing w:after="40"/>
      </w:pPr>
    </w:p>
    <w:p>
      <w:pPr>
        <w:pStyle w:val="Heading1"/>
        <w:keepNext/>
      </w:pPr>
      <w:r>
        <w:rPr>
          <w:rFonts w:ascii="Arial" w:hAnsi="Arial" w:cs="Arial"/>
          <w:sz w:val="30"/>
        </w:rPr>
        <w:t>6. Identificación y firma electrónica de las personas</w:t>
      </w:r>
    </w:p>
    <w:p>
      <w:pPr>
        <w:pStyle w:val="Heading2"/>
        <w:keepNext/>
      </w:pPr>
      <w:r>
        <w:rPr>
          <w:rFonts w:ascii="Arial" w:hAnsi="Arial" w:cs="Arial"/>
          <w:sz w:val="25"/>
        </w:rPr>
        <w:t>6.1. Identificación</w:t>
      </w:r>
    </w:p>
    <w:p>
      <w:pPr>
        <w:jc w:val="both"/>
      </w:pPr>
      <w:r>
        <w:rPr>
          <w:rFonts w:ascii="Arial" w:hAnsi="Arial" w:cs="Arial"/>
          <w:sz w:val="22"/>
        </w:rPr>
        <w:t>La Administración debe verificar la identidad mediante nombre y apellidos o denominación social que consten en el documento identificativo. El artículo 9 LPAC admite:</w:t>
      </w:r>
    </w:p>
    <w:p>
      <w:pPr>
        <w:pStyle w:val="ListBullet"/>
      </w:pPr>
      <w:r>
        <w:rPr>
          <w:rFonts w:ascii="Arial" w:hAnsi="Arial" w:cs="Arial"/>
          <w:sz w:val="22"/>
        </w:rPr>
        <w:t xml:space="preserve">sistemas basados en </w:t>
      </w:r>
      <w:r>
        <w:rPr>
          <w:rFonts w:ascii="Arial" w:hAnsi="Arial" w:cs="Arial"/>
          <w:b/>
          <w:sz w:val="22"/>
        </w:rPr>
        <w:t>certificados electrónicos cualificados de firma</w:t>
      </w:r>
      <w:r>
        <w:rPr>
          <w:rFonts w:ascii="Arial" w:hAnsi="Arial" w:cs="Arial"/>
          <w:sz w:val="22"/>
        </w:rPr>
        <w:t xml:space="preserve"> expedidos por prestadores incluidos en la lista de confianza;</w:t>
      </w:r>
    </w:p>
    <w:p>
      <w:pPr>
        <w:pStyle w:val="ListBullet"/>
      </w:pPr>
      <w:r>
        <w:rPr>
          <w:rFonts w:ascii="Arial" w:hAnsi="Arial" w:cs="Arial"/>
          <w:sz w:val="22"/>
        </w:rPr>
        <w:t xml:space="preserve">sistemas basados en </w:t>
      </w:r>
      <w:r>
        <w:rPr>
          <w:rFonts w:ascii="Arial" w:hAnsi="Arial" w:cs="Arial"/>
          <w:b/>
          <w:sz w:val="22"/>
        </w:rPr>
        <w:t>certificados cualificados de sello</w:t>
      </w:r>
      <w:r>
        <w:rPr>
          <w:rFonts w:ascii="Arial" w:hAnsi="Arial" w:cs="Arial"/>
          <w:sz w:val="22"/>
        </w:rPr>
        <w:t>;</w:t>
      </w:r>
    </w:p>
    <w:p>
      <w:pPr>
        <w:pStyle w:val="ListBullet"/>
      </w:pPr>
      <w:r>
        <w:rPr>
          <w:rFonts w:ascii="Arial" w:hAnsi="Arial" w:cs="Arial"/>
          <w:sz w:val="22"/>
        </w:rPr>
        <w:t xml:space="preserve">sistemas de </w:t>
      </w:r>
      <w:r>
        <w:rPr>
          <w:rFonts w:ascii="Arial" w:hAnsi="Arial" w:cs="Arial"/>
          <w:b/>
          <w:sz w:val="22"/>
        </w:rPr>
        <w:t>clave concertada</w:t>
      </w:r>
      <w:r>
        <w:rPr>
          <w:rFonts w:ascii="Arial" w:hAnsi="Arial" w:cs="Arial"/>
          <w:sz w:val="22"/>
        </w:rPr>
        <w:t xml:space="preserve"> y cualquier otro que la Administración considere válido, con registro previo de usuario y comunicación previa a la Secretaría General de Administración Digital en los términos legales.</w:t>
      </w:r>
    </w:p>
    <w:p>
      <w:pPr>
        <w:jc w:val="both"/>
      </w:pPr>
      <w:r>
        <w:rPr>
          <w:rFonts w:ascii="Arial" w:hAnsi="Arial" w:cs="Arial"/>
          <w:sz w:val="22"/>
        </w:rPr>
        <w:t>Cada Administración determina los sistemas admitidos, pero debe aceptar alguno basado en certificado cualificado de firma o de sello. La validez de un sistema estatal puede extenderse a las demás Administraciones en los términos del artículo 9, salvo prueba en contrario. Cuando la ley exige ubicación de recursos técnicos o conservación de datos en territorio de la Unión Europea y, para categorías especiales, en España, deben respetarse esas garantías y los límites de transferencia internacional.</w:t>
      </w:r>
    </w:p>
    <w:p>
      <w:pPr>
        <w:pStyle w:val="Heading2"/>
        <w:keepNext/>
      </w:pPr>
      <w:r>
        <w:rPr>
          <w:rFonts w:ascii="Arial" w:hAnsi="Arial" w:cs="Arial"/>
          <w:sz w:val="25"/>
        </w:rPr>
        <w:t>6.2. Firma</w:t>
      </w:r>
    </w:p>
    <w:p>
      <w:pPr>
        <w:jc w:val="both"/>
      </w:pPr>
      <w:r>
        <w:rPr>
          <w:rFonts w:ascii="Arial" w:hAnsi="Arial" w:cs="Arial"/>
          <w:sz w:val="22"/>
        </w:rPr>
        <w:t>La firma acredita la autenticidad de la expresión de voluntad y consentimiento, además de identidad e integridad. El artículo 10 admite:</w:t>
      </w:r>
    </w:p>
    <w:p>
      <w:pPr>
        <w:pStyle w:val="ListBullet"/>
      </w:pPr>
      <w:r>
        <w:rPr>
          <w:rFonts w:ascii="Arial" w:hAnsi="Arial" w:cs="Arial"/>
          <w:sz w:val="22"/>
        </w:rPr>
        <w:t>firma electrónica cualificada y avanzada basada en certificado cualificado;</w:t>
      </w:r>
    </w:p>
    <w:p>
      <w:pPr>
        <w:pStyle w:val="ListBullet"/>
      </w:pPr>
      <w:r>
        <w:rPr>
          <w:rFonts w:ascii="Arial" w:hAnsi="Arial" w:cs="Arial"/>
          <w:sz w:val="22"/>
        </w:rPr>
        <w:t>sello electrónico cualificado y avanzado basado en certificado cualificado;</w:t>
      </w:r>
    </w:p>
    <w:p>
      <w:pPr>
        <w:pStyle w:val="ListBullet"/>
      </w:pPr>
      <w:r>
        <w:rPr>
          <w:rFonts w:ascii="Arial" w:hAnsi="Arial" w:cs="Arial"/>
          <w:sz w:val="22"/>
        </w:rPr>
        <w:t>otros sistemas considerados válidos, con las condiciones legales de registro y comunicación.</w:t>
      </w:r>
    </w:p>
    <w:p>
      <w:pPr>
        <w:jc w:val="both"/>
      </w:pPr>
      <w:r>
        <w:rPr>
          <w:rFonts w:ascii="Arial" w:hAnsi="Arial" w:cs="Arial"/>
          <w:sz w:val="22"/>
        </w:rPr>
        <w:t>Las Administraciones han de garantizar que puedan utilizarse sistemas de firma o sello basados en certificados cualificados para todos los procedimientos, aunque puedan admitir otros. Si una norma lo permite y el sistema acredita autenticidad de voluntad y consentimiento, un sistema de identificación puede admitirse también como firma.</w:t>
      </w:r>
    </w:p>
    <w:p>
      <w:pPr>
        <w:pStyle w:val="Heading2"/>
        <w:keepNext/>
      </w:pPr>
      <w:r>
        <w:rPr>
          <w:rFonts w:ascii="Arial" w:hAnsi="Arial" w:cs="Arial"/>
          <w:sz w:val="25"/>
        </w:rPr>
        <w:t>6.3. Cuándo se exige firmar</w:t>
      </w:r>
    </w:p>
    <w:p>
      <w:pPr>
        <w:jc w:val="both"/>
      </w:pPr>
      <w:r>
        <w:rPr>
          <w:rFonts w:ascii="Arial" w:hAnsi="Arial" w:cs="Arial"/>
          <w:sz w:val="22"/>
        </w:rPr>
        <w:t>Con carácter general basta identificarse. La firma solo es obligatoria para:</w:t>
      </w:r>
    </w:p>
    <w:p>
      <w:pPr>
        <w:spacing w:after="40"/>
        <w:ind w:left="369" w:hanging="227"/>
      </w:pPr>
      <w:r>
        <w:rPr>
          <w:rFonts w:ascii="Arial" w:hAnsi="Arial" w:cs="Arial"/>
          <w:sz w:val="22"/>
        </w:rPr>
        <w:t>1. formular solicitudes;</w:t>
      </w:r>
    </w:p>
    <w:p>
      <w:pPr>
        <w:spacing w:after="40"/>
        <w:ind w:left="369" w:hanging="227"/>
      </w:pPr>
      <w:r>
        <w:rPr>
          <w:rFonts w:ascii="Arial" w:hAnsi="Arial" w:cs="Arial"/>
          <w:sz w:val="22"/>
        </w:rPr>
        <w:t>2. presentar declaraciones responsables o comunicaciones;</w:t>
      </w:r>
    </w:p>
    <w:p>
      <w:pPr>
        <w:spacing w:after="40"/>
        <w:ind w:left="369" w:hanging="227"/>
      </w:pPr>
      <w:r>
        <w:rPr>
          <w:rFonts w:ascii="Arial" w:hAnsi="Arial" w:cs="Arial"/>
          <w:sz w:val="22"/>
        </w:rPr>
        <w:t>3. interponer recursos;</w:t>
      </w:r>
    </w:p>
    <w:p>
      <w:pPr>
        <w:spacing w:after="40"/>
        <w:ind w:left="369" w:hanging="227"/>
      </w:pPr>
      <w:r>
        <w:rPr>
          <w:rFonts w:ascii="Arial" w:hAnsi="Arial" w:cs="Arial"/>
          <w:sz w:val="22"/>
        </w:rPr>
        <w:t>4. desistir de acciones;</w:t>
      </w:r>
    </w:p>
    <w:p>
      <w:pPr>
        <w:spacing w:after="40"/>
        <w:ind w:left="369" w:hanging="227"/>
      </w:pPr>
      <w:r>
        <w:rPr>
          <w:rFonts w:ascii="Arial" w:hAnsi="Arial" w:cs="Arial"/>
          <w:sz w:val="22"/>
        </w:rPr>
        <w:t>5. renunciar a derechos.</w:t>
      </w:r>
    </w:p>
    <w:p>
      <w:pPr>
        <w:jc w:val="both"/>
      </w:pPr>
      <w:r>
        <w:rPr>
          <w:rFonts w:ascii="Arial" w:hAnsi="Arial" w:cs="Arial"/>
          <w:sz w:val="22"/>
        </w:rPr>
        <w:t>Esta lista del artículo 11.2 es cerrada para la exigencia ordinaria de firma. Consultar un expediente o recibir información normalmente exige identificación, no necesariamente firma. La Administración no debe elevar sin base legal el nivel de garantía y dificultad.</w:t>
      </w:r>
    </w:p>
    <w:tbl>
      <w:tblPr>
        <w:tblStyle w:val="TableGrid"/>
        <w:tblW w:type="dxa" w:w="9026"/>
        <w:jc w:val="left"/>
        <w:tblLayout w:type="fixed"/>
        <w:tblLook w:firstColumn="1" w:firstRow="1" w:lastColumn="0" w:lastRow="0" w:noHBand="0" w:noVBand="1" w:val="04A0"/>
        <w:tblInd w:w="120" w:type="dxa"/>
      </w:tblPr>
      <w:tblGrid>
        <w:gridCol w:w="3472"/>
        <w:gridCol w:w="5554"/>
      </w:tblGrid>
      <w:tr>
        <w:trPr>
          <w:tblHeader w:val="true"/>
        </w:trPr>
        <w:tc>
          <w:tcPr>
            <w:tcW w:type="dxa" w:w="347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Operación</w:t>
            </w:r>
          </w:p>
        </w:tc>
        <w:tc>
          <w:tcPr>
            <w:tcW w:type="dxa" w:w="555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Regla</w:t>
            </w:r>
          </w:p>
        </w:tc>
      </w:tr>
      <w:tr>
        <w:tc>
          <w:tcPr>
            <w:tcW w:type="dxa" w:w="3472"/>
            <w:tcMar>
              <w:top w:w="80" w:type="dxa"/>
              <w:start w:w="120" w:type="dxa"/>
              <w:bottom w:w="80" w:type="dxa"/>
              <w:end w:w="120" w:type="dxa"/>
            </w:tcMar>
            <w:vAlign w:val="center"/>
          </w:tcPr>
          <w:p>
            <w:pPr>
              <w:spacing w:before="0" w:after="0" w:line="240" w:lineRule="auto"/>
              <w:jc w:val="left"/>
            </w:pPr>
            <w:r/>
            <w:r>
              <w:rPr>
                <w:rFonts w:ascii="Arial" w:hAnsi="Arial" w:cs="Arial"/>
                <w:sz w:val="18"/>
              </w:rPr>
              <w:t>Identificarse</w:t>
            </w:r>
          </w:p>
        </w:tc>
        <w:tc>
          <w:tcPr>
            <w:tcW w:type="dxa" w:w="5554"/>
            <w:tcMar>
              <w:top w:w="80" w:type="dxa"/>
              <w:start w:w="120" w:type="dxa"/>
              <w:bottom w:w="80" w:type="dxa"/>
              <w:end w:w="120" w:type="dxa"/>
            </w:tcMar>
            <w:vAlign w:val="center"/>
          </w:tcPr>
          <w:p>
            <w:pPr>
              <w:spacing w:before="0" w:after="0" w:line="240" w:lineRule="auto"/>
              <w:jc w:val="left"/>
            </w:pPr>
            <w:r/>
            <w:r>
              <w:rPr>
                <w:rFonts w:ascii="Arial" w:hAnsi="Arial" w:cs="Arial"/>
                <w:sz w:val="18"/>
              </w:rPr>
              <w:t>Acredita quién actúa</w:t>
            </w:r>
          </w:p>
        </w:tc>
      </w:tr>
      <w:tr>
        <w:tc>
          <w:tcPr>
            <w:tcW w:type="dxa" w:w="3472"/>
            <w:tcMar>
              <w:top w:w="80" w:type="dxa"/>
              <w:start w:w="120" w:type="dxa"/>
              <w:bottom w:w="80" w:type="dxa"/>
              <w:end w:w="120" w:type="dxa"/>
            </w:tcMar>
            <w:vAlign w:val="center"/>
          </w:tcPr>
          <w:p>
            <w:pPr>
              <w:spacing w:before="0" w:after="0" w:line="240" w:lineRule="auto"/>
              <w:jc w:val="left"/>
            </w:pPr>
            <w:r/>
            <w:r>
              <w:rPr>
                <w:rFonts w:ascii="Arial" w:hAnsi="Arial" w:cs="Arial"/>
                <w:sz w:val="18"/>
              </w:rPr>
              <w:t>Firmar</w:t>
            </w:r>
          </w:p>
        </w:tc>
        <w:tc>
          <w:tcPr>
            <w:tcW w:type="dxa" w:w="5554"/>
            <w:tcMar>
              <w:top w:w="80" w:type="dxa"/>
              <w:start w:w="120" w:type="dxa"/>
              <w:bottom w:w="80" w:type="dxa"/>
              <w:end w:w="120" w:type="dxa"/>
            </w:tcMar>
            <w:vAlign w:val="center"/>
          </w:tcPr>
          <w:p>
            <w:pPr>
              <w:spacing w:before="0" w:after="0" w:line="240" w:lineRule="auto"/>
              <w:jc w:val="left"/>
            </w:pPr>
            <w:r/>
            <w:r>
              <w:rPr>
                <w:rFonts w:ascii="Arial" w:hAnsi="Arial" w:cs="Arial"/>
                <w:sz w:val="18"/>
              </w:rPr>
              <w:t>Acredita además voluntad y consentimiento e integridad</w:t>
            </w:r>
          </w:p>
        </w:tc>
      </w:tr>
      <w:tr>
        <w:tc>
          <w:tcPr>
            <w:tcW w:type="dxa" w:w="3472"/>
            <w:tcMar>
              <w:top w:w="80" w:type="dxa"/>
              <w:start w:w="120" w:type="dxa"/>
              <w:bottom w:w="80" w:type="dxa"/>
              <w:end w:w="120" w:type="dxa"/>
            </w:tcMar>
            <w:vAlign w:val="center"/>
          </w:tcPr>
          <w:p>
            <w:pPr>
              <w:spacing w:before="0" w:after="0" w:line="240" w:lineRule="auto"/>
              <w:jc w:val="left"/>
            </w:pPr>
            <w:r/>
            <w:r>
              <w:rPr>
                <w:rFonts w:ascii="Arial" w:hAnsi="Arial" w:cs="Arial"/>
                <w:sz w:val="18"/>
              </w:rPr>
              <w:t>Presentar solicitud</w:t>
            </w:r>
          </w:p>
        </w:tc>
        <w:tc>
          <w:tcPr>
            <w:tcW w:type="dxa" w:w="5554"/>
            <w:tcMar>
              <w:top w:w="80" w:type="dxa"/>
              <w:start w:w="120" w:type="dxa"/>
              <w:bottom w:w="80" w:type="dxa"/>
              <w:end w:w="120" w:type="dxa"/>
            </w:tcMar>
            <w:vAlign w:val="center"/>
          </w:tcPr>
          <w:p>
            <w:pPr>
              <w:spacing w:before="0" w:after="0" w:line="240" w:lineRule="auto"/>
              <w:jc w:val="center"/>
            </w:pPr>
            <w:r/>
            <w:r>
              <w:rPr>
                <w:rFonts w:ascii="Arial" w:hAnsi="Arial" w:cs="Arial"/>
                <w:sz w:val="18"/>
              </w:rPr>
              <w:t>Exige firma</w:t>
            </w:r>
          </w:p>
        </w:tc>
      </w:tr>
      <w:tr>
        <w:tc>
          <w:tcPr>
            <w:tcW w:type="dxa" w:w="3472"/>
            <w:tcMar>
              <w:top w:w="80" w:type="dxa"/>
              <w:start w:w="120" w:type="dxa"/>
              <w:bottom w:w="80" w:type="dxa"/>
              <w:end w:w="120" w:type="dxa"/>
            </w:tcMar>
            <w:vAlign w:val="center"/>
          </w:tcPr>
          <w:p>
            <w:pPr>
              <w:spacing w:before="0" w:after="0" w:line="240" w:lineRule="auto"/>
              <w:jc w:val="left"/>
            </w:pPr>
            <w:r/>
            <w:r>
              <w:rPr>
                <w:rFonts w:ascii="Arial" w:hAnsi="Arial" w:cs="Arial"/>
                <w:sz w:val="18"/>
              </w:rPr>
              <w:t>Consultar estado</w:t>
            </w:r>
          </w:p>
        </w:tc>
        <w:tc>
          <w:tcPr>
            <w:tcW w:type="dxa" w:w="5554"/>
            <w:tcMar>
              <w:top w:w="80" w:type="dxa"/>
              <w:start w:w="120" w:type="dxa"/>
              <w:bottom w:w="80" w:type="dxa"/>
              <w:end w:w="120" w:type="dxa"/>
            </w:tcMar>
            <w:vAlign w:val="center"/>
          </w:tcPr>
          <w:p>
            <w:pPr>
              <w:spacing w:before="0" w:after="0" w:line="240" w:lineRule="auto"/>
              <w:jc w:val="left"/>
            </w:pPr>
            <w:r/>
            <w:r>
              <w:rPr>
                <w:rFonts w:ascii="Arial" w:hAnsi="Arial" w:cs="Arial"/>
                <w:sz w:val="18"/>
              </w:rPr>
              <w:t>Normalmente identificación</w:t>
            </w:r>
          </w:p>
        </w:tc>
      </w:tr>
      <w:tr>
        <w:tc>
          <w:tcPr>
            <w:tcW w:type="dxa" w:w="3472"/>
            <w:tcMar>
              <w:top w:w="80" w:type="dxa"/>
              <w:start w:w="120" w:type="dxa"/>
              <w:bottom w:w="80" w:type="dxa"/>
              <w:end w:w="120" w:type="dxa"/>
            </w:tcMar>
            <w:vAlign w:val="center"/>
          </w:tcPr>
          <w:p>
            <w:pPr>
              <w:spacing w:before="0" w:after="0" w:line="240" w:lineRule="auto"/>
              <w:jc w:val="left"/>
            </w:pPr>
            <w:r/>
            <w:r>
              <w:rPr>
                <w:rFonts w:ascii="Arial" w:hAnsi="Arial" w:cs="Arial"/>
                <w:sz w:val="18"/>
              </w:rPr>
              <w:t>Actuar por funcionario habilitado</w:t>
            </w:r>
          </w:p>
        </w:tc>
        <w:tc>
          <w:tcPr>
            <w:tcW w:type="dxa" w:w="5554"/>
            <w:tcMar>
              <w:top w:w="80" w:type="dxa"/>
              <w:start w:w="120" w:type="dxa"/>
              <w:bottom w:w="80" w:type="dxa"/>
              <w:end w:w="120" w:type="dxa"/>
            </w:tcMar>
            <w:vAlign w:val="center"/>
          </w:tcPr>
          <w:p>
            <w:pPr>
              <w:spacing w:before="0" w:after="0" w:line="240" w:lineRule="auto"/>
              <w:jc w:val="left"/>
            </w:pPr>
            <w:r/>
            <w:r>
              <w:rPr>
                <w:rFonts w:ascii="Arial" w:hAnsi="Arial" w:cs="Arial"/>
                <w:sz w:val="18"/>
              </w:rPr>
              <w:t>Identificación del interesado + consentimiento expreso</w:t>
            </w:r>
          </w:p>
        </w:tc>
      </w:tr>
    </w:tbl>
    <w:p>
      <w:pPr>
        <w:spacing w:after="40"/>
      </w:pPr>
    </w:p>
    <w:p>
      <w:pPr>
        <w:pStyle w:val="Heading1"/>
        <w:keepNext/>
      </w:pPr>
      <w:r>
        <w:rPr>
          <w:rFonts w:ascii="Arial" w:hAnsi="Arial" w:cs="Arial"/>
          <w:sz w:val="30"/>
        </w:rPr>
        <w:t>7. Identificación y firma de la Administración</w:t>
      </w:r>
    </w:p>
    <w:p>
      <w:pPr>
        <w:jc w:val="both"/>
      </w:pPr>
      <w:r>
        <w:rPr>
          <w:rFonts w:ascii="Arial" w:hAnsi="Arial" w:cs="Arial"/>
          <w:sz w:val="22"/>
        </w:rPr>
        <w:t xml:space="preserve">La sede se identifica mediante certificado cualificado de autenticación de sitio web o sistema equivalente. Las Administraciones pueden identificarse mediante </w:t>
      </w:r>
      <w:r>
        <w:rPr>
          <w:rFonts w:ascii="Arial" w:hAnsi="Arial" w:cs="Arial"/>
          <w:b/>
          <w:sz w:val="22"/>
        </w:rPr>
        <w:t>sello electrónico</w:t>
      </w:r>
      <w:r>
        <w:rPr>
          <w:rFonts w:ascii="Arial" w:hAnsi="Arial" w:cs="Arial"/>
          <w:sz w:val="22"/>
        </w:rPr>
        <w:t xml:space="preserve"> basado en certificado que reúna los requisitos legales. La relación de sellos, características y prestadores debe ser pública y accesible.</w:t>
      </w:r>
    </w:p>
    <w:p>
      <w:pPr>
        <w:jc w:val="both"/>
      </w:pPr>
      <w:r>
        <w:rPr>
          <w:rFonts w:ascii="Arial" w:hAnsi="Arial" w:cs="Arial"/>
          <w:sz w:val="22"/>
        </w:rPr>
        <w:t>Para la actuación administrativa automatizada, el artículo 42 LRJSP permite:</w:t>
      </w:r>
    </w:p>
    <w:p>
      <w:pPr>
        <w:pStyle w:val="ListBullet"/>
      </w:pPr>
      <w:r>
        <w:rPr>
          <w:rFonts w:ascii="Arial" w:hAnsi="Arial" w:cs="Arial"/>
          <w:sz w:val="22"/>
        </w:rPr>
        <w:t>sello electrónico de Administración, órgano, organismo o entidad pública;</w:t>
      </w:r>
    </w:p>
    <w:p>
      <w:pPr>
        <w:pStyle w:val="ListBullet"/>
      </w:pPr>
      <w:r>
        <w:rPr>
          <w:rFonts w:ascii="Arial" w:hAnsi="Arial" w:cs="Arial"/>
          <w:b/>
          <w:sz w:val="22"/>
        </w:rPr>
        <w:t>código seguro de verificación</w:t>
      </w:r>
      <w:r>
        <w:rPr>
          <w:rFonts w:ascii="Arial" w:hAnsi="Arial" w:cs="Arial"/>
          <w:sz w:val="22"/>
        </w:rPr>
        <w:t xml:space="preserve"> —CSV— vinculado a la Administración, órgano, organismo o entidad, que permite comprobar la integridad del documento accediendo a la sede.</w:t>
      </w:r>
    </w:p>
    <w:p>
      <w:pPr>
        <w:jc w:val="both"/>
      </w:pPr>
      <w:r>
        <w:rPr>
          <w:rFonts w:ascii="Arial" w:hAnsi="Arial" w:cs="Arial"/>
          <w:sz w:val="22"/>
        </w:rPr>
        <w:t>En la actuación no automatizada, la firma del empleado público puede identificar conjuntamente al titular del puesto o empleado y a la Administración u órgano. Por razones de seguridad pública puede sustituirse la identificación personal por un número profesional o código, cuando esté justificado.</w:t>
      </w:r>
    </w:p>
    <w:p>
      <w:pPr>
        <w:jc w:val="both"/>
      </w:pPr>
      <w:r>
        <w:rPr>
          <w:rFonts w:ascii="Arial" w:hAnsi="Arial" w:cs="Arial"/>
          <w:sz w:val="22"/>
        </w:rPr>
        <w:t xml:space="preserve">Los documentos transmitidos en </w:t>
      </w:r>
      <w:r>
        <w:rPr>
          <w:rFonts w:ascii="Arial" w:hAnsi="Arial" w:cs="Arial"/>
          <w:b/>
          <w:sz w:val="22"/>
        </w:rPr>
        <w:t>entornos cerrados de comunicación</w:t>
      </w:r>
      <w:r>
        <w:rPr>
          <w:rFonts w:ascii="Arial" w:hAnsi="Arial" w:cs="Arial"/>
          <w:sz w:val="22"/>
        </w:rPr>
        <w:t xml:space="preserve"> son válidos si se respetan las condiciones y garantías acordadas. Cuando intervienen distintas Administraciones, esas condiciones se fijan mediante convenio; dentro de una misma Administración, por el órgano competente. Entorno cerrado no equivale a ausencia de autenticidad: deben determinarse emisores, receptores y medidas de seguridad.</w:t>
      </w:r>
    </w:p>
    <w:p>
      <w:pPr>
        <w:pStyle w:val="Heading1"/>
        <w:keepNext/>
      </w:pPr>
      <w:r>
        <w:rPr>
          <w:rFonts w:ascii="Arial" w:hAnsi="Arial" w:cs="Arial"/>
          <w:sz w:val="30"/>
        </w:rPr>
        <w:t>8. Actuación administrativa automatizada</w:t>
      </w:r>
    </w:p>
    <w:p>
      <w:pPr>
        <w:jc w:val="both"/>
      </w:pPr>
      <w:r>
        <w:rPr>
          <w:rFonts w:ascii="Arial" w:hAnsi="Arial" w:cs="Arial"/>
          <w:sz w:val="22"/>
        </w:rPr>
        <w:t xml:space="preserve">El artículo 41 LRJSP considera </w:t>
      </w:r>
      <w:r>
        <w:rPr>
          <w:rFonts w:ascii="Arial" w:hAnsi="Arial" w:cs="Arial"/>
          <w:b/>
          <w:sz w:val="22"/>
        </w:rPr>
        <w:t>actuación administrativa automatizada</w:t>
      </w:r>
      <w:r>
        <w:rPr>
          <w:rFonts w:ascii="Arial" w:hAnsi="Arial" w:cs="Arial"/>
          <w:sz w:val="22"/>
        </w:rPr>
        <w:t xml:space="preserve"> cualquier acto o actuación realizado íntegramente por medios electrónicos por una Administración en un procedimiento y en el que no haya intervenido de forma directa un empleado público. No basta con que un funcionario utilice una aplicación para redactar o firmar: la actuación completa debe producirse sin intervención directa.</w:t>
      </w:r>
    </w:p>
    <w:p>
      <w:pPr>
        <w:jc w:val="both"/>
      </w:pPr>
      <w:r>
        <w:rPr>
          <w:rFonts w:ascii="Arial" w:hAnsi="Arial" w:cs="Arial"/>
          <w:sz w:val="22"/>
        </w:rPr>
        <w:t>Antes de utilizarla deben determinarse:</w:t>
      </w:r>
    </w:p>
    <w:p>
      <w:pPr>
        <w:pStyle w:val="ListBullet"/>
      </w:pPr>
      <w:r>
        <w:rPr>
          <w:rFonts w:ascii="Arial" w:hAnsi="Arial" w:cs="Arial"/>
          <w:sz w:val="22"/>
        </w:rPr>
        <w:t>el órgano u órganos responsables de definir especificaciones, programar, mantener, supervisar y controlar la calidad del sistema y, en su caso, auditar el código fuente;</w:t>
      </w:r>
    </w:p>
    <w:p>
      <w:pPr>
        <w:pStyle w:val="ListBullet"/>
      </w:pPr>
      <w:r>
        <w:rPr>
          <w:rFonts w:ascii="Arial" w:hAnsi="Arial" w:cs="Arial"/>
          <w:sz w:val="22"/>
        </w:rPr>
        <w:t>el órgano considerado responsable a efectos de impugnación;</w:t>
      </w:r>
    </w:p>
    <w:p>
      <w:pPr>
        <w:pStyle w:val="ListBullet"/>
      </w:pPr>
      <w:r>
        <w:rPr>
          <w:rFonts w:ascii="Arial" w:hAnsi="Arial" w:cs="Arial"/>
          <w:sz w:val="22"/>
        </w:rPr>
        <w:t>el sistema de firma administrativa —sello o CSV—;</w:t>
      </w:r>
    </w:p>
    <w:p>
      <w:pPr>
        <w:pStyle w:val="ListBullet"/>
      </w:pPr>
      <w:r>
        <w:rPr>
          <w:rFonts w:ascii="Arial" w:hAnsi="Arial" w:cs="Arial"/>
          <w:sz w:val="22"/>
        </w:rPr>
        <w:t>el encaje de la actuación en el procedimiento y las garantías de protección de datos, seguridad, transparencia y revisión.</w:t>
      </w:r>
    </w:p>
    <w:p>
      <w:pPr>
        <w:jc w:val="both"/>
      </w:pPr>
      <w:r>
        <w:rPr>
          <w:rFonts w:ascii="Arial" w:hAnsi="Arial" w:cs="Arial"/>
          <w:sz w:val="22"/>
        </w:rPr>
        <w:t>En el ámbito estatal, la autorización se formaliza mediante resolución del órgano competente y se publica en la sede. La sede ofrece una relación actualizada de actuaciones automatizadas, con una descripción de su diseño y funcionamiento, mecanismos de rendición de cuentas y datos utilizados en su configuración. Que el cálculo sea automático no elimina la obligación de motivar cuando proceda ni el derecho a recurrir el resultado ante el órgano designado.</w:t>
      </w:r>
    </w:p>
    <w:p>
      <w:pPr>
        <w:spacing w:after="100"/>
        <w:ind w:left="340" w:right="227"/>
        <w:shd w:fill="EAF2F8"/>
      </w:pPr>
      <w:r>
        <w:rPr>
          <w:rFonts w:ascii="Arial" w:hAnsi="Arial" w:cs="Arial"/>
          <w:b/>
          <w:sz w:val="20"/>
        </w:rPr>
        <w:t>Ejemplo:</w:t>
      </w:r>
      <w:r>
        <w:rPr>
          <w:rFonts w:ascii="Arial" w:hAnsi="Arial" w:cs="Arial"/>
          <w:sz w:val="20"/>
        </w:rPr>
        <w:t xml:space="preserve"> la expedición automática de un justificante verificable por CSV puede ser actuación automatizada; una resolución que un empleado examina y firma mediante una aplicación no lo es.</w:t>
      </w:r>
    </w:p>
    <w:p>
      <w:pPr>
        <w:pStyle w:val="Heading1"/>
        <w:keepNext/>
      </w:pPr>
      <w:r>
        <w:rPr>
          <w:rFonts w:ascii="Arial" w:hAnsi="Arial" w:cs="Arial"/>
          <w:sz w:val="30"/>
        </w:rPr>
        <w:t>9. Registros electrónicos</w:t>
      </w:r>
    </w:p>
    <w:p>
      <w:pPr>
        <w:pStyle w:val="Heading2"/>
        <w:keepNext/>
      </w:pPr>
      <w:r>
        <w:rPr>
          <w:rFonts w:ascii="Arial" w:hAnsi="Arial" w:cs="Arial"/>
          <w:sz w:val="25"/>
        </w:rPr>
        <w:t>9.1. Registro electrónico general</w:t>
      </w:r>
    </w:p>
    <w:p>
      <w:pPr>
        <w:jc w:val="both"/>
      </w:pPr>
      <w:r>
        <w:rPr>
          <w:rFonts w:ascii="Arial" w:hAnsi="Arial" w:cs="Arial"/>
          <w:sz w:val="22"/>
        </w:rPr>
        <w:t xml:space="preserve">Cada Administración dispone de un </w:t>
      </w:r>
      <w:r>
        <w:rPr>
          <w:rFonts w:ascii="Arial" w:hAnsi="Arial" w:cs="Arial"/>
          <w:b/>
          <w:sz w:val="22"/>
        </w:rPr>
        <w:t>Registro Electrónico General</w:t>
      </w:r>
      <w:r>
        <w:rPr>
          <w:rFonts w:ascii="Arial" w:hAnsi="Arial" w:cs="Arial"/>
          <w:sz w:val="22"/>
        </w:rPr>
        <w:t xml:space="preserve"> en el que se anota todo documento presentado o recibido en cualquier órgano, organismo o entidad vinculada o dependiente. También pueden registrarse las salidas de documentos oficiales dirigidos a otros órganos o particulares. Los organismos pueden tener su propio registro, plenamente interoperable e interconectado con el general de la Administración de la que dependen.</w:t>
      </w:r>
    </w:p>
    <w:p>
      <w:pPr>
        <w:jc w:val="both"/>
      </w:pPr>
      <w:r>
        <w:rPr>
          <w:rFonts w:ascii="Arial" w:hAnsi="Arial" w:cs="Arial"/>
          <w:sz w:val="22"/>
        </w:rPr>
        <w:t>Las disposiciones de creación se publican en el diario oficial y su texto íntegro está disponible en la sede. Deben especificar órgano o unidad responsable, fecha y hora oficial, días inhábiles y trámites que pueden iniciarse. En la sede se mantiene una relación actualizada de los trámites admisibles.</w:t>
      </w:r>
    </w:p>
    <w:p>
      <w:pPr>
        <w:jc w:val="both"/>
      </w:pPr>
      <w:r>
        <w:rPr>
          <w:rFonts w:ascii="Arial" w:hAnsi="Arial" w:cs="Arial"/>
          <w:sz w:val="22"/>
        </w:rPr>
        <w:t>Cada asiento respeta el orden temporal de recepción o salida y deja constancia, al menos, de:</w:t>
      </w:r>
    </w:p>
    <w:p>
      <w:pPr>
        <w:pStyle w:val="ListBullet"/>
      </w:pPr>
      <w:r>
        <w:rPr>
          <w:rFonts w:ascii="Arial" w:hAnsi="Arial" w:cs="Arial"/>
          <w:sz w:val="22"/>
        </w:rPr>
        <w:t>número, epígrafe expresivo de naturaleza, fecha y hora;</w:t>
      </w:r>
    </w:p>
    <w:p>
      <w:pPr>
        <w:pStyle w:val="ListBullet"/>
      </w:pPr>
      <w:r>
        <w:rPr>
          <w:rFonts w:ascii="Arial" w:hAnsi="Arial" w:cs="Arial"/>
          <w:sz w:val="22"/>
        </w:rPr>
        <w:t>identificación del interesado;</w:t>
      </w:r>
    </w:p>
    <w:p>
      <w:pPr>
        <w:pStyle w:val="ListBullet"/>
      </w:pPr>
      <w:r>
        <w:rPr>
          <w:rFonts w:ascii="Arial" w:hAnsi="Arial" w:cs="Arial"/>
          <w:sz w:val="22"/>
        </w:rPr>
        <w:t>órgano administrativo remitente, cuando proceda;</w:t>
      </w:r>
    </w:p>
    <w:p>
      <w:pPr>
        <w:pStyle w:val="ListBullet"/>
      </w:pPr>
      <w:r>
        <w:rPr>
          <w:rFonts w:ascii="Arial" w:hAnsi="Arial" w:cs="Arial"/>
          <w:sz w:val="22"/>
        </w:rPr>
        <w:t>persona u órgano destinatario;</w:t>
      </w:r>
    </w:p>
    <w:p>
      <w:pPr>
        <w:pStyle w:val="ListBullet"/>
      </w:pPr>
      <w:r>
        <w:rPr>
          <w:rFonts w:ascii="Arial" w:hAnsi="Arial" w:cs="Arial"/>
          <w:sz w:val="22"/>
        </w:rPr>
        <w:t>referencia al contenido del documento.</w:t>
      </w:r>
    </w:p>
    <w:p>
      <w:pPr>
        <w:jc w:val="both"/>
      </w:pPr>
      <w:r>
        <w:rPr>
          <w:rFonts w:ascii="Arial" w:hAnsi="Arial" w:cs="Arial"/>
          <w:sz w:val="22"/>
        </w:rPr>
        <w:t xml:space="preserve">Tras la presentación se expide automáticamente un </w:t>
      </w:r>
      <w:r>
        <w:rPr>
          <w:rFonts w:ascii="Arial" w:hAnsi="Arial" w:cs="Arial"/>
          <w:b/>
          <w:sz w:val="22"/>
        </w:rPr>
        <w:t>recibo</w:t>
      </w:r>
      <w:r>
        <w:rPr>
          <w:rFonts w:ascii="Arial" w:hAnsi="Arial" w:cs="Arial"/>
          <w:sz w:val="22"/>
        </w:rPr>
        <w:t>, copia autenticada del documento con fecha, hora y número de entrada, y recibo acreditativo de los documentos anexos. El recibo prueba la presentación, pero no que el escrito sea materialmente correcto ni que el órgano destinatario sea competente.</w:t>
      </w:r>
    </w:p>
    <w:p>
      <w:pPr>
        <w:pStyle w:val="Heading2"/>
        <w:keepNext/>
      </w:pPr>
      <w:r>
        <w:rPr>
          <w:rFonts w:ascii="Arial" w:hAnsi="Arial" w:cs="Arial"/>
          <w:sz w:val="25"/>
        </w:rPr>
        <w:t>9.2. Lugares de presentación</w:t>
      </w:r>
    </w:p>
    <w:p>
      <w:pPr>
        <w:jc w:val="both"/>
      </w:pPr>
      <w:r>
        <w:rPr>
          <w:rFonts w:ascii="Arial" w:hAnsi="Arial" w:cs="Arial"/>
          <w:sz w:val="22"/>
        </w:rPr>
        <w:t>Los documentos dirigidos a órganos de las Administraciones pueden presentarse:</w:t>
      </w:r>
    </w:p>
    <w:p>
      <w:pPr>
        <w:spacing w:after="40"/>
        <w:ind w:left="369" w:hanging="227"/>
      </w:pPr>
      <w:r>
        <w:rPr>
          <w:rFonts w:ascii="Arial" w:hAnsi="Arial" w:cs="Arial"/>
          <w:sz w:val="22"/>
        </w:rPr>
        <w:t>1. en el registro electrónico de la Administración u organismo destinatario;</w:t>
      </w:r>
    </w:p>
    <w:p>
      <w:pPr>
        <w:spacing w:after="40"/>
        <w:ind w:left="369" w:hanging="227"/>
      </w:pPr>
      <w:r>
        <w:rPr>
          <w:rFonts w:ascii="Arial" w:hAnsi="Arial" w:cs="Arial"/>
          <w:sz w:val="22"/>
        </w:rPr>
        <w:t>2. en los restantes registros electrónicos de cualquiera de los sujetos del artículo 2.1 LPAC;</w:t>
      </w:r>
    </w:p>
    <w:p>
      <w:pPr>
        <w:spacing w:after="40"/>
        <w:ind w:left="369" w:hanging="227"/>
      </w:pPr>
      <w:r>
        <w:rPr>
          <w:rFonts w:ascii="Arial" w:hAnsi="Arial" w:cs="Arial"/>
          <w:sz w:val="22"/>
        </w:rPr>
        <w:t>3. en oficinas de Correos, en la forma reglamentaria;</w:t>
      </w:r>
    </w:p>
    <w:p>
      <w:pPr>
        <w:spacing w:after="40"/>
        <w:ind w:left="369" w:hanging="227"/>
      </w:pPr>
      <w:r>
        <w:rPr>
          <w:rFonts w:ascii="Arial" w:hAnsi="Arial" w:cs="Arial"/>
          <w:sz w:val="22"/>
        </w:rPr>
        <w:t>4. en representaciones diplomáticas u oficinas consulares de España en el extranjero;</w:t>
      </w:r>
    </w:p>
    <w:p>
      <w:pPr>
        <w:spacing w:after="40"/>
        <w:ind w:left="369" w:hanging="227"/>
      </w:pPr>
      <w:r>
        <w:rPr>
          <w:rFonts w:ascii="Arial" w:hAnsi="Arial" w:cs="Arial"/>
          <w:sz w:val="22"/>
        </w:rPr>
        <w:t>5. en oficinas de asistencia en materia de registros;</w:t>
      </w:r>
    </w:p>
    <w:p>
      <w:pPr>
        <w:spacing w:after="40"/>
        <w:ind w:left="369" w:hanging="227"/>
      </w:pPr>
      <w:r>
        <w:rPr>
          <w:rFonts w:ascii="Arial" w:hAnsi="Arial" w:cs="Arial"/>
          <w:sz w:val="22"/>
        </w:rPr>
        <w:t>6. en cualquier otro lugar que establezcan las disposiciones vigentes.</w:t>
      </w:r>
    </w:p>
    <w:p>
      <w:pPr>
        <w:jc w:val="both"/>
      </w:pPr>
      <w:r>
        <w:rPr>
          <w:rFonts w:ascii="Arial" w:hAnsi="Arial" w:cs="Arial"/>
          <w:sz w:val="22"/>
        </w:rPr>
        <w:t xml:space="preserve">Los registros deben ser interoperables para permitir transmisión telemática de asientos y documentos. En el sector público estatal, el </w:t>
      </w:r>
      <w:r>
        <w:rPr>
          <w:rFonts w:ascii="Arial" w:hAnsi="Arial" w:cs="Arial"/>
          <w:b/>
          <w:sz w:val="22"/>
        </w:rPr>
        <w:t>Sistema de Interconexión de Registros</w:t>
      </w:r>
      <w:r>
        <w:rPr>
          <w:rFonts w:ascii="Arial" w:hAnsi="Arial" w:cs="Arial"/>
          <w:sz w:val="22"/>
        </w:rPr>
        <w:t xml:space="preserve"> —SIR— canaliza el intercambio entre oficinas y unidades integradas.</w:t>
      </w:r>
    </w:p>
    <w:p>
      <w:pPr>
        <w:jc w:val="both"/>
      </w:pPr>
      <w:r>
        <w:rPr>
          <w:rFonts w:ascii="Arial" w:hAnsi="Arial" w:cs="Arial"/>
          <w:sz w:val="22"/>
        </w:rPr>
        <w:t>La oficina de asistencia digitaliza los documentos presentados en papel para incorporarlos al expediente electrónico y devuelve los originales, salvo que una norma exija su custodia o que, por su naturaleza u objeto, no puedan digitalizarse. Puede solicitarse exhibición del original para cotejo cuando haya dudas derivadas de la calidad de la copia o relevancia del documento.</w:t>
      </w:r>
    </w:p>
    <w:p>
      <w:pPr>
        <w:jc w:val="both"/>
      </w:pPr>
      <w:r>
        <w:rPr>
          <w:rFonts w:ascii="Arial" w:hAnsi="Arial" w:cs="Arial"/>
          <w:sz w:val="22"/>
        </w:rPr>
        <w:t>Los documentos e información cuyo régimen especial establezca otra forma de presentación no se tienen por presentados en el registro. Así, un objeto físico, una muestra o una oferta sujeta a plataforma contractual específica no se convierte en válida por adjuntar una fotografía a un registro común.</w:t>
      </w:r>
    </w:p>
    <w:p>
      <w:pPr>
        <w:pStyle w:val="Heading2"/>
        <w:keepNext/>
      </w:pPr>
      <w:r>
        <w:rPr>
          <w:rFonts w:ascii="Arial" w:hAnsi="Arial" w:cs="Arial"/>
          <w:sz w:val="25"/>
        </w:rPr>
        <w:t>9.3. Fecha, hora y cómputo</w:t>
      </w:r>
    </w:p>
    <w:p>
      <w:pPr>
        <w:jc w:val="both"/>
      </w:pPr>
      <w:r>
        <w:rPr>
          <w:rFonts w:ascii="Arial" w:hAnsi="Arial" w:cs="Arial"/>
          <w:sz w:val="22"/>
        </w:rPr>
        <w:t xml:space="preserve">El registro electrónico permite presentar documentos </w:t>
      </w:r>
      <w:r>
        <w:rPr>
          <w:rFonts w:ascii="Arial" w:hAnsi="Arial" w:cs="Arial"/>
          <w:b/>
          <w:sz w:val="22"/>
        </w:rPr>
        <w:t>todos los días del año, durante las veinticuatro horas</w:t>
      </w:r>
      <w:r>
        <w:rPr>
          <w:rFonts w:ascii="Arial" w:hAnsi="Arial" w:cs="Arial"/>
          <w:sz w:val="22"/>
        </w:rPr>
        <w:t>. Se rige por la fecha y hora oficial de la sede, que debe ser visible y contar con medidas de integridad.</w:t>
      </w:r>
    </w:p>
    <w:p>
      <w:pPr>
        <w:jc w:val="both"/>
      </w:pPr>
      <w:r>
        <w:rPr>
          <w:rFonts w:ascii="Arial" w:hAnsi="Arial" w:cs="Arial"/>
          <w:sz w:val="22"/>
        </w:rPr>
        <w:t>Para los plazos fijados en días hábiles:</w:t>
      </w:r>
    </w:p>
    <w:p>
      <w:pPr>
        <w:pStyle w:val="ListBullet"/>
      </w:pPr>
      <w:r>
        <w:rPr>
          <w:rFonts w:ascii="Arial" w:hAnsi="Arial" w:cs="Arial"/>
          <w:sz w:val="22"/>
        </w:rPr>
        <w:t xml:space="preserve">la presentación en un día inhábil se entiende realizada en la </w:t>
      </w:r>
      <w:r>
        <w:rPr>
          <w:rFonts w:ascii="Arial" w:hAnsi="Arial" w:cs="Arial"/>
          <w:b/>
          <w:sz w:val="22"/>
        </w:rPr>
        <w:t>primera hora del primer día hábil siguiente</w:t>
      </w:r>
      <w:r>
        <w:rPr>
          <w:rFonts w:ascii="Arial" w:hAnsi="Arial" w:cs="Arial"/>
          <w:sz w:val="22"/>
        </w:rPr>
        <w:t>, salvo que una norma permita expresamente la recepción en inhábil;</w:t>
      </w:r>
    </w:p>
    <w:p>
      <w:pPr>
        <w:pStyle w:val="ListBullet"/>
      </w:pPr>
      <w:r>
        <w:rPr>
          <w:rFonts w:ascii="Arial" w:hAnsi="Arial" w:cs="Arial"/>
          <w:sz w:val="22"/>
        </w:rPr>
        <w:t>los documentos presentados en inhábil se ordenan según su hora efectiva y se consideran anteriores a los que se presenten el primer día hábil;</w:t>
      </w:r>
    </w:p>
    <w:p>
      <w:pPr>
        <w:pStyle w:val="ListBullet"/>
      </w:pPr>
      <w:r>
        <w:rPr>
          <w:rFonts w:ascii="Arial" w:hAnsi="Arial" w:cs="Arial"/>
          <w:sz w:val="22"/>
        </w:rPr>
        <w:t>el inicio del cómputo de los plazos que debe cumplir la Administración viene determinado por la fecha y hora de presentación en el registro electrónico de la Administración u organismo competente, y debe comunicarse al presentador.</w:t>
      </w:r>
    </w:p>
    <w:p>
      <w:pPr>
        <w:jc w:val="both"/>
      </w:pPr>
      <w:r>
        <w:rPr>
          <w:rFonts w:ascii="Arial" w:hAnsi="Arial" w:cs="Arial"/>
          <w:sz w:val="22"/>
        </w:rPr>
        <w:t>Esta regla no hace inhábil el registro: el sistema recibe el documento y genera recibo. Lo que se difiere es la fecha jurídica relevante en el cómputo de días hábiles. Si el plazo se fija en días naturales o una norma especial permite efectos inmediatos, se aplica esa regulación.</w:t>
      </w:r>
    </w:p>
    <w:p>
      <w:pPr>
        <w:jc w:val="both"/>
      </w:pPr>
      <w:r>
        <w:rPr>
          <w:rFonts w:ascii="Arial" w:hAnsi="Arial" w:cs="Arial"/>
          <w:sz w:val="22"/>
        </w:rPr>
        <w:t>Una incidencia técnica puede justificar ampliación de plazos no vencidos. La Administración debe anunciar en sede la incidencia y la ampliación concreta. El simple fallo del equipo o conexión particular del interesado no equivale automáticamente a incidencia de la sede.</w:t>
      </w:r>
    </w:p>
    <w:p>
      <w:pPr>
        <w:pStyle w:val="Heading2"/>
        <w:keepNext/>
      </w:pPr>
      <w:r>
        <w:rPr>
          <w:rFonts w:ascii="Arial" w:hAnsi="Arial" w:cs="Arial"/>
          <w:sz w:val="25"/>
        </w:rPr>
        <w:t>9.4. Registro de apoderamientos</w:t>
      </w:r>
    </w:p>
    <w:p>
      <w:pPr>
        <w:jc w:val="both"/>
      </w:pPr>
      <w:r>
        <w:rPr>
          <w:rFonts w:ascii="Arial" w:hAnsi="Arial" w:cs="Arial"/>
          <w:sz w:val="22"/>
        </w:rPr>
        <w:t>Los registros electrónicos de apoderamientos permiten acreditar representaciones. Los poderes pueden ser generales para cualquier actuación ante cualquier Administración, generales para una Administración u organismo o especiales para trámites determinados. La inscripción no impide acreditar la representación por otros medios admitidos en Derecho.</w:t>
      </w:r>
    </w:p>
    <w:p>
      <w:pPr>
        <w:jc w:val="both"/>
      </w:pPr>
      <w:r>
        <w:rPr>
          <w:rFonts w:ascii="Arial" w:hAnsi="Arial" w:cs="Arial"/>
          <w:sz w:val="22"/>
        </w:rPr>
        <w:t xml:space="preserve">No debe confundirse el registro </w:t>
      </w:r>
      <w:r>
        <w:rPr>
          <w:rFonts w:ascii="Arial" w:hAnsi="Arial" w:cs="Arial"/>
          <w:b/>
          <w:sz w:val="22"/>
        </w:rPr>
        <w:t>de entrada y salida</w:t>
      </w:r>
      <w:r>
        <w:rPr>
          <w:rFonts w:ascii="Arial" w:hAnsi="Arial" w:cs="Arial"/>
          <w:sz w:val="22"/>
        </w:rPr>
        <w:t xml:space="preserve"> con el registro </w:t>
      </w:r>
      <w:r>
        <w:rPr>
          <w:rFonts w:ascii="Arial" w:hAnsi="Arial" w:cs="Arial"/>
          <w:b/>
          <w:sz w:val="22"/>
        </w:rPr>
        <w:t>de apoderamientos</w:t>
      </w:r>
      <w:r>
        <w:rPr>
          <w:rFonts w:ascii="Arial" w:hAnsi="Arial" w:cs="Arial"/>
          <w:sz w:val="22"/>
        </w:rPr>
        <w:t>: el primero acredita presentación y remisión de documentos; el segundo, la facultad de actuar por otra persona.</w:t>
      </w:r>
    </w:p>
    <w:p>
      <w:pPr>
        <w:pStyle w:val="Heading1"/>
        <w:keepNext/>
      </w:pPr>
      <w:r>
        <w:rPr>
          <w:rFonts w:ascii="Arial" w:hAnsi="Arial" w:cs="Arial"/>
          <w:sz w:val="30"/>
        </w:rPr>
        <w:t>10. Documentos electrónicos y copias auténticas</w:t>
      </w:r>
    </w:p>
    <w:p>
      <w:pPr>
        <w:pStyle w:val="Heading2"/>
        <w:keepNext/>
      </w:pPr>
      <w:r>
        <w:rPr>
          <w:rFonts w:ascii="Arial" w:hAnsi="Arial" w:cs="Arial"/>
          <w:sz w:val="25"/>
        </w:rPr>
        <w:t>10.1. Documento administrativo electrónico</w:t>
      </w:r>
    </w:p>
    <w:p>
      <w:pPr>
        <w:jc w:val="both"/>
      </w:pPr>
      <w:r>
        <w:rPr>
          <w:rFonts w:ascii="Arial" w:hAnsi="Arial" w:cs="Arial"/>
          <w:sz w:val="22"/>
        </w:rPr>
        <w:t>Las Administraciones emiten documentos por escrito y electrónicamente, salvo que su naturaleza exija otra forma. Para ser válido, el documento electrónico administrativo debe:</w:t>
      </w:r>
    </w:p>
    <w:p>
      <w:pPr>
        <w:spacing w:after="40"/>
        <w:ind w:left="369" w:hanging="227"/>
      </w:pPr>
      <w:r>
        <w:rPr>
          <w:rFonts w:ascii="Arial" w:hAnsi="Arial" w:cs="Arial"/>
          <w:sz w:val="22"/>
        </w:rPr>
        <w:t>1. contener información archivada en soporte electrónico y en un formato identificable y tratable separadamente;</w:t>
      </w:r>
    </w:p>
    <w:p>
      <w:pPr>
        <w:spacing w:after="40"/>
        <w:ind w:left="369" w:hanging="227"/>
      </w:pPr>
      <w:r>
        <w:rPr>
          <w:rFonts w:ascii="Arial" w:hAnsi="Arial" w:cs="Arial"/>
          <w:sz w:val="22"/>
        </w:rPr>
        <w:t>2. disponer de datos que permitan su individualización, sin perjuicio de incorporarlo a un expediente;</w:t>
      </w:r>
    </w:p>
    <w:p>
      <w:pPr>
        <w:spacing w:after="40"/>
        <w:ind w:left="369" w:hanging="227"/>
      </w:pPr>
      <w:r>
        <w:rPr>
          <w:rFonts w:ascii="Arial" w:hAnsi="Arial" w:cs="Arial"/>
          <w:sz w:val="22"/>
        </w:rPr>
        <w:t>3. incorporar referencia temporal del momento de emisión;</w:t>
      </w:r>
    </w:p>
    <w:p>
      <w:pPr>
        <w:spacing w:after="40"/>
        <w:ind w:left="369" w:hanging="227"/>
      </w:pPr>
      <w:r>
        <w:rPr>
          <w:rFonts w:ascii="Arial" w:hAnsi="Arial" w:cs="Arial"/>
          <w:sz w:val="22"/>
        </w:rPr>
        <w:t>4. contener los metadatos mínimos exigidos;</w:t>
      </w:r>
    </w:p>
    <w:p>
      <w:pPr>
        <w:spacing w:after="40"/>
        <w:ind w:left="369" w:hanging="227"/>
      </w:pPr>
      <w:r>
        <w:rPr>
          <w:rFonts w:ascii="Arial" w:hAnsi="Arial" w:cs="Arial"/>
          <w:sz w:val="22"/>
        </w:rPr>
        <w:t>5. incorporar las firmas electrónicas correspondientes.</w:t>
      </w:r>
    </w:p>
    <w:p>
      <w:pPr>
        <w:jc w:val="both"/>
      </w:pPr>
      <w:r>
        <w:rPr>
          <w:rFonts w:ascii="Arial" w:hAnsi="Arial" w:cs="Arial"/>
          <w:sz w:val="22"/>
        </w:rPr>
        <w:t xml:space="preserve">Los documentos que se publican solo con finalidad informativa y los que no forman parte de un expediente no siempre necesitan firma, pero debe identificarse su origen. Los </w:t>
      </w:r>
      <w:r>
        <w:rPr>
          <w:rFonts w:ascii="Arial" w:hAnsi="Arial" w:cs="Arial"/>
          <w:b/>
          <w:sz w:val="22"/>
        </w:rPr>
        <w:t>metadatos</w:t>
      </w:r>
      <w:r>
        <w:rPr>
          <w:rFonts w:ascii="Arial" w:hAnsi="Arial" w:cs="Arial"/>
          <w:sz w:val="22"/>
        </w:rPr>
        <w:t xml:space="preserve"> describen contexto, contenido, estructura y gestión: no son un adorno, sino elementos para interpretar, encontrar, conservar y verificar el documento.</w:t>
      </w:r>
    </w:p>
    <w:p>
      <w:pPr>
        <w:pStyle w:val="Heading2"/>
        <w:keepNext/>
      </w:pPr>
      <w:r>
        <w:rPr>
          <w:rFonts w:ascii="Arial" w:hAnsi="Arial" w:cs="Arial"/>
          <w:sz w:val="25"/>
        </w:rPr>
        <w:t>10.2. Copias auténticas</w:t>
      </w:r>
    </w:p>
    <w:p>
      <w:pPr>
        <w:jc w:val="both"/>
      </w:pPr>
      <w:r>
        <w:rPr>
          <w:rFonts w:ascii="Arial" w:hAnsi="Arial" w:cs="Arial"/>
          <w:sz w:val="22"/>
        </w:rPr>
        <w:t>Una copia auténtica, sea en papel o electrónica, tiene la misma validez y eficacia que el original si se garantiza identidad de órgano autor, contenido y demás requisitos. Puede producirla un funcionario habilitado o una actuación automatizada. Las Administraciones determinan los órganos competentes y mantienen registros de funcionarios habilitados.</w:t>
      </w:r>
    </w:p>
    <w:p>
      <w:pPr>
        <w:jc w:val="both"/>
      </w:pPr>
      <w:r>
        <w:rPr>
          <w:rFonts w:ascii="Arial" w:hAnsi="Arial" w:cs="Arial"/>
          <w:sz w:val="22"/>
        </w:rPr>
        <w:t>La copia electrónica incorpora metadatos que acreditan su condición. Una copia en papel de documento electrónico debe permitir contrastar autenticidad mediante CSV u otro sistema de verificación. Digitalizar no produce siempre, por sí solo, copia auténtica: hace falta el procedimiento y órgano o sistema habilitado.</w:t>
      </w:r>
    </w:p>
    <w:p>
      <w:pPr>
        <w:jc w:val="both"/>
      </w:pPr>
      <w:r>
        <w:rPr>
          <w:rFonts w:ascii="Arial" w:hAnsi="Arial" w:cs="Arial"/>
          <w:sz w:val="22"/>
        </w:rPr>
        <w:t xml:space="preserve">Los interesados pueden pedir copias auténticas de documentos administrativos públicos válidamente emitidos. La solicitud se dirige al órgano emisor y debe expedirse, salvo excepciones, en </w:t>
      </w:r>
      <w:r>
        <w:rPr>
          <w:rFonts w:ascii="Arial" w:hAnsi="Arial" w:cs="Arial"/>
          <w:b/>
          <w:sz w:val="22"/>
        </w:rPr>
        <w:t>quince días</w:t>
      </w:r>
      <w:r>
        <w:rPr>
          <w:rFonts w:ascii="Arial" w:hAnsi="Arial" w:cs="Arial"/>
          <w:sz w:val="22"/>
        </w:rPr>
        <w:t xml:space="preserve"> desde su recepción en el registro electrónico competente.</w:t>
      </w:r>
    </w:p>
    <w:p>
      <w:pPr>
        <w:pStyle w:val="Heading2"/>
        <w:keepNext/>
      </w:pPr>
      <w:r>
        <w:rPr>
          <w:rFonts w:ascii="Arial" w:hAnsi="Arial" w:cs="Arial"/>
          <w:sz w:val="25"/>
        </w:rPr>
        <w:t>10.3. Derecho a no aportar documentos</w:t>
      </w:r>
    </w:p>
    <w:p>
      <w:pPr>
        <w:jc w:val="both"/>
      </w:pPr>
      <w:r>
        <w:rPr>
          <w:rFonts w:ascii="Arial" w:hAnsi="Arial" w:cs="Arial"/>
          <w:sz w:val="22"/>
        </w:rPr>
        <w:t>El artículo 28 LPAC evita exigir documentos que ya obren en poder de la Administración actuante o hayan sido elaborados por otra Administración. La Administración los recabará electrónicamente a través de redes corporativas o plataformas de intermediación, salvo oposición del interesado en los casos en que esta sea jurídicamente posible.</w:t>
      </w:r>
    </w:p>
    <w:p>
      <w:pPr>
        <w:jc w:val="both"/>
      </w:pPr>
      <w:r>
        <w:rPr>
          <w:rFonts w:ascii="Arial" w:hAnsi="Arial" w:cs="Arial"/>
          <w:sz w:val="22"/>
        </w:rPr>
        <w:t>No cabe oposición cuando la aportación se exige en el ejercicio de potestades sancionadoras o de inspección. La consulta debe estar vinculada al procedimiento y documentarse. Si excepcionalmente no puede recabarse el documento, podrá solicitarse al interesado; si este aporta copia y existen dudas relevantes, puede pedirse cotejo motivadamente.</w:t>
      </w:r>
    </w:p>
    <w:p>
      <w:pPr>
        <w:spacing w:after="100"/>
        <w:ind w:left="340" w:right="227"/>
        <w:shd w:fill="EAF2F8"/>
      </w:pPr>
      <w:r>
        <w:rPr>
          <w:rFonts w:ascii="Arial" w:hAnsi="Arial" w:cs="Arial"/>
          <w:b/>
          <w:sz w:val="20"/>
        </w:rPr>
        <w:t>Trampa frecuente:</w:t>
      </w:r>
      <w:r>
        <w:rPr>
          <w:rFonts w:ascii="Arial" w:hAnsi="Arial" w:cs="Arial"/>
          <w:sz w:val="20"/>
        </w:rPr>
        <w:t xml:space="preserve"> el derecho a no aportar no equivale a prohibición absoluta de pedir nunca el documento; puede solicitarse cuando no sea posible obtenerlo o sea necesario cotejarlo conforme a la ley.</w:t>
      </w:r>
    </w:p>
    <w:p>
      <w:pPr>
        <w:pStyle w:val="Heading1"/>
        <w:keepNext/>
      </w:pPr>
      <w:r>
        <w:rPr>
          <w:rFonts w:ascii="Arial" w:hAnsi="Arial" w:cs="Arial"/>
          <w:sz w:val="30"/>
        </w:rPr>
        <w:t>11. Expediente y archivo electrónico</w:t>
      </w:r>
    </w:p>
    <w:p>
      <w:pPr>
        <w:pStyle w:val="Heading2"/>
        <w:keepNext/>
      </w:pPr>
      <w:r>
        <w:rPr>
          <w:rFonts w:ascii="Arial" w:hAnsi="Arial" w:cs="Arial"/>
          <w:sz w:val="25"/>
        </w:rPr>
        <w:t>11.1. Expediente administrativo electrónico</w:t>
      </w:r>
    </w:p>
    <w:p>
      <w:pPr>
        <w:jc w:val="both"/>
      </w:pPr>
      <w:r>
        <w:rPr>
          <w:rFonts w:ascii="Arial" w:hAnsi="Arial" w:cs="Arial"/>
          <w:sz w:val="22"/>
        </w:rPr>
        <w:t>El expediente es el conjunto ordenado de documentos y actuaciones que sirven de antecedente y fundamento a la resolución, así como las diligencias para ejecutarla. Tiene formato electrónico y se forma mediante agregación ordenada de documentos, pruebas, dictámenes, informes, acuerdos, notificaciones y diligencias.</w:t>
      </w:r>
    </w:p>
    <w:p>
      <w:pPr>
        <w:jc w:val="both"/>
      </w:pPr>
      <w:r>
        <w:rPr>
          <w:rFonts w:ascii="Arial" w:hAnsi="Arial" w:cs="Arial"/>
          <w:sz w:val="22"/>
        </w:rPr>
        <w:t xml:space="preserve">La remisión del expediente se realiza conforme al Esquema Nacional de Interoperabilidad y sus normas técnicas, completo, foliado, autentificado y acompañado de un </w:t>
      </w:r>
      <w:r>
        <w:rPr>
          <w:rFonts w:ascii="Arial" w:hAnsi="Arial" w:cs="Arial"/>
          <w:b/>
          <w:sz w:val="22"/>
        </w:rPr>
        <w:t>índice electrónico autenticado</w:t>
      </w:r>
      <w:r>
        <w:rPr>
          <w:rFonts w:ascii="Arial" w:hAnsi="Arial" w:cs="Arial"/>
          <w:sz w:val="22"/>
        </w:rPr>
        <w:t>. El índice garantiza integridad e inmutabilidad del expediente desde su firma y permite recuperarlo.</w:t>
      </w:r>
    </w:p>
    <w:p>
      <w:pPr>
        <w:jc w:val="both"/>
      </w:pPr>
      <w:r>
        <w:rPr>
          <w:rFonts w:ascii="Arial" w:hAnsi="Arial" w:cs="Arial"/>
          <w:sz w:val="22"/>
        </w:rPr>
        <w:t>No forman parte del expediente:</w:t>
      </w:r>
    </w:p>
    <w:p>
      <w:pPr>
        <w:pStyle w:val="ListBullet"/>
      </w:pPr>
      <w:r>
        <w:rPr>
          <w:rFonts w:ascii="Arial" w:hAnsi="Arial" w:cs="Arial"/>
          <w:sz w:val="22"/>
        </w:rPr>
        <w:t>información auxiliar o de apoyo;</w:t>
      </w:r>
    </w:p>
    <w:p>
      <w:pPr>
        <w:pStyle w:val="ListBullet"/>
      </w:pPr>
      <w:r>
        <w:rPr>
          <w:rFonts w:ascii="Arial" w:hAnsi="Arial" w:cs="Arial"/>
          <w:sz w:val="22"/>
        </w:rPr>
        <w:t>notas, borradores, opiniones y resúmenes;</w:t>
      </w:r>
    </w:p>
    <w:p>
      <w:pPr>
        <w:pStyle w:val="ListBullet"/>
      </w:pPr>
      <w:r>
        <w:rPr>
          <w:rFonts w:ascii="Arial" w:hAnsi="Arial" w:cs="Arial"/>
          <w:sz w:val="22"/>
        </w:rPr>
        <w:t>comunicaciones e informes internos entre órganos o entidades;</w:t>
      </w:r>
    </w:p>
    <w:p>
      <w:pPr>
        <w:pStyle w:val="ListBullet"/>
      </w:pPr>
      <w:r>
        <w:rPr>
          <w:rFonts w:ascii="Arial" w:hAnsi="Arial" w:cs="Arial"/>
          <w:sz w:val="22"/>
        </w:rPr>
        <w:t>juicios de valor emitidos por las Administraciones;</w:t>
      </w:r>
    </w:p>
    <w:p>
      <w:pPr>
        <w:jc w:val="both"/>
      </w:pPr>
      <w:r>
        <w:rPr>
          <w:rFonts w:ascii="Arial" w:hAnsi="Arial" w:cs="Arial"/>
          <w:sz w:val="22"/>
        </w:rPr>
        <w:t>salvo que se trate de informes, preceptivos o facultativos, solicitados antes de la resolución que pone fin al procedimiento. La exclusión no permite ocultar un verdadero trámite, prueba o fundamento del acto atribuyéndole artificialmente la etiqueta de «borrador».</w:t>
      </w:r>
    </w:p>
    <w:p>
      <w:pPr>
        <w:pStyle w:val="Heading2"/>
        <w:keepNext/>
      </w:pPr>
      <w:r>
        <w:rPr>
          <w:rFonts w:ascii="Arial" w:hAnsi="Arial" w:cs="Arial"/>
          <w:sz w:val="25"/>
        </w:rPr>
        <w:t>11.2. Archivo electrónico único</w:t>
      </w:r>
    </w:p>
    <w:p>
      <w:pPr>
        <w:jc w:val="both"/>
      </w:pPr>
      <w:r>
        <w:rPr>
          <w:rFonts w:ascii="Arial" w:hAnsi="Arial" w:cs="Arial"/>
          <w:sz w:val="22"/>
        </w:rPr>
        <w:t xml:space="preserve">Cada Administración debe mantener un </w:t>
      </w:r>
      <w:r>
        <w:rPr>
          <w:rFonts w:ascii="Arial" w:hAnsi="Arial" w:cs="Arial"/>
          <w:b/>
          <w:sz w:val="22"/>
        </w:rPr>
        <w:t>archivo electrónico único</w:t>
      </w:r>
      <w:r>
        <w:rPr>
          <w:rFonts w:ascii="Arial" w:hAnsi="Arial" w:cs="Arial"/>
          <w:sz w:val="22"/>
        </w:rPr>
        <w:t xml:space="preserve"> de los documentos electrónicos correspondientes a procedimientos finalizados, en los términos de la normativa aplicable. «Único» expresa gestión coordinada y garantías comunes; no exige necesariamente un solo servidor físico ni elimina archivos históricos o especializados.</w:t>
      </w:r>
    </w:p>
    <w:p>
      <w:pPr>
        <w:jc w:val="both"/>
      </w:pPr>
      <w:r>
        <w:rPr>
          <w:rFonts w:ascii="Arial" w:hAnsi="Arial" w:cs="Arial"/>
          <w:sz w:val="22"/>
        </w:rPr>
        <w:t>La LRJSP exige almacenar por medios electrónicos todos los documentos utilizados en actuaciones administrativas, salvo imposibilidad. Los soportes deben permitir:</w:t>
      </w:r>
    </w:p>
    <w:p>
      <w:pPr>
        <w:pStyle w:val="ListBullet"/>
      </w:pPr>
      <w:r>
        <w:rPr>
          <w:rFonts w:ascii="Arial" w:hAnsi="Arial" w:cs="Arial"/>
          <w:sz w:val="22"/>
        </w:rPr>
        <w:t>conservar autenticidad e integridad;</w:t>
      </w:r>
    </w:p>
    <w:p>
      <w:pPr>
        <w:pStyle w:val="ListBullet"/>
      </w:pPr>
      <w:r>
        <w:rPr>
          <w:rFonts w:ascii="Arial" w:hAnsi="Arial" w:cs="Arial"/>
          <w:sz w:val="22"/>
        </w:rPr>
        <w:t>recuperar y consultar el documento;</w:t>
      </w:r>
    </w:p>
    <w:p>
      <w:pPr>
        <w:pStyle w:val="ListBullet"/>
      </w:pPr>
      <w:r>
        <w:rPr>
          <w:rFonts w:ascii="Arial" w:hAnsi="Arial" w:cs="Arial"/>
          <w:sz w:val="22"/>
        </w:rPr>
        <w:t>mantener identificación de usuarios y control de accesos;</w:t>
      </w:r>
    </w:p>
    <w:p>
      <w:pPr>
        <w:pStyle w:val="ListBullet"/>
      </w:pPr>
      <w:r>
        <w:rPr>
          <w:rFonts w:ascii="Arial" w:hAnsi="Arial" w:cs="Arial"/>
          <w:sz w:val="22"/>
        </w:rPr>
        <w:t>asegurar confidencialidad, disponibilidad y conservación;</w:t>
      </w:r>
    </w:p>
    <w:p>
      <w:pPr>
        <w:pStyle w:val="ListBullet"/>
      </w:pPr>
      <w:r>
        <w:rPr>
          <w:rFonts w:ascii="Arial" w:hAnsi="Arial" w:cs="Arial"/>
          <w:sz w:val="22"/>
        </w:rPr>
        <w:t>cumplir el Esquema Nacional de Seguridad;</w:t>
      </w:r>
    </w:p>
    <w:p>
      <w:pPr>
        <w:pStyle w:val="ListBullet"/>
      </w:pPr>
      <w:r>
        <w:rPr>
          <w:rFonts w:ascii="Arial" w:hAnsi="Arial" w:cs="Arial"/>
          <w:sz w:val="22"/>
        </w:rPr>
        <w:t>posibilitar traslado a otros formatos y soportes que garanticen acceso desde diferentes aplicaciones.</w:t>
      </w:r>
    </w:p>
    <w:p>
      <w:pPr>
        <w:jc w:val="both"/>
      </w:pPr>
      <w:r>
        <w:rPr>
          <w:rFonts w:ascii="Arial" w:hAnsi="Arial" w:cs="Arial"/>
          <w:sz w:val="22"/>
        </w:rPr>
        <w:t xml:space="preserve">El Reglamento ordena conservar los documentos del expediente y también los documentos con valor probatorio creados al margen de un procedimiento. Cuando formatos o aplicaciones quedan obsoletos, deben establecerse procesos de </w:t>
      </w:r>
      <w:r>
        <w:rPr>
          <w:rFonts w:ascii="Arial" w:hAnsi="Arial" w:cs="Arial"/>
          <w:b/>
          <w:sz w:val="22"/>
        </w:rPr>
        <w:t>migración</w:t>
      </w:r>
      <w:r>
        <w:rPr>
          <w:rFonts w:ascii="Arial" w:hAnsi="Arial" w:cs="Arial"/>
          <w:sz w:val="22"/>
        </w:rPr>
        <w:t>, conversión o emulación que mantengan contenido, contexto, estructura, firma o evidencias de autenticidad.</w:t>
      </w:r>
    </w:p>
    <w:p>
      <w:pPr>
        <w:jc w:val="both"/>
      </w:pPr>
      <w:r>
        <w:rPr>
          <w:rFonts w:ascii="Arial" w:hAnsi="Arial" w:cs="Arial"/>
          <w:sz w:val="22"/>
        </w:rPr>
        <w:t xml:space="preserve">El archivo electrónico único comprende sistemas y servicios para gestión, custodia, recuperación y conservación una vez concluidos procedimientos o actuaciones. Debe preservar la </w:t>
      </w:r>
      <w:r>
        <w:rPr>
          <w:rFonts w:ascii="Arial" w:hAnsi="Arial" w:cs="Arial"/>
          <w:b/>
          <w:sz w:val="22"/>
        </w:rPr>
        <w:t>cadena de custodia</w:t>
      </w:r>
      <w:r>
        <w:rPr>
          <w:rFonts w:ascii="Arial" w:hAnsi="Arial" w:cs="Arial"/>
          <w:sz w:val="22"/>
        </w:rPr>
        <w:t xml:space="preserve"> y aplicar políticas de gestión documental, calendarios de conservación y reglas de acceso y eliminación. Archivar no equivale a conservar todo indefinidamente: la eliminación requiere valoración y autorización conforme a normativa de patrimonio documental, archivos y protección de datos.</w:t>
      </w:r>
    </w:p>
    <w:p>
      <w:pPr>
        <w:pStyle w:val="Heading2"/>
        <w:keepNext/>
      </w:pPr>
      <w:r>
        <w:rPr>
          <w:rFonts w:ascii="Arial" w:hAnsi="Arial" w:cs="Arial"/>
          <w:sz w:val="25"/>
        </w:rPr>
        <w:t>11.3. Distinción esencial</w:t>
      </w:r>
    </w:p>
    <w:tbl>
      <w:tblPr>
        <w:tblStyle w:val="TableGrid"/>
        <w:tblW w:type="dxa" w:w="9026"/>
        <w:jc w:val="left"/>
        <w:tblLayout w:type="fixed"/>
        <w:tblLook w:firstColumn="1" w:firstRow="1" w:lastColumn="0" w:lastRow="0" w:noHBand="0" w:noVBand="1" w:val="04A0"/>
        <w:tblInd w:w="120" w:type="dxa"/>
      </w:tblPr>
      <w:tblGrid>
        <w:gridCol w:w="2501"/>
        <w:gridCol w:w="6525"/>
      </w:tblGrid>
      <w:tr>
        <w:trPr>
          <w:tblHeader w:val="true"/>
        </w:trPr>
        <w:tc>
          <w:tcPr>
            <w:tcW w:type="dxa" w:w="250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Concepto</w:t>
            </w:r>
          </w:p>
        </w:tc>
        <w:tc>
          <w:tcPr>
            <w:tcW w:type="dxa" w:w="652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Momento y finalidad</w:t>
            </w:r>
          </w:p>
        </w:tc>
      </w:tr>
      <w:tr>
        <w:tc>
          <w:tcPr>
            <w:tcW w:type="dxa" w:w="2501"/>
            <w:tcMar>
              <w:top w:w="80" w:type="dxa"/>
              <w:start w:w="120" w:type="dxa"/>
              <w:bottom w:w="80" w:type="dxa"/>
              <w:end w:w="120" w:type="dxa"/>
            </w:tcMar>
            <w:vAlign w:val="center"/>
          </w:tcPr>
          <w:p>
            <w:pPr>
              <w:spacing w:before="0" w:after="0" w:line="240" w:lineRule="auto"/>
              <w:jc w:val="left"/>
            </w:pPr>
            <w:r/>
            <w:r>
              <w:rPr>
                <w:rFonts w:ascii="Arial" w:hAnsi="Arial" w:cs="Arial"/>
                <w:sz w:val="18"/>
              </w:rPr>
              <w:t>Documento</w:t>
            </w:r>
          </w:p>
        </w:tc>
        <w:tc>
          <w:tcPr>
            <w:tcW w:type="dxa" w:w="6525"/>
            <w:tcMar>
              <w:top w:w="80" w:type="dxa"/>
              <w:start w:w="120" w:type="dxa"/>
              <w:bottom w:w="80" w:type="dxa"/>
              <w:end w:w="120" w:type="dxa"/>
            </w:tcMar>
            <w:vAlign w:val="center"/>
          </w:tcPr>
          <w:p>
            <w:pPr>
              <w:spacing w:before="0" w:after="0" w:line="240" w:lineRule="auto"/>
              <w:jc w:val="left"/>
            </w:pPr>
            <w:r/>
            <w:r>
              <w:rPr>
                <w:rFonts w:ascii="Arial" w:hAnsi="Arial" w:cs="Arial"/>
                <w:sz w:val="18"/>
              </w:rPr>
              <w:t>Unidad de información con requisitos de autenticidad y contexto</w:t>
            </w:r>
          </w:p>
        </w:tc>
      </w:tr>
      <w:tr>
        <w:tc>
          <w:tcPr>
            <w:tcW w:type="dxa" w:w="2501"/>
            <w:tcMar>
              <w:top w:w="80" w:type="dxa"/>
              <w:start w:w="120" w:type="dxa"/>
              <w:bottom w:w="80" w:type="dxa"/>
              <w:end w:w="120" w:type="dxa"/>
            </w:tcMar>
            <w:vAlign w:val="center"/>
          </w:tcPr>
          <w:p>
            <w:pPr>
              <w:spacing w:before="0" w:after="0" w:line="240" w:lineRule="auto"/>
              <w:jc w:val="left"/>
            </w:pPr>
            <w:r/>
            <w:r>
              <w:rPr>
                <w:rFonts w:ascii="Arial" w:hAnsi="Arial" w:cs="Arial"/>
                <w:sz w:val="18"/>
              </w:rPr>
              <w:t>Expediente</w:t>
            </w:r>
          </w:p>
        </w:tc>
        <w:tc>
          <w:tcPr>
            <w:tcW w:type="dxa" w:w="6525"/>
            <w:tcMar>
              <w:top w:w="80" w:type="dxa"/>
              <w:start w:w="120" w:type="dxa"/>
              <w:bottom w:w="80" w:type="dxa"/>
              <w:end w:w="120" w:type="dxa"/>
            </w:tcMar>
            <w:vAlign w:val="center"/>
          </w:tcPr>
          <w:p>
            <w:pPr>
              <w:spacing w:before="0" w:after="0" w:line="240" w:lineRule="auto"/>
              <w:jc w:val="left"/>
            </w:pPr>
            <w:r/>
            <w:r>
              <w:rPr>
                <w:rFonts w:ascii="Arial" w:hAnsi="Arial" w:cs="Arial"/>
                <w:sz w:val="18"/>
              </w:rPr>
              <w:t>Conjunto ordenado que fundamenta y ejecuta una resolución</w:t>
            </w:r>
          </w:p>
        </w:tc>
      </w:tr>
      <w:tr>
        <w:tc>
          <w:tcPr>
            <w:tcW w:type="dxa" w:w="2501"/>
            <w:tcMar>
              <w:top w:w="80" w:type="dxa"/>
              <w:start w:w="120" w:type="dxa"/>
              <w:bottom w:w="80" w:type="dxa"/>
              <w:end w:w="120" w:type="dxa"/>
            </w:tcMar>
            <w:vAlign w:val="center"/>
          </w:tcPr>
          <w:p>
            <w:pPr>
              <w:spacing w:before="0" w:after="0" w:line="240" w:lineRule="auto"/>
              <w:jc w:val="left"/>
            </w:pPr>
            <w:r/>
            <w:r>
              <w:rPr>
                <w:rFonts w:ascii="Arial" w:hAnsi="Arial" w:cs="Arial"/>
                <w:sz w:val="18"/>
              </w:rPr>
              <w:t>Índice electrónico</w:t>
            </w:r>
          </w:p>
        </w:tc>
        <w:tc>
          <w:tcPr>
            <w:tcW w:type="dxa" w:w="6525"/>
            <w:tcMar>
              <w:top w:w="80" w:type="dxa"/>
              <w:start w:w="120" w:type="dxa"/>
              <w:bottom w:w="80" w:type="dxa"/>
              <w:end w:w="120" w:type="dxa"/>
            </w:tcMar>
            <w:vAlign w:val="center"/>
          </w:tcPr>
          <w:p>
            <w:pPr>
              <w:spacing w:before="0" w:after="0" w:line="240" w:lineRule="auto"/>
              <w:jc w:val="left"/>
            </w:pPr>
            <w:r/>
            <w:r>
              <w:rPr>
                <w:rFonts w:ascii="Arial" w:hAnsi="Arial" w:cs="Arial"/>
                <w:sz w:val="18"/>
              </w:rPr>
              <w:t>Relaciona y autentica la composición del expediente</w:t>
            </w:r>
          </w:p>
        </w:tc>
      </w:tr>
      <w:tr>
        <w:tc>
          <w:tcPr>
            <w:tcW w:type="dxa" w:w="2501"/>
            <w:tcMar>
              <w:top w:w="80" w:type="dxa"/>
              <w:start w:w="120" w:type="dxa"/>
              <w:bottom w:w="80" w:type="dxa"/>
              <w:end w:w="120" w:type="dxa"/>
            </w:tcMar>
            <w:vAlign w:val="center"/>
          </w:tcPr>
          <w:p>
            <w:pPr>
              <w:spacing w:before="0" w:after="0" w:line="240" w:lineRule="auto"/>
              <w:jc w:val="left"/>
            </w:pPr>
            <w:r/>
            <w:r>
              <w:rPr>
                <w:rFonts w:ascii="Arial" w:hAnsi="Arial" w:cs="Arial"/>
                <w:sz w:val="18"/>
              </w:rPr>
              <w:t>Archivo electrónico único</w:t>
            </w:r>
          </w:p>
        </w:tc>
        <w:tc>
          <w:tcPr>
            <w:tcW w:type="dxa" w:w="6525"/>
            <w:tcMar>
              <w:top w:w="80" w:type="dxa"/>
              <w:start w:w="120" w:type="dxa"/>
              <w:bottom w:w="80" w:type="dxa"/>
              <w:end w:w="120" w:type="dxa"/>
            </w:tcMar>
            <w:vAlign w:val="center"/>
          </w:tcPr>
          <w:p>
            <w:pPr>
              <w:spacing w:before="0" w:after="0" w:line="240" w:lineRule="auto"/>
              <w:jc w:val="left"/>
            </w:pPr>
            <w:r/>
            <w:r>
              <w:rPr>
                <w:rFonts w:ascii="Arial" w:hAnsi="Arial" w:cs="Arial"/>
                <w:sz w:val="18"/>
              </w:rPr>
              <w:t>Custodia y recuperación de procedimientos finalizados y documentos probatorios</w:t>
            </w:r>
          </w:p>
        </w:tc>
      </w:tr>
    </w:tbl>
    <w:p>
      <w:pPr>
        <w:spacing w:after="40"/>
      </w:pPr>
    </w:p>
    <w:p>
      <w:pPr>
        <w:pStyle w:val="Heading1"/>
        <w:keepNext/>
      </w:pPr>
      <w:r>
        <w:rPr>
          <w:rFonts w:ascii="Arial" w:hAnsi="Arial" w:cs="Arial"/>
          <w:sz w:val="30"/>
        </w:rPr>
        <w:t>12. Comunicaciones y notificaciones electrónicas</w:t>
      </w:r>
    </w:p>
    <w:p>
      <w:pPr>
        <w:pStyle w:val="Heading2"/>
        <w:keepNext/>
      </w:pPr>
      <w:r>
        <w:rPr>
          <w:rFonts w:ascii="Arial" w:hAnsi="Arial" w:cs="Arial"/>
          <w:sz w:val="25"/>
        </w:rPr>
        <w:t>12.1. Requisitos generales</w:t>
      </w:r>
    </w:p>
    <w:p>
      <w:pPr>
        <w:jc w:val="both"/>
      </w:pPr>
      <w:r>
        <w:rPr>
          <w:rFonts w:ascii="Arial" w:hAnsi="Arial" w:cs="Arial"/>
          <w:sz w:val="22"/>
        </w:rPr>
        <w:t xml:space="preserve">Toda notificación debe cursarse dentro de los </w:t>
      </w:r>
      <w:r>
        <w:rPr>
          <w:rFonts w:ascii="Arial" w:hAnsi="Arial" w:cs="Arial"/>
          <w:b/>
          <w:sz w:val="22"/>
        </w:rPr>
        <w:t>diez días</w:t>
      </w:r>
      <w:r>
        <w:rPr>
          <w:rFonts w:ascii="Arial" w:hAnsi="Arial" w:cs="Arial"/>
          <w:sz w:val="22"/>
        </w:rPr>
        <w:t xml:space="preserve"> siguientes a la fecha en que se dicta el acto y contener:</w:t>
      </w:r>
    </w:p>
    <w:p>
      <w:pPr>
        <w:pStyle w:val="ListBullet"/>
      </w:pPr>
      <w:r>
        <w:rPr>
          <w:rFonts w:ascii="Arial" w:hAnsi="Arial" w:cs="Arial"/>
          <w:sz w:val="22"/>
        </w:rPr>
        <w:t>texto íntegro de la resolución;</w:t>
      </w:r>
    </w:p>
    <w:p>
      <w:pPr>
        <w:pStyle w:val="ListBullet"/>
      </w:pPr>
      <w:r>
        <w:rPr>
          <w:rFonts w:ascii="Arial" w:hAnsi="Arial" w:cs="Arial"/>
          <w:sz w:val="22"/>
        </w:rPr>
        <w:t>indicación de si pone fin o no a la vía administrativa;</w:t>
      </w:r>
    </w:p>
    <w:p>
      <w:pPr>
        <w:pStyle w:val="ListBullet"/>
      </w:pPr>
      <w:r>
        <w:rPr>
          <w:rFonts w:ascii="Arial" w:hAnsi="Arial" w:cs="Arial"/>
          <w:sz w:val="22"/>
        </w:rPr>
        <w:t>recursos procedentes en vía administrativa y judicial;</w:t>
      </w:r>
    </w:p>
    <w:p>
      <w:pPr>
        <w:pStyle w:val="ListBullet"/>
      </w:pPr>
      <w:r>
        <w:rPr>
          <w:rFonts w:ascii="Arial" w:hAnsi="Arial" w:cs="Arial"/>
          <w:sz w:val="22"/>
        </w:rPr>
        <w:t>órgano ante el que interponerlos;</w:t>
      </w:r>
    </w:p>
    <w:p>
      <w:pPr>
        <w:pStyle w:val="ListBullet"/>
      </w:pPr>
      <w:r>
        <w:rPr>
          <w:rFonts w:ascii="Arial" w:hAnsi="Arial" w:cs="Arial"/>
          <w:sz w:val="22"/>
        </w:rPr>
        <w:t>plazo para hacerlo.</w:t>
      </w:r>
    </w:p>
    <w:p>
      <w:pPr>
        <w:jc w:val="both"/>
      </w:pPr>
      <w:r>
        <w:rPr>
          <w:rFonts w:ascii="Arial" w:hAnsi="Arial" w:cs="Arial"/>
          <w:sz w:val="22"/>
        </w:rPr>
        <w:t>Una notificación con texto íntegro pero que omite otro requisito produce efectos desde que el interesado realiza una actuación que demuestra conocimiento del contenido y alcance o interpone recurso. La validez del acto y la eficacia de su notificación son planos distintos.</w:t>
      </w:r>
    </w:p>
    <w:p>
      <w:pPr>
        <w:jc w:val="both"/>
      </w:pPr>
      <w:r>
        <w:rPr>
          <w:rFonts w:ascii="Arial" w:hAnsi="Arial" w:cs="Arial"/>
          <w:sz w:val="22"/>
        </w:rPr>
        <w:t>Las notificaciones se practican preferentemente por medios electrónicos y siempre así cuando el interesado esté obligado. Puede utilizarse papel cuando la comparecencia espontánea en una oficina permite entregar la comunicación y el interesado solicita notificación personal en ese momento, o cuando la entrega directa por empleado público sea necesaria para asegurar eficacia de la actuación.</w:t>
      </w:r>
    </w:p>
    <w:p>
      <w:pPr>
        <w:jc w:val="both"/>
      </w:pPr>
      <w:r>
        <w:rPr>
          <w:rFonts w:ascii="Arial" w:hAnsi="Arial" w:cs="Arial"/>
          <w:sz w:val="22"/>
        </w:rPr>
        <w:t>No se practica electrónicamente una notificación que contenga medios de pago a favor del obligado —por ejemplo, un cheque— ni aquella acompañada de elementos no convertibles a formato electrónico. Estas excepciones afectan a la práctica de esa notificación, no convierten todo el procedimiento en papel.</w:t>
      </w:r>
    </w:p>
    <w:p>
      <w:pPr>
        <w:jc w:val="both"/>
      </w:pPr>
      <w:r>
        <w:rPr>
          <w:rFonts w:ascii="Arial" w:hAnsi="Arial" w:cs="Arial"/>
          <w:sz w:val="22"/>
        </w:rPr>
        <w:t xml:space="preserve">En un procedimiento iniciado de oficio, si el destinatario está obligado electrónicamente pero la Administración carece de datos de contacto para enviarle el aviso, la </w:t>
      </w:r>
      <w:r>
        <w:rPr>
          <w:rFonts w:ascii="Arial" w:hAnsi="Arial" w:cs="Arial"/>
          <w:b/>
          <w:sz w:val="22"/>
        </w:rPr>
        <w:t>primera notificación se practica en papel</w:t>
      </w:r>
      <w:r>
        <w:rPr>
          <w:rFonts w:ascii="Arial" w:hAnsi="Arial" w:cs="Arial"/>
          <w:sz w:val="22"/>
        </w:rPr>
        <w:t>. En ella se le advierte de que las sucesivas serán electrónicas y se le ofrece comunicar dispositivo, correo o ambos para los avisos. Esta regla excepcional permite abrir eficazmente la relación, pero no libera al obligado de acceder después a sede o DEHú.</w:t>
      </w:r>
    </w:p>
    <w:p>
      <w:pPr>
        <w:pStyle w:val="Heading2"/>
        <w:keepNext/>
      </w:pPr>
      <w:r>
        <w:rPr>
          <w:rFonts w:ascii="Arial" w:hAnsi="Arial" w:cs="Arial"/>
          <w:sz w:val="25"/>
        </w:rPr>
        <w:t>12.2. Comparecencia en sede y Dirección Electrónica Habilitada única</w:t>
      </w:r>
    </w:p>
    <w:p>
      <w:pPr>
        <w:jc w:val="both"/>
      </w:pPr>
      <w:r>
        <w:rPr>
          <w:rFonts w:ascii="Arial" w:hAnsi="Arial" w:cs="Arial"/>
          <w:sz w:val="22"/>
        </w:rPr>
        <w:t>La notificación electrónica se practica:</w:t>
      </w:r>
    </w:p>
    <w:p>
      <w:pPr>
        <w:pStyle w:val="ListBullet"/>
      </w:pPr>
      <w:r>
        <w:rPr>
          <w:rFonts w:ascii="Arial" w:hAnsi="Arial" w:cs="Arial"/>
          <w:sz w:val="22"/>
        </w:rPr>
        <w:t>mediante comparecencia en la sede electrónica;</w:t>
      </w:r>
    </w:p>
    <w:p>
      <w:pPr>
        <w:pStyle w:val="ListBullet"/>
      </w:pPr>
      <w:r>
        <w:rPr>
          <w:rFonts w:ascii="Arial" w:hAnsi="Arial" w:cs="Arial"/>
          <w:sz w:val="22"/>
        </w:rPr>
        <w:t xml:space="preserve">a través de la </w:t>
      </w:r>
      <w:r>
        <w:rPr>
          <w:rFonts w:ascii="Arial" w:hAnsi="Arial" w:cs="Arial"/>
          <w:b/>
          <w:sz w:val="22"/>
        </w:rPr>
        <w:t>Dirección Electrónica Habilitada única</w:t>
      </w:r>
      <w:r>
        <w:rPr>
          <w:rFonts w:ascii="Arial" w:hAnsi="Arial" w:cs="Arial"/>
          <w:sz w:val="22"/>
        </w:rPr>
        <w:t xml:space="preserve"> —DEHú—;</w:t>
      </w:r>
    </w:p>
    <w:p>
      <w:pPr>
        <w:pStyle w:val="ListBullet"/>
      </w:pPr>
      <w:r>
        <w:rPr>
          <w:rFonts w:ascii="Arial" w:hAnsi="Arial" w:cs="Arial"/>
          <w:sz w:val="22"/>
        </w:rPr>
        <w:t>mediante ambos sistemas, según disponga cada Administración.</w:t>
      </w:r>
    </w:p>
    <w:p>
      <w:pPr>
        <w:jc w:val="both"/>
      </w:pPr>
      <w:r>
        <w:rPr>
          <w:rFonts w:ascii="Arial" w:hAnsi="Arial" w:cs="Arial"/>
          <w:sz w:val="22"/>
        </w:rPr>
        <w:t xml:space="preserve">Comparecer en sede significa acceder, debidamente identificado, al contenido. Si se pone a disposición por sede y DEHú, la fecha y hora del </w:t>
      </w:r>
      <w:r>
        <w:rPr>
          <w:rFonts w:ascii="Arial" w:hAnsi="Arial" w:cs="Arial"/>
          <w:b/>
          <w:sz w:val="22"/>
        </w:rPr>
        <w:t>primer acceso o rechazo</w:t>
      </w:r>
      <w:r>
        <w:rPr>
          <w:rFonts w:ascii="Arial" w:hAnsi="Arial" w:cs="Arial"/>
          <w:sz w:val="22"/>
        </w:rPr>
        <w:t xml:space="preserve"> es la que produce efectos.</w:t>
      </w:r>
    </w:p>
    <w:p>
      <w:pPr>
        <w:jc w:val="both"/>
      </w:pPr>
      <w:r>
        <w:rPr>
          <w:rFonts w:ascii="Arial" w:hAnsi="Arial" w:cs="Arial"/>
          <w:sz w:val="22"/>
        </w:rPr>
        <w:t xml:space="preserve">La Administración envía un aviso al correo electrónico o dispositivo comunicado por el interesado informando de la puesta a disposición. La falta de aviso </w:t>
      </w:r>
      <w:r>
        <w:rPr>
          <w:rFonts w:ascii="Arial" w:hAnsi="Arial" w:cs="Arial"/>
          <w:b/>
          <w:sz w:val="22"/>
        </w:rPr>
        <w:t>no invalida</w:t>
      </w:r>
      <w:r>
        <w:rPr>
          <w:rFonts w:ascii="Arial" w:hAnsi="Arial" w:cs="Arial"/>
          <w:sz w:val="22"/>
        </w:rPr>
        <w:t xml:space="preserve"> la notificación. El aviso no es la notificación ni inicia por sí mismo el plazo de recurso.</w:t>
      </w:r>
    </w:p>
    <w:p>
      <w:pPr>
        <w:jc w:val="both"/>
      </w:pPr>
      <w:r>
        <w:rPr>
          <w:rFonts w:ascii="Arial" w:hAnsi="Arial" w:cs="Arial"/>
          <w:sz w:val="22"/>
        </w:rPr>
        <w:t xml:space="preserve">La notificación se entiende practicada cuando se accede a su contenido. Si es obligatoria o fue elegida expresamente y transcurren </w:t>
      </w:r>
      <w:r>
        <w:rPr>
          <w:rFonts w:ascii="Arial" w:hAnsi="Arial" w:cs="Arial"/>
          <w:b/>
          <w:sz w:val="22"/>
        </w:rPr>
        <w:t>diez días naturales</w:t>
      </w:r>
      <w:r>
        <w:rPr>
          <w:rFonts w:ascii="Arial" w:hAnsi="Arial" w:cs="Arial"/>
          <w:sz w:val="22"/>
        </w:rPr>
        <w:t xml:space="preserve"> desde su puesta a disposición sin acceso, se entiende rechazada, salvo imposibilidad técnica o material acreditada. El rechazo permite continuar el procedimiento.</w:t>
      </w:r>
    </w:p>
    <w:p>
      <w:pPr>
        <w:jc w:val="both"/>
      </w:pPr>
      <w:r>
        <w:rPr>
          <w:rFonts w:ascii="Arial" w:hAnsi="Arial" w:cs="Arial"/>
          <w:sz w:val="22"/>
        </w:rPr>
        <w:t>A efectos de cumplir el plazo máximo para notificar, basta con poner a disposición la notificación en sede o DEHú o realizar el intento debidamente acreditado. Esto no significa que el plazo del interesado comience antes de que la notificación se entienda practicada.</w:t>
      </w:r>
    </w:p>
    <w:p>
      <w:pPr>
        <w:pStyle w:val="Heading2"/>
        <w:keepNext/>
      </w:pPr>
      <w:r>
        <w:rPr>
          <w:rFonts w:ascii="Arial" w:hAnsi="Arial" w:cs="Arial"/>
          <w:sz w:val="25"/>
        </w:rPr>
        <w:t>12.3. Notificación en papel</w:t>
      </w:r>
    </w:p>
    <w:p>
      <w:pPr>
        <w:jc w:val="both"/>
      </w:pPr>
      <w:r>
        <w:rPr>
          <w:rFonts w:ascii="Arial" w:hAnsi="Arial" w:cs="Arial"/>
          <w:sz w:val="22"/>
        </w:rPr>
        <w:t xml:space="preserve">Toda notificación en papel se pone además a disposición en sede para acceso voluntario. Cuando se practica en el domicilio y el interesado no está, puede hacerse cargo cualquier persona mayor de </w:t>
      </w:r>
      <w:r>
        <w:rPr>
          <w:rFonts w:ascii="Arial" w:hAnsi="Arial" w:cs="Arial"/>
          <w:b/>
          <w:sz w:val="22"/>
        </w:rPr>
        <w:t>catorce años</w:t>
      </w:r>
      <w:r>
        <w:rPr>
          <w:rFonts w:ascii="Arial" w:hAnsi="Arial" w:cs="Arial"/>
          <w:sz w:val="22"/>
        </w:rPr>
        <w:t xml:space="preserve"> que se encuentre allí y haga constar su identidad.</w:t>
      </w:r>
    </w:p>
    <w:p>
      <w:pPr>
        <w:jc w:val="both"/>
      </w:pPr>
      <w:r>
        <w:rPr>
          <w:rFonts w:ascii="Arial" w:hAnsi="Arial" w:cs="Arial"/>
          <w:sz w:val="22"/>
        </w:rPr>
        <w:t xml:space="preserve">Si nadie se hace cargo, se deja constancia del intento y se repite </w:t>
      </w:r>
      <w:r>
        <w:rPr>
          <w:rFonts w:ascii="Arial" w:hAnsi="Arial" w:cs="Arial"/>
          <w:b/>
          <w:sz w:val="22"/>
        </w:rPr>
        <w:t>una sola vez</w:t>
      </w:r>
      <w:r>
        <w:rPr>
          <w:rFonts w:ascii="Arial" w:hAnsi="Arial" w:cs="Arial"/>
          <w:sz w:val="22"/>
        </w:rPr>
        <w:t xml:space="preserve">, en hora distinta, dentro de los </w:t>
      </w:r>
      <w:r>
        <w:rPr>
          <w:rFonts w:ascii="Arial" w:hAnsi="Arial" w:cs="Arial"/>
          <w:b/>
          <w:sz w:val="22"/>
        </w:rPr>
        <w:t>tres días siguientes</w:t>
      </w:r>
      <w:r>
        <w:rPr>
          <w:rFonts w:ascii="Arial" w:hAnsi="Arial" w:cs="Arial"/>
          <w:sz w:val="22"/>
        </w:rPr>
        <w:t xml:space="preserve">. Si el primer intento se realizó antes de las 15:00, el segundo debe realizarse después de las 15:00, y viceversa, dejando al menos </w:t>
      </w:r>
      <w:r>
        <w:rPr>
          <w:rFonts w:ascii="Arial" w:hAnsi="Arial" w:cs="Arial"/>
          <w:b/>
          <w:sz w:val="22"/>
        </w:rPr>
        <w:t>tres horas</w:t>
      </w:r>
      <w:r>
        <w:rPr>
          <w:rFonts w:ascii="Arial" w:hAnsi="Arial" w:cs="Arial"/>
          <w:sz w:val="22"/>
        </w:rPr>
        <w:t xml:space="preserve"> entre ambos intentos.</w:t>
      </w:r>
    </w:p>
    <w:p>
      <w:pPr>
        <w:jc w:val="both"/>
      </w:pPr>
      <w:r>
        <w:rPr>
          <w:rFonts w:ascii="Arial" w:hAnsi="Arial" w:cs="Arial"/>
          <w:sz w:val="22"/>
        </w:rPr>
        <w:t xml:space="preserve">Cuando los interesados son desconocidos, se ignora el lugar de notificación o, intentada, no ha podido practicarse, se anuncia en el </w:t>
      </w:r>
      <w:r>
        <w:rPr>
          <w:rFonts w:ascii="Arial" w:hAnsi="Arial" w:cs="Arial"/>
          <w:b/>
          <w:sz w:val="22"/>
        </w:rPr>
        <w:t>Boletín Oficial del Estado</w:t>
      </w:r>
      <w:r>
        <w:rPr>
          <w:rFonts w:ascii="Arial" w:hAnsi="Arial" w:cs="Arial"/>
          <w:sz w:val="22"/>
        </w:rPr>
        <w:t>. Previamente y con carácter facultativo puede publicarse en boletín territorial, tablón consular o municipal. Las publicaciones adicionales no sustituyen el anuncio obligatorio en BOE del artículo 44.</w:t>
      </w:r>
    </w:p>
    <w:p>
      <w:pPr>
        <w:pStyle w:val="Heading2"/>
        <w:keepNext/>
      </w:pPr>
      <w:r>
        <w:rPr>
          <w:rFonts w:ascii="Arial" w:hAnsi="Arial" w:cs="Arial"/>
          <w:sz w:val="25"/>
        </w:rPr>
        <w:t>12.4. Comunicación frente a notificación</w:t>
      </w:r>
    </w:p>
    <w:p>
      <w:pPr>
        <w:jc w:val="both"/>
      </w:pPr>
      <w:r>
        <w:rPr>
          <w:rFonts w:ascii="Arial" w:hAnsi="Arial" w:cs="Arial"/>
          <w:sz w:val="22"/>
        </w:rPr>
        <w:t>Una comunicación transmite información; una notificación lleva formalmente al interesado un acto que afecta a derechos o intereses y activa efectos jurídicos. El aviso de puesta a disposición es comunicación. Confundirlos provoca dos errores típicos: considerar inválida la notificación porque no llegó el aviso o iniciar un plazo de recurso desde el correo de aviso.</w:t>
      </w:r>
    </w:p>
    <w:p>
      <w:pPr>
        <w:pStyle w:val="Heading1"/>
        <w:keepNext/>
      </w:pPr>
      <w:r>
        <w:rPr>
          <w:rFonts w:ascii="Arial" w:hAnsi="Arial" w:cs="Arial"/>
          <w:sz w:val="30"/>
        </w:rPr>
        <w:t>13. Relaciones electrónicas internas e intercambio de datos</w:t>
      </w:r>
    </w:p>
    <w:p>
      <w:pPr>
        <w:jc w:val="both"/>
      </w:pPr>
      <w:r>
        <w:rPr>
          <w:rFonts w:ascii="Arial" w:hAnsi="Arial" w:cs="Arial"/>
          <w:sz w:val="22"/>
        </w:rPr>
        <w:t>Los órganos y entidades del sector público actúan electrónicamente entre sí. Los documentos electrónicos transmitidos en entornos cerrados, los intercambios mediante plataformas de intermediación y las remisiones registrales deben identificar origen y destino, conservar integridad y dejar trazabilidad.</w:t>
      </w:r>
    </w:p>
    <w:p>
      <w:pPr>
        <w:jc w:val="both"/>
      </w:pPr>
      <w:r>
        <w:rPr>
          <w:rFonts w:ascii="Arial" w:hAnsi="Arial" w:cs="Arial"/>
          <w:sz w:val="22"/>
        </w:rPr>
        <w:t>El artículo 155 LRJSP ordena a cada Administración facilitar a las demás el acceso a datos relativos a interesados que obren en su poder, especificando condiciones, protocolos y criterios funcionales o técnicos con máximas garantías de seguridad, integridad y disponibilidad. La cesión o acceso se limita a los datos requeridos por las Administraciones para tramitar y resolver procedimientos de su competencia.</w:t>
      </w:r>
    </w:p>
    <w:p>
      <w:pPr>
        <w:jc w:val="both"/>
      </w:pPr>
      <w:r>
        <w:rPr>
          <w:rFonts w:ascii="Arial" w:hAnsi="Arial" w:cs="Arial"/>
          <w:sz w:val="22"/>
        </w:rPr>
        <w:t>La reutilización de sistemas y aplicaciones debe favorecer eficiencia e interoperabilidad. Antes de adquirir o desarrollar una aplicación, las Administraciones valoran soluciones disponibles y pueden poner aplicaciones propias a disposición de otras. Sin embargo, reutilización no exonera de evaluar seguridad, protección de datos, accesibilidad y adecuación funcional.</w:t>
      </w:r>
    </w:p>
    <w:p>
      <w:pPr>
        <w:pStyle w:val="Heading1"/>
        <w:keepNext/>
      </w:pPr>
      <w:r>
        <w:rPr>
          <w:rFonts w:ascii="Arial" w:hAnsi="Arial" w:cs="Arial"/>
          <w:sz w:val="30"/>
        </w:rPr>
        <w:t>14. Secuencia integrada de un procedimiento electrónico</w:t>
      </w:r>
    </w:p>
    <w:p>
      <w:pPr>
        <w:spacing w:after="40"/>
        <w:ind w:left="369" w:hanging="227"/>
      </w:pPr>
      <w:r>
        <w:rPr>
          <w:rFonts w:ascii="Arial" w:hAnsi="Arial" w:cs="Arial"/>
          <w:sz w:val="22"/>
        </w:rPr>
        <w:t>1. La persona entra por PAGe, portal o sede y localiza el trámite.</w:t>
      </w:r>
    </w:p>
    <w:p>
      <w:pPr>
        <w:spacing w:after="40"/>
        <w:ind w:left="369" w:hanging="227"/>
      </w:pPr>
      <w:r>
        <w:rPr>
          <w:rFonts w:ascii="Arial" w:hAnsi="Arial" w:cs="Arial"/>
          <w:sz w:val="22"/>
        </w:rPr>
        <w:t>2. El sistema comprueba si tiene derecho a elegir canal o está obligada.</w:t>
      </w:r>
    </w:p>
    <w:p>
      <w:pPr>
        <w:spacing w:after="40"/>
        <w:ind w:left="369" w:hanging="227"/>
      </w:pPr>
      <w:r>
        <w:rPr>
          <w:rFonts w:ascii="Arial" w:hAnsi="Arial" w:cs="Arial"/>
          <w:sz w:val="22"/>
        </w:rPr>
        <w:t>3. Se identifica; firma solo cuando el acto lo requiere.</w:t>
      </w:r>
    </w:p>
    <w:p>
      <w:pPr>
        <w:spacing w:after="40"/>
        <w:ind w:left="369" w:hanging="227"/>
      </w:pPr>
      <w:r>
        <w:rPr>
          <w:rFonts w:ascii="Arial" w:hAnsi="Arial" w:cs="Arial"/>
          <w:sz w:val="22"/>
        </w:rPr>
        <w:t>4. Si actúa un representante, se verifica poder suficiente.</w:t>
      </w:r>
    </w:p>
    <w:p>
      <w:pPr>
        <w:spacing w:after="40"/>
        <w:ind w:left="369" w:hanging="227"/>
      </w:pPr>
      <w:r>
        <w:rPr>
          <w:rFonts w:ascii="Arial" w:hAnsi="Arial" w:cs="Arial"/>
          <w:sz w:val="22"/>
        </w:rPr>
        <w:t>5. El registro recibe solicitud y anexos, genera asiento y recibo.</w:t>
      </w:r>
    </w:p>
    <w:p>
      <w:pPr>
        <w:spacing w:after="40"/>
        <w:ind w:left="369" w:hanging="227"/>
      </w:pPr>
      <w:r>
        <w:rPr>
          <w:rFonts w:ascii="Arial" w:hAnsi="Arial" w:cs="Arial"/>
          <w:sz w:val="22"/>
        </w:rPr>
        <w:t>6. La Administración recaba documentos ya disponibles, sin exigir duplicados indebidos.</w:t>
      </w:r>
    </w:p>
    <w:p>
      <w:pPr>
        <w:spacing w:after="40"/>
        <w:ind w:left="369" w:hanging="227"/>
      </w:pPr>
      <w:r>
        <w:rPr>
          <w:rFonts w:ascii="Arial" w:hAnsi="Arial" w:cs="Arial"/>
          <w:sz w:val="22"/>
        </w:rPr>
        <w:t>7. Se forma el expediente con documentos, metadatos e índice.</w:t>
      </w:r>
    </w:p>
    <w:p>
      <w:pPr>
        <w:spacing w:after="40"/>
        <w:ind w:left="369" w:hanging="227"/>
      </w:pPr>
      <w:r>
        <w:rPr>
          <w:rFonts w:ascii="Arial" w:hAnsi="Arial" w:cs="Arial"/>
          <w:sz w:val="22"/>
        </w:rPr>
        <w:t>8. Los órganos tramitan, intercambian datos y firman actuaciones; si alguna es automatizada, constan órganos responsables y sistema.</w:t>
      </w:r>
    </w:p>
    <w:p>
      <w:pPr>
        <w:spacing w:after="40"/>
        <w:ind w:left="369" w:hanging="227"/>
      </w:pPr>
      <w:r>
        <w:rPr>
          <w:rFonts w:ascii="Arial" w:hAnsi="Arial" w:cs="Arial"/>
          <w:sz w:val="22"/>
        </w:rPr>
        <w:t>9. Se dicta resolución y se notifica por el canal legal.</w:t>
      </w:r>
    </w:p>
    <w:p>
      <w:pPr>
        <w:spacing w:after="40"/>
        <w:ind w:left="369" w:hanging="227"/>
      </w:pPr>
      <w:r>
        <w:rPr>
          <w:rFonts w:ascii="Arial" w:hAnsi="Arial" w:cs="Arial"/>
          <w:sz w:val="22"/>
        </w:rPr>
        <w:t>10. Finalizado el procedimiento, el expediente pasa al archivo electrónico único conforme a su política de conservación.</w:t>
      </w:r>
    </w:p>
    <w:p>
      <w:pPr>
        <w:jc w:val="both"/>
      </w:pPr>
      <w:r>
        <w:rPr>
          <w:rFonts w:ascii="Arial" w:hAnsi="Arial" w:cs="Arial"/>
          <w:sz w:val="22"/>
        </w:rPr>
        <w:t>El itinerario muestra que sede, registro, expediente, notificación y archivo cumplen funciones distintas. Un justificante de registro acredita la recepción, no sustituye la resolución; la carpeta facilita la consulta, no reemplaza el archivo; y el correo de aviso no es la notificación.</w:t>
      </w:r>
    </w:p>
    <w:p>
      <w:pPr>
        <w:pStyle w:val="Heading1"/>
        <w:keepNext/>
      </w:pPr>
      <w:r>
        <w:rPr>
          <w:rFonts w:ascii="Arial" w:hAnsi="Arial" w:cs="Arial"/>
          <w:sz w:val="30"/>
        </w:rPr>
        <w:t>15. Trampas frecuentes de examen</w:t>
      </w:r>
    </w:p>
    <w:p>
      <w:pPr>
        <w:spacing w:after="40"/>
        <w:ind w:left="369" w:hanging="227"/>
      </w:pPr>
      <w:r>
        <w:rPr>
          <w:rFonts w:ascii="Arial" w:hAnsi="Arial" w:cs="Arial"/>
          <w:sz w:val="22"/>
        </w:rPr>
        <w:t xml:space="preserve">1. </w:t>
      </w:r>
      <w:r>
        <w:rPr>
          <w:rFonts w:ascii="Arial" w:hAnsi="Arial" w:cs="Arial"/>
          <w:b/>
          <w:sz w:val="22"/>
        </w:rPr>
        <w:t>Persona jurídica: siempre obligada</w:t>
      </w:r>
      <w:r>
        <w:rPr>
          <w:rFonts w:ascii="Arial" w:hAnsi="Arial" w:cs="Arial"/>
          <w:sz w:val="22"/>
        </w:rPr>
        <w:t xml:space="preserve"> por el artículo 14.2; persona física: elección como regla, salvo obligación legal o reglamentaria válida.</w:t>
      </w:r>
    </w:p>
    <w:p>
      <w:pPr>
        <w:spacing w:after="40"/>
        <w:ind w:left="369" w:hanging="227"/>
      </w:pPr>
      <w:r>
        <w:rPr>
          <w:rFonts w:ascii="Arial" w:hAnsi="Arial" w:cs="Arial"/>
          <w:sz w:val="22"/>
        </w:rPr>
        <w:t xml:space="preserve">2. </w:t>
      </w:r>
      <w:r>
        <w:rPr>
          <w:rFonts w:ascii="Arial" w:hAnsi="Arial" w:cs="Arial"/>
          <w:b/>
          <w:sz w:val="22"/>
        </w:rPr>
        <w:t>Profesional colegiado:</w:t>
      </w:r>
      <w:r>
        <w:rPr>
          <w:rFonts w:ascii="Arial" w:hAnsi="Arial" w:cs="Arial"/>
          <w:sz w:val="22"/>
        </w:rPr>
        <w:t xml:space="preserve"> obligación solo en actuaciones por razón de la actividad para la que se exige colegiación.</w:t>
      </w:r>
    </w:p>
    <w:p>
      <w:pPr>
        <w:spacing w:after="40"/>
        <w:ind w:left="369" w:hanging="227"/>
      </w:pPr>
      <w:r>
        <w:rPr>
          <w:rFonts w:ascii="Arial" w:hAnsi="Arial" w:cs="Arial"/>
          <w:sz w:val="22"/>
        </w:rPr>
        <w:t xml:space="preserve">3. </w:t>
      </w:r>
      <w:r>
        <w:rPr>
          <w:rFonts w:ascii="Arial" w:hAnsi="Arial" w:cs="Arial"/>
          <w:b/>
          <w:sz w:val="22"/>
        </w:rPr>
        <w:t>Representante:</w:t>
      </w:r>
      <w:r>
        <w:rPr>
          <w:rFonts w:ascii="Arial" w:hAnsi="Arial" w:cs="Arial"/>
          <w:sz w:val="22"/>
        </w:rPr>
        <w:t xml:space="preserve"> queda obligado por esta causa cuando representa a un interesado obligado.</w:t>
      </w:r>
    </w:p>
    <w:p>
      <w:pPr>
        <w:spacing w:after="40"/>
        <w:ind w:left="369" w:hanging="227"/>
      </w:pPr>
      <w:r>
        <w:rPr>
          <w:rFonts w:ascii="Arial" w:hAnsi="Arial" w:cs="Arial"/>
          <w:sz w:val="22"/>
        </w:rPr>
        <w:t xml:space="preserve">4. </w:t>
      </w:r>
      <w:r>
        <w:rPr>
          <w:rFonts w:ascii="Arial" w:hAnsi="Arial" w:cs="Arial"/>
          <w:b/>
          <w:sz w:val="22"/>
        </w:rPr>
        <w:t>Cambio de canal:</w:t>
      </w:r>
      <w:r>
        <w:rPr>
          <w:rFonts w:ascii="Arial" w:hAnsi="Arial" w:cs="Arial"/>
          <w:sz w:val="22"/>
        </w:rPr>
        <w:t xml:space="preserve"> surte efecto desde el quinto día hábil tras tener constancia el órgano.</w:t>
      </w:r>
    </w:p>
    <w:p>
      <w:pPr>
        <w:spacing w:after="40"/>
        <w:ind w:left="369" w:hanging="227"/>
      </w:pPr>
      <w:r>
        <w:rPr>
          <w:rFonts w:ascii="Arial" w:hAnsi="Arial" w:cs="Arial"/>
          <w:sz w:val="22"/>
        </w:rPr>
        <w:t xml:space="preserve">5. </w:t>
      </w:r>
      <w:r>
        <w:rPr>
          <w:rFonts w:ascii="Arial" w:hAnsi="Arial" w:cs="Arial"/>
          <w:b/>
          <w:sz w:val="22"/>
        </w:rPr>
        <w:t>Presentación presencial del obligado:</w:t>
      </w:r>
      <w:r>
        <w:rPr>
          <w:rFonts w:ascii="Arial" w:hAnsi="Arial" w:cs="Arial"/>
          <w:sz w:val="22"/>
        </w:rPr>
        <w:t xml:space="preserve"> fecha válida, la de subsanación electrónica.</w:t>
      </w:r>
    </w:p>
    <w:p>
      <w:pPr>
        <w:spacing w:after="40"/>
        <w:ind w:left="369" w:hanging="227"/>
      </w:pPr>
      <w:r>
        <w:rPr>
          <w:rFonts w:ascii="Arial" w:hAnsi="Arial" w:cs="Arial"/>
          <w:sz w:val="22"/>
        </w:rPr>
        <w:t xml:space="preserve">6. </w:t>
      </w:r>
      <w:r>
        <w:rPr>
          <w:rFonts w:ascii="Arial" w:hAnsi="Arial" w:cs="Arial"/>
          <w:b/>
          <w:sz w:val="22"/>
        </w:rPr>
        <w:t>Identificación no equivale a firma.</w:t>
      </w:r>
      <w:r>
        <w:rPr>
          <w:rFonts w:ascii="Arial" w:hAnsi="Arial" w:cs="Arial"/>
          <w:sz w:val="22"/>
        </w:rPr>
        <w:t xml:space="preserve"> Firmar se reserva a cinco actuaciones del artículo 11.2.</w:t>
      </w:r>
    </w:p>
    <w:p>
      <w:pPr>
        <w:spacing w:after="40"/>
        <w:ind w:left="369" w:hanging="227"/>
      </w:pPr>
      <w:r>
        <w:rPr>
          <w:rFonts w:ascii="Arial" w:hAnsi="Arial" w:cs="Arial"/>
          <w:sz w:val="22"/>
        </w:rPr>
        <w:t xml:space="preserve">7. </w:t>
      </w:r>
      <w:r>
        <w:rPr>
          <w:rFonts w:ascii="Arial" w:hAnsi="Arial" w:cs="Arial"/>
          <w:b/>
          <w:sz w:val="22"/>
        </w:rPr>
        <w:t>Portal no equivale a sede.</w:t>
      </w:r>
      <w:r>
        <w:rPr>
          <w:rFonts w:ascii="Arial" w:hAnsi="Arial" w:cs="Arial"/>
          <w:sz w:val="22"/>
        </w:rPr>
        <w:t xml:space="preserve"> La sede incorpora identificación y responsabilidad reforzada.</w:t>
      </w:r>
    </w:p>
    <w:p>
      <w:pPr>
        <w:spacing w:after="40"/>
        <w:ind w:left="369" w:hanging="227"/>
      </w:pPr>
      <w:r>
        <w:rPr>
          <w:rFonts w:ascii="Arial" w:hAnsi="Arial" w:cs="Arial"/>
          <w:sz w:val="22"/>
        </w:rPr>
        <w:t xml:space="preserve">8. </w:t>
      </w:r>
      <w:r>
        <w:rPr>
          <w:rFonts w:ascii="Arial" w:hAnsi="Arial" w:cs="Arial"/>
          <w:b/>
          <w:sz w:val="22"/>
        </w:rPr>
        <w:t>Registro abierto 24/7 no convierte todos los días en hábiles.</w:t>
      </w:r>
    </w:p>
    <w:p>
      <w:pPr>
        <w:spacing w:after="40"/>
        <w:ind w:left="369" w:hanging="227"/>
      </w:pPr>
      <w:r>
        <w:rPr>
          <w:rFonts w:ascii="Arial" w:hAnsi="Arial" w:cs="Arial"/>
          <w:sz w:val="22"/>
        </w:rPr>
        <w:t xml:space="preserve">9. </w:t>
      </w:r>
      <w:r>
        <w:rPr>
          <w:rFonts w:ascii="Arial" w:hAnsi="Arial" w:cs="Arial"/>
          <w:b/>
          <w:sz w:val="22"/>
        </w:rPr>
        <w:t>Registro receptor y registro competente:</w:t>
      </w:r>
      <w:r>
        <w:rPr>
          <w:rFonts w:ascii="Arial" w:hAnsi="Arial" w:cs="Arial"/>
          <w:sz w:val="22"/>
        </w:rPr>
        <w:t xml:space="preserve"> para el plazo de la Administración importa la entrada en el registro de la Administración u organismo competente.</w:t>
      </w:r>
    </w:p>
    <w:p>
      <w:pPr>
        <w:spacing w:after="40"/>
        <w:ind w:left="369" w:hanging="227"/>
      </w:pPr>
      <w:r>
        <w:rPr>
          <w:rFonts w:ascii="Arial" w:hAnsi="Arial" w:cs="Arial"/>
          <w:sz w:val="22"/>
        </w:rPr>
        <w:t xml:space="preserve">10. </w:t>
      </w:r>
      <w:r>
        <w:rPr>
          <w:rFonts w:ascii="Arial" w:hAnsi="Arial" w:cs="Arial"/>
          <w:b/>
          <w:sz w:val="22"/>
        </w:rPr>
        <w:t>Digitalización no equivale siempre a copia auténtica.</w:t>
      </w:r>
    </w:p>
    <w:p>
      <w:pPr>
        <w:spacing w:after="40"/>
        <w:ind w:left="369" w:hanging="227"/>
      </w:pPr>
      <w:r>
        <w:rPr>
          <w:rFonts w:ascii="Arial" w:hAnsi="Arial" w:cs="Arial"/>
          <w:sz w:val="22"/>
        </w:rPr>
        <w:t xml:space="preserve">11. </w:t>
      </w:r>
      <w:r>
        <w:rPr>
          <w:rFonts w:ascii="Arial" w:hAnsi="Arial" w:cs="Arial"/>
          <w:b/>
          <w:sz w:val="22"/>
        </w:rPr>
        <w:t>Índice electrónico</w:t>
      </w:r>
      <w:r>
        <w:rPr>
          <w:rFonts w:ascii="Arial" w:hAnsi="Arial" w:cs="Arial"/>
          <w:sz w:val="22"/>
        </w:rPr>
        <w:t xml:space="preserve"> acredita la composición e integridad del expediente.</w:t>
      </w:r>
    </w:p>
    <w:p>
      <w:pPr>
        <w:spacing w:after="40"/>
        <w:ind w:left="369" w:hanging="227"/>
      </w:pPr>
      <w:r>
        <w:rPr>
          <w:rFonts w:ascii="Arial" w:hAnsi="Arial" w:cs="Arial"/>
          <w:sz w:val="22"/>
        </w:rPr>
        <w:t xml:space="preserve">12. </w:t>
      </w:r>
      <w:r>
        <w:rPr>
          <w:rFonts w:ascii="Arial" w:hAnsi="Arial" w:cs="Arial"/>
          <w:b/>
          <w:sz w:val="22"/>
        </w:rPr>
        <w:t>Borradores y notas auxiliares</w:t>
      </w:r>
      <w:r>
        <w:rPr>
          <w:rFonts w:ascii="Arial" w:hAnsi="Arial" w:cs="Arial"/>
          <w:sz w:val="22"/>
        </w:rPr>
        <w:t xml:space="preserve"> quedan fuera, pero no los informes solicitados antes de resolver.</w:t>
      </w:r>
    </w:p>
    <w:p>
      <w:pPr>
        <w:spacing w:after="40"/>
        <w:ind w:left="369" w:hanging="227"/>
      </w:pPr>
      <w:r>
        <w:rPr>
          <w:rFonts w:ascii="Arial" w:hAnsi="Arial" w:cs="Arial"/>
          <w:sz w:val="22"/>
        </w:rPr>
        <w:t xml:space="preserve">13. </w:t>
      </w:r>
      <w:r>
        <w:rPr>
          <w:rFonts w:ascii="Arial" w:hAnsi="Arial" w:cs="Arial"/>
          <w:b/>
          <w:sz w:val="22"/>
        </w:rPr>
        <w:t>Archivo único</w:t>
      </w:r>
      <w:r>
        <w:rPr>
          <w:rFonts w:ascii="Arial" w:hAnsi="Arial" w:cs="Arial"/>
          <w:sz w:val="22"/>
        </w:rPr>
        <w:t xml:space="preserve"> no significa un único equipo físico ni conservación perpetua.</w:t>
      </w:r>
    </w:p>
    <w:p>
      <w:pPr>
        <w:spacing w:after="40"/>
        <w:ind w:left="369" w:hanging="227"/>
      </w:pPr>
      <w:r>
        <w:rPr>
          <w:rFonts w:ascii="Arial" w:hAnsi="Arial" w:cs="Arial"/>
          <w:sz w:val="22"/>
        </w:rPr>
        <w:t xml:space="preserve">14. </w:t>
      </w:r>
      <w:r>
        <w:rPr>
          <w:rFonts w:ascii="Arial" w:hAnsi="Arial" w:cs="Arial"/>
          <w:b/>
          <w:sz w:val="22"/>
        </w:rPr>
        <w:t>Aviso no es notificación</w:t>
      </w:r>
      <w:r>
        <w:rPr>
          <w:rFonts w:ascii="Arial" w:hAnsi="Arial" w:cs="Arial"/>
          <w:sz w:val="22"/>
        </w:rPr>
        <w:t xml:space="preserve"> y su ausencia no la invalida.</w:t>
      </w:r>
    </w:p>
    <w:p>
      <w:pPr>
        <w:spacing w:after="40"/>
        <w:ind w:left="369" w:hanging="227"/>
      </w:pPr>
      <w:r>
        <w:rPr>
          <w:rFonts w:ascii="Arial" w:hAnsi="Arial" w:cs="Arial"/>
          <w:sz w:val="22"/>
        </w:rPr>
        <w:t xml:space="preserve">15. </w:t>
      </w:r>
      <w:r>
        <w:rPr>
          <w:rFonts w:ascii="Arial" w:hAnsi="Arial" w:cs="Arial"/>
          <w:b/>
          <w:sz w:val="22"/>
        </w:rPr>
        <w:t>Diez días de notificación:</w:t>
      </w:r>
      <w:r>
        <w:rPr>
          <w:rFonts w:ascii="Arial" w:hAnsi="Arial" w:cs="Arial"/>
          <w:sz w:val="22"/>
        </w:rPr>
        <w:t xml:space="preserve"> son días desde el acto para cursarla; los diez de falta de acceso electrónico son naturales.</w:t>
      </w:r>
    </w:p>
    <w:p>
      <w:pPr>
        <w:spacing w:after="40"/>
        <w:ind w:left="369" w:hanging="227"/>
      </w:pPr>
      <w:r>
        <w:rPr>
          <w:rFonts w:ascii="Arial" w:hAnsi="Arial" w:cs="Arial"/>
          <w:sz w:val="22"/>
        </w:rPr>
        <w:t xml:space="preserve">16. </w:t>
      </w:r>
      <w:r>
        <w:rPr>
          <w:rFonts w:ascii="Arial" w:hAnsi="Arial" w:cs="Arial"/>
          <w:b/>
          <w:sz w:val="22"/>
        </w:rPr>
        <w:t>Dos vías electrónicas simultáneas:</w:t>
      </w:r>
      <w:r>
        <w:rPr>
          <w:rFonts w:ascii="Arial" w:hAnsi="Arial" w:cs="Arial"/>
          <w:sz w:val="22"/>
        </w:rPr>
        <w:t xml:space="preserve"> produce efectos el primer acceso o rechazo.</w:t>
      </w:r>
    </w:p>
    <w:p>
      <w:pPr>
        <w:spacing w:after="40"/>
        <w:ind w:left="369" w:hanging="227"/>
      </w:pPr>
      <w:r>
        <w:rPr>
          <w:rFonts w:ascii="Arial" w:hAnsi="Arial" w:cs="Arial"/>
          <w:sz w:val="22"/>
        </w:rPr>
        <w:t xml:space="preserve">17. </w:t>
      </w:r>
      <w:r>
        <w:rPr>
          <w:rFonts w:ascii="Arial" w:hAnsi="Arial" w:cs="Arial"/>
          <w:b/>
          <w:sz w:val="22"/>
        </w:rPr>
        <w:t>Puesta a disposición</w:t>
      </w:r>
      <w:r>
        <w:rPr>
          <w:rFonts w:ascii="Arial" w:hAnsi="Arial" w:cs="Arial"/>
          <w:sz w:val="22"/>
        </w:rPr>
        <w:t xml:space="preserve"> permite a la Administración acreditar cumplimiento de su plazo máximo, aunque el plazo del interesado dependa de la práctica o rechazo.</w:t>
      </w:r>
    </w:p>
    <w:p>
      <w:pPr>
        <w:spacing w:after="40"/>
        <w:ind w:left="369" w:hanging="227"/>
      </w:pPr>
      <w:r>
        <w:rPr>
          <w:rFonts w:ascii="Arial" w:hAnsi="Arial" w:cs="Arial"/>
          <w:sz w:val="22"/>
        </w:rPr>
        <w:t xml:space="preserve">18. </w:t>
      </w:r>
      <w:r>
        <w:rPr>
          <w:rFonts w:ascii="Arial" w:hAnsi="Arial" w:cs="Arial"/>
          <w:b/>
          <w:sz w:val="22"/>
        </w:rPr>
        <w:t>Actuación automatizada:</w:t>
      </w:r>
      <w:r>
        <w:rPr>
          <w:rFonts w:ascii="Arial" w:hAnsi="Arial" w:cs="Arial"/>
          <w:sz w:val="22"/>
        </w:rPr>
        <w:t xml:space="preserve"> no hay intervención directa de empleado y deben designarse órganos técnicos y de impugnación.</w:t>
      </w:r>
    </w:p>
    <w:p>
      <w:pPr>
        <w:pStyle w:val="Heading1"/>
        <w:keepNext/>
      </w:pPr>
      <w:r>
        <w:rPr>
          <w:rFonts w:ascii="Arial" w:hAnsi="Arial" w:cs="Arial"/>
          <w:sz w:val="30"/>
        </w:rPr>
        <w:t>16. Resumen de repaso</w:t>
      </w:r>
    </w:p>
    <w:p>
      <w:pPr>
        <w:jc w:val="both"/>
      </w:pPr>
      <w:r>
        <w:rPr>
          <w:rFonts w:ascii="Arial" w:hAnsi="Arial" w:cs="Arial"/>
          <w:sz w:val="22"/>
        </w:rPr>
        <w:t>La LPAC regula la vertiente procedimental y la LRJSP el funcionamiento organizativo; el Real Decreto 203/2021 las desarrolla bajo neutralidad, accesibilidad, facilidad, interoperabilidad, proporcionalidad y personalización. Las personas físicas eligen canal como regla. Personas jurídicas, entidades sin personalidad, ciertos profesionales colegiados, representantes de obligados y empleados públicos en trámites por su condición se relacionan electrónicamente.</w:t>
      </w:r>
    </w:p>
    <w:p>
      <w:pPr>
        <w:jc w:val="both"/>
      </w:pPr>
      <w:r>
        <w:rPr>
          <w:rFonts w:ascii="Arial" w:hAnsi="Arial" w:cs="Arial"/>
          <w:sz w:val="22"/>
        </w:rPr>
        <w:t>El PAGe da acceso común, la carpeta personaliza consultas, el portal informa y la sede soporta actuaciones con identificación administrativa. Identificar acredita quién actúa; firmar añade voluntad, consentimiento e integridad. La firma se exige para solicitudes, declaraciones responsables o comunicaciones, recursos, desistimientos y renuncias.</w:t>
      </w:r>
    </w:p>
    <w:p>
      <w:pPr>
        <w:jc w:val="both"/>
      </w:pPr>
      <w:r>
        <w:rPr>
          <w:rFonts w:ascii="Arial" w:hAnsi="Arial" w:cs="Arial"/>
          <w:sz w:val="22"/>
        </w:rPr>
        <w:t>El registro general recibe documentos, genera asiento y recibo y permanece disponible 24 horas. La presentación en inhábil se entiende realizada en la primera hora del hábil siguiente para plazos en días hábiles. El documento electrónico incorpora referencia temporal, metadatos y firma; el expediente ordena actuaciones y se remite con índice autenticado; el archivo único conserva procedimientos finalizados con autenticidad, integridad, confidencialidad y disponibilidad.</w:t>
      </w:r>
    </w:p>
    <w:p>
      <w:pPr>
        <w:jc w:val="both"/>
      </w:pPr>
      <w:r>
        <w:rPr>
          <w:rFonts w:ascii="Arial" w:hAnsi="Arial" w:cs="Arial"/>
          <w:sz w:val="22"/>
        </w:rPr>
        <w:t>La notificación contiene texto íntegro, vía administrativa y recursos. Electrónicamente se practica por sede, DEHú o ambas; se perfecciona con acceso y se rechaza tras diez días naturales sin acceder cuando es obligatoria o elegida. El aviso carece de efecto notificatorio. En papel, si fracasa el primer intento domiciliario, hay uno segundo en distinta franja dentro de tres días y separado al menos tres horas.</w:t>
      </w:r>
    </w:p>
    <w:p>
      <w:pPr>
        <w:pStyle w:val="Heading1"/>
        <w:keepNext/>
      </w:pPr>
      <w:r>
        <w:rPr>
          <w:rFonts w:ascii="Arial" w:hAnsi="Arial" w:cs="Arial"/>
          <w:sz w:val="30"/>
        </w:rPr>
        <w:t>17. Datos preguntables</w:t>
      </w:r>
    </w:p>
    <w:p>
      <w:pPr>
        <w:pStyle w:val="ListBullet"/>
      </w:pPr>
      <w:r>
        <w:rPr>
          <w:rFonts w:ascii="Arial" w:hAnsi="Arial" w:cs="Arial"/>
          <w:sz w:val="22"/>
        </w:rPr>
        <w:t xml:space="preserve">Sujetos expresamente obligados en el artículo 14.2: </w:t>
      </w:r>
      <w:r>
        <w:rPr>
          <w:rFonts w:ascii="Arial" w:hAnsi="Arial" w:cs="Arial"/>
          <w:b/>
          <w:sz w:val="22"/>
        </w:rPr>
        <w:t>cinco grupos</w:t>
      </w:r>
      <w:r>
        <w:rPr>
          <w:rFonts w:ascii="Arial" w:hAnsi="Arial" w:cs="Arial"/>
          <w:sz w:val="22"/>
        </w:rPr>
        <w:t>.</w:t>
      </w:r>
    </w:p>
    <w:p>
      <w:pPr>
        <w:pStyle w:val="ListBullet"/>
      </w:pPr>
      <w:r>
        <w:rPr>
          <w:rFonts w:ascii="Arial" w:hAnsi="Arial" w:cs="Arial"/>
          <w:sz w:val="22"/>
        </w:rPr>
        <w:t xml:space="preserve">Efecto del cambio de canal: </w:t>
      </w:r>
      <w:r>
        <w:rPr>
          <w:rFonts w:ascii="Arial" w:hAnsi="Arial" w:cs="Arial"/>
          <w:b/>
          <w:sz w:val="22"/>
        </w:rPr>
        <w:t>quinto día hábil</w:t>
      </w:r>
      <w:r>
        <w:rPr>
          <w:rFonts w:ascii="Arial" w:hAnsi="Arial" w:cs="Arial"/>
          <w:sz w:val="22"/>
        </w:rPr>
        <w:t>.</w:t>
      </w:r>
    </w:p>
    <w:p>
      <w:pPr>
        <w:pStyle w:val="ListBullet"/>
      </w:pPr>
      <w:r>
        <w:rPr>
          <w:rFonts w:ascii="Arial" w:hAnsi="Arial" w:cs="Arial"/>
          <w:sz w:val="22"/>
        </w:rPr>
        <w:t xml:space="preserve">Subsanación ordinaria: </w:t>
      </w:r>
      <w:r>
        <w:rPr>
          <w:rFonts w:ascii="Arial" w:hAnsi="Arial" w:cs="Arial"/>
          <w:b/>
          <w:sz w:val="22"/>
        </w:rPr>
        <w:t>diez días</w:t>
      </w:r>
      <w:r>
        <w:rPr>
          <w:rFonts w:ascii="Arial" w:hAnsi="Arial" w:cs="Arial"/>
          <w:sz w:val="22"/>
        </w:rPr>
        <w:t>.</w:t>
      </w:r>
    </w:p>
    <w:p>
      <w:pPr>
        <w:pStyle w:val="ListBullet"/>
      </w:pPr>
      <w:r>
        <w:rPr>
          <w:rFonts w:ascii="Arial" w:hAnsi="Arial" w:cs="Arial"/>
          <w:sz w:val="22"/>
        </w:rPr>
        <w:t xml:space="preserve">Firma obligatoria: </w:t>
      </w:r>
      <w:r>
        <w:rPr>
          <w:rFonts w:ascii="Arial" w:hAnsi="Arial" w:cs="Arial"/>
          <w:b/>
          <w:sz w:val="22"/>
        </w:rPr>
        <w:t>cinco actuaciones</w:t>
      </w:r>
      <w:r>
        <w:rPr>
          <w:rFonts w:ascii="Arial" w:hAnsi="Arial" w:cs="Arial"/>
          <w:sz w:val="22"/>
        </w:rPr>
        <w:t>.</w:t>
      </w:r>
    </w:p>
    <w:p>
      <w:pPr>
        <w:pStyle w:val="ListBullet"/>
      </w:pPr>
      <w:r>
        <w:rPr>
          <w:rFonts w:ascii="Arial" w:hAnsi="Arial" w:cs="Arial"/>
          <w:sz w:val="22"/>
        </w:rPr>
        <w:t xml:space="preserve">Registro electrónico: </w:t>
      </w:r>
      <w:r>
        <w:rPr>
          <w:rFonts w:ascii="Arial" w:hAnsi="Arial" w:cs="Arial"/>
          <w:b/>
          <w:sz w:val="22"/>
        </w:rPr>
        <w:t>24 horas, todos los días</w:t>
      </w:r>
      <w:r>
        <w:rPr>
          <w:rFonts w:ascii="Arial" w:hAnsi="Arial" w:cs="Arial"/>
          <w:sz w:val="22"/>
        </w:rPr>
        <w:t>.</w:t>
      </w:r>
    </w:p>
    <w:p>
      <w:pPr>
        <w:pStyle w:val="ListBullet"/>
      </w:pPr>
      <w:r>
        <w:rPr>
          <w:rFonts w:ascii="Arial" w:hAnsi="Arial" w:cs="Arial"/>
          <w:sz w:val="22"/>
        </w:rPr>
        <w:t xml:space="preserve">Expedición de copia auténtica solicitada: </w:t>
      </w:r>
      <w:r>
        <w:rPr>
          <w:rFonts w:ascii="Arial" w:hAnsi="Arial" w:cs="Arial"/>
          <w:b/>
          <w:sz w:val="22"/>
        </w:rPr>
        <w:t>quince días</w:t>
      </w:r>
      <w:r>
        <w:rPr>
          <w:rFonts w:ascii="Arial" w:hAnsi="Arial" w:cs="Arial"/>
          <w:sz w:val="22"/>
        </w:rPr>
        <w:t>.</w:t>
      </w:r>
    </w:p>
    <w:p>
      <w:pPr>
        <w:pStyle w:val="ListBullet"/>
      </w:pPr>
      <w:r>
        <w:rPr>
          <w:rFonts w:ascii="Arial" w:hAnsi="Arial" w:cs="Arial"/>
          <w:sz w:val="22"/>
        </w:rPr>
        <w:t xml:space="preserve">Plazo para cursar notificación desde el acto: </w:t>
      </w:r>
      <w:r>
        <w:rPr>
          <w:rFonts w:ascii="Arial" w:hAnsi="Arial" w:cs="Arial"/>
          <w:b/>
          <w:sz w:val="22"/>
        </w:rPr>
        <w:t>diez días</w:t>
      </w:r>
      <w:r>
        <w:rPr>
          <w:rFonts w:ascii="Arial" w:hAnsi="Arial" w:cs="Arial"/>
          <w:sz w:val="22"/>
        </w:rPr>
        <w:t>.</w:t>
      </w:r>
    </w:p>
    <w:p>
      <w:pPr>
        <w:pStyle w:val="ListBullet"/>
      </w:pPr>
      <w:r>
        <w:rPr>
          <w:rFonts w:ascii="Arial" w:hAnsi="Arial" w:cs="Arial"/>
          <w:sz w:val="22"/>
        </w:rPr>
        <w:t xml:space="preserve">Rechazo electrónico por falta de acceso: </w:t>
      </w:r>
      <w:r>
        <w:rPr>
          <w:rFonts w:ascii="Arial" w:hAnsi="Arial" w:cs="Arial"/>
          <w:b/>
          <w:sz w:val="22"/>
        </w:rPr>
        <w:t>diez días naturales</w:t>
      </w:r>
      <w:r>
        <w:rPr>
          <w:rFonts w:ascii="Arial" w:hAnsi="Arial" w:cs="Arial"/>
          <w:sz w:val="22"/>
        </w:rPr>
        <w:t>.</w:t>
      </w:r>
    </w:p>
    <w:p>
      <w:pPr>
        <w:pStyle w:val="ListBullet"/>
      </w:pPr>
      <w:r>
        <w:rPr>
          <w:rFonts w:ascii="Arial" w:hAnsi="Arial" w:cs="Arial"/>
          <w:sz w:val="22"/>
        </w:rPr>
        <w:t xml:space="preserve">Persona que recibe notificación domiciliaria: mayor de </w:t>
      </w:r>
      <w:r>
        <w:rPr>
          <w:rFonts w:ascii="Arial" w:hAnsi="Arial" w:cs="Arial"/>
          <w:b/>
          <w:sz w:val="22"/>
        </w:rPr>
        <w:t>catorce años</w:t>
      </w:r>
      <w:r>
        <w:rPr>
          <w:rFonts w:ascii="Arial" w:hAnsi="Arial" w:cs="Arial"/>
          <w:sz w:val="22"/>
        </w:rPr>
        <w:t>.</w:t>
      </w:r>
    </w:p>
    <w:p>
      <w:pPr>
        <w:pStyle w:val="ListBullet"/>
      </w:pPr>
      <w:r>
        <w:rPr>
          <w:rFonts w:ascii="Arial" w:hAnsi="Arial" w:cs="Arial"/>
          <w:sz w:val="22"/>
        </w:rPr>
        <w:t xml:space="preserve">Segundo intento en papel: dentro de </w:t>
      </w:r>
      <w:r>
        <w:rPr>
          <w:rFonts w:ascii="Arial" w:hAnsi="Arial" w:cs="Arial"/>
          <w:b/>
          <w:sz w:val="22"/>
        </w:rPr>
        <w:t>tres días</w:t>
      </w:r>
      <w:r>
        <w:rPr>
          <w:rFonts w:ascii="Arial" w:hAnsi="Arial" w:cs="Arial"/>
          <w:sz w:val="22"/>
        </w:rPr>
        <w:t xml:space="preserve">, en franja contraria y con </w:t>
      </w:r>
      <w:r>
        <w:rPr>
          <w:rFonts w:ascii="Arial" w:hAnsi="Arial" w:cs="Arial"/>
          <w:b/>
          <w:sz w:val="22"/>
        </w:rPr>
        <w:t>tres horas</w:t>
      </w:r>
      <w:r>
        <w:rPr>
          <w:rFonts w:ascii="Arial" w:hAnsi="Arial" w:cs="Arial"/>
          <w:sz w:val="22"/>
        </w:rPr>
        <w:t xml:space="preserve"> de separación mínima.</w:t>
      </w:r>
    </w:p>
    <w:p>
      <w:pPr>
        <w:pStyle w:val="ListBullet"/>
      </w:pPr>
      <w:r>
        <w:rPr>
          <w:rFonts w:ascii="Arial" w:hAnsi="Arial" w:cs="Arial"/>
          <w:sz w:val="22"/>
        </w:rPr>
        <w:t xml:space="preserve">Sistemas de firma de actuación automatizada: </w:t>
      </w:r>
      <w:r>
        <w:rPr>
          <w:rFonts w:ascii="Arial" w:hAnsi="Arial" w:cs="Arial"/>
          <w:b/>
          <w:sz w:val="22"/>
        </w:rPr>
        <w:t>sello electrónico o CSV</w:t>
      </w:r>
      <w:r>
        <w:rPr>
          <w:rFonts w:ascii="Arial" w:hAnsi="Arial" w:cs="Arial"/>
          <w:sz w:val="22"/>
        </w:rPr>
        <w:t>.</w:t>
      </w:r>
    </w:p>
    <w:p>
      <w:pPr>
        <w:pStyle w:val="ListBullet"/>
      </w:pPr>
      <w:r>
        <w:rPr>
          <w:rFonts w:ascii="Arial" w:hAnsi="Arial" w:cs="Arial"/>
          <w:sz w:val="22"/>
        </w:rPr>
        <w:t xml:space="preserve">Puesta simultánea en sede y DEHú: cuenta el </w:t>
      </w:r>
      <w:r>
        <w:rPr>
          <w:rFonts w:ascii="Arial" w:hAnsi="Arial" w:cs="Arial"/>
          <w:b/>
          <w:sz w:val="22"/>
        </w:rPr>
        <w:t>primer acceso o rechazo</w:t>
      </w:r>
      <w:r>
        <w:rPr>
          <w:rFonts w:ascii="Arial" w:hAnsi="Arial" w:cs="Arial"/>
          <w:sz w:val="22"/>
        </w:rPr>
        <w:t>.</w:t>
      </w:r>
    </w:p>
    <w:p>
      <w:pPr>
        <w:pStyle w:val="Heading1"/>
        <w:keepNext/>
      </w:pPr>
      <w:r>
        <w:rPr>
          <w:rFonts w:ascii="Arial" w:hAnsi="Arial" w:cs="Arial"/>
          <w:sz w:val="30"/>
        </w:rPr>
        <w:t>18. Fuentes oficiales</w:t>
      </w:r>
    </w:p>
    <w:p>
      <w:pPr>
        <w:pStyle w:val="ListBullet"/>
      </w:pPr>
      <w:r>
        <w:rPr>
          <w:rFonts w:ascii="Arial" w:hAnsi="Arial" w:cs="Arial"/>
          <w:sz w:val="22"/>
        </w:rPr>
        <w:t>Ley 39/2015, del Procedimiento Administrativo Común de las Administraciones Públicas (https://www.boe.es/buscar/act.php?id=BOE-A-2015-10565).</w:t>
      </w:r>
    </w:p>
    <w:p>
      <w:pPr>
        <w:pStyle w:val="ListBullet"/>
      </w:pPr>
      <w:r>
        <w:rPr>
          <w:rFonts w:ascii="Arial" w:hAnsi="Arial" w:cs="Arial"/>
          <w:sz w:val="22"/>
        </w:rPr>
        <w:t>Ley 40/2015, de Régimen Jurídico del Sector Público (https://www.boe.es/buscar/act.php?id=BOE-A-2015-10566).</w:t>
      </w:r>
    </w:p>
    <w:p>
      <w:pPr>
        <w:pStyle w:val="ListBullet"/>
      </w:pPr>
      <w:r>
        <w:rPr>
          <w:rFonts w:ascii="Arial" w:hAnsi="Arial" w:cs="Arial"/>
          <w:sz w:val="22"/>
        </w:rPr>
        <w:t>Real Decreto 203/2021, Reglamento de actuación y funcionamiento del sector público por medios electrónicos (https://www.boe.es/buscar/act.php?id=BOE-A-2021-5032).</w:t>
      </w:r>
    </w:p>
    <w:p>
      <w:pPr>
        <w:pStyle w:val="ListBullet"/>
      </w:pPr>
      <w:r>
        <w:rPr>
          <w:rFonts w:ascii="Arial" w:hAnsi="Arial" w:cs="Arial"/>
          <w:sz w:val="22"/>
        </w:rPr>
        <w:t>Real Decreto 4/2010, Esquema Nacional de Interoperabilidad (https://www.boe.es/buscar/act.php?id=BOE-A-2010-1331).</w:t>
      </w:r>
    </w:p>
    <w:p>
      <w:pPr>
        <w:pStyle w:val="ListBullet"/>
      </w:pPr>
      <w:r>
        <w:rPr>
          <w:rFonts w:ascii="Arial" w:hAnsi="Arial" w:cs="Arial"/>
          <w:sz w:val="22"/>
        </w:rPr>
        <w:t>Real Decreto 311/2022, Esquema Nacional de Seguridad (https://www.boe.es/buscar/act.php?id=BOE-A-2022-7191).</w:t>
      </w:r>
    </w:p>
    <w:p>
      <w:pPr>
        <w:pStyle w:val="ListBullet"/>
      </w:pPr>
      <w:r>
        <w:rPr>
          <w:rFonts w:ascii="Arial" w:hAnsi="Arial" w:cs="Arial"/>
          <w:sz w:val="22"/>
        </w:rPr>
        <w:t>Reglamento (UE) 910/2014, identificación electrónica y servicios de confianza (https://eur-lex.europa.eu/legal-content/ES/TXT/?uri=CELEX:02014R0910-20241018).</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G23</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1, 2025: 3, 2026: 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5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r>
    </w:tbl>
    <w:p>
      <w:pPr>
        <w:spacing w:after="40"/>
      </w:pPr>
    </w:p>
    <w:p>
      <w:pPr>
        <w:jc w:val="both"/>
      </w:pPr>
      <w:r>
        <w:rPr>
          <w:rFonts w:ascii="Arial" w:hAnsi="Arial" w:cs="Arial"/>
          <w:b/>
          <w:sz w:val="22"/>
        </w:rPr>
        <w:t>Normas que más aparecen:</w:t>
      </w:r>
      <w:r>
        <w:rPr>
          <w:rFonts w:ascii="Arial" w:hAnsi="Arial" w:cs="Arial"/>
          <w:sz w:val="22"/>
        </w:rPr>
        <w:t xml:space="preserve"> Real Decreto 203/2021 (3); Ley 39/2015 (2).</w:t>
      </w:r>
    </w:p>
    <w:p>
      <w:pPr>
        <w:jc w:val="both"/>
      </w:pPr>
      <w:r>
        <w:rPr>
          <w:rFonts w:ascii="Arial" w:hAnsi="Arial" w:cs="Arial"/>
          <w:b/>
          <w:sz w:val="22"/>
        </w:rPr>
        <w:t>Artículos o preceptos más repetidos:</w:t>
      </w:r>
      <w:r>
        <w:rPr>
          <w:rFonts w:ascii="Arial" w:hAnsi="Arial" w:cs="Arial"/>
          <w:sz w:val="22"/>
        </w:rPr>
        <w:t xml:space="preserve"> 53 (1); 14 (1); 43 (1); 51 (1).</w:t>
      </w:r>
    </w:p>
    <w:p>
      <w:pPr>
        <w:jc w:val="both"/>
      </w:pPr>
      <w:r>
        <w:rPr>
          <w:rFonts w:ascii="Arial" w:hAnsi="Arial" w:cs="Arial"/>
          <w:b/>
          <w:sz w:val="22"/>
        </w:rPr>
        <w:t>Formas de pregunta predominantes:</w:t>
      </w:r>
      <w:r>
        <w:rPr>
          <w:rFonts w:ascii="Arial" w:hAnsi="Arial" w:cs="Arial"/>
          <w:sz w:val="22"/>
        </w:rPr>
        <w:t xml:space="preserve"> Artículos literales (2); Procedimientos (2); Plazos (1).</w:t>
      </w:r>
    </w:p>
    <w:p>
      <w:pPr>
        <w:pStyle w:val="Heading2"/>
        <w:keepNext/>
      </w:pPr>
      <w:r>
        <w:rPr>
          <w:rFonts w:ascii="Arial" w:hAnsi="Arial" w:cs="Arial"/>
          <w:sz w:val="25"/>
        </w:rPr>
        <w:t>Patrones observados</w:t>
      </w:r>
    </w:p>
    <w:p>
      <w:pPr>
        <w:pStyle w:val="ListBullet"/>
      </w:pPr>
      <w:r>
        <w:rPr>
          <w:rFonts w:ascii="Arial" w:hAnsi="Arial" w:cs="Arial"/>
          <w:b/>
          <w:sz w:val="22"/>
        </w:rPr>
        <w:t>2024, teoría 23:</w:t>
      </w:r>
      <w:r>
        <w:rPr>
          <w:rFonts w:ascii="Arial" w:hAnsi="Arial" w:cs="Arial"/>
          <w:sz w:val="22"/>
        </w:rPr>
        <w:t xml:space="preserve"> Según eI apartado 1 del artículo 53 del Real Decreto 203/2021, de 30 de marzo, por el que se aprueba el Reglamento de actuación y funcionamiento del sector público por medios electrónicos, los documentos…</w:t>
      </w:r>
    </w:p>
    <w:p>
      <w:pPr>
        <w:pStyle w:val="ListBullet"/>
      </w:pPr>
      <w:r>
        <w:rPr>
          <w:rFonts w:ascii="Arial" w:hAnsi="Arial" w:cs="Arial"/>
          <w:b/>
          <w:sz w:val="22"/>
        </w:rPr>
        <w:t>2025, teoría 23:</w:t>
      </w:r>
      <w:r>
        <w:rPr>
          <w:rFonts w:ascii="Arial" w:hAnsi="Arial" w:cs="Arial"/>
          <w:sz w:val="22"/>
        </w:rPr>
        <w:t xml:space="preserve"> Conforme al art. 14, apartado 1 del Real Decreto 203/2021, ¿qué plazo tiene el interesado para subsanar la falta de utilización de medios electrónicos cuando está obligado a ello?</w:t>
      </w:r>
    </w:p>
    <w:p>
      <w:pPr>
        <w:pStyle w:val="ListBullet"/>
      </w:pPr>
      <w:r>
        <w:rPr>
          <w:rFonts w:ascii="Arial" w:hAnsi="Arial" w:cs="Arial"/>
          <w:b/>
          <w:sz w:val="22"/>
        </w:rPr>
        <w:t>2025, teoría 23:</w:t>
      </w:r>
      <w:r>
        <w:rPr>
          <w:rFonts w:ascii="Arial" w:hAnsi="Arial" w:cs="Arial"/>
          <w:sz w:val="22"/>
        </w:rPr>
        <w:t xml:space="preserve"> Según el artículo 14 de la Ley 39/2015, de 1 de octubre, del Procedimiento Administrativo Común de las Administraciones Públicas, serán sujetos obligados a relacionarse electrónicamente a través de medios…</w:t>
      </w:r>
    </w:p>
    <w:p>
      <w:pPr>
        <w:pStyle w:val="ListBullet"/>
      </w:pPr>
      <w:r>
        <w:rPr>
          <w:rFonts w:ascii="Arial" w:hAnsi="Arial" w:cs="Arial"/>
          <w:b/>
          <w:sz w:val="22"/>
        </w:rPr>
        <w:t>2025, teoría 23:</w:t>
      </w:r>
      <w:r>
        <w:rPr>
          <w:rFonts w:ascii="Arial" w:hAnsi="Arial" w:cs="Arial"/>
          <w:sz w:val="22"/>
        </w:rPr>
        <w:t xml:space="preserve"> Según el artículo 43 de la Ley 39/2015, de 1 de octubre, del Procedimiento Administrativo Común de las Administraciones Públicas, cuando la notificación por medios electrónicos haya sido expresamente elegida…</w:t>
      </w:r>
    </w:p>
    <w:p>
      <w:pPr>
        <w:pStyle w:val="ListBullet"/>
      </w:pPr>
      <w:r>
        <w:rPr>
          <w:rFonts w:ascii="Arial" w:hAnsi="Arial" w:cs="Arial"/>
          <w:b/>
          <w:sz w:val="22"/>
        </w:rPr>
        <w:t>2026, teoría 28:</w:t>
      </w:r>
      <w:r>
        <w:rPr>
          <w:rFonts w:ascii="Arial" w:hAnsi="Arial" w:cs="Arial"/>
          <w:sz w:val="22"/>
        </w:rPr>
        <w:t xml:space="preserve"> En relación con la configuración del expediente electrónico administrativo, regulada en eI artículo 51 del Real Decreto 203/2021, de 30 de marzo, por el que se aprueba eI Reglamento de actuación y…</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1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G23 · Tema 23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23. El funcionamiento electrónico del sector público. Derecho y obligación de relacionarse electrónicamente con las Administraciones Públicas, r…</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