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3</w:t>
      </w:r>
    </w:p>
    <w:p>
      <w:pPr>
        <w:keepNext/>
        <w:spacing w:before="0" w:after="280"/>
        <w:pBdr>
          <w:bottom w:val="single" w:sz="12" w:space="1" w:color="2F75B5"/>
        </w:pBdr>
      </w:pPr>
      <w:r>
        <w:rPr>
          <w:rFonts w:ascii="Arial" w:hAnsi="Arial" w:cs="Arial"/>
          <w:b/>
          <w:color w:val="17365D"/>
          <w:sz w:val="40"/>
        </w:rPr>
        <w:t>El Tribunal Constitucional. Organización, composición y atribuciones.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Actualización normativa: 30 de julio de 2026.</w:t>
      </w:r>
    </w:p>
    <w:p>
      <w:pPr>
        <w:jc w:val="both"/>
      </w:pPr>
      <w:r>
        <w:rPr>
          <w:rFonts w:ascii="Arial" w:hAnsi="Arial" w:cs="Arial"/>
          <w:sz w:val="22"/>
        </w:rPr>
        <w:t>El Tribunal Constitucional garantiza la supremacía de la Constitución mediante procesos específicos de control de normas, protección de derechos y resolución de controversias constitucionales. Su regulación básica se encuentra en los artículos 159 a 165 de la Constitución Española y en la Ley Orgánica 2/1979, de 3 de octubre, del Tribunal Constitucional (LOTC). No forma parte del Poder Judicial: es un órgano constitucional independiente, único en su orden y con jurisdicción en todo el territorio nacional.</w:t>
      </w:r>
    </w:p>
    <w:p>
      <w:pPr>
        <w:pStyle w:val="Heading1"/>
        <w:keepNext/>
      </w:pPr>
      <w:r>
        <w:rPr>
          <w:rFonts w:ascii="Arial" w:hAnsi="Arial" w:cs="Arial"/>
          <w:sz w:val="30"/>
        </w:rPr>
        <w:t>1. Posición constitucional y rasgos esenciales</w:t>
      </w:r>
    </w:p>
    <w:p>
      <w:pPr>
        <w:pStyle w:val="Heading2"/>
        <w:keepNext/>
      </w:pPr>
      <w:r>
        <w:rPr>
          <w:rFonts w:ascii="Arial" w:hAnsi="Arial" w:cs="Arial"/>
          <w:sz w:val="25"/>
        </w:rPr>
        <w:t>1.1. Intérprete supremo de la Constitución</w:t>
      </w:r>
    </w:p>
    <w:p>
      <w:pPr>
        <w:jc w:val="both"/>
      </w:pPr>
      <w:r>
        <w:rPr>
          <w:rFonts w:ascii="Arial" w:hAnsi="Arial" w:cs="Arial"/>
          <w:sz w:val="22"/>
        </w:rPr>
        <w:t xml:space="preserve">El artículo 1 LOTC define al Tribunal Constitucional como </w:t>
      </w:r>
      <w:r>
        <w:rPr>
          <w:rFonts w:ascii="Arial" w:hAnsi="Arial" w:cs="Arial"/>
          <w:b/>
          <w:sz w:val="22"/>
        </w:rPr>
        <w:t>intérprete supremo de la Constitución</w:t>
      </w:r>
      <w:r>
        <w:rPr>
          <w:rFonts w:ascii="Arial" w:hAnsi="Arial" w:cs="Arial"/>
          <w:sz w:val="22"/>
        </w:rPr>
        <w:t>. Esta posición significa que sus decisiones fijan la interpretación constitucional vinculante para los poderes públicos. El Tribunal está sometido únicamente a la Constitución y a su ley orgánica, y es independiente de los demás órganos constitucionales.</w:t>
      </w:r>
    </w:p>
    <w:p>
      <w:pPr>
        <w:jc w:val="both"/>
      </w:pPr>
      <w:r>
        <w:rPr>
          <w:rFonts w:ascii="Arial" w:hAnsi="Arial" w:cs="Arial"/>
          <w:sz w:val="22"/>
        </w:rPr>
        <w:t>La independencia institucional se completa con varios rasgos:</w:t>
      </w:r>
    </w:p>
    <w:p>
      <w:pPr>
        <w:pStyle w:val="ListBullet"/>
      </w:pPr>
      <w:r>
        <w:rPr>
          <w:rFonts w:ascii="Arial" w:hAnsi="Arial" w:cs="Arial"/>
          <w:sz w:val="22"/>
        </w:rPr>
        <w:t xml:space="preserve">es </w:t>
      </w:r>
      <w:r>
        <w:rPr>
          <w:rFonts w:ascii="Arial" w:hAnsi="Arial" w:cs="Arial"/>
          <w:b/>
          <w:sz w:val="22"/>
        </w:rPr>
        <w:t>único en su orden</w:t>
      </w:r>
      <w:r>
        <w:rPr>
          <w:rFonts w:ascii="Arial" w:hAnsi="Arial" w:cs="Arial"/>
          <w:sz w:val="22"/>
        </w:rPr>
        <w:t>;</w:t>
      </w:r>
    </w:p>
    <w:p>
      <w:pPr>
        <w:pStyle w:val="ListBullet"/>
      </w:pPr>
      <w:r>
        <w:rPr>
          <w:rFonts w:ascii="Arial" w:hAnsi="Arial" w:cs="Arial"/>
          <w:sz w:val="22"/>
        </w:rPr>
        <w:t xml:space="preserve">extiende su jurisdicción a </w:t>
      </w:r>
      <w:r>
        <w:rPr>
          <w:rFonts w:ascii="Arial" w:hAnsi="Arial" w:cs="Arial"/>
          <w:b/>
          <w:sz w:val="22"/>
        </w:rPr>
        <w:t>todo el territorio nacional</w:t>
      </w:r>
      <w:r>
        <w:rPr>
          <w:rFonts w:ascii="Arial" w:hAnsi="Arial" w:cs="Arial"/>
          <w:sz w:val="22"/>
        </w:rPr>
        <w:t>;</w:t>
      </w:r>
    </w:p>
    <w:p>
      <w:pPr>
        <w:pStyle w:val="ListBullet"/>
      </w:pPr>
      <w:r>
        <w:rPr>
          <w:rFonts w:ascii="Arial" w:hAnsi="Arial" w:cs="Arial"/>
          <w:sz w:val="22"/>
        </w:rPr>
        <w:t>delimita por sí mismo el ámbito de su jurisdicción;</w:t>
      </w:r>
    </w:p>
    <w:p>
      <w:pPr>
        <w:pStyle w:val="ListBullet"/>
      </w:pPr>
      <w:r>
        <w:rPr>
          <w:rFonts w:ascii="Arial" w:hAnsi="Arial" w:cs="Arial"/>
          <w:sz w:val="22"/>
        </w:rPr>
        <w:t>ningún órgano jurisdiccional del Estado puede enjuiciar sus resoluciones;</w:t>
      </w:r>
    </w:p>
    <w:p>
      <w:pPr>
        <w:pStyle w:val="ListBullet"/>
      </w:pPr>
      <w:r>
        <w:rPr>
          <w:rFonts w:ascii="Arial" w:hAnsi="Arial" w:cs="Arial"/>
          <w:sz w:val="22"/>
        </w:rPr>
        <w:t>no puede promoverse frente a él una cuestión de jurisdicción o de competencia;</w:t>
      </w:r>
    </w:p>
    <w:p>
      <w:pPr>
        <w:pStyle w:val="ListBullet"/>
      </w:pPr>
      <w:r>
        <w:rPr>
          <w:rFonts w:ascii="Arial" w:hAnsi="Arial" w:cs="Arial"/>
          <w:sz w:val="22"/>
        </w:rPr>
        <w:t>todos los poderes públicos deben cumplir lo que resuelva.</w:t>
      </w:r>
    </w:p>
    <w:p>
      <w:pPr>
        <w:jc w:val="both"/>
      </w:pPr>
      <w:r>
        <w:rPr>
          <w:rFonts w:ascii="Arial" w:hAnsi="Arial" w:cs="Arial"/>
          <w:sz w:val="22"/>
        </w:rPr>
        <w:t>El Tribunal puede apreciar de oficio o a instancia de parte su propia competencia o incompetencia y adoptar medidas para preservar su jurisdicción. Puede incluso declarar nulos los actos o resoluciones que la menoscaben, mediante decisión motivada y previa audiencia del Ministerio Fiscal y del órgano autor del acto.</w:t>
      </w:r>
    </w:p>
    <w:p>
      <w:pPr>
        <w:pStyle w:val="Heading2"/>
        <w:keepNext/>
      </w:pPr>
      <w:r>
        <w:rPr>
          <w:rFonts w:ascii="Arial" w:hAnsi="Arial" w:cs="Arial"/>
          <w:sz w:val="25"/>
        </w:rPr>
        <w:t>1.2. Diferencia respecto del Poder Judicial</w:t>
      </w:r>
    </w:p>
    <w:p>
      <w:pPr>
        <w:jc w:val="both"/>
      </w:pPr>
      <w:r>
        <w:rPr>
          <w:rFonts w:ascii="Arial" w:hAnsi="Arial" w:cs="Arial"/>
          <w:sz w:val="22"/>
        </w:rPr>
        <w:t>El Tribunal Constitucional no es una instancia superior de los juzgados y tribunales ordinarios. El artículo 123.1 de la Constitución califica al Tribunal Supremo como órgano jurisdiccional superior en todos los órdenes, pero exceptúa lo dispuesto en materia de garantías constitucionales. Cada institución cumple una función distinta:</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Tribunal Constitucional</w:t>
            </w:r>
          </w:p>
        </w:tc>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Juzgados y tribunales del Poder Judicial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Controla la constitucionalidad en los procesos atribuidos por la Constitución y la LOTC.</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Juzgan y hacen ejecutar lo juzgado en los distintos órdenes jurisdiccionales.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Resuelve recursos de amparo por vulneración de determinados derechos fundamentales.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Proporcionan la tutela judicial ordinaria y son la vía previa habitual al amparo.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Resuelve conflictos constitucionales de competencia o atribución.</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Resuelven litigios ordinarios según las reglas de competencia procesal.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No revisa con carácter general la legalidad ni revalora los hechos de los procesos judiciales.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Interpretan y aplican la ley al caso concreto y fijan los hechos conforme a las reglas procesales.</w:t>
            </w:r>
          </w:p>
        </w:tc>
      </w:tr>
    </w:tbl>
    <w:p>
      <w:pPr>
        <w:spacing w:after="40"/>
      </w:pPr>
    </w:p>
    <w:p>
      <w:pPr>
        <w:jc w:val="both"/>
      </w:pPr>
      <w:r>
        <w:rPr>
          <w:rFonts w:ascii="Arial" w:hAnsi="Arial" w:cs="Arial"/>
          <w:sz w:val="22"/>
        </w:rPr>
        <w:t>La competencia del Tribunal puede extenderse a cuestiones prejudiciales o incidentales ajenas al orden constitucional cuando estén directamente relacionadas con el asunto constitucional, pero solo a efectos de resolver este último.</w:t>
      </w:r>
    </w:p>
    <w:p>
      <w:pPr>
        <w:pStyle w:val="Heading2"/>
        <w:keepNext/>
      </w:pPr>
      <w:r>
        <w:rPr>
          <w:rFonts w:ascii="Arial" w:hAnsi="Arial" w:cs="Arial"/>
          <w:sz w:val="25"/>
        </w:rPr>
        <w:t>1.3. Fuentes reguladoras y potestad reglamentaria</w:t>
      </w:r>
    </w:p>
    <w:p>
      <w:pPr>
        <w:jc w:val="both"/>
      </w:pPr>
      <w:r>
        <w:rPr>
          <w:rFonts w:ascii="Arial" w:hAnsi="Arial" w:cs="Arial"/>
          <w:sz w:val="22"/>
        </w:rPr>
        <w:t>El artículo 165 de la Constitución reserva a una ley orgánica la regulación del funcionamiento del Tribunal, del estatuto de sus miembros, del procedimiento y de las condiciones para ejercer las acciones. Esa norma es la LOTC.</w:t>
      </w:r>
    </w:p>
    <w:p>
      <w:pPr>
        <w:jc w:val="both"/>
      </w:pPr>
      <w:r>
        <w:rPr>
          <w:rFonts w:ascii="Arial" w:hAnsi="Arial" w:cs="Arial"/>
          <w:sz w:val="22"/>
        </w:rPr>
        <w:t>El propio Tribunal puede aprobar, en Pleno, reglamentos sobre su funcionamiento y organización y sobre el régimen de su personal y servicios. Deben publicarse en el Boletín Oficial del Estado y estar autorizados por su Presidente. Esta potestad reglamentaria es interna y debe ejercerse dentro del marco de la LOTC.</w:t>
      </w:r>
    </w:p>
    <w:p>
      <w:pPr>
        <w:pStyle w:val="Heading1"/>
        <w:keepNext/>
      </w:pPr>
      <w:r>
        <w:rPr>
          <w:rFonts w:ascii="Arial" w:hAnsi="Arial" w:cs="Arial"/>
          <w:sz w:val="30"/>
        </w:rPr>
        <w:t>2. Composición y designación de los magistrados</w:t>
      </w:r>
    </w:p>
    <w:p>
      <w:pPr>
        <w:pStyle w:val="Heading2"/>
        <w:keepNext/>
      </w:pPr>
      <w:r>
        <w:rPr>
          <w:rFonts w:ascii="Arial" w:hAnsi="Arial" w:cs="Arial"/>
          <w:sz w:val="25"/>
        </w:rPr>
        <w:t>2.1. Número, nombramiento y órganos proponentes</w:t>
      </w:r>
    </w:p>
    <w:p>
      <w:pPr>
        <w:jc w:val="both"/>
      </w:pPr>
      <w:r>
        <w:rPr>
          <w:rFonts w:ascii="Arial" w:hAnsi="Arial" w:cs="Arial"/>
          <w:sz w:val="22"/>
        </w:rPr>
        <w:t xml:space="preserve">El Tribunal está integrado por </w:t>
      </w:r>
      <w:r>
        <w:rPr>
          <w:rFonts w:ascii="Arial" w:hAnsi="Arial" w:cs="Arial"/>
          <w:b/>
          <w:sz w:val="22"/>
        </w:rPr>
        <w:t>doce miembros</w:t>
      </w:r>
      <w:r>
        <w:rPr>
          <w:rFonts w:ascii="Arial" w:hAnsi="Arial" w:cs="Arial"/>
          <w:sz w:val="22"/>
        </w:rPr>
        <w:t>, que reciben el título de magistrados del Tribunal Constitucional. Todos son nombrados formalmente por el Rey, pero a propuesta de distintos órganos:</w:t>
      </w:r>
    </w:p>
    <w:tbl>
      <w:tblPr>
        <w:tblStyle w:val="TableGrid"/>
        <w:tblW w:type="dxa" w:w="9026"/>
        <w:jc w:val="left"/>
        <w:tblLayout w:type="fixed"/>
        <w:tblLook w:firstColumn="1" w:firstRow="1" w:lastColumn="0" w:lastRow="0" w:noHBand="0" w:noVBand="1" w:val="04A0"/>
        <w:tblInd w:w="120" w:type="dxa"/>
      </w:tblPr>
      <w:tblGrid>
        <w:gridCol w:w="3659"/>
        <w:gridCol w:w="976"/>
        <w:gridCol w:w="4391"/>
      </w:tblGrid>
      <w:tr>
        <w:trPr>
          <w:tblHeader w:val="true"/>
        </w:trPr>
        <w:tc>
          <w:tcPr>
            <w:tcW w:type="dxa" w:w="365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 proponente</w:t>
            </w:r>
          </w:p>
        </w:tc>
        <w:tc>
          <w:tcPr>
            <w:tcW w:type="dxa" w:w="97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Número</w:t>
            </w:r>
          </w:p>
        </w:tc>
        <w:tc>
          <w:tcPr>
            <w:tcW w:type="dxa" w:w="439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Mayoría o regla constitucional</w:t>
            </w:r>
          </w:p>
        </w:tc>
      </w:tr>
      <w:tr>
        <w:tc>
          <w:tcPr>
            <w:tcW w:type="dxa" w:w="3659"/>
            <w:tcMar>
              <w:top w:w="80" w:type="dxa"/>
              <w:start w:w="120" w:type="dxa"/>
              <w:bottom w:w="80" w:type="dxa"/>
              <w:end w:w="120" w:type="dxa"/>
            </w:tcMar>
            <w:vAlign w:val="center"/>
          </w:tcPr>
          <w:p>
            <w:pPr>
              <w:spacing w:before="0" w:after="0" w:line="240" w:lineRule="auto"/>
              <w:jc w:val="left"/>
            </w:pPr>
            <w:r/>
            <w:r>
              <w:rPr>
                <w:rFonts w:ascii="Arial" w:hAnsi="Arial" w:cs="Arial"/>
                <w:sz w:val="18"/>
              </w:rPr>
              <w:t>Congreso de los Diputados</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4391"/>
            <w:tcMar>
              <w:top w:w="80" w:type="dxa"/>
              <w:start w:w="120" w:type="dxa"/>
              <w:bottom w:w="80" w:type="dxa"/>
              <w:end w:w="120" w:type="dxa"/>
            </w:tcMar>
            <w:vAlign w:val="center"/>
          </w:tcPr>
          <w:p>
            <w:pPr>
              <w:spacing w:before="0" w:after="0" w:line="240" w:lineRule="auto"/>
              <w:jc w:val="left"/>
            </w:pPr>
            <w:r/>
            <w:r>
              <w:rPr>
                <w:rFonts w:ascii="Arial" w:hAnsi="Arial" w:cs="Arial"/>
                <w:sz w:val="18"/>
              </w:rPr>
              <w:t>Tres quintos de sus miembros</w:t>
            </w:r>
          </w:p>
        </w:tc>
      </w:tr>
      <w:tr>
        <w:tc>
          <w:tcPr>
            <w:tcW w:type="dxa" w:w="3659"/>
            <w:tcMar>
              <w:top w:w="80" w:type="dxa"/>
              <w:start w:w="120" w:type="dxa"/>
              <w:bottom w:w="80" w:type="dxa"/>
              <w:end w:w="120" w:type="dxa"/>
            </w:tcMar>
            <w:vAlign w:val="center"/>
          </w:tcPr>
          <w:p>
            <w:pPr>
              <w:spacing w:before="0" w:after="0" w:line="240" w:lineRule="auto"/>
              <w:jc w:val="left"/>
            </w:pPr>
            <w:r/>
            <w:r>
              <w:rPr>
                <w:rFonts w:ascii="Arial" w:hAnsi="Arial" w:cs="Arial"/>
                <w:sz w:val="18"/>
              </w:rPr>
              <w:t>Senado</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4391"/>
            <w:tcMar>
              <w:top w:w="80" w:type="dxa"/>
              <w:start w:w="120" w:type="dxa"/>
              <w:bottom w:w="80" w:type="dxa"/>
              <w:end w:w="120" w:type="dxa"/>
            </w:tcMar>
            <w:vAlign w:val="center"/>
          </w:tcPr>
          <w:p>
            <w:pPr>
              <w:spacing w:before="0" w:after="0" w:line="240" w:lineRule="auto"/>
              <w:jc w:val="left"/>
            </w:pPr>
            <w:r/>
            <w:r>
              <w:rPr>
                <w:rFonts w:ascii="Arial" w:hAnsi="Arial" w:cs="Arial"/>
                <w:sz w:val="18"/>
              </w:rPr>
              <w:t>Tres quintos de sus miembros</w:t>
            </w:r>
          </w:p>
        </w:tc>
      </w:tr>
      <w:tr>
        <w:tc>
          <w:tcPr>
            <w:tcW w:type="dxa" w:w="3659"/>
            <w:tcMar>
              <w:top w:w="80" w:type="dxa"/>
              <w:start w:w="120" w:type="dxa"/>
              <w:bottom w:w="80" w:type="dxa"/>
              <w:end w:w="120" w:type="dxa"/>
            </w:tcMar>
            <w:vAlign w:val="center"/>
          </w:tcPr>
          <w:p>
            <w:pPr>
              <w:spacing w:before="0" w:after="0" w:line="240" w:lineRule="auto"/>
              <w:jc w:val="left"/>
            </w:pPr>
            <w:r/>
            <w:r>
              <w:rPr>
                <w:rFonts w:ascii="Arial" w:hAnsi="Arial" w:cs="Arial"/>
                <w:sz w:val="18"/>
              </w:rPr>
              <w:t>Gobierno</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4391"/>
            <w:tcMar>
              <w:top w:w="80" w:type="dxa"/>
              <w:start w:w="120" w:type="dxa"/>
              <w:bottom w:w="80" w:type="dxa"/>
              <w:end w:w="120" w:type="dxa"/>
            </w:tcMar>
            <w:vAlign w:val="center"/>
          </w:tcPr>
          <w:p>
            <w:pPr>
              <w:spacing w:before="0" w:after="0" w:line="240" w:lineRule="auto"/>
              <w:jc w:val="left"/>
            </w:pPr>
            <w:r/>
            <w:r>
              <w:rPr>
                <w:rFonts w:ascii="Arial" w:hAnsi="Arial" w:cs="Arial"/>
                <w:sz w:val="18"/>
              </w:rPr>
              <w:t>Acuerdo del Gobierno</w:t>
            </w:r>
          </w:p>
        </w:tc>
      </w:tr>
      <w:tr>
        <w:tc>
          <w:tcPr>
            <w:tcW w:type="dxa" w:w="3659"/>
            <w:tcMar>
              <w:top w:w="80" w:type="dxa"/>
              <w:start w:w="120" w:type="dxa"/>
              <w:bottom w:w="80" w:type="dxa"/>
              <w:end w:w="120" w:type="dxa"/>
            </w:tcMar>
            <w:vAlign w:val="center"/>
          </w:tcPr>
          <w:p>
            <w:pPr>
              <w:spacing w:before="0" w:after="0" w:line="240" w:lineRule="auto"/>
              <w:jc w:val="left"/>
            </w:pPr>
            <w:r/>
            <w:r>
              <w:rPr>
                <w:rFonts w:ascii="Arial" w:hAnsi="Arial" w:cs="Arial"/>
                <w:sz w:val="18"/>
              </w:rPr>
              <w:t>Consejo General del Poder Judicial</w:t>
            </w:r>
          </w:p>
        </w:tc>
        <w:tc>
          <w:tcPr>
            <w:tcW w:type="dxa" w:w="976"/>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4391"/>
            <w:tcMar>
              <w:top w:w="80" w:type="dxa"/>
              <w:start w:w="120" w:type="dxa"/>
              <w:bottom w:w="80" w:type="dxa"/>
              <w:end w:w="120" w:type="dxa"/>
            </w:tcMar>
            <w:vAlign w:val="center"/>
          </w:tcPr>
          <w:p>
            <w:pPr>
              <w:spacing w:before="0" w:after="0" w:line="240" w:lineRule="auto"/>
              <w:jc w:val="left"/>
            </w:pPr>
            <w:r/>
            <w:r>
              <w:rPr>
                <w:rFonts w:ascii="Arial" w:hAnsi="Arial" w:cs="Arial"/>
                <w:sz w:val="18"/>
              </w:rPr>
              <w:t>Propuesta del CGPJ conforme a su normativa</w:t>
            </w:r>
          </w:p>
        </w:tc>
      </w:tr>
    </w:tbl>
    <w:p>
      <w:pPr>
        <w:spacing w:after="40"/>
      </w:pPr>
    </w:p>
    <w:p>
      <w:pPr>
        <w:jc w:val="both"/>
      </w:pPr>
      <w:r>
        <w:rPr>
          <w:rFonts w:ascii="Arial" w:hAnsi="Arial" w:cs="Arial"/>
          <w:sz w:val="22"/>
        </w:rPr>
        <w:t>Los cuatro propuestos por el Senado se eligen entre candidaturas presentadas por las asambleas legislativas de las comunidades autónomas, en los términos del Reglamento del Senado. Los candidatos propuestos por el Congreso y el Senado deben comparecer previamente ante las comisiones parlamentarias correspondientes.</w:t>
      </w:r>
    </w:p>
    <w:p>
      <w:pPr>
        <w:jc w:val="both"/>
      </w:pPr>
      <w:r>
        <w:rPr>
          <w:rFonts w:ascii="Arial" w:hAnsi="Arial" w:cs="Arial"/>
          <w:sz w:val="22"/>
        </w:rPr>
        <w:t xml:space="preserve">La redacción vigente del artículo 16.1 LOTC exige que </w:t>
      </w:r>
      <w:r>
        <w:rPr>
          <w:rFonts w:ascii="Arial" w:hAnsi="Arial" w:cs="Arial"/>
          <w:b/>
          <w:sz w:val="22"/>
        </w:rPr>
        <w:t>cada órgano proponente garantice el principio de presencia equilibrada de mujeres y hombres</w:t>
      </w:r>
      <w:r>
        <w:rPr>
          <w:rFonts w:ascii="Arial" w:hAnsi="Arial" w:cs="Arial"/>
          <w:sz w:val="22"/>
        </w:rPr>
        <w:t xml:space="preserve">, de modo que sus propuestas incluyan como mínimo un </w:t>
      </w:r>
      <w:r>
        <w:rPr>
          <w:rFonts w:ascii="Arial" w:hAnsi="Arial" w:cs="Arial"/>
          <w:b/>
          <w:sz w:val="22"/>
        </w:rPr>
        <w:t>cuarenta por ciento de cada sexo</w:t>
      </w:r>
      <w:r>
        <w:rPr>
          <w:rFonts w:ascii="Arial" w:hAnsi="Arial" w:cs="Arial"/>
          <w:sz w:val="22"/>
        </w:rPr>
        <w:t>. Esta previsión, introducida por la Ley Orgánica 2/2024, cuenta con una regla transitoria: se aplica cuando proceda la siguiente renovación o nombramiento posterior a su entrada en vigor.</w:t>
      </w:r>
    </w:p>
    <w:p>
      <w:pPr>
        <w:jc w:val="both"/>
      </w:pPr>
      <w:r>
        <w:rPr>
          <w:rFonts w:ascii="Arial" w:hAnsi="Arial" w:cs="Arial"/>
          <w:sz w:val="22"/>
        </w:rPr>
        <w:t>El nombramiento regio es un acto debido una vez efectuada válidamente la propuesta. El propio Tribunal verifica si las personas nombradas cumplen los requisitos constitucionales y legales.</w:t>
      </w:r>
    </w:p>
    <w:p>
      <w:pPr>
        <w:pStyle w:val="Heading2"/>
        <w:keepNext/>
      </w:pPr>
      <w:r>
        <w:rPr>
          <w:rFonts w:ascii="Arial" w:hAnsi="Arial" w:cs="Arial"/>
          <w:sz w:val="25"/>
        </w:rPr>
        <w:t>2.2. Requisitos personales y profesionales</w:t>
      </w:r>
    </w:p>
    <w:p>
      <w:pPr>
        <w:jc w:val="both"/>
      </w:pPr>
      <w:r>
        <w:rPr>
          <w:rFonts w:ascii="Arial" w:hAnsi="Arial" w:cs="Arial"/>
          <w:sz w:val="22"/>
        </w:rPr>
        <w:t>Los magistrados deben ser ciudadanos españoles y ser elegidos entre:</w:t>
      </w:r>
    </w:p>
    <w:p>
      <w:pPr>
        <w:pStyle w:val="ListBullet"/>
      </w:pPr>
      <w:r>
        <w:rPr>
          <w:rFonts w:ascii="Arial" w:hAnsi="Arial" w:cs="Arial"/>
          <w:sz w:val="22"/>
        </w:rPr>
        <w:t>magistrados;</w:t>
      </w:r>
    </w:p>
    <w:p>
      <w:pPr>
        <w:pStyle w:val="ListBullet"/>
      </w:pPr>
      <w:r>
        <w:rPr>
          <w:rFonts w:ascii="Arial" w:hAnsi="Arial" w:cs="Arial"/>
          <w:sz w:val="22"/>
        </w:rPr>
        <w:t>fiscales;</w:t>
      </w:r>
    </w:p>
    <w:p>
      <w:pPr>
        <w:pStyle w:val="ListBullet"/>
      </w:pPr>
      <w:r>
        <w:rPr>
          <w:rFonts w:ascii="Arial" w:hAnsi="Arial" w:cs="Arial"/>
          <w:sz w:val="22"/>
        </w:rPr>
        <w:t>profesores de universidad;</w:t>
      </w:r>
    </w:p>
    <w:p>
      <w:pPr>
        <w:pStyle w:val="ListBullet"/>
      </w:pPr>
      <w:r>
        <w:rPr>
          <w:rFonts w:ascii="Arial" w:hAnsi="Arial" w:cs="Arial"/>
          <w:sz w:val="22"/>
        </w:rPr>
        <w:t>funcionarios públicos;</w:t>
      </w:r>
    </w:p>
    <w:p>
      <w:pPr>
        <w:pStyle w:val="ListBullet"/>
      </w:pPr>
      <w:r>
        <w:rPr>
          <w:rFonts w:ascii="Arial" w:hAnsi="Arial" w:cs="Arial"/>
          <w:sz w:val="22"/>
        </w:rPr>
        <w:t>abogados.</w:t>
      </w:r>
    </w:p>
    <w:p>
      <w:pPr>
        <w:jc w:val="both"/>
      </w:pPr>
      <w:r>
        <w:rPr>
          <w:rFonts w:ascii="Arial" w:hAnsi="Arial" w:cs="Arial"/>
          <w:sz w:val="22"/>
        </w:rPr>
        <w:t xml:space="preserve">En todos los casos han de ser </w:t>
      </w:r>
      <w:r>
        <w:rPr>
          <w:rFonts w:ascii="Arial" w:hAnsi="Arial" w:cs="Arial"/>
          <w:b/>
          <w:sz w:val="22"/>
        </w:rPr>
        <w:t>juristas de reconocida competencia</w:t>
      </w:r>
      <w:r>
        <w:rPr>
          <w:rFonts w:ascii="Arial" w:hAnsi="Arial" w:cs="Arial"/>
          <w:sz w:val="22"/>
        </w:rPr>
        <w:t xml:space="preserve"> y acreditar </w:t>
      </w:r>
      <w:r>
        <w:rPr>
          <w:rFonts w:ascii="Arial" w:hAnsi="Arial" w:cs="Arial"/>
          <w:b/>
          <w:sz w:val="22"/>
        </w:rPr>
        <w:t>más de quince años</w:t>
      </w:r>
      <w:r>
        <w:rPr>
          <w:rFonts w:ascii="Arial" w:hAnsi="Arial" w:cs="Arial"/>
          <w:sz w:val="22"/>
        </w:rPr>
        <w:t xml:space="preserve"> de ejercicio profesional o de servicio activo en la función correspondiente. La Constitución no exige pertenecer a la carrera judicial ni fija una edad mínima especial distinta de las reglas generales.</w:t>
      </w:r>
    </w:p>
    <w:p>
      <w:pPr>
        <w:pStyle w:val="Heading2"/>
        <w:keepNext/>
      </w:pPr>
      <w:r>
        <w:rPr>
          <w:rFonts w:ascii="Arial" w:hAnsi="Arial" w:cs="Arial"/>
          <w:sz w:val="25"/>
        </w:rPr>
        <w:t>2.3. Duración, renovación y vacantes</w:t>
      </w:r>
    </w:p>
    <w:p>
      <w:pPr>
        <w:jc w:val="both"/>
      </w:pPr>
      <w:r>
        <w:rPr>
          <w:rFonts w:ascii="Arial" w:hAnsi="Arial" w:cs="Arial"/>
          <w:sz w:val="22"/>
        </w:rPr>
        <w:t xml:space="preserve">El mandato dura </w:t>
      </w:r>
      <w:r>
        <w:rPr>
          <w:rFonts w:ascii="Arial" w:hAnsi="Arial" w:cs="Arial"/>
          <w:b/>
          <w:sz w:val="22"/>
        </w:rPr>
        <w:t>nueve años</w:t>
      </w:r>
      <w:r>
        <w:rPr>
          <w:rFonts w:ascii="Arial" w:hAnsi="Arial" w:cs="Arial"/>
          <w:sz w:val="22"/>
        </w:rPr>
        <w:t xml:space="preserve">. El Tribunal se renueva por </w:t>
      </w:r>
      <w:r>
        <w:rPr>
          <w:rFonts w:ascii="Arial" w:hAnsi="Arial" w:cs="Arial"/>
          <w:b/>
          <w:sz w:val="22"/>
        </w:rPr>
        <w:t>terceras partes cada tres años</w:t>
      </w:r>
      <w:r>
        <w:rPr>
          <w:rFonts w:ascii="Arial" w:hAnsi="Arial" w:cs="Arial"/>
          <w:sz w:val="22"/>
        </w:rPr>
        <w:t>, es decir, normalmente por grupos de cuatro magistrados. Esta renovación escalonada persigue la continuidad institucional.</w:t>
      </w:r>
    </w:p>
    <w:p>
      <w:pPr>
        <w:jc w:val="both"/>
      </w:pPr>
      <w:r>
        <w:rPr>
          <w:rFonts w:ascii="Arial" w:hAnsi="Arial" w:cs="Arial"/>
          <w:sz w:val="22"/>
        </w:rPr>
        <w:t xml:space="preserve">No cabe una propuesta para un período inmediato posterior, salvo que el magistrado haya ocupado el cargo durante un plazo no superior a </w:t>
      </w:r>
      <w:r>
        <w:rPr>
          <w:rFonts w:ascii="Arial" w:hAnsi="Arial" w:cs="Arial"/>
          <w:b/>
          <w:sz w:val="22"/>
        </w:rPr>
        <w:t>tres años</w:t>
      </w:r>
      <w:r>
        <w:rPr>
          <w:rFonts w:ascii="Arial" w:hAnsi="Arial" w:cs="Arial"/>
          <w:sz w:val="22"/>
        </w:rPr>
        <w:t>. La excepción permite que quien cubrió una vacante por un período breve pueda ser designado inmediatamente para un mandato completo.</w:t>
      </w:r>
    </w:p>
    <w:p>
      <w:pPr>
        <w:jc w:val="both"/>
      </w:pPr>
      <w:r>
        <w:rPr>
          <w:rFonts w:ascii="Arial" w:hAnsi="Arial" w:cs="Arial"/>
          <w:sz w:val="22"/>
        </w:rPr>
        <w:t>Las vacantes producidas por causas distintas de la expiración del mandato se cubren:</w:t>
      </w:r>
    </w:p>
    <w:p>
      <w:pPr>
        <w:spacing w:after="40"/>
        <w:ind w:left="369" w:hanging="227"/>
      </w:pPr>
      <w:r>
        <w:rPr>
          <w:rFonts w:ascii="Arial" w:hAnsi="Arial" w:cs="Arial"/>
          <w:sz w:val="22"/>
        </w:rPr>
        <w:t>1. por el mismo procedimiento utilizado para designar al magistrado que causa la vacante;</w:t>
      </w:r>
    </w:p>
    <w:p>
      <w:pPr>
        <w:spacing w:after="40"/>
        <w:ind w:left="369" w:hanging="227"/>
      </w:pPr>
      <w:r>
        <w:rPr>
          <w:rFonts w:ascii="Arial" w:hAnsi="Arial" w:cs="Arial"/>
          <w:sz w:val="22"/>
        </w:rPr>
        <w:t>2. por el tiempo que restaba a ese magistrado.</w:t>
      </w:r>
    </w:p>
    <w:p>
      <w:pPr>
        <w:jc w:val="both"/>
      </w:pPr>
      <w:r>
        <w:rPr>
          <w:rFonts w:ascii="Arial" w:hAnsi="Arial" w:cs="Arial"/>
          <w:sz w:val="22"/>
        </w:rPr>
        <w:t>Si existe retraso en la renovación por tercios, al mandato de los nuevos designados se le resta el tiempo de demora. Los magistrados salientes continúan en el ejercicio de sus funciones hasta que tomen posesión sus sucesores. Además, antes de los cuatro meses previos a la expiración de los nombramientos, el Presidente del Tribunal debe pedir a los presidentes de los órganos proponentes que inicien el procedimiento de renovación.</w:t>
      </w:r>
    </w:p>
    <w:tbl>
      <w:tblPr>
        <w:tblStyle w:val="TableGrid"/>
        <w:tblW w:type="dxa" w:w="9026"/>
        <w:jc w:val="left"/>
        <w:tblLayout w:type="fixed"/>
        <w:tblLook w:firstColumn="1" w:firstRow="1" w:lastColumn="0" w:lastRow="0" w:noHBand="0" w:noVBand="1" w:val="04A0"/>
        <w:tblInd w:w="120" w:type="dxa"/>
      </w:tblPr>
      <w:tblGrid>
        <w:gridCol w:w="2787"/>
        <w:gridCol w:w="6239"/>
      </w:tblGrid>
      <w:tr>
        <w:trPr>
          <w:tblHeader w:val="true"/>
        </w:trPr>
        <w:tc>
          <w:tcPr>
            <w:tcW w:type="dxa" w:w="278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w:t>
            </w:r>
          </w:p>
        </w:tc>
        <w:tc>
          <w:tcPr>
            <w:tcW w:type="dxa" w:w="623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2787"/>
            <w:tcMar>
              <w:top w:w="80" w:type="dxa"/>
              <w:start w:w="120" w:type="dxa"/>
              <w:bottom w:w="80" w:type="dxa"/>
              <w:end w:w="120" w:type="dxa"/>
            </w:tcMar>
            <w:vAlign w:val="center"/>
          </w:tcPr>
          <w:p>
            <w:pPr>
              <w:spacing w:before="0" w:after="0" w:line="240" w:lineRule="auto"/>
              <w:jc w:val="left"/>
            </w:pPr>
            <w:r/>
            <w:r>
              <w:rPr>
                <w:rFonts w:ascii="Arial" w:hAnsi="Arial" w:cs="Arial"/>
                <w:sz w:val="18"/>
              </w:rPr>
              <w:t>Mandato ordinario</w:t>
            </w:r>
          </w:p>
        </w:tc>
        <w:tc>
          <w:tcPr>
            <w:tcW w:type="dxa" w:w="6239"/>
            <w:tcMar>
              <w:top w:w="80" w:type="dxa"/>
              <w:start w:w="120" w:type="dxa"/>
              <w:bottom w:w="80" w:type="dxa"/>
              <w:end w:w="120" w:type="dxa"/>
            </w:tcMar>
            <w:vAlign w:val="center"/>
          </w:tcPr>
          <w:p>
            <w:pPr>
              <w:spacing w:before="0" w:after="0" w:line="240" w:lineRule="auto"/>
              <w:jc w:val="center"/>
            </w:pPr>
            <w:r/>
            <w:r>
              <w:rPr>
                <w:rFonts w:ascii="Arial" w:hAnsi="Arial" w:cs="Arial"/>
                <w:sz w:val="18"/>
              </w:rPr>
              <w:t>9 años</w:t>
            </w:r>
          </w:p>
        </w:tc>
      </w:tr>
      <w:tr>
        <w:tc>
          <w:tcPr>
            <w:tcW w:type="dxa" w:w="2787"/>
            <w:tcMar>
              <w:top w:w="80" w:type="dxa"/>
              <w:start w:w="120" w:type="dxa"/>
              <w:bottom w:w="80" w:type="dxa"/>
              <w:end w:w="120" w:type="dxa"/>
            </w:tcMar>
            <w:vAlign w:val="center"/>
          </w:tcPr>
          <w:p>
            <w:pPr>
              <w:spacing w:before="0" w:after="0" w:line="240" w:lineRule="auto"/>
              <w:jc w:val="left"/>
            </w:pPr>
            <w:r/>
            <w:r>
              <w:rPr>
                <w:rFonts w:ascii="Arial" w:hAnsi="Arial" w:cs="Arial"/>
                <w:sz w:val="18"/>
              </w:rPr>
              <w:t>Renovación</w:t>
            </w:r>
          </w:p>
        </w:tc>
        <w:tc>
          <w:tcPr>
            <w:tcW w:type="dxa" w:w="6239"/>
            <w:tcMar>
              <w:top w:w="80" w:type="dxa"/>
              <w:start w:w="120" w:type="dxa"/>
              <w:bottom w:w="80" w:type="dxa"/>
              <w:end w:w="120" w:type="dxa"/>
            </w:tcMar>
            <w:vAlign w:val="center"/>
          </w:tcPr>
          <w:p>
            <w:pPr>
              <w:spacing w:before="0" w:after="0" w:line="240" w:lineRule="auto"/>
              <w:jc w:val="left"/>
            </w:pPr>
            <w:r/>
            <w:r>
              <w:rPr>
                <w:rFonts w:ascii="Arial" w:hAnsi="Arial" w:cs="Arial"/>
                <w:sz w:val="18"/>
              </w:rPr>
              <w:t>Un tercio cada 3 años</w:t>
            </w:r>
          </w:p>
        </w:tc>
      </w:tr>
      <w:tr>
        <w:tc>
          <w:tcPr>
            <w:tcW w:type="dxa" w:w="2787"/>
            <w:tcMar>
              <w:top w:w="80" w:type="dxa"/>
              <w:start w:w="120" w:type="dxa"/>
              <w:bottom w:w="80" w:type="dxa"/>
              <w:end w:w="120" w:type="dxa"/>
            </w:tcMar>
            <w:vAlign w:val="center"/>
          </w:tcPr>
          <w:p>
            <w:pPr>
              <w:spacing w:before="0" w:after="0" w:line="240" w:lineRule="auto"/>
              <w:jc w:val="left"/>
            </w:pPr>
            <w:r/>
            <w:r>
              <w:rPr>
                <w:rFonts w:ascii="Arial" w:hAnsi="Arial" w:cs="Arial"/>
                <w:sz w:val="18"/>
              </w:rPr>
              <w:t>Vacante anticipada</w:t>
            </w:r>
          </w:p>
        </w:tc>
        <w:tc>
          <w:tcPr>
            <w:tcW w:type="dxa" w:w="6239"/>
            <w:tcMar>
              <w:top w:w="80" w:type="dxa"/>
              <w:start w:w="120" w:type="dxa"/>
              <w:bottom w:w="80" w:type="dxa"/>
              <w:end w:w="120" w:type="dxa"/>
            </w:tcMar>
            <w:vAlign w:val="center"/>
          </w:tcPr>
          <w:p>
            <w:pPr>
              <w:spacing w:before="0" w:after="0" w:line="240" w:lineRule="auto"/>
              <w:jc w:val="left"/>
            </w:pPr>
            <w:r/>
            <w:r>
              <w:rPr>
                <w:rFonts w:ascii="Arial" w:hAnsi="Arial" w:cs="Arial"/>
                <w:sz w:val="18"/>
              </w:rPr>
              <w:t>Se cubre solo por el tiempo restante</w:t>
            </w:r>
          </w:p>
        </w:tc>
      </w:tr>
      <w:tr>
        <w:tc>
          <w:tcPr>
            <w:tcW w:type="dxa" w:w="2787"/>
            <w:tcMar>
              <w:top w:w="80" w:type="dxa"/>
              <w:start w:w="120" w:type="dxa"/>
              <w:bottom w:w="80" w:type="dxa"/>
              <w:end w:w="120" w:type="dxa"/>
            </w:tcMar>
            <w:vAlign w:val="center"/>
          </w:tcPr>
          <w:p>
            <w:pPr>
              <w:spacing w:before="0" w:after="0" w:line="240" w:lineRule="auto"/>
              <w:jc w:val="left"/>
            </w:pPr>
            <w:r/>
            <w:r>
              <w:rPr>
                <w:rFonts w:ascii="Arial" w:hAnsi="Arial" w:cs="Arial"/>
                <w:sz w:val="18"/>
              </w:rPr>
              <w:t>Retraso en la renovación</w:t>
            </w:r>
          </w:p>
        </w:tc>
        <w:tc>
          <w:tcPr>
            <w:tcW w:type="dxa" w:w="6239"/>
            <w:tcMar>
              <w:top w:w="80" w:type="dxa"/>
              <w:start w:w="120" w:type="dxa"/>
              <w:bottom w:w="80" w:type="dxa"/>
              <w:end w:w="120" w:type="dxa"/>
            </w:tcMar>
            <w:vAlign w:val="center"/>
          </w:tcPr>
          <w:p>
            <w:pPr>
              <w:spacing w:before="0" w:after="0" w:line="240" w:lineRule="auto"/>
              <w:jc w:val="left"/>
            </w:pPr>
            <w:r/>
            <w:r>
              <w:rPr>
                <w:rFonts w:ascii="Arial" w:hAnsi="Arial" w:cs="Arial"/>
                <w:sz w:val="18"/>
              </w:rPr>
              <w:t>Se descuenta del mandato del nuevo magistrado</w:t>
            </w:r>
          </w:p>
        </w:tc>
      </w:tr>
      <w:tr>
        <w:tc>
          <w:tcPr>
            <w:tcW w:type="dxa" w:w="2787"/>
            <w:tcMar>
              <w:top w:w="80" w:type="dxa"/>
              <w:start w:w="120" w:type="dxa"/>
              <w:bottom w:w="80" w:type="dxa"/>
              <w:end w:w="120" w:type="dxa"/>
            </w:tcMar>
            <w:vAlign w:val="center"/>
          </w:tcPr>
          <w:p>
            <w:pPr>
              <w:spacing w:before="0" w:after="0" w:line="240" w:lineRule="auto"/>
              <w:jc w:val="left"/>
            </w:pPr>
            <w:r/>
            <w:r>
              <w:rPr>
                <w:rFonts w:ascii="Arial" w:hAnsi="Arial" w:cs="Arial"/>
                <w:sz w:val="18"/>
              </w:rPr>
              <w:t>Continuidad</w:t>
            </w:r>
          </w:p>
        </w:tc>
        <w:tc>
          <w:tcPr>
            <w:tcW w:type="dxa" w:w="6239"/>
            <w:tcMar>
              <w:top w:w="80" w:type="dxa"/>
              <w:start w:w="120" w:type="dxa"/>
              <w:bottom w:w="80" w:type="dxa"/>
              <w:end w:w="120" w:type="dxa"/>
            </w:tcMar>
            <w:vAlign w:val="center"/>
          </w:tcPr>
          <w:p>
            <w:pPr>
              <w:spacing w:before="0" w:after="0" w:line="240" w:lineRule="auto"/>
              <w:jc w:val="left"/>
            </w:pPr>
            <w:r/>
            <w:r>
              <w:rPr>
                <w:rFonts w:ascii="Arial" w:hAnsi="Arial" w:cs="Arial"/>
                <w:sz w:val="18"/>
              </w:rPr>
              <w:t>El saliente sigue hasta la toma de posesión del sucesor</w:t>
            </w:r>
          </w:p>
        </w:tc>
      </w:tr>
      <w:tr>
        <w:tc>
          <w:tcPr>
            <w:tcW w:type="dxa" w:w="2787"/>
            <w:tcMar>
              <w:top w:w="80" w:type="dxa"/>
              <w:start w:w="120" w:type="dxa"/>
              <w:bottom w:w="80" w:type="dxa"/>
              <w:end w:w="120" w:type="dxa"/>
            </w:tcMar>
            <w:vAlign w:val="center"/>
          </w:tcPr>
          <w:p>
            <w:pPr>
              <w:spacing w:before="0" w:after="0" w:line="240" w:lineRule="auto"/>
              <w:jc w:val="left"/>
            </w:pPr>
            <w:r/>
            <w:r>
              <w:rPr>
                <w:rFonts w:ascii="Arial" w:hAnsi="Arial" w:cs="Arial"/>
                <w:sz w:val="18"/>
              </w:rPr>
              <w:t>Reelección inmediata</w:t>
            </w:r>
          </w:p>
        </w:tc>
        <w:tc>
          <w:tcPr>
            <w:tcW w:type="dxa" w:w="6239"/>
            <w:tcMar>
              <w:top w:w="80" w:type="dxa"/>
              <w:start w:w="120" w:type="dxa"/>
              <w:bottom w:w="80" w:type="dxa"/>
              <w:end w:w="120" w:type="dxa"/>
            </w:tcMar>
            <w:vAlign w:val="center"/>
          </w:tcPr>
          <w:p>
            <w:pPr>
              <w:spacing w:before="0" w:after="0" w:line="240" w:lineRule="auto"/>
              <w:jc w:val="left"/>
            </w:pPr>
            <w:r/>
            <w:r>
              <w:rPr>
                <w:rFonts w:ascii="Arial" w:hAnsi="Arial" w:cs="Arial"/>
                <w:sz w:val="18"/>
              </w:rPr>
              <w:t>Prohibida, salvo desempeño anterior no superior a 3 años</w:t>
            </w:r>
          </w:p>
        </w:tc>
      </w:tr>
    </w:tbl>
    <w:p>
      <w:pPr>
        <w:spacing w:after="40"/>
      </w:pPr>
    </w:p>
    <w:p>
      <w:pPr>
        <w:pStyle w:val="Heading1"/>
        <w:keepNext/>
      </w:pPr>
      <w:r>
        <w:rPr>
          <w:rFonts w:ascii="Arial" w:hAnsi="Arial" w:cs="Arial"/>
          <w:sz w:val="30"/>
        </w:rPr>
        <w:t>3. Estatuto de los magistrados</w:t>
      </w:r>
    </w:p>
    <w:p>
      <w:pPr>
        <w:pStyle w:val="Heading2"/>
        <w:keepNext/>
      </w:pPr>
      <w:r>
        <w:rPr>
          <w:rFonts w:ascii="Arial" w:hAnsi="Arial" w:cs="Arial"/>
          <w:sz w:val="25"/>
        </w:rPr>
        <w:t>3.1. Independencia, inamovilidad e imparcialidad</w:t>
      </w:r>
    </w:p>
    <w:p>
      <w:pPr>
        <w:jc w:val="both"/>
      </w:pPr>
      <w:r>
        <w:rPr>
          <w:rFonts w:ascii="Arial" w:hAnsi="Arial" w:cs="Arial"/>
          <w:sz w:val="22"/>
        </w:rPr>
        <w:t>La Constitución proclama que los miembros del Tribunal son independientes e inamovibles durante su mandato. La LOTC añade los principios de imparcialidad y dignidad. No pueden ser perseguidos por las opiniones expresadas en el ejercicio de sus funciones y solo pueden ser destituidos o suspendidos por las causas y con las garantías legalmente previstas.</w:t>
      </w:r>
    </w:p>
    <w:p>
      <w:pPr>
        <w:jc w:val="both"/>
      </w:pPr>
      <w:r>
        <w:rPr>
          <w:rFonts w:ascii="Arial" w:hAnsi="Arial" w:cs="Arial"/>
          <w:sz w:val="22"/>
        </w:rPr>
        <w:t>Al asumir el cargo prestan ante el Rey juramento o promesa de guardar y hacer guardar fielmente la Constitución, mostrar lealtad a la Corona y cumplir sus deberes como magistrados constitucionales.</w:t>
      </w:r>
    </w:p>
    <w:p>
      <w:pPr>
        <w:jc w:val="both"/>
      </w:pPr>
      <w:r>
        <w:rPr>
          <w:rFonts w:ascii="Arial" w:hAnsi="Arial" w:cs="Arial"/>
          <w:sz w:val="22"/>
        </w:rPr>
        <w:t>Los miembros de la carrera judicial o fiscal y, en general, los funcionarios públicos nombrados magistrados pasan a la situación de servicios especiales en su cuerpo de origen.</w:t>
      </w:r>
    </w:p>
    <w:p>
      <w:pPr>
        <w:pStyle w:val="Heading2"/>
        <w:keepNext/>
      </w:pPr>
      <w:r>
        <w:rPr>
          <w:rFonts w:ascii="Arial" w:hAnsi="Arial" w:cs="Arial"/>
          <w:sz w:val="25"/>
        </w:rPr>
        <w:t>3.2. Incompatibilidades</w:t>
      </w:r>
    </w:p>
    <w:p>
      <w:pPr>
        <w:jc w:val="both"/>
      </w:pPr>
      <w:r>
        <w:rPr>
          <w:rFonts w:ascii="Arial" w:hAnsi="Arial" w:cs="Arial"/>
          <w:sz w:val="22"/>
        </w:rPr>
        <w:t>La condición de magistrado constitucional es incompatible, entre otras actividades, con:</w:t>
      </w:r>
    </w:p>
    <w:p>
      <w:pPr>
        <w:pStyle w:val="ListBullet"/>
      </w:pPr>
      <w:r>
        <w:rPr>
          <w:rFonts w:ascii="Arial" w:hAnsi="Arial" w:cs="Arial"/>
          <w:sz w:val="22"/>
        </w:rPr>
        <w:t>el cargo de Defensor del Pueblo;</w:t>
      </w:r>
    </w:p>
    <w:p>
      <w:pPr>
        <w:pStyle w:val="ListBullet"/>
      </w:pPr>
      <w:r>
        <w:rPr>
          <w:rFonts w:ascii="Arial" w:hAnsi="Arial" w:cs="Arial"/>
          <w:sz w:val="22"/>
        </w:rPr>
        <w:t>los mandatos de diputado y senador;</w:t>
      </w:r>
    </w:p>
    <w:p>
      <w:pPr>
        <w:pStyle w:val="ListBullet"/>
      </w:pPr>
      <w:r>
        <w:rPr>
          <w:rFonts w:ascii="Arial" w:hAnsi="Arial" w:cs="Arial"/>
          <w:sz w:val="22"/>
        </w:rPr>
        <w:t>cualquier cargo político o administrativo del Estado, comunidades autónomas o entidades locales;</w:t>
      </w:r>
    </w:p>
    <w:p>
      <w:pPr>
        <w:pStyle w:val="ListBullet"/>
      </w:pPr>
      <w:r>
        <w:rPr>
          <w:rFonts w:ascii="Arial" w:hAnsi="Arial" w:cs="Arial"/>
          <w:sz w:val="22"/>
        </w:rPr>
        <w:t>el ejercicio de la jurisdicción o de funciones propias de las carreras judicial y fiscal;</w:t>
      </w:r>
    </w:p>
    <w:p>
      <w:pPr>
        <w:pStyle w:val="ListBullet"/>
      </w:pPr>
      <w:r>
        <w:rPr>
          <w:rFonts w:ascii="Arial" w:hAnsi="Arial" w:cs="Arial"/>
          <w:sz w:val="22"/>
        </w:rPr>
        <w:t>los empleos en juzgados y tribunales;</w:t>
      </w:r>
    </w:p>
    <w:p>
      <w:pPr>
        <w:pStyle w:val="ListBullet"/>
      </w:pPr>
      <w:r>
        <w:rPr>
          <w:rFonts w:ascii="Arial" w:hAnsi="Arial" w:cs="Arial"/>
          <w:sz w:val="22"/>
        </w:rPr>
        <w:t>las funciones directivas en partidos políticos, sindicatos, asociaciones, fundaciones y colegios profesionales, así como cualquier empleo a su servicio;</w:t>
      </w:r>
    </w:p>
    <w:p>
      <w:pPr>
        <w:pStyle w:val="ListBullet"/>
      </w:pPr>
      <w:r>
        <w:rPr>
          <w:rFonts w:ascii="Arial" w:hAnsi="Arial" w:cs="Arial"/>
          <w:sz w:val="22"/>
        </w:rPr>
        <w:t>las actividades profesionales o mercantiles.</w:t>
      </w:r>
    </w:p>
    <w:p>
      <w:pPr>
        <w:jc w:val="both"/>
      </w:pPr>
      <w:r>
        <w:rPr>
          <w:rFonts w:ascii="Arial" w:hAnsi="Arial" w:cs="Arial"/>
          <w:sz w:val="22"/>
        </w:rPr>
        <w:t xml:space="preserve">En lo restante se aplican las incompatibilidades propias de los miembros del Poder Judicial. Si una persona propuesta incurre en incompatibilidad, debe cesar en el cargo o actividad incompatible antes de tomar posesión. Si no lo hace en los </w:t>
      </w:r>
      <w:r>
        <w:rPr>
          <w:rFonts w:ascii="Arial" w:hAnsi="Arial" w:cs="Arial"/>
          <w:b/>
          <w:sz w:val="22"/>
        </w:rPr>
        <w:t>diez días</w:t>
      </w:r>
      <w:r>
        <w:rPr>
          <w:rFonts w:ascii="Arial" w:hAnsi="Arial" w:cs="Arial"/>
          <w:sz w:val="22"/>
        </w:rPr>
        <w:t xml:space="preserve"> siguientes a la propuesta, se entiende que no acepta el cargo. La misma regla opera ante una incompatibilidad sobrevenida.</w:t>
      </w:r>
    </w:p>
    <w:p>
      <w:pPr>
        <w:pStyle w:val="Heading2"/>
        <w:keepNext/>
      </w:pPr>
      <w:r>
        <w:rPr>
          <w:rFonts w:ascii="Arial" w:hAnsi="Arial" w:cs="Arial"/>
          <w:sz w:val="25"/>
        </w:rPr>
        <w:t>3.3. Cese, suspensión y responsabilidad</w:t>
      </w:r>
    </w:p>
    <w:p>
      <w:pPr>
        <w:jc w:val="both"/>
      </w:pPr>
      <w:r>
        <w:rPr>
          <w:rFonts w:ascii="Arial" w:hAnsi="Arial" w:cs="Arial"/>
          <w:sz w:val="22"/>
        </w:rPr>
        <w:t>Las causas de cese son:</w:t>
      </w:r>
    </w:p>
    <w:p>
      <w:pPr>
        <w:spacing w:after="40"/>
        <w:ind w:left="369" w:hanging="227"/>
      </w:pPr>
      <w:r>
        <w:rPr>
          <w:rFonts w:ascii="Arial" w:hAnsi="Arial" w:cs="Arial"/>
          <w:sz w:val="22"/>
        </w:rPr>
        <w:t>1. renuncia aceptada por el Presidente del Tribunal;</w:t>
      </w:r>
    </w:p>
    <w:p>
      <w:pPr>
        <w:spacing w:after="40"/>
        <w:ind w:left="369" w:hanging="227"/>
      </w:pPr>
      <w:r>
        <w:rPr>
          <w:rFonts w:ascii="Arial" w:hAnsi="Arial" w:cs="Arial"/>
          <w:sz w:val="22"/>
        </w:rPr>
        <w:t>2. expiración del mandato;</w:t>
      </w:r>
    </w:p>
    <w:p>
      <w:pPr>
        <w:spacing w:after="40"/>
        <w:ind w:left="369" w:hanging="227"/>
      </w:pPr>
      <w:r>
        <w:rPr>
          <w:rFonts w:ascii="Arial" w:hAnsi="Arial" w:cs="Arial"/>
          <w:sz w:val="22"/>
        </w:rPr>
        <w:t>3. incapacidad de las previstas para los miembros del Poder Judicial;</w:t>
      </w:r>
    </w:p>
    <w:p>
      <w:pPr>
        <w:spacing w:after="40"/>
        <w:ind w:left="369" w:hanging="227"/>
      </w:pPr>
      <w:r>
        <w:rPr>
          <w:rFonts w:ascii="Arial" w:hAnsi="Arial" w:cs="Arial"/>
          <w:sz w:val="22"/>
        </w:rPr>
        <w:t>4. incompatibilidad sobrevenida;</w:t>
      </w:r>
    </w:p>
    <w:p>
      <w:pPr>
        <w:spacing w:after="40"/>
        <w:ind w:left="369" w:hanging="227"/>
      </w:pPr>
      <w:r>
        <w:rPr>
          <w:rFonts w:ascii="Arial" w:hAnsi="Arial" w:cs="Arial"/>
          <w:sz w:val="22"/>
        </w:rPr>
        <w:t>5. falta de diligencia en los deberes del cargo;</w:t>
      </w:r>
    </w:p>
    <w:p>
      <w:pPr>
        <w:spacing w:after="40"/>
        <w:ind w:left="369" w:hanging="227"/>
      </w:pPr>
      <w:r>
        <w:rPr>
          <w:rFonts w:ascii="Arial" w:hAnsi="Arial" w:cs="Arial"/>
          <w:sz w:val="22"/>
        </w:rPr>
        <w:t>6. vulneración de la reserva propia de la función;</w:t>
      </w:r>
    </w:p>
    <w:p>
      <w:pPr>
        <w:spacing w:after="40"/>
        <w:ind w:left="369" w:hanging="227"/>
      </w:pPr>
      <w:r>
        <w:rPr>
          <w:rFonts w:ascii="Arial" w:hAnsi="Arial" w:cs="Arial"/>
          <w:sz w:val="22"/>
        </w:rPr>
        <w:t>7. declaración de responsabilidad civil por dolo o condena por delito doloso o por culpa grave.</w:t>
      </w:r>
    </w:p>
    <w:p>
      <w:pPr>
        <w:jc w:val="both"/>
      </w:pPr>
      <w:r>
        <w:rPr>
          <w:rFonts w:ascii="Arial" w:hAnsi="Arial" w:cs="Arial"/>
          <w:sz w:val="22"/>
        </w:rPr>
        <w:t xml:space="preserve">En la renuncia, la expiración del mandato y el fallecimiento, el cese o la vacante se decreta por el Presidente. En los demás casos decide el Pleno: por mayoría simple para incapacidad e incompatibilidad sobrevenida, y por mayoría de </w:t>
      </w:r>
      <w:r>
        <w:rPr>
          <w:rFonts w:ascii="Arial" w:hAnsi="Arial" w:cs="Arial"/>
          <w:b/>
          <w:sz w:val="22"/>
        </w:rPr>
        <w:t>tres cuartas partes</w:t>
      </w:r>
      <w:r>
        <w:rPr>
          <w:rFonts w:ascii="Arial" w:hAnsi="Arial" w:cs="Arial"/>
          <w:sz w:val="22"/>
        </w:rPr>
        <w:t xml:space="preserve"> para falta de diligencia, quebranto de la reserva y responsabilidad civil o penal.</w:t>
      </w:r>
    </w:p>
    <w:p>
      <w:pPr>
        <w:jc w:val="both"/>
      </w:pPr>
      <w:r>
        <w:rPr>
          <w:rFonts w:ascii="Arial" w:hAnsi="Arial" w:cs="Arial"/>
          <w:sz w:val="22"/>
        </w:rPr>
        <w:t xml:space="preserve">La suspensión cautelar puede acordarse en caso de procesamiento o durante el tiempo indispensable para decidir sobre una causa de cese. Requiere el voto favorable de las </w:t>
      </w:r>
      <w:r>
        <w:rPr>
          <w:rFonts w:ascii="Arial" w:hAnsi="Arial" w:cs="Arial"/>
          <w:b/>
          <w:sz w:val="22"/>
        </w:rPr>
        <w:t>tres cuartas partes</w:t>
      </w:r>
      <w:r>
        <w:rPr>
          <w:rFonts w:ascii="Arial" w:hAnsi="Arial" w:cs="Arial"/>
          <w:sz w:val="22"/>
        </w:rPr>
        <w:t xml:space="preserve"> del Pleno. La responsabilidad criminal de los magistrados solo puede exigirse ante la Sala de lo Penal del Tribunal Supremo.</w:t>
      </w:r>
    </w:p>
    <w:p>
      <w:pPr>
        <w:pStyle w:val="Heading1"/>
        <w:keepNext/>
      </w:pPr>
      <w:r>
        <w:rPr>
          <w:rFonts w:ascii="Arial" w:hAnsi="Arial" w:cs="Arial"/>
          <w:sz w:val="30"/>
        </w:rPr>
        <w:t>4. Organización interna</w:t>
      </w:r>
    </w:p>
    <w:p>
      <w:pPr>
        <w:pStyle w:val="Heading2"/>
        <w:keepNext/>
      </w:pPr>
      <w:r>
        <w:rPr>
          <w:rFonts w:ascii="Arial" w:hAnsi="Arial" w:cs="Arial"/>
          <w:sz w:val="25"/>
        </w:rPr>
        <w:t>4.1. Pleno, Salas y Secciones</w:t>
      </w:r>
    </w:p>
    <w:p>
      <w:pPr>
        <w:jc w:val="both"/>
      </w:pPr>
      <w:r>
        <w:rPr>
          <w:rFonts w:ascii="Arial" w:hAnsi="Arial" w:cs="Arial"/>
          <w:sz w:val="22"/>
        </w:rPr>
        <w:t xml:space="preserve">El Tribunal actúa en </w:t>
      </w:r>
      <w:r>
        <w:rPr>
          <w:rFonts w:ascii="Arial" w:hAnsi="Arial" w:cs="Arial"/>
          <w:b/>
          <w:sz w:val="22"/>
        </w:rPr>
        <w:t>Pleno, Sala o Sección</w:t>
      </w:r>
      <w:r>
        <w:rPr>
          <w:rFonts w:ascii="Arial" w:hAnsi="Arial" w:cs="Arial"/>
          <w:sz w:val="22"/>
        </w:rPr>
        <w:t>.</w:t>
      </w:r>
    </w:p>
    <w:p>
      <w:pPr>
        <w:jc w:val="both"/>
      </w:pPr>
      <w:r>
        <w:rPr>
          <w:rFonts w:ascii="Arial" w:hAnsi="Arial" w:cs="Arial"/>
          <w:sz w:val="22"/>
        </w:rPr>
        <w:t>El Pleno está formado por todos los magistrados. Lo preside el Presidente; en su defecto, el Vicepresidente; a falta de ambos, el magistrado más antiguo en el cargo y, si existe igualdad de antigüedad, el de mayor edad.</w:t>
      </w:r>
    </w:p>
    <w:p>
      <w:pPr>
        <w:jc w:val="both"/>
      </w:pPr>
      <w:r>
        <w:rPr>
          <w:rFonts w:ascii="Arial" w:hAnsi="Arial" w:cs="Arial"/>
          <w:sz w:val="22"/>
        </w:rPr>
        <w:t>Existen dos Salas, cada una compuesta por seis magistrados designados por el Pleno:</w:t>
      </w:r>
    </w:p>
    <w:p>
      <w:pPr>
        <w:pStyle w:val="ListBullet"/>
      </w:pPr>
      <w:r>
        <w:rPr>
          <w:rFonts w:ascii="Arial" w:hAnsi="Arial" w:cs="Arial"/>
          <w:sz w:val="22"/>
        </w:rPr>
        <w:t xml:space="preserve">la </w:t>
      </w:r>
      <w:r>
        <w:rPr>
          <w:rFonts w:ascii="Arial" w:hAnsi="Arial" w:cs="Arial"/>
          <w:b/>
          <w:sz w:val="22"/>
        </w:rPr>
        <w:t>Sala Primera</w:t>
      </w:r>
      <w:r>
        <w:rPr>
          <w:rFonts w:ascii="Arial" w:hAnsi="Arial" w:cs="Arial"/>
          <w:sz w:val="22"/>
        </w:rPr>
        <w:t xml:space="preserve"> está presidida por el Presidente del Tribunal;</w:t>
      </w:r>
    </w:p>
    <w:p>
      <w:pPr>
        <w:pStyle w:val="ListBullet"/>
      </w:pPr>
      <w:r>
        <w:rPr>
          <w:rFonts w:ascii="Arial" w:hAnsi="Arial" w:cs="Arial"/>
          <w:sz w:val="22"/>
        </w:rPr>
        <w:t xml:space="preserve">la </w:t>
      </w:r>
      <w:r>
        <w:rPr>
          <w:rFonts w:ascii="Arial" w:hAnsi="Arial" w:cs="Arial"/>
          <w:b/>
          <w:sz w:val="22"/>
        </w:rPr>
        <w:t>Sala Segunda</w:t>
      </w:r>
      <w:r>
        <w:rPr>
          <w:rFonts w:ascii="Arial" w:hAnsi="Arial" w:cs="Arial"/>
          <w:sz w:val="22"/>
        </w:rPr>
        <w:t xml:space="preserve"> está presidida por el Vicepresidente.</w:t>
      </w:r>
    </w:p>
    <w:p>
      <w:pPr>
        <w:jc w:val="both"/>
      </w:pPr>
      <w:r>
        <w:rPr>
          <w:rFonts w:ascii="Arial" w:hAnsi="Arial" w:cs="Arial"/>
          <w:sz w:val="22"/>
        </w:rPr>
        <w:t>En defecto del presidente de una Sala, la preside el magistrado más antiguo y, en caso de igual antigüedad, el de mayor edad.</w:t>
      </w:r>
    </w:p>
    <w:p>
      <w:pPr>
        <w:jc w:val="both"/>
      </w:pPr>
      <w:r>
        <w:rPr>
          <w:rFonts w:ascii="Arial" w:hAnsi="Arial" w:cs="Arial"/>
          <w:sz w:val="22"/>
        </w:rPr>
        <w:t xml:space="preserve">El Pleno y las Salas constituyen Secciones para el despacho ordinario y para decidir o proponer, según proceda, la admisión o inadmisión de procesos. Cada Sección se integra por el presidente correspondiente o quien le sustituya y </w:t>
      </w:r>
      <w:r>
        <w:rPr>
          <w:rFonts w:ascii="Arial" w:hAnsi="Arial" w:cs="Arial"/>
          <w:b/>
          <w:sz w:val="22"/>
        </w:rPr>
        <w:t>dos magistrados</w:t>
      </w:r>
      <w:r>
        <w:rPr>
          <w:rFonts w:ascii="Arial" w:hAnsi="Arial" w:cs="Arial"/>
          <w:sz w:val="22"/>
        </w:rPr>
        <w:t>. También puede resolver recursos de amparo cuando la Sala le defiera su conocimiento.</w:t>
      </w:r>
    </w:p>
    <w:tbl>
      <w:tblPr>
        <w:tblStyle w:val="TableGrid"/>
        <w:tblW w:type="dxa" w:w="9026"/>
        <w:jc w:val="left"/>
        <w:tblLayout w:type="fixed"/>
        <w:tblLook w:firstColumn="1" w:firstRow="1" w:lastColumn="0" w:lastRow="0" w:noHBand="0" w:noVBand="1" w:val="04A0"/>
        <w:tblInd w:w="120" w:type="dxa"/>
      </w:tblPr>
      <w:tblGrid>
        <w:gridCol w:w="964"/>
        <w:gridCol w:w="2892"/>
        <w:gridCol w:w="5170"/>
      </w:tblGrid>
      <w:tr>
        <w:trPr>
          <w:tblHeader w:val="true"/>
        </w:trPr>
        <w:tc>
          <w:tcPr>
            <w:tcW w:type="dxa" w:w="9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w:t>
            </w:r>
          </w:p>
        </w:tc>
        <w:tc>
          <w:tcPr>
            <w:tcW w:type="dxa" w:w="289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Composición</w:t>
            </w:r>
          </w:p>
        </w:tc>
        <w:tc>
          <w:tcPr>
            <w:tcW w:type="dxa" w:w="517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Función característica</w:t>
            </w:r>
          </w:p>
        </w:tc>
      </w:tr>
      <w:tr>
        <w:tc>
          <w:tcPr>
            <w:tcW w:type="dxa" w:w="964"/>
            <w:tcMar>
              <w:top w:w="80" w:type="dxa"/>
              <w:start w:w="120" w:type="dxa"/>
              <w:bottom w:w="80" w:type="dxa"/>
              <w:end w:w="120" w:type="dxa"/>
            </w:tcMar>
            <w:vAlign w:val="center"/>
          </w:tcPr>
          <w:p>
            <w:pPr>
              <w:spacing w:before="0" w:after="0" w:line="240" w:lineRule="auto"/>
              <w:jc w:val="left"/>
            </w:pPr>
            <w:r/>
            <w:r>
              <w:rPr>
                <w:rFonts w:ascii="Arial" w:hAnsi="Arial" w:cs="Arial"/>
                <w:sz w:val="18"/>
              </w:rPr>
              <w:t>Pleno</w:t>
            </w:r>
          </w:p>
        </w:tc>
        <w:tc>
          <w:tcPr>
            <w:tcW w:type="dxa" w:w="2892"/>
            <w:tcMar>
              <w:top w:w="80" w:type="dxa"/>
              <w:start w:w="120" w:type="dxa"/>
              <w:bottom w:w="80" w:type="dxa"/>
              <w:end w:w="120" w:type="dxa"/>
            </w:tcMar>
            <w:vAlign w:val="center"/>
          </w:tcPr>
          <w:p>
            <w:pPr>
              <w:spacing w:before="0" w:after="0" w:line="240" w:lineRule="auto"/>
              <w:jc w:val="left"/>
            </w:pPr>
            <w:r/>
            <w:r>
              <w:rPr>
                <w:rFonts w:ascii="Arial" w:hAnsi="Arial" w:cs="Arial"/>
                <w:sz w:val="18"/>
              </w:rPr>
              <w:t>Los 12 magistrados</w:t>
            </w:r>
          </w:p>
        </w:tc>
        <w:tc>
          <w:tcPr>
            <w:tcW w:type="dxa" w:w="5170"/>
            <w:tcMar>
              <w:top w:w="80" w:type="dxa"/>
              <w:start w:w="120" w:type="dxa"/>
              <w:bottom w:w="80" w:type="dxa"/>
              <w:end w:w="120" w:type="dxa"/>
            </w:tcMar>
            <w:vAlign w:val="center"/>
          </w:tcPr>
          <w:p>
            <w:pPr>
              <w:spacing w:before="0" w:after="0" w:line="240" w:lineRule="auto"/>
              <w:jc w:val="left"/>
            </w:pPr>
            <w:r/>
            <w:r>
              <w:rPr>
                <w:rFonts w:ascii="Arial" w:hAnsi="Arial" w:cs="Arial"/>
                <w:sz w:val="18"/>
              </w:rPr>
              <w:t>Asuntos de mayor relevancia y competencias expresamente reservadas</w:t>
            </w:r>
          </w:p>
        </w:tc>
      </w:tr>
      <w:tr>
        <w:tc>
          <w:tcPr>
            <w:tcW w:type="dxa" w:w="964"/>
            <w:tcMar>
              <w:top w:w="80" w:type="dxa"/>
              <w:start w:w="120" w:type="dxa"/>
              <w:bottom w:w="80" w:type="dxa"/>
              <w:end w:w="120" w:type="dxa"/>
            </w:tcMar>
            <w:vAlign w:val="center"/>
          </w:tcPr>
          <w:p>
            <w:pPr>
              <w:spacing w:before="0" w:after="0" w:line="240" w:lineRule="auto"/>
              <w:jc w:val="left"/>
            </w:pPr>
            <w:r/>
            <w:r>
              <w:rPr>
                <w:rFonts w:ascii="Arial" w:hAnsi="Arial" w:cs="Arial"/>
                <w:sz w:val="18"/>
              </w:rPr>
              <w:t>Sala Primera</w:t>
            </w:r>
          </w:p>
        </w:tc>
        <w:tc>
          <w:tcPr>
            <w:tcW w:type="dxa" w:w="2892"/>
            <w:tcMar>
              <w:top w:w="80" w:type="dxa"/>
              <w:start w:w="120" w:type="dxa"/>
              <w:bottom w:w="80" w:type="dxa"/>
              <w:end w:w="120" w:type="dxa"/>
            </w:tcMar>
            <w:vAlign w:val="center"/>
          </w:tcPr>
          <w:p>
            <w:pPr>
              <w:spacing w:before="0" w:after="0" w:line="240" w:lineRule="auto"/>
              <w:jc w:val="center"/>
            </w:pPr>
            <w:r/>
            <w:r>
              <w:rPr>
                <w:rFonts w:ascii="Arial" w:hAnsi="Arial" w:cs="Arial"/>
                <w:sz w:val="18"/>
              </w:rPr>
              <w:t>6 magistrados</w:t>
            </w:r>
          </w:p>
        </w:tc>
        <w:tc>
          <w:tcPr>
            <w:tcW w:type="dxa" w:w="5170"/>
            <w:tcMar>
              <w:top w:w="80" w:type="dxa"/>
              <w:start w:w="120" w:type="dxa"/>
              <w:bottom w:w="80" w:type="dxa"/>
              <w:end w:w="120" w:type="dxa"/>
            </w:tcMar>
            <w:vAlign w:val="center"/>
          </w:tcPr>
          <w:p>
            <w:pPr>
              <w:spacing w:before="0" w:after="0" w:line="240" w:lineRule="auto"/>
              <w:jc w:val="left"/>
            </w:pPr>
            <w:r/>
            <w:r>
              <w:rPr>
                <w:rFonts w:ascii="Arial" w:hAnsi="Arial" w:cs="Arial"/>
                <w:sz w:val="18"/>
              </w:rPr>
              <w:t>Asuntos no atribuidos al Pleno; amparo</w:t>
            </w:r>
          </w:p>
        </w:tc>
      </w:tr>
      <w:tr>
        <w:tc>
          <w:tcPr>
            <w:tcW w:type="dxa" w:w="964"/>
            <w:tcMar>
              <w:top w:w="80" w:type="dxa"/>
              <w:start w:w="120" w:type="dxa"/>
              <w:bottom w:w="80" w:type="dxa"/>
              <w:end w:w="120" w:type="dxa"/>
            </w:tcMar>
            <w:vAlign w:val="center"/>
          </w:tcPr>
          <w:p>
            <w:pPr>
              <w:spacing w:before="0" w:after="0" w:line="240" w:lineRule="auto"/>
              <w:jc w:val="left"/>
            </w:pPr>
            <w:r/>
            <w:r>
              <w:rPr>
                <w:rFonts w:ascii="Arial" w:hAnsi="Arial" w:cs="Arial"/>
                <w:sz w:val="18"/>
              </w:rPr>
              <w:t>Sala Segunda</w:t>
            </w:r>
          </w:p>
        </w:tc>
        <w:tc>
          <w:tcPr>
            <w:tcW w:type="dxa" w:w="2892"/>
            <w:tcMar>
              <w:top w:w="80" w:type="dxa"/>
              <w:start w:w="120" w:type="dxa"/>
              <w:bottom w:w="80" w:type="dxa"/>
              <w:end w:w="120" w:type="dxa"/>
            </w:tcMar>
            <w:vAlign w:val="center"/>
          </w:tcPr>
          <w:p>
            <w:pPr>
              <w:spacing w:before="0" w:after="0" w:line="240" w:lineRule="auto"/>
              <w:jc w:val="center"/>
            </w:pPr>
            <w:r/>
            <w:r>
              <w:rPr>
                <w:rFonts w:ascii="Arial" w:hAnsi="Arial" w:cs="Arial"/>
                <w:sz w:val="18"/>
              </w:rPr>
              <w:t>6 magistrados</w:t>
            </w:r>
          </w:p>
        </w:tc>
        <w:tc>
          <w:tcPr>
            <w:tcW w:type="dxa" w:w="5170"/>
            <w:tcMar>
              <w:top w:w="80" w:type="dxa"/>
              <w:start w:w="120" w:type="dxa"/>
              <w:bottom w:w="80" w:type="dxa"/>
              <w:end w:w="120" w:type="dxa"/>
            </w:tcMar>
            <w:vAlign w:val="center"/>
          </w:tcPr>
          <w:p>
            <w:pPr>
              <w:spacing w:before="0" w:after="0" w:line="240" w:lineRule="auto"/>
              <w:jc w:val="left"/>
            </w:pPr>
            <w:r/>
            <w:r>
              <w:rPr>
                <w:rFonts w:ascii="Arial" w:hAnsi="Arial" w:cs="Arial"/>
                <w:sz w:val="18"/>
              </w:rPr>
              <w:t>Asuntos no atribuidos al Pleno; amparo</w:t>
            </w:r>
          </w:p>
        </w:tc>
      </w:tr>
      <w:tr>
        <w:tc>
          <w:tcPr>
            <w:tcW w:type="dxa" w:w="964"/>
            <w:tcMar>
              <w:top w:w="80" w:type="dxa"/>
              <w:start w:w="120" w:type="dxa"/>
              <w:bottom w:w="80" w:type="dxa"/>
              <w:end w:w="120" w:type="dxa"/>
            </w:tcMar>
            <w:vAlign w:val="center"/>
          </w:tcPr>
          <w:p>
            <w:pPr>
              <w:spacing w:before="0" w:after="0" w:line="240" w:lineRule="auto"/>
              <w:jc w:val="left"/>
            </w:pPr>
            <w:r/>
            <w:r>
              <w:rPr>
                <w:rFonts w:ascii="Arial" w:hAnsi="Arial" w:cs="Arial"/>
                <w:sz w:val="18"/>
              </w:rPr>
              <w:t>Sección</w:t>
            </w:r>
          </w:p>
        </w:tc>
        <w:tc>
          <w:tcPr>
            <w:tcW w:type="dxa" w:w="2892"/>
            <w:tcMar>
              <w:top w:w="80" w:type="dxa"/>
              <w:start w:w="120" w:type="dxa"/>
              <w:bottom w:w="80" w:type="dxa"/>
              <w:end w:w="120" w:type="dxa"/>
            </w:tcMar>
            <w:vAlign w:val="center"/>
          </w:tcPr>
          <w:p>
            <w:pPr>
              <w:spacing w:before="0" w:after="0" w:line="240" w:lineRule="auto"/>
              <w:jc w:val="left"/>
            </w:pPr>
            <w:r/>
            <w:r>
              <w:rPr>
                <w:rFonts w:ascii="Arial" w:hAnsi="Arial" w:cs="Arial"/>
                <w:sz w:val="18"/>
              </w:rPr>
              <w:t>Presidente o sustituto y 2 magistrados</w:t>
            </w:r>
          </w:p>
        </w:tc>
        <w:tc>
          <w:tcPr>
            <w:tcW w:type="dxa" w:w="5170"/>
            <w:tcMar>
              <w:top w:w="80" w:type="dxa"/>
              <w:start w:w="120" w:type="dxa"/>
              <w:bottom w:w="80" w:type="dxa"/>
              <w:end w:w="120" w:type="dxa"/>
            </w:tcMar>
            <w:vAlign w:val="center"/>
          </w:tcPr>
          <w:p>
            <w:pPr>
              <w:spacing w:before="0" w:after="0" w:line="240" w:lineRule="auto"/>
              <w:jc w:val="left"/>
            </w:pPr>
            <w:r/>
            <w:r>
              <w:rPr>
                <w:rFonts w:ascii="Arial" w:hAnsi="Arial" w:cs="Arial"/>
                <w:sz w:val="18"/>
              </w:rPr>
              <w:t>Admisión, despacho ordinario y amparos deferidos</w:t>
            </w:r>
          </w:p>
        </w:tc>
      </w:tr>
    </w:tbl>
    <w:p>
      <w:pPr>
        <w:spacing w:after="40"/>
      </w:pPr>
    </w:p>
    <w:p>
      <w:pPr>
        <w:pStyle w:val="Heading2"/>
        <w:keepNext/>
      </w:pPr>
      <w:r>
        <w:rPr>
          <w:rFonts w:ascii="Arial" w:hAnsi="Arial" w:cs="Arial"/>
          <w:sz w:val="25"/>
        </w:rPr>
        <w:t>4.2. Presidente y Vicepresidente</w:t>
      </w:r>
    </w:p>
    <w:p>
      <w:pPr>
        <w:jc w:val="both"/>
      </w:pPr>
      <w:r>
        <w:rPr>
          <w:rFonts w:ascii="Arial" w:hAnsi="Arial" w:cs="Arial"/>
          <w:sz w:val="22"/>
        </w:rPr>
        <w:t xml:space="preserve">El Presidente se elige por el Pleno entre sus miembros mediante votación secreta y es propuesto al Rey, que lo nombra por </w:t>
      </w:r>
      <w:r>
        <w:rPr>
          <w:rFonts w:ascii="Arial" w:hAnsi="Arial" w:cs="Arial"/>
          <w:b/>
          <w:sz w:val="22"/>
        </w:rPr>
        <w:t>tres años</w:t>
      </w:r>
      <w:r>
        <w:rPr>
          <w:rFonts w:ascii="Arial" w:hAnsi="Arial" w:cs="Arial"/>
          <w:sz w:val="22"/>
        </w:rPr>
        <w:t>. En primera votación se requiere mayoría absoluta. Si no se alcanza, se celebra una segunda y resulta elegido quien obtenga más votos. Si hay empate, se efectúa una última votación; si persiste, se propone al de mayor antigüedad en el cargo y, en caso de igualdad, al de mayor edad.</w:t>
      </w:r>
    </w:p>
    <w:p>
      <w:pPr>
        <w:jc w:val="both"/>
      </w:pPr>
      <w:r>
        <w:rPr>
          <w:rFonts w:ascii="Arial" w:hAnsi="Arial" w:cs="Arial"/>
          <w:sz w:val="22"/>
        </w:rPr>
        <w:t xml:space="preserve">Puede ser reelegido </w:t>
      </w:r>
      <w:r>
        <w:rPr>
          <w:rFonts w:ascii="Arial" w:hAnsi="Arial" w:cs="Arial"/>
          <w:b/>
          <w:sz w:val="22"/>
        </w:rPr>
        <w:t>una sola vez</w:t>
      </w:r>
      <w:r>
        <w:rPr>
          <w:rFonts w:ascii="Arial" w:hAnsi="Arial" w:cs="Arial"/>
          <w:sz w:val="22"/>
        </w:rPr>
        <w:t>. El Vicepresidente se elige mediante el mismo procedimiento y por igual período. Sustituye al Presidente en caso de vacante, ausencia u otro motivo legal y preside la Sala Segunda.</w:t>
      </w:r>
    </w:p>
    <w:p>
      <w:pPr>
        <w:jc w:val="both"/>
      </w:pPr>
      <w:r>
        <w:rPr>
          <w:rFonts w:ascii="Arial" w:hAnsi="Arial" w:cs="Arial"/>
          <w:sz w:val="22"/>
        </w:rPr>
        <w:t>Si el mandato trienal del Presidente o Vicepresidente no coincide con la renovación parcial del Tribunal, se prorroga hasta que dicha renovación se produzca y tomen posesión los nuevos magistrados.</w:t>
      </w:r>
    </w:p>
    <w:p>
      <w:pPr>
        <w:jc w:val="both"/>
      </w:pPr>
      <w:r>
        <w:rPr>
          <w:rFonts w:ascii="Arial" w:hAnsi="Arial" w:cs="Arial"/>
          <w:sz w:val="22"/>
        </w:rPr>
        <w:t>El Presidente representa al Tribunal, convoca y preside el Pleno, convoca las Salas, adopta las medidas necesarias para el funcionamiento de sus órganos, comunica las vacantes a quien corresponda y ejerce las funciones administrativas y de personal que le atribuye la LOTC.</w:t>
      </w:r>
    </w:p>
    <w:p>
      <w:pPr>
        <w:pStyle w:val="Heading2"/>
        <w:keepNext/>
      </w:pPr>
      <w:r>
        <w:rPr>
          <w:rFonts w:ascii="Arial" w:hAnsi="Arial" w:cs="Arial"/>
          <w:sz w:val="25"/>
        </w:rPr>
        <w:t>4.3. Cuórum y adopción de acuerdos</w:t>
      </w:r>
    </w:p>
    <w:p>
      <w:pPr>
        <w:jc w:val="both"/>
      </w:pPr>
      <w:r>
        <w:rPr>
          <w:rFonts w:ascii="Arial" w:hAnsi="Arial" w:cs="Arial"/>
          <w:sz w:val="22"/>
        </w:rPr>
        <w:t xml:space="preserve">Para adoptar acuerdos, el Pleno y las Salas necesitan la presencia de al menos </w:t>
      </w:r>
      <w:r>
        <w:rPr>
          <w:rFonts w:ascii="Arial" w:hAnsi="Arial" w:cs="Arial"/>
          <w:b/>
          <w:sz w:val="22"/>
        </w:rPr>
        <w:t>dos tercios</w:t>
      </w:r>
      <w:r>
        <w:rPr>
          <w:rFonts w:ascii="Arial" w:hAnsi="Arial" w:cs="Arial"/>
          <w:sz w:val="22"/>
        </w:rPr>
        <w:t xml:space="preserve"> de los miembros que los compongan en cada momento. En las Secciones basta la presencia de dos miembros, salvo que exista discrepancia, supuesto en el que deben estar presentes los tres.</w:t>
      </w:r>
    </w:p>
    <w:p>
      <w:pPr>
        <w:jc w:val="both"/>
      </w:pPr>
      <w:r>
        <w:rPr>
          <w:rFonts w:ascii="Arial" w:hAnsi="Arial" w:cs="Arial"/>
          <w:sz w:val="22"/>
        </w:rPr>
        <w:t>Como regla general, las decisiones se adoptan por mayoría de quienes participan en la deliberación. En caso de empate decide el voto del presidente. Los magistrados, incluido el Presidente, pueden formular voto particular si defendieron su posición en la deliberación. Los votos particulares se incorporan a la resolución y, cuando acompañan a sentencias, autos o declaraciones, se publican con ellas en el BOE.</w:t>
      </w:r>
    </w:p>
    <w:p>
      <w:pPr>
        <w:jc w:val="both"/>
      </w:pPr>
      <w:r>
        <w:rPr>
          <w:rFonts w:ascii="Arial" w:hAnsi="Arial" w:cs="Arial"/>
          <w:sz w:val="22"/>
        </w:rPr>
        <w:t>Una Sala que considere necesario apartarse de la doctrina constitucional precedente debe someter la cuestión al Pleno. Con ello se preserva la unidad de la doctrina constitucional.</w:t>
      </w:r>
    </w:p>
    <w:p>
      <w:pPr>
        <w:pStyle w:val="Heading2"/>
        <w:keepNext/>
      </w:pPr>
      <w:r>
        <w:rPr>
          <w:rFonts w:ascii="Arial" w:hAnsi="Arial" w:cs="Arial"/>
          <w:sz w:val="25"/>
        </w:rPr>
        <w:t>4.4. Competencias del Pleno</w:t>
      </w:r>
    </w:p>
    <w:p>
      <w:pPr>
        <w:jc w:val="both"/>
      </w:pPr>
      <w:r>
        <w:rPr>
          <w:rFonts w:ascii="Arial" w:hAnsi="Arial" w:cs="Arial"/>
          <w:sz w:val="22"/>
        </w:rPr>
        <w:t>El artículo 10 LOTC atribuye al Pleno, entre otros asuntos:</w:t>
      </w:r>
    </w:p>
    <w:p>
      <w:pPr>
        <w:pStyle w:val="ListBullet"/>
      </w:pPr>
      <w:r>
        <w:rPr>
          <w:rFonts w:ascii="Arial" w:hAnsi="Arial" w:cs="Arial"/>
          <w:sz w:val="22"/>
        </w:rPr>
        <w:t>la constitucionalidad o inconstitucionalidad de los tratados internacionales;</w:t>
      </w:r>
    </w:p>
    <w:p>
      <w:pPr>
        <w:pStyle w:val="ListBullet"/>
      </w:pPr>
      <w:r>
        <w:rPr>
          <w:rFonts w:ascii="Arial" w:hAnsi="Arial" w:cs="Arial"/>
          <w:sz w:val="22"/>
        </w:rPr>
        <w:t>los recursos de inconstitucionalidad, salvo los de mera aplicación de doctrina que puedan atribuirse a las Salas;</w:t>
      </w:r>
    </w:p>
    <w:p>
      <w:pPr>
        <w:pStyle w:val="ListBullet"/>
      </w:pPr>
      <w:r>
        <w:rPr>
          <w:rFonts w:ascii="Arial" w:hAnsi="Arial" w:cs="Arial"/>
          <w:sz w:val="22"/>
        </w:rPr>
        <w:t>las cuestiones de inconstitucionalidad que reserve para sí;</w:t>
      </w:r>
    </w:p>
    <w:p>
      <w:pPr>
        <w:pStyle w:val="ListBullet"/>
      </w:pPr>
      <w:r>
        <w:rPr>
          <w:rFonts w:ascii="Arial" w:hAnsi="Arial" w:cs="Arial"/>
          <w:sz w:val="22"/>
        </w:rPr>
        <w:t>los conflictos de competencia entre el Estado y las comunidades autónomas o de estas entre sí;</w:t>
      </w:r>
    </w:p>
    <w:p>
      <w:pPr>
        <w:pStyle w:val="ListBullet"/>
      </w:pPr>
      <w:r>
        <w:rPr>
          <w:rFonts w:ascii="Arial" w:hAnsi="Arial" w:cs="Arial"/>
          <w:sz w:val="22"/>
        </w:rPr>
        <w:t>los recursos previos contra proyectos de estatutos de autonomía y propuestas de reforma;</w:t>
      </w:r>
    </w:p>
    <w:p>
      <w:pPr>
        <w:pStyle w:val="ListBullet"/>
      </w:pPr>
      <w:r>
        <w:rPr>
          <w:rFonts w:ascii="Arial" w:hAnsi="Arial" w:cs="Arial"/>
          <w:sz w:val="22"/>
        </w:rPr>
        <w:t>las impugnaciones del artículo 161.2 de la Constitución;</w:t>
      </w:r>
    </w:p>
    <w:p>
      <w:pPr>
        <w:pStyle w:val="ListBullet"/>
      </w:pPr>
      <w:r>
        <w:rPr>
          <w:rFonts w:ascii="Arial" w:hAnsi="Arial" w:cs="Arial"/>
          <w:sz w:val="22"/>
        </w:rPr>
        <w:t>los conflictos en defensa de la autonomía local;</w:t>
      </w:r>
    </w:p>
    <w:p>
      <w:pPr>
        <w:pStyle w:val="ListBullet"/>
      </w:pPr>
      <w:r>
        <w:rPr>
          <w:rFonts w:ascii="Arial" w:hAnsi="Arial" w:cs="Arial"/>
          <w:sz w:val="22"/>
        </w:rPr>
        <w:t>los conflictos entre órganos constitucionales del Estado;</w:t>
      </w:r>
    </w:p>
    <w:p>
      <w:pPr>
        <w:pStyle w:val="ListBullet"/>
      </w:pPr>
      <w:r>
        <w:rPr>
          <w:rFonts w:ascii="Arial" w:hAnsi="Arial" w:cs="Arial"/>
          <w:sz w:val="22"/>
        </w:rPr>
        <w:t>las anulaciones destinadas a preservar la jurisdicción del Tribunal;</w:t>
      </w:r>
    </w:p>
    <w:p>
      <w:pPr>
        <w:pStyle w:val="ListBullet"/>
      </w:pPr>
      <w:r>
        <w:rPr>
          <w:rFonts w:ascii="Arial" w:hAnsi="Arial" w:cs="Arial"/>
          <w:sz w:val="22"/>
        </w:rPr>
        <w:t>la verificación de los requisitos de los magistrados;</w:t>
      </w:r>
    </w:p>
    <w:p>
      <w:pPr>
        <w:pStyle w:val="ListBullet"/>
      </w:pPr>
      <w:r>
        <w:rPr>
          <w:rFonts w:ascii="Arial" w:hAnsi="Arial" w:cs="Arial"/>
          <w:sz w:val="22"/>
        </w:rPr>
        <w:t>la elección del Presidente y Vicepresidente;</w:t>
      </w:r>
    </w:p>
    <w:p>
      <w:pPr>
        <w:pStyle w:val="ListBullet"/>
      </w:pPr>
      <w:r>
        <w:rPr>
          <w:rFonts w:ascii="Arial" w:hAnsi="Arial" w:cs="Arial"/>
          <w:sz w:val="22"/>
        </w:rPr>
        <w:t>la aprobación de los reglamentos del Tribunal.</w:t>
      </w:r>
    </w:p>
    <w:p>
      <w:pPr>
        <w:jc w:val="both"/>
      </w:pPr>
      <w:r>
        <w:rPr>
          <w:rFonts w:ascii="Arial" w:hAnsi="Arial" w:cs="Arial"/>
          <w:sz w:val="22"/>
        </w:rPr>
        <w:t>Las Salas conocen de los asuntos no atribuidos al Pleno y de los que este les defiera legalmente. También pueden asumir cuestiones que, inicialmente atribuidas a una Sección, consideren suficientemente importantes.</w:t>
      </w:r>
    </w:p>
    <w:p>
      <w:pPr>
        <w:pStyle w:val="Heading1"/>
        <w:keepNext/>
      </w:pPr>
      <w:r>
        <w:rPr>
          <w:rFonts w:ascii="Arial" w:hAnsi="Arial" w:cs="Arial"/>
          <w:sz w:val="30"/>
        </w:rPr>
        <w:t>5. Atribuciones constitucionales: visión general</w:t>
      </w:r>
    </w:p>
    <w:p>
      <w:pPr>
        <w:jc w:val="both"/>
      </w:pPr>
      <w:r>
        <w:rPr>
          <w:rFonts w:ascii="Arial" w:hAnsi="Arial" w:cs="Arial"/>
          <w:sz w:val="22"/>
        </w:rPr>
        <w:t>Las competencias principales aparecen en el artículo 161 de la Constitución y se desarrollan en el artículo 2 LOTC:</w:t>
      </w:r>
    </w:p>
    <w:p>
      <w:pPr>
        <w:spacing w:after="40"/>
        <w:ind w:left="369" w:hanging="227"/>
      </w:pPr>
      <w:r>
        <w:rPr>
          <w:rFonts w:ascii="Arial" w:hAnsi="Arial" w:cs="Arial"/>
          <w:sz w:val="22"/>
        </w:rPr>
        <w:t>1. recurso y cuestión de inconstitucionalidad contra leyes, disposiciones normativas o actos con fuerza de ley;</w:t>
      </w:r>
    </w:p>
    <w:p>
      <w:pPr>
        <w:spacing w:after="40"/>
        <w:ind w:left="369" w:hanging="227"/>
      </w:pPr>
      <w:r>
        <w:rPr>
          <w:rFonts w:ascii="Arial" w:hAnsi="Arial" w:cs="Arial"/>
          <w:sz w:val="22"/>
        </w:rPr>
        <w:t>2. recurso de amparo por vulneración de los derechos protegibles;</w:t>
      </w:r>
    </w:p>
    <w:p>
      <w:pPr>
        <w:spacing w:after="40"/>
        <w:ind w:left="369" w:hanging="227"/>
      </w:pPr>
      <w:r>
        <w:rPr>
          <w:rFonts w:ascii="Arial" w:hAnsi="Arial" w:cs="Arial"/>
          <w:sz w:val="22"/>
        </w:rPr>
        <w:t>3. conflictos de competencia entre el Estado y las comunidades autónomas o entre estas;</w:t>
      </w:r>
    </w:p>
    <w:p>
      <w:pPr>
        <w:spacing w:after="40"/>
        <w:ind w:left="369" w:hanging="227"/>
      </w:pPr>
      <w:r>
        <w:rPr>
          <w:rFonts w:ascii="Arial" w:hAnsi="Arial" w:cs="Arial"/>
          <w:sz w:val="22"/>
        </w:rPr>
        <w:t>4. conflictos entre órganos constitucionales del Estado;</w:t>
      </w:r>
    </w:p>
    <w:p>
      <w:pPr>
        <w:spacing w:after="40"/>
        <w:ind w:left="369" w:hanging="227"/>
      </w:pPr>
      <w:r>
        <w:rPr>
          <w:rFonts w:ascii="Arial" w:hAnsi="Arial" w:cs="Arial"/>
          <w:sz w:val="22"/>
        </w:rPr>
        <w:t>5. conflictos en defensa de la autonomía local;</w:t>
      </w:r>
    </w:p>
    <w:p>
      <w:pPr>
        <w:spacing w:after="40"/>
        <w:ind w:left="369" w:hanging="227"/>
      </w:pPr>
      <w:r>
        <w:rPr>
          <w:rFonts w:ascii="Arial" w:hAnsi="Arial" w:cs="Arial"/>
          <w:sz w:val="22"/>
        </w:rPr>
        <w:t>6. declaración previa sobre la constitucionalidad de tratados internacionales;</w:t>
      </w:r>
    </w:p>
    <w:p>
      <w:pPr>
        <w:spacing w:after="40"/>
        <w:ind w:left="369" w:hanging="227"/>
      </w:pPr>
      <w:r>
        <w:rPr>
          <w:rFonts w:ascii="Arial" w:hAnsi="Arial" w:cs="Arial"/>
          <w:sz w:val="22"/>
        </w:rPr>
        <w:t>7. recurso previo contra proyectos de estatuto de autonomía y propuestas de reforma;</w:t>
      </w:r>
    </w:p>
    <w:p>
      <w:pPr>
        <w:spacing w:after="40"/>
        <w:ind w:left="369" w:hanging="227"/>
      </w:pPr>
      <w:r>
        <w:rPr>
          <w:rFonts w:ascii="Arial" w:hAnsi="Arial" w:cs="Arial"/>
          <w:sz w:val="22"/>
        </w:rPr>
        <w:t>8. impugnaciones del Gobierno contra disposiciones y resoluciones autonómicas del artículo 161.2 de la Constitución;</w:t>
      </w:r>
    </w:p>
    <w:p>
      <w:pPr>
        <w:spacing w:after="40"/>
        <w:ind w:left="369" w:hanging="227"/>
      </w:pPr>
      <w:r>
        <w:rPr>
          <w:rFonts w:ascii="Arial" w:hAnsi="Arial" w:cs="Arial"/>
          <w:sz w:val="22"/>
        </w:rPr>
        <w:t>9. verificación de los nombramientos de magistrados;</w:t>
      </w:r>
    </w:p>
    <w:p>
      <w:pPr>
        <w:spacing w:after="40"/>
        <w:ind w:left="369" w:hanging="227"/>
      </w:pPr>
      <w:r>
        <w:rPr>
          <w:rFonts w:ascii="Arial" w:hAnsi="Arial" w:cs="Arial"/>
          <w:sz w:val="22"/>
        </w:rPr>
        <w:t>10. demás materias atribuidas por la Constitución o por leyes orgánicas.</w:t>
      </w:r>
    </w:p>
    <w:p>
      <w:pPr>
        <w:jc w:val="both"/>
      </w:pPr>
      <w:r>
        <w:rPr>
          <w:rFonts w:ascii="Arial" w:hAnsi="Arial" w:cs="Arial"/>
          <w:sz w:val="22"/>
        </w:rPr>
        <w:t>No todas las vías cumplen la misma finalidad. El recurso y la cuestión depuran el ordenamiento de normas con rango de ley incompatibles con la Constitución; el amparo protege posiciones subjetivas; los conflictos determinan la titularidad de competencias o atribuciones; y los controles previos evitan que ciertos textos entren en el ordenamiento contrariando la Constitución.</w:t>
      </w:r>
    </w:p>
    <w:p>
      <w:pPr>
        <w:pStyle w:val="Heading1"/>
        <w:keepNext/>
      </w:pPr>
      <w:r>
        <w:rPr>
          <w:rFonts w:ascii="Arial" w:hAnsi="Arial" w:cs="Arial"/>
          <w:sz w:val="30"/>
        </w:rPr>
        <w:t>6. Procedimientos de declaración de inconstitucionalidad</w:t>
      </w:r>
    </w:p>
    <w:p>
      <w:pPr>
        <w:pStyle w:val="Heading2"/>
        <w:keepNext/>
      </w:pPr>
      <w:r>
        <w:rPr>
          <w:rFonts w:ascii="Arial" w:hAnsi="Arial" w:cs="Arial"/>
          <w:sz w:val="25"/>
        </w:rPr>
        <w:t>6.1. Objeto y parámetro de control</w:t>
      </w:r>
    </w:p>
    <w:p>
      <w:pPr>
        <w:jc w:val="both"/>
      </w:pPr>
      <w:r>
        <w:rPr>
          <w:rFonts w:ascii="Arial" w:hAnsi="Arial" w:cs="Arial"/>
          <w:sz w:val="22"/>
        </w:rPr>
        <w:t>Pueden ser objeto de declaración de inconstitucionalidad:</w:t>
      </w:r>
    </w:p>
    <w:p>
      <w:pPr>
        <w:pStyle w:val="ListBullet"/>
      </w:pPr>
      <w:r>
        <w:rPr>
          <w:rFonts w:ascii="Arial" w:hAnsi="Arial" w:cs="Arial"/>
          <w:sz w:val="22"/>
        </w:rPr>
        <w:t>los estatutos de autonomía y las demás leyes orgánicas;</w:t>
      </w:r>
    </w:p>
    <w:p>
      <w:pPr>
        <w:pStyle w:val="ListBullet"/>
      </w:pPr>
      <w:r>
        <w:rPr>
          <w:rFonts w:ascii="Arial" w:hAnsi="Arial" w:cs="Arial"/>
          <w:sz w:val="22"/>
        </w:rPr>
        <w:t>las leyes y los actos o disposiciones estatales con fuerza de ley;</w:t>
      </w:r>
    </w:p>
    <w:p>
      <w:pPr>
        <w:pStyle w:val="ListBullet"/>
      </w:pPr>
      <w:r>
        <w:rPr>
          <w:rFonts w:ascii="Arial" w:hAnsi="Arial" w:cs="Arial"/>
          <w:sz w:val="22"/>
        </w:rPr>
        <w:t>los tratados internacionales;</w:t>
      </w:r>
    </w:p>
    <w:p>
      <w:pPr>
        <w:pStyle w:val="ListBullet"/>
      </w:pPr>
      <w:r>
        <w:rPr>
          <w:rFonts w:ascii="Arial" w:hAnsi="Arial" w:cs="Arial"/>
          <w:sz w:val="22"/>
        </w:rPr>
        <w:t>los reglamentos de las Cámaras y de las Cortes Generales;</w:t>
      </w:r>
    </w:p>
    <w:p>
      <w:pPr>
        <w:pStyle w:val="ListBullet"/>
      </w:pPr>
      <w:r>
        <w:rPr>
          <w:rFonts w:ascii="Arial" w:hAnsi="Arial" w:cs="Arial"/>
          <w:sz w:val="22"/>
        </w:rPr>
        <w:t>las leyes, actos y disposiciones con fuerza de ley de las comunidades autónomas;</w:t>
      </w:r>
    </w:p>
    <w:p>
      <w:pPr>
        <w:pStyle w:val="ListBullet"/>
      </w:pPr>
      <w:r>
        <w:rPr>
          <w:rFonts w:ascii="Arial" w:hAnsi="Arial" w:cs="Arial"/>
          <w:sz w:val="22"/>
        </w:rPr>
        <w:t>los reglamentos de sus asambleas legislativas.</w:t>
      </w:r>
    </w:p>
    <w:p>
      <w:pPr>
        <w:jc w:val="both"/>
      </w:pPr>
      <w:r>
        <w:rPr>
          <w:rFonts w:ascii="Arial" w:hAnsi="Arial" w:cs="Arial"/>
          <w:sz w:val="22"/>
        </w:rPr>
        <w:t>En los decretos legislativos, la competencia constitucional se entiende sin perjuicio de las fórmulas adicionales de control previstas en el artículo 82.6 de la Constitución.</w:t>
      </w:r>
    </w:p>
    <w:p>
      <w:pPr>
        <w:jc w:val="both"/>
      </w:pPr>
      <w:r>
        <w:rPr>
          <w:rFonts w:ascii="Arial" w:hAnsi="Arial" w:cs="Arial"/>
          <w:sz w:val="22"/>
        </w:rPr>
        <w:t xml:space="preserve">El parámetro no se limita siempre al texto constitucional. Para valorar una norma estatal o autonómica, el Tribunal tiene también en cuenta las leyes que, dentro del marco constitucional, delimitan competencias o regulan y armonizan su ejercicio. Este conjunto de normas funciona como </w:t>
      </w:r>
      <w:r>
        <w:rPr>
          <w:rFonts w:ascii="Arial" w:hAnsi="Arial" w:cs="Arial"/>
          <w:b/>
          <w:sz w:val="22"/>
        </w:rPr>
        <w:t>bloque de constitucionalidad</w:t>
      </w:r>
      <w:r>
        <w:rPr>
          <w:rFonts w:ascii="Arial" w:hAnsi="Arial" w:cs="Arial"/>
          <w:sz w:val="22"/>
        </w:rPr>
        <w:t>.</w:t>
      </w:r>
    </w:p>
    <w:p>
      <w:pPr>
        <w:jc w:val="both"/>
      </w:pPr>
      <w:r>
        <w:rPr>
          <w:rFonts w:ascii="Arial" w:hAnsi="Arial" w:cs="Arial"/>
          <w:sz w:val="22"/>
        </w:rPr>
        <w:t>La declaración puede promoverse mediante recurso de inconstitucionalidad o cuestión de inconstitucionalidad. La desestimación de un recurso por razones formales no impide que la misma norma sea posteriormente objeto de una cuestión al aplicarse en un proceso.</w:t>
      </w:r>
    </w:p>
    <w:p>
      <w:pPr>
        <w:pStyle w:val="Heading2"/>
        <w:keepNext/>
      </w:pPr>
      <w:r>
        <w:rPr>
          <w:rFonts w:ascii="Arial" w:hAnsi="Arial" w:cs="Arial"/>
          <w:sz w:val="25"/>
        </w:rPr>
        <w:t>6.2. Recurso de inconstitucionalidad</w:t>
      </w:r>
    </w:p>
    <w:p>
      <w:pPr>
        <w:jc w:val="both"/>
      </w:pPr>
      <w:r>
        <w:rPr>
          <w:rFonts w:ascii="Arial" w:hAnsi="Arial" w:cs="Arial"/>
          <w:sz w:val="22"/>
        </w:rPr>
        <w:t>Es un control directo y abstracto de la norma. Están legitimados, con el alcance previsto en la Constitución y la LOTC:</w:t>
      </w:r>
    </w:p>
    <w:p>
      <w:pPr>
        <w:pStyle w:val="ListBullet"/>
      </w:pPr>
      <w:r>
        <w:rPr>
          <w:rFonts w:ascii="Arial" w:hAnsi="Arial" w:cs="Arial"/>
          <w:sz w:val="22"/>
        </w:rPr>
        <w:t>el Presidente del Gobierno;</w:t>
      </w:r>
    </w:p>
    <w:p>
      <w:pPr>
        <w:pStyle w:val="ListBullet"/>
      </w:pPr>
      <w:r>
        <w:rPr>
          <w:rFonts w:ascii="Arial" w:hAnsi="Arial" w:cs="Arial"/>
          <w:sz w:val="22"/>
        </w:rPr>
        <w:t>el Defensor del Pueblo;</w:t>
      </w:r>
    </w:p>
    <w:p>
      <w:pPr>
        <w:pStyle w:val="ListBullet"/>
      </w:pPr>
      <w:r>
        <w:rPr>
          <w:rFonts w:ascii="Arial" w:hAnsi="Arial" w:cs="Arial"/>
          <w:sz w:val="22"/>
        </w:rPr>
        <w:t>cincuenta diputados;</w:t>
      </w:r>
    </w:p>
    <w:p>
      <w:pPr>
        <w:pStyle w:val="ListBullet"/>
      </w:pPr>
      <w:r>
        <w:rPr>
          <w:rFonts w:ascii="Arial" w:hAnsi="Arial" w:cs="Arial"/>
          <w:sz w:val="22"/>
        </w:rPr>
        <w:t>cincuenta senadores;</w:t>
      </w:r>
    </w:p>
    <w:p>
      <w:pPr>
        <w:pStyle w:val="ListBullet"/>
      </w:pPr>
      <w:r>
        <w:rPr>
          <w:rFonts w:ascii="Arial" w:hAnsi="Arial" w:cs="Arial"/>
          <w:sz w:val="22"/>
        </w:rPr>
        <w:t>los órganos colegiados ejecutivos y las asambleas de las comunidades autónomas, respecto de leyes o actos estatales con fuerza de ley que puedan afectar a su propio ámbito de autonomía.</w:t>
      </w:r>
    </w:p>
    <w:p>
      <w:pPr>
        <w:jc w:val="both"/>
      </w:pPr>
      <w:r>
        <w:rPr>
          <w:rFonts w:ascii="Arial" w:hAnsi="Arial" w:cs="Arial"/>
          <w:sz w:val="22"/>
        </w:rPr>
        <w:t xml:space="preserve">El plazo ordinario es de </w:t>
      </w:r>
      <w:r>
        <w:rPr>
          <w:rFonts w:ascii="Arial" w:hAnsi="Arial" w:cs="Arial"/>
          <w:b/>
          <w:sz w:val="22"/>
        </w:rPr>
        <w:t>tres meses</w:t>
      </w:r>
      <w:r>
        <w:rPr>
          <w:rFonts w:ascii="Arial" w:hAnsi="Arial" w:cs="Arial"/>
          <w:sz w:val="22"/>
        </w:rPr>
        <w:t xml:space="preserve"> desde la publicación oficial. La demanda debe identificar a quienes ejercen la acción, concretar la norma impugnada, total o parcialmente, y precisar el precepto constitucional infringido.</w:t>
      </w:r>
    </w:p>
    <w:p>
      <w:pPr>
        <w:jc w:val="both"/>
      </w:pPr>
      <w:r>
        <w:rPr>
          <w:rFonts w:ascii="Arial" w:hAnsi="Arial" w:cs="Arial"/>
          <w:sz w:val="22"/>
        </w:rPr>
        <w:t xml:space="preserve">El plazo puede ampliarse a </w:t>
      </w:r>
      <w:r>
        <w:rPr>
          <w:rFonts w:ascii="Arial" w:hAnsi="Arial" w:cs="Arial"/>
          <w:b/>
          <w:sz w:val="22"/>
        </w:rPr>
        <w:t>nueve meses</w:t>
      </w:r>
      <w:r>
        <w:rPr>
          <w:rFonts w:ascii="Arial" w:hAnsi="Arial" w:cs="Arial"/>
          <w:sz w:val="22"/>
        </w:rPr>
        <w:t xml:space="preserve"> para el Presidente del Gobierno y los ejecutivos autonómicos cuando, con finalidad negociadora:</w:t>
      </w:r>
    </w:p>
    <w:p>
      <w:pPr>
        <w:spacing w:after="40"/>
        <w:ind w:left="369" w:hanging="227"/>
      </w:pPr>
      <w:r>
        <w:rPr>
          <w:rFonts w:ascii="Arial" w:hAnsi="Arial" w:cs="Arial"/>
          <w:sz w:val="22"/>
        </w:rPr>
        <w:t>1. se reúna la Comisión Bilateral de Cooperación;</w:t>
      </w:r>
    </w:p>
    <w:p>
      <w:pPr>
        <w:spacing w:after="40"/>
        <w:ind w:left="369" w:hanging="227"/>
      </w:pPr>
      <w:r>
        <w:rPr>
          <w:rFonts w:ascii="Arial" w:hAnsi="Arial" w:cs="Arial"/>
          <w:sz w:val="22"/>
        </w:rPr>
        <w:t>2. se acuerde iniciar negociaciones para resolver las discrepancias;</w:t>
      </w:r>
    </w:p>
    <w:p>
      <w:pPr>
        <w:spacing w:after="40"/>
        <w:ind w:left="369" w:hanging="227"/>
      </w:pPr>
      <w:r>
        <w:rPr>
          <w:rFonts w:ascii="Arial" w:hAnsi="Arial" w:cs="Arial"/>
          <w:sz w:val="22"/>
        </w:rPr>
        <w:t>3. el acuerdo se comunique al Tribunal dentro de los tres meses desde la publicación de la norma;</w:t>
      </w:r>
    </w:p>
    <w:p>
      <w:pPr>
        <w:spacing w:after="40"/>
        <w:ind w:left="369" w:hanging="227"/>
      </w:pPr>
      <w:r>
        <w:rPr>
          <w:rFonts w:ascii="Arial" w:hAnsi="Arial" w:cs="Arial"/>
          <w:sz w:val="22"/>
        </w:rPr>
        <w:t>4. el acuerdo se publique en el BOE y en el diario oficial autonómico.</w:t>
      </w:r>
    </w:p>
    <w:p>
      <w:pPr>
        <w:jc w:val="both"/>
      </w:pPr>
      <w:r>
        <w:rPr>
          <w:rFonts w:ascii="Arial" w:hAnsi="Arial" w:cs="Arial"/>
          <w:sz w:val="22"/>
        </w:rPr>
        <w:t xml:space="preserve">Admitida la demanda, se da traslado a los órganos previstos legalmente para que se personen y aleguen en </w:t>
      </w:r>
      <w:r>
        <w:rPr>
          <w:rFonts w:ascii="Arial" w:hAnsi="Arial" w:cs="Arial"/>
          <w:b/>
          <w:sz w:val="22"/>
        </w:rPr>
        <w:t>quince días</w:t>
      </w:r>
      <w:r>
        <w:rPr>
          <w:rFonts w:ascii="Arial" w:hAnsi="Arial" w:cs="Arial"/>
          <w:sz w:val="22"/>
        </w:rPr>
        <w:t>. La sentencia debe dictarse en los diez días siguientes, salvo ampliación motivada, que no puede exceder de treinta días.</w:t>
      </w:r>
    </w:p>
    <w:p>
      <w:pPr>
        <w:jc w:val="both"/>
      </w:pPr>
      <w:r>
        <w:rPr>
          <w:rFonts w:ascii="Arial" w:hAnsi="Arial" w:cs="Arial"/>
          <w:sz w:val="22"/>
        </w:rPr>
        <w:t>La admisión no suspende por regla general la vigencia ni la aplicación de la norma. La excepción se produce cuando el Presidente del Gobierno impugna una norma autonómica invocando el artículo 161.2 de la Constitución: opera la suspensión en los términos constitucionales.</w:t>
      </w:r>
    </w:p>
    <w:p>
      <w:pPr>
        <w:pStyle w:val="Heading2"/>
        <w:keepNext/>
      </w:pPr>
      <w:r>
        <w:rPr>
          <w:rFonts w:ascii="Arial" w:hAnsi="Arial" w:cs="Arial"/>
          <w:sz w:val="25"/>
        </w:rPr>
        <w:t>6.3. Cuestión de inconstitucionalidad</w:t>
      </w:r>
    </w:p>
    <w:p>
      <w:pPr>
        <w:jc w:val="both"/>
      </w:pPr>
      <w:r>
        <w:rPr>
          <w:rFonts w:ascii="Arial" w:hAnsi="Arial" w:cs="Arial"/>
          <w:sz w:val="22"/>
        </w:rPr>
        <w:t>La cuestión es un control concreto promovido por un juez o tribunal dentro de un proceso. Requiere cumulativamente:</w:t>
      </w:r>
    </w:p>
    <w:p>
      <w:pPr>
        <w:pStyle w:val="ListBullet"/>
      </w:pPr>
      <w:r>
        <w:rPr>
          <w:rFonts w:ascii="Arial" w:hAnsi="Arial" w:cs="Arial"/>
          <w:sz w:val="22"/>
        </w:rPr>
        <w:t>una norma con rango de ley;</w:t>
      </w:r>
    </w:p>
    <w:p>
      <w:pPr>
        <w:pStyle w:val="ListBullet"/>
      </w:pPr>
      <w:r>
        <w:rPr>
          <w:rFonts w:ascii="Arial" w:hAnsi="Arial" w:cs="Arial"/>
          <w:sz w:val="22"/>
        </w:rPr>
        <w:t>que sea aplicable al caso;</w:t>
      </w:r>
    </w:p>
    <w:p>
      <w:pPr>
        <w:pStyle w:val="ListBullet"/>
      </w:pPr>
      <w:r>
        <w:rPr>
          <w:rFonts w:ascii="Arial" w:hAnsi="Arial" w:cs="Arial"/>
          <w:sz w:val="22"/>
        </w:rPr>
        <w:t>que de su validez dependa el fallo;</w:t>
      </w:r>
    </w:p>
    <w:p>
      <w:pPr>
        <w:pStyle w:val="ListBullet"/>
      </w:pPr>
      <w:r>
        <w:rPr>
          <w:rFonts w:ascii="Arial" w:hAnsi="Arial" w:cs="Arial"/>
          <w:sz w:val="22"/>
        </w:rPr>
        <w:t>que pueda ser contraria a la Constitución.</w:t>
      </w:r>
    </w:p>
    <w:p>
      <w:pPr>
        <w:jc w:val="both"/>
      </w:pPr>
      <w:r>
        <w:rPr>
          <w:rFonts w:ascii="Arial" w:hAnsi="Arial" w:cs="Arial"/>
          <w:sz w:val="22"/>
        </w:rPr>
        <w:t>El órgano judicial puede plantearla de oficio o a instancia de parte, pero la decisión de plantear corresponde exclusivamente al juez o tribunal. Debe hacerlo una vez concluso el procedimiento y dentro del plazo para dictar sentencia o la resolución jurisdiccional procedente.</w:t>
      </w:r>
    </w:p>
    <w:p>
      <w:pPr>
        <w:jc w:val="both"/>
      </w:pPr>
      <w:r>
        <w:rPr>
          <w:rFonts w:ascii="Arial" w:hAnsi="Arial" w:cs="Arial"/>
          <w:sz w:val="22"/>
        </w:rPr>
        <w:t xml:space="preserve">Antes de adoptar el auto de planteamiento, oirá a las partes y al Ministerio Fiscal durante un plazo común e improrrogable de </w:t>
      </w:r>
      <w:r>
        <w:rPr>
          <w:rFonts w:ascii="Arial" w:hAnsi="Arial" w:cs="Arial"/>
          <w:b/>
          <w:sz w:val="22"/>
        </w:rPr>
        <w:t>diez días</w:t>
      </w:r>
      <w:r>
        <w:rPr>
          <w:rFonts w:ascii="Arial" w:hAnsi="Arial" w:cs="Arial"/>
          <w:sz w:val="22"/>
        </w:rPr>
        <w:t xml:space="preserve">. Después resolverá en </w:t>
      </w:r>
      <w:r>
        <w:rPr>
          <w:rFonts w:ascii="Arial" w:hAnsi="Arial" w:cs="Arial"/>
          <w:b/>
          <w:sz w:val="22"/>
        </w:rPr>
        <w:t>tres días</w:t>
      </w:r>
      <w:r>
        <w:rPr>
          <w:rFonts w:ascii="Arial" w:hAnsi="Arial" w:cs="Arial"/>
          <w:sz w:val="22"/>
        </w:rPr>
        <w:t>. El auto debe concretar la norma cuestionada, el precepto constitucional que se considera infringido y el llamado juicio de relevancia, es decir, por qué la decisión depende de la validez de esa norma. No cabe recurso contra el auto, aunque la cuestión puede intentarse de nuevo en sucesivas instancias mientras no exista sentencia firme.</w:t>
      </w:r>
    </w:p>
    <w:p>
      <w:pPr>
        <w:jc w:val="both"/>
      </w:pPr>
      <w:r>
        <w:rPr>
          <w:rFonts w:ascii="Arial" w:hAnsi="Arial" w:cs="Arial"/>
          <w:sz w:val="22"/>
        </w:rPr>
        <w:t>El planteamiento suspende provisionalmente las actuaciones judiciales hasta que el Tribunal Constitucional decida sobre la admisión. Si la admite, el proceso de origen permanece suspendido hasta la resolución definitiva. Esto no contradice el artículo 163 de la Constitución: lo que nunca se suspende por el mero planteamiento es la vigencia general de la ley; sí queda paralizado el concreto proceso judicial.</w:t>
      </w:r>
    </w:p>
    <w:p>
      <w:pPr>
        <w:jc w:val="both"/>
      </w:pPr>
      <w:r>
        <w:rPr>
          <w:rFonts w:ascii="Arial" w:hAnsi="Arial" w:cs="Arial"/>
          <w:sz w:val="22"/>
        </w:rPr>
        <w:t xml:space="preserve">El Tribunal puede rechazar la cuestión en admisión, mediante auto motivado y con audiencia únicamente del Fiscal General del Estado, si faltan requisitos procesales o es notoriamente infundada. Admitida y publicada en el BOE, las partes del proceso de origen pueden personarse en </w:t>
      </w:r>
      <w:r>
        <w:rPr>
          <w:rFonts w:ascii="Arial" w:hAnsi="Arial" w:cs="Arial"/>
          <w:b/>
          <w:sz w:val="22"/>
        </w:rPr>
        <w:t>quince días</w:t>
      </w:r>
      <w:r>
        <w:rPr>
          <w:rFonts w:ascii="Arial" w:hAnsi="Arial" w:cs="Arial"/>
          <w:sz w:val="22"/>
        </w:rPr>
        <w:t xml:space="preserve"> y formular alegaciones en otros </w:t>
      </w:r>
      <w:r>
        <w:rPr>
          <w:rFonts w:ascii="Arial" w:hAnsi="Arial" w:cs="Arial"/>
          <w:b/>
          <w:sz w:val="22"/>
        </w:rPr>
        <w:t>quince días</w:t>
      </w:r>
      <w:r>
        <w:rPr>
          <w:rFonts w:ascii="Arial" w:hAnsi="Arial" w:cs="Arial"/>
          <w:sz w:val="22"/>
        </w:rPr>
        <w:t>. Los órganos constitucionales y, cuando proceda, autonómicos reciben traslado y disponen de un plazo común improrrogable de quince días. La sentencia se dicta en quince días, ampliables motivadamente hasta un máximo de treinta.</w:t>
      </w:r>
    </w:p>
    <w:p>
      <w:pPr>
        <w:pStyle w:val="Heading2"/>
        <w:keepNext/>
      </w:pPr>
      <w:r>
        <w:rPr>
          <w:rFonts w:ascii="Arial" w:hAnsi="Arial" w:cs="Arial"/>
          <w:sz w:val="25"/>
        </w:rPr>
        <w:t>6.4. Sentencias y efectos</w:t>
      </w:r>
    </w:p>
    <w:p>
      <w:pPr>
        <w:jc w:val="both"/>
      </w:pPr>
      <w:r>
        <w:rPr>
          <w:rFonts w:ascii="Arial" w:hAnsi="Arial" w:cs="Arial"/>
          <w:sz w:val="22"/>
        </w:rPr>
        <w:t>Las sentencias de inconstitucionalidad:</w:t>
      </w:r>
    </w:p>
    <w:p>
      <w:pPr>
        <w:pStyle w:val="ListBullet"/>
      </w:pPr>
      <w:r>
        <w:rPr>
          <w:rFonts w:ascii="Arial" w:hAnsi="Arial" w:cs="Arial"/>
          <w:sz w:val="22"/>
        </w:rPr>
        <w:t>tienen valor de cosa juzgada;</w:t>
      </w:r>
    </w:p>
    <w:p>
      <w:pPr>
        <w:pStyle w:val="ListBullet"/>
      </w:pPr>
      <w:r>
        <w:rPr>
          <w:rFonts w:ascii="Arial" w:hAnsi="Arial" w:cs="Arial"/>
          <w:sz w:val="22"/>
        </w:rPr>
        <w:t>vinculan a todos los poderes públicos;</w:t>
      </w:r>
    </w:p>
    <w:p>
      <w:pPr>
        <w:pStyle w:val="ListBullet"/>
      </w:pPr>
      <w:r>
        <w:rPr>
          <w:rFonts w:ascii="Arial" w:hAnsi="Arial" w:cs="Arial"/>
          <w:sz w:val="22"/>
        </w:rPr>
        <w:t>producen efectos generales desde su publicación en el BOE;</w:t>
      </w:r>
    </w:p>
    <w:p>
      <w:pPr>
        <w:pStyle w:val="ListBullet"/>
      </w:pPr>
      <w:r>
        <w:rPr>
          <w:rFonts w:ascii="Arial" w:hAnsi="Arial" w:cs="Arial"/>
          <w:sz w:val="22"/>
        </w:rPr>
        <w:t>no son recurribles;</w:t>
      </w:r>
    </w:p>
    <w:p>
      <w:pPr>
        <w:pStyle w:val="ListBullet"/>
      </w:pPr>
      <w:r>
        <w:rPr>
          <w:rFonts w:ascii="Arial" w:hAnsi="Arial" w:cs="Arial"/>
          <w:sz w:val="22"/>
        </w:rPr>
        <w:t>afectan, en su caso, a la jurisprudencia que interpretaba la norma.</w:t>
      </w:r>
    </w:p>
    <w:p>
      <w:pPr>
        <w:jc w:val="both"/>
      </w:pPr>
      <w:r>
        <w:rPr>
          <w:rFonts w:ascii="Arial" w:hAnsi="Arial" w:cs="Arial"/>
          <w:sz w:val="22"/>
        </w:rPr>
        <w:t>El Tribunal puede extender la declaración, por conexión o consecuencia, a otros preceptos de la misma norma. La parte no afectada conserva su vigencia salvo que el fallo disponga otra cosa.</w:t>
      </w:r>
    </w:p>
    <w:p>
      <w:pPr>
        <w:jc w:val="both"/>
      </w:pPr>
      <w:r>
        <w:rPr>
          <w:rFonts w:ascii="Arial" w:hAnsi="Arial" w:cs="Arial"/>
          <w:sz w:val="22"/>
        </w:rPr>
        <w:t>Como regla, la declaración no permite revisar procesos terminados por sentencia firme. Se exceptúan los procesos penales y los contencioso-administrativos sancionadores cuando la nulidad de la norma aplicada implique reducción de pena o sanción, o exclusión, exención o limitación de responsabilidad. La jurisprudencia ordinaria sobre la norma debe entenderse corregida por la doctrina de las sentencias y autos constitucionales.</w:t>
      </w:r>
    </w:p>
    <w:p>
      <w:pPr>
        <w:pStyle w:val="Heading1"/>
        <w:keepNext/>
      </w:pPr>
      <w:r>
        <w:rPr>
          <w:rFonts w:ascii="Arial" w:hAnsi="Arial" w:cs="Arial"/>
          <w:sz w:val="30"/>
        </w:rPr>
        <w:t>7. Recurso de amparo constitucional</w:t>
      </w:r>
    </w:p>
    <w:p>
      <w:pPr>
        <w:pStyle w:val="Heading2"/>
        <w:keepNext/>
      </w:pPr>
      <w:r>
        <w:rPr>
          <w:rFonts w:ascii="Arial" w:hAnsi="Arial" w:cs="Arial"/>
          <w:sz w:val="25"/>
        </w:rPr>
        <w:t>7.1. Derechos protegidos y carácter subsidiario</w:t>
      </w:r>
    </w:p>
    <w:p>
      <w:pPr>
        <w:jc w:val="both"/>
      </w:pPr>
      <w:r>
        <w:rPr>
          <w:rFonts w:ascii="Arial" w:hAnsi="Arial" w:cs="Arial"/>
          <w:sz w:val="22"/>
        </w:rPr>
        <w:t xml:space="preserve">El amparo protege los derechos de los artículos </w:t>
      </w:r>
      <w:r>
        <w:rPr>
          <w:rFonts w:ascii="Arial" w:hAnsi="Arial" w:cs="Arial"/>
          <w:b/>
          <w:sz w:val="22"/>
        </w:rPr>
        <w:t>14 a 29</w:t>
      </w:r>
      <w:r>
        <w:rPr>
          <w:rFonts w:ascii="Arial" w:hAnsi="Arial" w:cs="Arial"/>
          <w:sz w:val="22"/>
        </w:rPr>
        <w:t xml:space="preserve"> de la Constitución y la objeción de conciencia del artículo </w:t>
      </w:r>
      <w:r>
        <w:rPr>
          <w:rFonts w:ascii="Arial" w:hAnsi="Arial" w:cs="Arial"/>
          <w:b/>
          <w:sz w:val="22"/>
        </w:rPr>
        <w:t>30.2</w:t>
      </w:r>
      <w:r>
        <w:rPr>
          <w:rFonts w:ascii="Arial" w:hAnsi="Arial" w:cs="Arial"/>
          <w:sz w:val="22"/>
        </w:rPr>
        <w:t>. No protege directamente todos los derechos constitucionales. Su finalidad exclusiva es preservar o restablecer los derechos y libertades vulnerados por disposiciones, actos, omisiones o vías de hecho de los poderes públicos.</w:t>
      </w:r>
    </w:p>
    <w:p>
      <w:pPr>
        <w:jc w:val="both"/>
      </w:pPr>
      <w:r>
        <w:rPr>
          <w:rFonts w:ascii="Arial" w:hAnsi="Arial" w:cs="Arial"/>
          <w:sz w:val="22"/>
        </w:rPr>
        <w:t>Es una vía subsidiaria: normalmente exige agotar antes la vía judicial adecuada y haber denunciado la lesión tan pronto como hubiera oportunidad. No es una tercera instancia ni permite revisar de modo general la interpretación de la legalidad, los hechos o la valoración de la prueba.</w:t>
      </w:r>
    </w:p>
    <w:p>
      <w:pPr>
        <w:pStyle w:val="Heading2"/>
        <w:keepNext/>
      </w:pPr>
      <w:r>
        <w:rPr>
          <w:rFonts w:ascii="Arial" w:hAnsi="Arial" w:cs="Arial"/>
          <w:sz w:val="25"/>
        </w:rPr>
        <w:t>7.2. Modalidades y plazos</w:t>
      </w:r>
    </w:p>
    <w:tbl>
      <w:tblPr>
        <w:tblStyle w:val="TableGrid"/>
        <w:tblW w:type="dxa" w:w="9026"/>
        <w:jc w:val="left"/>
        <w:tblLayout w:type="fixed"/>
        <w:tblLook w:firstColumn="1" w:firstRow="1" w:lastColumn="0" w:lastRow="0" w:noHBand="0" w:noVBand="1" w:val="04A0"/>
        <w:tblInd w:w="120" w:type="dxa"/>
      </w:tblPr>
      <w:tblGrid>
        <w:gridCol w:w="3761"/>
        <w:gridCol w:w="3322"/>
        <w:gridCol w:w="1943"/>
      </w:tblGrid>
      <w:tr>
        <w:trPr>
          <w:tblHeader w:val="true"/>
        </w:trPr>
        <w:tc>
          <w:tcPr>
            <w:tcW w:type="dxa" w:w="376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Origen de la vulneración</w:t>
            </w:r>
          </w:p>
        </w:tc>
        <w:tc>
          <w:tcPr>
            <w:tcW w:type="dxa" w:w="332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Requisito principal</w:t>
            </w:r>
          </w:p>
        </w:tc>
        <w:tc>
          <w:tcPr>
            <w:tcW w:type="dxa" w:w="194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w:t>
            </w:r>
          </w:p>
        </w:tc>
      </w:tr>
      <w:tr>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Actos parlamentarios sin valor de ley</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Firmeza conforme a las normas internas de la Cámara</w:t>
            </w:r>
          </w:p>
        </w:tc>
        <w:tc>
          <w:tcPr>
            <w:tcW w:type="dxa" w:w="1943"/>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Gobierno, autoridades, ejecutivos autonómicos, funcionarios o agentes</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Agotamiento de la vía judicial procedente</w:t>
            </w:r>
          </w:p>
        </w:tc>
        <w:tc>
          <w:tcPr>
            <w:tcW w:type="dxa" w:w="1943"/>
            <w:tcMar>
              <w:top w:w="80" w:type="dxa"/>
              <w:start w:w="120" w:type="dxa"/>
              <w:bottom w:w="80" w:type="dxa"/>
              <w:end w:w="120" w:type="dxa"/>
            </w:tcMar>
            <w:vAlign w:val="center"/>
          </w:tcPr>
          <w:p>
            <w:pPr>
              <w:spacing w:before="0" w:after="0" w:line="240" w:lineRule="auto"/>
              <w:jc w:val="left"/>
            </w:pPr>
            <w:r/>
            <w:r>
              <w:rPr>
                <w:rFonts w:ascii="Arial" w:hAnsi="Arial" w:cs="Arial"/>
                <w:sz w:val="18"/>
              </w:rPr>
              <w:t>20 días desde la resolución judicial</w:t>
            </w:r>
          </w:p>
        </w:tc>
      </w:tr>
      <w:tr>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Acto u omisión judicial</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Agotamiento, imputación directa y denuncia previa de la lesión</w:t>
            </w:r>
          </w:p>
        </w:tc>
        <w:tc>
          <w:tcPr>
            <w:tcW w:type="dxa" w:w="1943"/>
            <w:tcMar>
              <w:top w:w="80" w:type="dxa"/>
              <w:start w:w="120" w:type="dxa"/>
              <w:bottom w:w="80" w:type="dxa"/>
              <w:end w:w="120" w:type="dxa"/>
            </w:tcMar>
            <w:vAlign w:val="center"/>
          </w:tcPr>
          <w:p>
            <w:pPr>
              <w:spacing w:before="0" w:after="0" w:line="240" w:lineRule="auto"/>
              <w:jc w:val="left"/>
            </w:pPr>
            <w:r/>
            <w:r>
              <w:rPr>
                <w:rFonts w:ascii="Arial" w:hAnsi="Arial" w:cs="Arial"/>
                <w:sz w:val="18"/>
              </w:rPr>
              <w:t>30 días desde la resolución judicial</w:t>
            </w:r>
          </w:p>
        </w:tc>
      </w:tr>
    </w:tbl>
    <w:p>
      <w:pPr>
        <w:spacing w:after="40"/>
      </w:pPr>
    </w:p>
    <w:p>
      <w:pPr>
        <w:jc w:val="both"/>
      </w:pPr>
      <w:r>
        <w:rPr>
          <w:rFonts w:ascii="Arial" w:hAnsi="Arial" w:cs="Arial"/>
          <w:sz w:val="22"/>
        </w:rPr>
        <w:t>En el amparo frente a actos judiciales, la lesión debe ser imputable inmediata y directamente al órgano judicial, al margen de los hechos del litigio, sobre los cuales el Tribunal Constitucional no entra a conocer.</w:t>
      </w:r>
    </w:p>
    <w:p>
      <w:pPr>
        <w:jc w:val="both"/>
      </w:pPr>
      <w:r>
        <w:rPr>
          <w:rFonts w:ascii="Arial" w:hAnsi="Arial" w:cs="Arial"/>
          <w:sz w:val="22"/>
        </w:rPr>
        <w:t>La legitimación constitucional corresponde a toda persona natural o jurídica que invoque interés legítimo, al Defensor del Pueblo y al Ministerio Fiscal. La LOTC concreta que, según la modalidad, puede recurrir la persona directamente afectada o quien haya sido parte en el proceso judicial previo. El Ministerio Fiscal interviene en todos los procesos de amparo.</w:t>
      </w:r>
    </w:p>
    <w:p>
      <w:pPr>
        <w:pStyle w:val="Heading2"/>
        <w:keepNext/>
      </w:pPr>
      <w:r>
        <w:rPr>
          <w:rFonts w:ascii="Arial" w:hAnsi="Arial" w:cs="Arial"/>
          <w:sz w:val="25"/>
        </w:rPr>
        <w:t>7.3. Demanda, admisión y especial trascendencia</w:t>
      </w:r>
    </w:p>
    <w:p>
      <w:pPr>
        <w:jc w:val="both"/>
      </w:pPr>
      <w:r>
        <w:rPr>
          <w:rFonts w:ascii="Arial" w:hAnsi="Arial" w:cs="Arial"/>
          <w:sz w:val="22"/>
        </w:rPr>
        <w:t xml:space="preserve">La demanda debe exponer clara y concisamente los hechos, identificar los preceptos constitucionales vulnerados y precisar el amparo solicitado. Además, debe </w:t>
      </w:r>
      <w:r>
        <w:rPr>
          <w:rFonts w:ascii="Arial" w:hAnsi="Arial" w:cs="Arial"/>
          <w:b/>
          <w:sz w:val="22"/>
        </w:rPr>
        <w:t>justificar la especial trascendencia constitucional</w:t>
      </w:r>
      <w:r>
        <w:rPr>
          <w:rFonts w:ascii="Arial" w:hAnsi="Arial" w:cs="Arial"/>
          <w:sz w:val="22"/>
        </w:rPr>
        <w:t xml:space="preserve"> del recurso. No basta con acreditar una lesión individual: el asunto ha de justificar una decisión de fondo por su importancia para interpretar o aplicar la Constitución, para su eficacia general o para definir el contenido y alcance de los derechos fundamentales.</w:t>
      </w:r>
    </w:p>
    <w:p>
      <w:pPr>
        <w:jc w:val="both"/>
      </w:pPr>
      <w:r>
        <w:rPr>
          <w:rFonts w:ascii="Arial" w:hAnsi="Arial" w:cs="Arial"/>
          <w:sz w:val="22"/>
        </w:rPr>
        <w:t xml:space="preserve">Si existen defectos subsanables, se concede un plazo de </w:t>
      </w:r>
      <w:r>
        <w:rPr>
          <w:rFonts w:ascii="Arial" w:hAnsi="Arial" w:cs="Arial"/>
          <w:b/>
          <w:sz w:val="22"/>
        </w:rPr>
        <w:t>diez días</w:t>
      </w:r>
      <w:r>
        <w:rPr>
          <w:rFonts w:ascii="Arial" w:hAnsi="Arial" w:cs="Arial"/>
          <w:sz w:val="22"/>
        </w:rPr>
        <w:t xml:space="preserve"> para corregirlos. La Sección admite el recurso por providencia cuando concurren los requisitos procesales y la especial trascendencia. La admisión exige unanimidad de la Sección; si obtiene mayoría pero no unanimidad, decide la Sala.</w:t>
      </w:r>
    </w:p>
    <w:p>
      <w:pPr>
        <w:jc w:val="both"/>
      </w:pPr>
      <w:r>
        <w:rPr>
          <w:rFonts w:ascii="Arial" w:hAnsi="Arial" w:cs="Arial"/>
          <w:sz w:val="22"/>
        </w:rPr>
        <w:t xml:space="preserve">La providencia de inadmisión especifica el requisito incumplido. Solo el Ministerio Fiscal puede recurrirla en súplica, en </w:t>
      </w:r>
      <w:r>
        <w:rPr>
          <w:rFonts w:ascii="Arial" w:hAnsi="Arial" w:cs="Arial"/>
          <w:b/>
          <w:sz w:val="22"/>
        </w:rPr>
        <w:t>tres días</w:t>
      </w:r>
      <w:r>
        <w:rPr>
          <w:rFonts w:ascii="Arial" w:hAnsi="Arial" w:cs="Arial"/>
          <w:sz w:val="22"/>
        </w:rPr>
        <w:t>; el recurso se resuelve por auto no impugnable.</w:t>
      </w:r>
    </w:p>
    <w:p>
      <w:pPr>
        <w:pStyle w:val="Heading2"/>
        <w:keepNext/>
      </w:pPr>
      <w:r>
        <w:rPr>
          <w:rFonts w:ascii="Arial" w:hAnsi="Arial" w:cs="Arial"/>
          <w:sz w:val="25"/>
        </w:rPr>
        <w:t>7.4. Suspensión, medidas cautelares y sentencia</w:t>
      </w:r>
    </w:p>
    <w:p>
      <w:pPr>
        <w:jc w:val="both"/>
      </w:pPr>
      <w:r>
        <w:rPr>
          <w:rFonts w:ascii="Arial" w:hAnsi="Arial" w:cs="Arial"/>
          <w:sz w:val="22"/>
        </w:rPr>
        <w:t xml:space="preserve">La interposición no suspende por sí sola el acto o sentencia impugnados. Puede acordarse suspensión total o parcial si la ejecución causaría un perjuicio que haría perder al amparo su finalidad, siempre que no se perturbe gravemente un interés constitucionalmente protegido ni los derechos de otra persona. También caben otras medidas cautelares. El incidente se tramita con audiencia de las partes y del Ministerio Fiscal por un plazo común no superior a </w:t>
      </w:r>
      <w:r>
        <w:rPr>
          <w:rFonts w:ascii="Arial" w:hAnsi="Arial" w:cs="Arial"/>
          <w:b/>
          <w:sz w:val="22"/>
        </w:rPr>
        <w:t>tres días</w:t>
      </w:r>
      <w:r>
        <w:rPr>
          <w:rFonts w:ascii="Arial" w:hAnsi="Arial" w:cs="Arial"/>
          <w:sz w:val="22"/>
        </w:rPr>
        <w:t>.</w:t>
      </w:r>
    </w:p>
    <w:p>
      <w:pPr>
        <w:jc w:val="both"/>
      </w:pPr>
      <w:r>
        <w:rPr>
          <w:rFonts w:ascii="Arial" w:hAnsi="Arial" w:cs="Arial"/>
          <w:sz w:val="22"/>
        </w:rPr>
        <w:t>La sentencia otorga o deniega el amparo. Si lo otorga, puede:</w:t>
      </w:r>
    </w:p>
    <w:p>
      <w:pPr>
        <w:spacing w:after="40"/>
        <w:ind w:left="369" w:hanging="227"/>
      </w:pPr>
      <w:r>
        <w:rPr>
          <w:rFonts w:ascii="Arial" w:hAnsi="Arial" w:cs="Arial"/>
          <w:sz w:val="22"/>
        </w:rPr>
        <w:t>1. declarar la nulidad del acto o resolución lesiva;</w:t>
      </w:r>
    </w:p>
    <w:p>
      <w:pPr>
        <w:spacing w:after="40"/>
        <w:ind w:left="369" w:hanging="227"/>
      </w:pPr>
      <w:r>
        <w:rPr>
          <w:rFonts w:ascii="Arial" w:hAnsi="Arial" w:cs="Arial"/>
          <w:sz w:val="22"/>
        </w:rPr>
        <w:t>2. reconocer el derecho o libertad;</w:t>
      </w:r>
    </w:p>
    <w:p>
      <w:pPr>
        <w:spacing w:after="40"/>
        <w:ind w:left="369" w:hanging="227"/>
      </w:pPr>
      <w:r>
        <w:rPr>
          <w:rFonts w:ascii="Arial" w:hAnsi="Arial" w:cs="Arial"/>
          <w:sz w:val="22"/>
        </w:rPr>
        <w:t>3. restablecer al recurrente mediante las medidas apropiadas.</w:t>
      </w:r>
    </w:p>
    <w:p>
      <w:pPr>
        <w:jc w:val="both"/>
      </w:pPr>
      <w:r>
        <w:rPr>
          <w:rFonts w:ascii="Arial" w:hAnsi="Arial" w:cs="Arial"/>
          <w:sz w:val="22"/>
        </w:rPr>
        <w:t>Si la Sala o Sección considera que el amparo debe concederse porque la ley aplicada vulnera un derecho fundamental, eleva la cuestión al Pleno y suspende el plazo para dictar sentencia. Es la denominada cuestión interna de inconstitucionalidad.</w:t>
      </w:r>
    </w:p>
    <w:p>
      <w:pPr>
        <w:pStyle w:val="Heading1"/>
        <w:keepNext/>
      </w:pPr>
      <w:r>
        <w:rPr>
          <w:rFonts w:ascii="Arial" w:hAnsi="Arial" w:cs="Arial"/>
          <w:sz w:val="30"/>
        </w:rPr>
        <w:t>8. Conflictos constitucionales e impugnaciones autonómicas</w:t>
      </w:r>
    </w:p>
    <w:p>
      <w:pPr>
        <w:pStyle w:val="Heading2"/>
        <w:keepNext/>
      </w:pPr>
      <w:r>
        <w:rPr>
          <w:rFonts w:ascii="Arial" w:hAnsi="Arial" w:cs="Arial"/>
          <w:sz w:val="25"/>
        </w:rPr>
        <w:t>8.1. Conflictos de competencia</w:t>
      </w:r>
    </w:p>
    <w:p>
      <w:pPr>
        <w:jc w:val="both"/>
      </w:pPr>
      <w:r>
        <w:rPr>
          <w:rFonts w:ascii="Arial" w:hAnsi="Arial" w:cs="Arial"/>
          <w:sz w:val="22"/>
        </w:rPr>
        <w:t>Los conflictos pueden enfrentar al Estado con una o varias comunidades autónomas o a varias comunidades entre sí. Pueden originarse por disposiciones, resoluciones, actos u omisiones. Los positivos discuten quién posee una competencia; los negativos se producen cuando ninguna Administración se considera competente o cuando no ejerce una atribución que otra entiende que le corresponde.</w:t>
      </w:r>
    </w:p>
    <w:p>
      <w:pPr>
        <w:jc w:val="both"/>
      </w:pPr>
      <w:r>
        <w:rPr>
          <w:rFonts w:ascii="Arial" w:hAnsi="Arial" w:cs="Arial"/>
          <w:sz w:val="22"/>
        </w:rPr>
        <w:t xml:space="preserve">El Gobierno puede formalizar directamente un conflicto positivo contra una disposición o resolución autonómica en </w:t>
      </w:r>
      <w:r>
        <w:rPr>
          <w:rFonts w:ascii="Arial" w:hAnsi="Arial" w:cs="Arial"/>
          <w:b/>
          <w:sz w:val="22"/>
        </w:rPr>
        <w:t>dos meses</w:t>
      </w:r>
      <w:r>
        <w:rPr>
          <w:rFonts w:ascii="Arial" w:hAnsi="Arial" w:cs="Arial"/>
          <w:sz w:val="22"/>
        </w:rPr>
        <w:t>, o realizar previamente un requerimiento. El ejecutivo autonómico debe requerir previamente al Estado o a otra comunidad cuando entienda lesionado su ámbito competencial.</w:t>
      </w:r>
    </w:p>
    <w:p>
      <w:pPr>
        <w:jc w:val="both"/>
      </w:pPr>
      <w:r>
        <w:rPr>
          <w:rFonts w:ascii="Arial" w:hAnsi="Arial" w:cs="Arial"/>
          <w:sz w:val="22"/>
        </w:rPr>
        <w:t>En el requerimiento, el plazo para formularlo es de dos meses desde la publicación o comunicación del acto, o desde que se conozca. El requerido dispone de un mes para contestar. Si rechaza el requerimiento o no responde, el conflicto se plantea ante el Tribunal en el mes siguiente.</w:t>
      </w:r>
    </w:p>
    <w:p>
      <w:pPr>
        <w:jc w:val="both"/>
      </w:pPr>
      <w:r>
        <w:rPr>
          <w:rFonts w:ascii="Arial" w:hAnsi="Arial" w:cs="Arial"/>
          <w:sz w:val="22"/>
        </w:rPr>
        <w:t xml:space="preserve">Si el Gobierno invoca el artículo 161.2 de la Constitución, la comunicación de la formalización suspende inmediatamente la disposición, resolución o acto autonómico. Si no hay sentencia dentro de los </w:t>
      </w:r>
      <w:r>
        <w:rPr>
          <w:rFonts w:ascii="Arial" w:hAnsi="Arial" w:cs="Arial"/>
          <w:b/>
          <w:sz w:val="22"/>
        </w:rPr>
        <w:t>cinco meses</w:t>
      </w:r>
      <w:r>
        <w:rPr>
          <w:rFonts w:ascii="Arial" w:hAnsi="Arial" w:cs="Arial"/>
          <w:sz w:val="22"/>
        </w:rPr>
        <w:t xml:space="preserve"> siguientes a la iniciación, el Tribunal debe decidir por auto motivado si mantiene o levanta la suspensión. En los demás conflictos, la suspensión puede solicitarse alegando perjuicios de imposible o difícil reparación, y el Tribunal decide.</w:t>
      </w:r>
    </w:p>
    <w:p>
      <w:pPr>
        <w:jc w:val="both"/>
      </w:pPr>
      <w:r>
        <w:rPr>
          <w:rFonts w:ascii="Arial" w:hAnsi="Arial" w:cs="Arial"/>
          <w:sz w:val="22"/>
        </w:rPr>
        <w:t>La sentencia declara a quién corresponde la competencia, puede anular el acto viciado de incompetencia y ordenar lo procedente respecto de las situaciones creadas.</w:t>
      </w:r>
    </w:p>
    <w:p>
      <w:pPr>
        <w:pStyle w:val="Heading2"/>
        <w:keepNext/>
      </w:pPr>
      <w:r>
        <w:rPr>
          <w:rFonts w:ascii="Arial" w:hAnsi="Arial" w:cs="Arial"/>
          <w:sz w:val="25"/>
        </w:rPr>
        <w:t>8.2. Conflictos entre órganos constitucionales</w:t>
      </w:r>
    </w:p>
    <w:p>
      <w:pPr>
        <w:jc w:val="both"/>
      </w:pPr>
      <w:r>
        <w:rPr>
          <w:rFonts w:ascii="Arial" w:hAnsi="Arial" w:cs="Arial"/>
          <w:sz w:val="22"/>
        </w:rPr>
        <w:t>Pueden enfrentar al Gobierno, Congreso, Senado y Consejo General del Poder Judicial entre sí. Deben referirse a atribuciones conferidas directamente por la Constitución o por leyes orgánicas.</w:t>
      </w:r>
    </w:p>
    <w:p>
      <w:pPr>
        <w:jc w:val="both"/>
      </w:pPr>
      <w:r>
        <w:rPr>
          <w:rFonts w:ascii="Arial" w:hAnsi="Arial" w:cs="Arial"/>
          <w:sz w:val="22"/>
        </w:rPr>
        <w:t xml:space="preserve">El órgano que considera invadidas sus atribuciones, mediante acuerdo de su Pleno, comunica al otro dentro del </w:t>
      </w:r>
      <w:r>
        <w:rPr>
          <w:rFonts w:ascii="Arial" w:hAnsi="Arial" w:cs="Arial"/>
          <w:b/>
          <w:sz w:val="22"/>
        </w:rPr>
        <w:t>mes</w:t>
      </w:r>
      <w:r>
        <w:rPr>
          <w:rFonts w:ascii="Arial" w:hAnsi="Arial" w:cs="Arial"/>
          <w:sz w:val="22"/>
        </w:rPr>
        <w:t xml:space="preserve"> siguiente al conocimiento de la decisión y solicita su revocación. Si el requerido mantiene su criterio o no rectifica en un mes, el conflicto se plantea ante el Tribunal dentro del mes siguiente. La sentencia determina a qué órgano corresponde la atribución y anula los actos ejecutados por invasión de atribuciones.</w:t>
      </w:r>
    </w:p>
    <w:p>
      <w:pPr>
        <w:pStyle w:val="Heading2"/>
        <w:keepNext/>
      </w:pPr>
      <w:r>
        <w:rPr>
          <w:rFonts w:ascii="Arial" w:hAnsi="Arial" w:cs="Arial"/>
          <w:sz w:val="25"/>
        </w:rPr>
        <w:t>8.3. Conflicto en defensa de la autonomía local</w:t>
      </w:r>
    </w:p>
    <w:p>
      <w:pPr>
        <w:jc w:val="both"/>
      </w:pPr>
      <w:r>
        <w:rPr>
          <w:rFonts w:ascii="Arial" w:hAnsi="Arial" w:cs="Arial"/>
          <w:sz w:val="22"/>
        </w:rPr>
        <w:t>Su objeto son leyes estatales o autonómicas que lesionen la autonomía local constitucionalmente garantizada. Están legitimados:</w:t>
      </w:r>
    </w:p>
    <w:p>
      <w:pPr>
        <w:pStyle w:val="ListBullet"/>
      </w:pPr>
      <w:r>
        <w:rPr>
          <w:rFonts w:ascii="Arial" w:hAnsi="Arial" w:cs="Arial"/>
          <w:sz w:val="22"/>
        </w:rPr>
        <w:t>el municipio o provincia destinatario único de la ley;</w:t>
      </w:r>
    </w:p>
    <w:p>
      <w:pPr>
        <w:pStyle w:val="ListBullet"/>
      </w:pPr>
      <w:r>
        <w:rPr>
          <w:rFonts w:ascii="Arial" w:hAnsi="Arial" w:cs="Arial"/>
          <w:sz w:val="22"/>
        </w:rPr>
        <w:t>al menos un séptimo de los municipios del ámbito de la ley, que representen como mínimo un sexto de su población;</w:t>
      </w:r>
    </w:p>
    <w:p>
      <w:pPr>
        <w:pStyle w:val="ListBullet"/>
      </w:pPr>
      <w:r>
        <w:rPr>
          <w:rFonts w:ascii="Arial" w:hAnsi="Arial" w:cs="Arial"/>
          <w:sz w:val="22"/>
        </w:rPr>
        <w:t>al menos la mitad de las provincias del ámbito, que representen como mínimo la mitad de su población.</w:t>
      </w:r>
    </w:p>
    <w:p>
      <w:pPr>
        <w:jc w:val="both"/>
      </w:pPr>
      <w:r>
        <w:rPr>
          <w:rFonts w:ascii="Arial" w:hAnsi="Arial" w:cs="Arial"/>
          <w:sz w:val="22"/>
        </w:rPr>
        <w:t xml:space="preserve">Se requiere acuerdo del pleno de cada corporación por mayoría absoluta del número legal de miembros y dictamen preceptivo, aunque no vinculante, del Consejo de Estado o del órgano consultivo autonómico. El dictamen debe solicitarse en los </w:t>
      </w:r>
      <w:r>
        <w:rPr>
          <w:rFonts w:ascii="Arial" w:hAnsi="Arial" w:cs="Arial"/>
          <w:b/>
          <w:sz w:val="22"/>
        </w:rPr>
        <w:t>tres meses</w:t>
      </w:r>
      <w:r>
        <w:rPr>
          <w:rFonts w:ascii="Arial" w:hAnsi="Arial" w:cs="Arial"/>
          <w:sz w:val="22"/>
        </w:rPr>
        <w:t xml:space="preserve"> siguientes a la publicación de la ley y el conflicto puede plantearse en el </w:t>
      </w:r>
      <w:r>
        <w:rPr>
          <w:rFonts w:ascii="Arial" w:hAnsi="Arial" w:cs="Arial"/>
          <w:b/>
          <w:sz w:val="22"/>
        </w:rPr>
        <w:t>mes</w:t>
      </w:r>
      <w:r>
        <w:rPr>
          <w:rFonts w:ascii="Arial" w:hAnsi="Arial" w:cs="Arial"/>
          <w:sz w:val="22"/>
        </w:rPr>
        <w:t xml:space="preserve"> siguiente a su recepción.</w:t>
      </w:r>
    </w:p>
    <w:p>
      <w:pPr>
        <w:jc w:val="both"/>
      </w:pPr>
      <w:r>
        <w:rPr>
          <w:rFonts w:ascii="Arial" w:hAnsi="Arial" w:cs="Arial"/>
          <w:sz w:val="22"/>
        </w:rPr>
        <w:t>La sentencia decide si se lesionó la autonomía local y puede precisar la titularidad de la competencia. La eventual declaración de inconstitucionalidad de la ley exige una nueva sentencia, tras plantearse el Pleno la correspondiente cuestión.</w:t>
      </w:r>
    </w:p>
    <w:p>
      <w:pPr>
        <w:pStyle w:val="Heading2"/>
        <w:keepNext/>
      </w:pPr>
      <w:r>
        <w:rPr>
          <w:rFonts w:ascii="Arial" w:hAnsi="Arial" w:cs="Arial"/>
          <w:sz w:val="25"/>
        </w:rPr>
        <w:t>8.4. Impugnación del artículo 161.2 de la Constitución</w:t>
      </w:r>
    </w:p>
    <w:p>
      <w:pPr>
        <w:jc w:val="both"/>
      </w:pPr>
      <w:r>
        <w:rPr>
          <w:rFonts w:ascii="Arial" w:hAnsi="Arial" w:cs="Arial"/>
          <w:sz w:val="22"/>
        </w:rPr>
        <w:t xml:space="preserve">El Gobierno puede impugnar disposiciones normativas sin fuerza de ley y resoluciones de cualquier órgano autonómico dentro de los </w:t>
      </w:r>
      <w:r>
        <w:rPr>
          <w:rFonts w:ascii="Arial" w:hAnsi="Arial" w:cs="Arial"/>
          <w:b/>
          <w:sz w:val="22"/>
        </w:rPr>
        <w:t>dos meses</w:t>
      </w:r>
      <w:r>
        <w:rPr>
          <w:rFonts w:ascii="Arial" w:hAnsi="Arial" w:cs="Arial"/>
          <w:sz w:val="22"/>
        </w:rPr>
        <w:t xml:space="preserve"> siguientes a su publicación o, si no la hubo, desde que las conoció. La impugnación comunicada por el Tribunal produce suspensión automática. El Tribunal debe ratificarla o levantarla en un plazo no superior a </w:t>
      </w:r>
      <w:r>
        <w:rPr>
          <w:rFonts w:ascii="Arial" w:hAnsi="Arial" w:cs="Arial"/>
          <w:b/>
          <w:sz w:val="22"/>
        </w:rPr>
        <w:t>cinco meses</w:t>
      </w:r>
      <w:r>
        <w:rPr>
          <w:rFonts w:ascii="Arial" w:hAnsi="Arial" w:cs="Arial"/>
          <w:sz w:val="22"/>
        </w:rPr>
        <w:t>, salvo que antes dicte sentencia.</w:t>
      </w:r>
    </w:p>
    <w:p>
      <w:pPr>
        <w:jc w:val="both"/>
      </w:pPr>
      <w:r>
        <w:rPr>
          <w:rFonts w:ascii="Arial" w:hAnsi="Arial" w:cs="Arial"/>
          <w:sz w:val="22"/>
        </w:rPr>
        <w:t>No debe confundirse esta vía con el recurso de inconstitucionalidad, que se dirige contra normas con rango o fuerza de ley.</w:t>
      </w:r>
    </w:p>
    <w:p>
      <w:pPr>
        <w:pStyle w:val="Heading1"/>
        <w:keepNext/>
      </w:pPr>
      <w:r>
        <w:rPr>
          <w:rFonts w:ascii="Arial" w:hAnsi="Arial" w:cs="Arial"/>
          <w:sz w:val="30"/>
        </w:rPr>
        <w:t>9. Controles previos</w:t>
      </w:r>
    </w:p>
    <w:p>
      <w:pPr>
        <w:pStyle w:val="Heading2"/>
        <w:keepNext/>
      </w:pPr>
      <w:r>
        <w:rPr>
          <w:rFonts w:ascii="Arial" w:hAnsi="Arial" w:cs="Arial"/>
          <w:sz w:val="25"/>
        </w:rPr>
        <w:t>9.1. Tratados internacionales</w:t>
      </w:r>
    </w:p>
    <w:p>
      <w:pPr>
        <w:jc w:val="both"/>
      </w:pPr>
      <w:r>
        <w:rPr>
          <w:rFonts w:ascii="Arial" w:hAnsi="Arial" w:cs="Arial"/>
          <w:sz w:val="22"/>
        </w:rPr>
        <w:t>El Gobierno o cualquiera de las dos Cámaras puede pedir al Tribunal que declare si existe contradicción entre la Constitución y un tratado cuyo texto esté definitivamente fijado, pero al que España aún no haya prestado consentimiento. Es un control previo y la declaración es vinculante.</w:t>
      </w:r>
    </w:p>
    <w:p>
      <w:pPr>
        <w:jc w:val="both"/>
      </w:pPr>
      <w:r>
        <w:rPr>
          <w:rFonts w:ascii="Arial" w:hAnsi="Arial" w:cs="Arial"/>
          <w:sz w:val="22"/>
        </w:rPr>
        <w:t xml:space="preserve">El Tribunal emplaza al solicitante y a los demás órganos legitimados para que expresen su opinión fundada en </w:t>
      </w:r>
      <w:r>
        <w:rPr>
          <w:rFonts w:ascii="Arial" w:hAnsi="Arial" w:cs="Arial"/>
          <w:b/>
          <w:sz w:val="22"/>
        </w:rPr>
        <w:t>un mes</w:t>
      </w:r>
      <w:r>
        <w:rPr>
          <w:rFonts w:ascii="Arial" w:hAnsi="Arial" w:cs="Arial"/>
          <w:sz w:val="22"/>
        </w:rPr>
        <w:t>. Emite su declaración durante el mes siguiente, sin perjuicio de las aclaraciones que pueda recabar. Si el tratado contiene estipulaciones contrarias a la Constitución, su celebración exige previamente una reforma constitucional, conforme al artículo 95 de la Constitución.</w:t>
      </w:r>
    </w:p>
    <w:p>
      <w:pPr>
        <w:pStyle w:val="Heading2"/>
        <w:keepNext/>
      </w:pPr>
      <w:r>
        <w:rPr>
          <w:rFonts w:ascii="Arial" w:hAnsi="Arial" w:cs="Arial"/>
          <w:sz w:val="25"/>
        </w:rPr>
        <w:t>9.2. Proyectos de estatuto y propuestas de reforma</w:t>
      </w:r>
    </w:p>
    <w:p>
      <w:pPr>
        <w:jc w:val="both"/>
      </w:pPr>
      <w:r>
        <w:rPr>
          <w:rFonts w:ascii="Arial" w:hAnsi="Arial" w:cs="Arial"/>
          <w:sz w:val="22"/>
        </w:rPr>
        <w:t xml:space="preserve">El recurso previo se dirige contra el texto definitivo aprobado por las Cortes Generales. Están legitimados quienes pueden recurrir posteriormente un estatuto de autonomía. El plazo es de solo </w:t>
      </w:r>
      <w:r>
        <w:rPr>
          <w:rFonts w:ascii="Arial" w:hAnsi="Arial" w:cs="Arial"/>
          <w:b/>
          <w:sz w:val="22"/>
        </w:rPr>
        <w:t>tres días</w:t>
      </w:r>
      <w:r>
        <w:rPr>
          <w:rFonts w:ascii="Arial" w:hAnsi="Arial" w:cs="Arial"/>
          <w:sz w:val="22"/>
        </w:rPr>
        <w:t xml:space="preserve"> desde la publicación del texto en el Boletín Oficial de las Cortes Generales.</w:t>
      </w:r>
    </w:p>
    <w:p>
      <w:pPr>
        <w:jc w:val="both"/>
      </w:pPr>
      <w:r>
        <w:rPr>
          <w:rFonts w:ascii="Arial" w:hAnsi="Arial" w:cs="Arial"/>
          <w:sz w:val="22"/>
        </w:rPr>
        <w:t xml:space="preserve">La interposición suspende automáticamente todos los trámites posteriores. Si debe celebrarse referéndum autonómico, no puede convocarse hasta que el Tribunal resuelva y, si procede, las Cortes supriman o modifiquen los preceptos inconstitucionales. El Tribunal debe resolver en un plazo improrrogable de </w:t>
      </w:r>
      <w:r>
        <w:rPr>
          <w:rFonts w:ascii="Arial" w:hAnsi="Arial" w:cs="Arial"/>
          <w:b/>
          <w:sz w:val="22"/>
        </w:rPr>
        <w:t>seis meses</w:t>
      </w:r>
      <w:r>
        <w:rPr>
          <w:rFonts w:ascii="Arial" w:hAnsi="Arial" w:cs="Arial"/>
          <w:sz w:val="22"/>
        </w:rPr>
        <w:t>. Su decisión previa no impide futuros recursos o cuestiones una vez que el texto entre en vigor con fuerza de ley.</w:t>
      </w:r>
    </w:p>
    <w:p>
      <w:pPr>
        <w:pStyle w:val="Heading1"/>
        <w:keepNext/>
      </w:pPr>
      <w:r>
        <w:rPr>
          <w:rFonts w:ascii="Arial" w:hAnsi="Arial" w:cs="Arial"/>
          <w:sz w:val="30"/>
        </w:rPr>
        <w:t>10. Reglas comunes, resoluciones y ejecución</w:t>
      </w:r>
    </w:p>
    <w:p>
      <w:pPr>
        <w:jc w:val="both"/>
      </w:pPr>
      <w:r>
        <w:rPr>
          <w:rFonts w:ascii="Arial" w:hAnsi="Arial" w:cs="Arial"/>
          <w:sz w:val="22"/>
        </w:rPr>
        <w:t>Los procesos se inician mediante escrito fundado que concrete con precisión lo pedido. En materia no regulada por la LOTC se aplican supletoriamente determinados preceptos de la Ley Orgánica del Poder Judicial y de la Ley de Enjuiciamiento Civil; para la ejecución, la Ley reguladora de la Jurisdicción Contencioso-administrativa.</w:t>
      </w:r>
    </w:p>
    <w:p>
      <w:pPr>
        <w:jc w:val="both"/>
      </w:pPr>
      <w:r>
        <w:rPr>
          <w:rFonts w:ascii="Arial" w:hAnsi="Arial" w:cs="Arial"/>
          <w:sz w:val="22"/>
        </w:rPr>
        <w:t xml:space="preserve">La decisión final del proceso adopta forma de </w:t>
      </w:r>
      <w:r>
        <w:rPr>
          <w:rFonts w:ascii="Arial" w:hAnsi="Arial" w:cs="Arial"/>
          <w:b/>
          <w:sz w:val="22"/>
        </w:rPr>
        <w:t>sentencia</w:t>
      </w:r>
      <w:r>
        <w:rPr>
          <w:rFonts w:ascii="Arial" w:hAnsi="Arial" w:cs="Arial"/>
          <w:sz w:val="22"/>
        </w:rPr>
        <w:t xml:space="preserve">. Las inadmisiones iniciales, el desistimiento y la caducidad adoptan forma de auto, salvo previsión distinta. Las restantes resoluciones son autos si están motivadas y providencias si no lo están. Las sentencias y las declaraciones sobre tratados se publican en el BOE dentro de los </w:t>
      </w:r>
      <w:r>
        <w:rPr>
          <w:rFonts w:ascii="Arial" w:hAnsi="Arial" w:cs="Arial"/>
          <w:b/>
          <w:sz w:val="22"/>
        </w:rPr>
        <w:t>treinta días</w:t>
      </w:r>
      <w:r>
        <w:rPr>
          <w:rFonts w:ascii="Arial" w:hAnsi="Arial" w:cs="Arial"/>
          <w:sz w:val="22"/>
        </w:rPr>
        <w:t xml:space="preserve"> siguientes al fallo.</w:t>
      </w:r>
    </w:p>
    <w:p>
      <w:pPr>
        <w:jc w:val="both"/>
      </w:pPr>
      <w:r>
        <w:rPr>
          <w:rFonts w:ascii="Arial" w:hAnsi="Arial" w:cs="Arial"/>
          <w:sz w:val="22"/>
        </w:rPr>
        <w:t xml:space="preserve">Contra las sentencias no cabe recurso, aunque las partes pueden solicitar aclaración dentro de los </w:t>
      </w:r>
      <w:r>
        <w:rPr>
          <w:rFonts w:ascii="Arial" w:hAnsi="Arial" w:cs="Arial"/>
          <w:b/>
          <w:sz w:val="22"/>
        </w:rPr>
        <w:t>dos días</w:t>
      </w:r>
      <w:r>
        <w:rPr>
          <w:rFonts w:ascii="Arial" w:hAnsi="Arial" w:cs="Arial"/>
          <w:sz w:val="22"/>
        </w:rPr>
        <w:t xml:space="preserve"> siguientes a su notificación. Contra providencias y autos solo procede, cuando corresponda, recurso de súplica: se interpone en tres días, no tiene efecto suspensivo y se resuelve después de una audiencia común de igual duración, en los dos días siguientes.</w:t>
      </w:r>
    </w:p>
    <w:p>
      <w:pPr>
        <w:jc w:val="both"/>
      </w:pPr>
      <w:r>
        <w:rPr>
          <w:rFonts w:ascii="Arial" w:hAnsi="Arial" w:cs="Arial"/>
          <w:sz w:val="22"/>
        </w:rPr>
        <w:t xml:space="preserve">El procedimiento es gratuito. Puede haber condena en costas por temeridad o mala fe y sanción de </w:t>
      </w:r>
      <w:r>
        <w:rPr>
          <w:rFonts w:ascii="Arial" w:hAnsi="Arial" w:cs="Arial"/>
          <w:b/>
          <w:sz w:val="22"/>
        </w:rPr>
        <w:t>600 a 3.000 euros</w:t>
      </w:r>
      <w:r>
        <w:rPr>
          <w:rFonts w:ascii="Arial" w:hAnsi="Arial" w:cs="Arial"/>
          <w:sz w:val="22"/>
        </w:rPr>
        <w:t xml:space="preserve"> por recursos de inconstitucionalidad o amparo formulados con temeridad o abuso de derecho.</w:t>
      </w:r>
    </w:p>
    <w:p>
      <w:pPr>
        <w:jc w:val="both"/>
      </w:pPr>
      <w:r>
        <w:rPr>
          <w:rFonts w:ascii="Arial" w:hAnsi="Arial" w:cs="Arial"/>
          <w:sz w:val="22"/>
        </w:rPr>
        <w:t>El Tribunal vela por el cumplimiento efectivo de sus resoluciones. Puede indicar quién debe ejecutarlas, fijar medidas, resolver incidentes y anular resoluciones contrarias a lo decidido. Ante un incumplimiento total o parcial puede:</w:t>
      </w:r>
    </w:p>
    <w:p>
      <w:pPr>
        <w:pStyle w:val="ListBullet"/>
      </w:pPr>
      <w:r>
        <w:rPr>
          <w:rFonts w:ascii="Arial" w:hAnsi="Arial" w:cs="Arial"/>
          <w:sz w:val="22"/>
        </w:rPr>
        <w:t xml:space="preserve">imponer multas coercitivas de </w:t>
      </w:r>
      <w:r>
        <w:rPr>
          <w:rFonts w:ascii="Arial" w:hAnsi="Arial" w:cs="Arial"/>
          <w:b/>
          <w:sz w:val="22"/>
        </w:rPr>
        <w:t>3.000 a 30.000 euros</w:t>
      </w:r>
      <w:r>
        <w:rPr>
          <w:rFonts w:ascii="Arial" w:hAnsi="Arial" w:cs="Arial"/>
          <w:sz w:val="22"/>
        </w:rPr>
        <w:t>, reiterables hasta el cumplimiento íntegro;</w:t>
      </w:r>
    </w:p>
    <w:p>
      <w:pPr>
        <w:pStyle w:val="ListBullet"/>
      </w:pPr>
      <w:r>
        <w:rPr>
          <w:rFonts w:ascii="Arial" w:hAnsi="Arial" w:cs="Arial"/>
          <w:sz w:val="22"/>
        </w:rPr>
        <w:t>suspender temporalmente en sus funciones a autoridades o empleados públicos responsables;</w:t>
      </w:r>
    </w:p>
    <w:p>
      <w:pPr>
        <w:pStyle w:val="ListBullet"/>
      </w:pPr>
      <w:r>
        <w:rPr>
          <w:rFonts w:ascii="Arial" w:hAnsi="Arial" w:cs="Arial"/>
          <w:sz w:val="22"/>
        </w:rPr>
        <w:t>acordar la ejecución sustitutoria y requerir la colaboración del Gobierno;</w:t>
      </w:r>
    </w:p>
    <w:p>
      <w:pPr>
        <w:pStyle w:val="ListBullet"/>
      </w:pPr>
      <w:r>
        <w:rPr>
          <w:rFonts w:ascii="Arial" w:hAnsi="Arial" w:cs="Arial"/>
          <w:sz w:val="22"/>
        </w:rPr>
        <w:t>remitir testimonio para exigir responsabilidad penal.</w:t>
      </w:r>
    </w:p>
    <w:p>
      <w:pPr>
        <w:jc w:val="both"/>
      </w:pPr>
      <w:r>
        <w:rPr>
          <w:rFonts w:ascii="Arial" w:hAnsi="Arial" w:cs="Arial"/>
          <w:sz w:val="22"/>
        </w:rPr>
        <w:t>En casos de especial trascendencia constitucional relativos a la ejecución de resoluciones de suspensión, puede adoptar de inmediato medidas sin oír previamente a las partes; en la misma resolución debe abrir audiencia a las partes y al Ministerio Fiscal por tres días para después levantar, confirmar o modificar las medidas.</w:t>
      </w:r>
    </w:p>
    <w:p>
      <w:pPr>
        <w:pStyle w:val="Heading1"/>
        <w:keepNext/>
      </w:pPr>
      <w:r>
        <w:rPr>
          <w:rFonts w:ascii="Arial" w:hAnsi="Arial" w:cs="Arial"/>
          <w:sz w:val="30"/>
        </w:rPr>
        <w:t>11. Comparaciones esenciales</w:t>
      </w:r>
    </w:p>
    <w:tbl>
      <w:tblPr>
        <w:tblStyle w:val="TableGrid"/>
        <w:tblW w:type="dxa" w:w="9026"/>
        <w:jc w:val="left"/>
        <w:tblLayout w:type="fixed"/>
        <w:tblLook w:firstColumn="1" w:firstRow="1" w:lastColumn="0" w:lastRow="0" w:noHBand="0" w:noVBand="1" w:val="04A0"/>
        <w:tblInd w:w="120" w:type="dxa"/>
      </w:tblPr>
      <w:tblGrid>
        <w:gridCol w:w="1280"/>
        <w:gridCol w:w="2762"/>
        <w:gridCol w:w="2627"/>
        <w:gridCol w:w="2357"/>
      </w:tblGrid>
      <w:tr>
        <w:trPr>
          <w:tblHeader w:val="true"/>
        </w:trPr>
        <w:tc>
          <w:tcPr>
            <w:tcW w:type="dxa" w:w="128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27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Recurso de inconstitucionalidad</w:t>
            </w:r>
          </w:p>
        </w:tc>
        <w:tc>
          <w:tcPr>
            <w:tcW w:type="dxa" w:w="26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Cuestión de inconstitucionalidad</w:t>
            </w:r>
          </w:p>
        </w:tc>
        <w:tc>
          <w:tcPr>
            <w:tcW w:type="dxa" w:w="235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Recurso de amparo</w:t>
            </w:r>
          </w:p>
        </w:tc>
      </w:tr>
      <w:tr>
        <w:tc>
          <w:tcPr>
            <w:tcW w:type="dxa" w:w="1280"/>
            <w:tcMar>
              <w:top w:w="80" w:type="dxa"/>
              <w:start w:w="120" w:type="dxa"/>
              <w:bottom w:w="80" w:type="dxa"/>
              <w:end w:w="120" w:type="dxa"/>
            </w:tcMar>
            <w:vAlign w:val="center"/>
          </w:tcPr>
          <w:p>
            <w:pPr>
              <w:spacing w:before="0" w:after="0" w:line="240" w:lineRule="auto"/>
              <w:jc w:val="left"/>
            </w:pPr>
            <w:r/>
            <w:r>
              <w:rPr>
                <w:rFonts w:ascii="Arial" w:hAnsi="Arial" w:cs="Arial"/>
                <w:sz w:val="18"/>
              </w:rPr>
              <w:t>Finalidad</w:t>
            </w:r>
          </w:p>
        </w:tc>
        <w:tc>
          <w:tcPr>
            <w:tcW w:type="dxa" w:w="2762"/>
            <w:tcMar>
              <w:top w:w="80" w:type="dxa"/>
              <w:start w:w="120" w:type="dxa"/>
              <w:bottom w:w="80" w:type="dxa"/>
              <w:end w:w="120" w:type="dxa"/>
            </w:tcMar>
            <w:vAlign w:val="center"/>
          </w:tcPr>
          <w:p>
            <w:pPr>
              <w:spacing w:before="0" w:after="0" w:line="240" w:lineRule="auto"/>
              <w:jc w:val="left"/>
            </w:pPr>
            <w:r/>
            <w:r>
              <w:rPr>
                <w:rFonts w:ascii="Arial" w:hAnsi="Arial" w:cs="Arial"/>
                <w:sz w:val="18"/>
              </w:rPr>
              <w:t>Control abstracto de ley o norma con fuerza de ley</w:t>
            </w:r>
          </w:p>
        </w:tc>
        <w:tc>
          <w:tcPr>
            <w:tcW w:type="dxa" w:w="2627"/>
            <w:tcMar>
              <w:top w:w="80" w:type="dxa"/>
              <w:start w:w="120" w:type="dxa"/>
              <w:bottom w:w="80" w:type="dxa"/>
              <w:end w:w="120" w:type="dxa"/>
            </w:tcMar>
            <w:vAlign w:val="center"/>
          </w:tcPr>
          <w:p>
            <w:pPr>
              <w:spacing w:before="0" w:after="0" w:line="240" w:lineRule="auto"/>
              <w:jc w:val="left"/>
            </w:pPr>
            <w:r/>
            <w:r>
              <w:rPr>
                <w:rFonts w:ascii="Arial" w:hAnsi="Arial" w:cs="Arial"/>
                <w:sz w:val="18"/>
              </w:rPr>
              <w:t>Control de la ley aplicable a un proceso</w:t>
            </w:r>
          </w:p>
        </w:tc>
        <w:tc>
          <w:tcPr>
            <w:tcW w:type="dxa" w:w="2357"/>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de derechos concretos</w:t>
            </w:r>
          </w:p>
        </w:tc>
      </w:tr>
      <w:tr>
        <w:tc>
          <w:tcPr>
            <w:tcW w:type="dxa" w:w="1280"/>
            <w:tcMar>
              <w:top w:w="80" w:type="dxa"/>
              <w:start w:w="120" w:type="dxa"/>
              <w:bottom w:w="80" w:type="dxa"/>
              <w:end w:w="120" w:type="dxa"/>
            </w:tcMar>
            <w:vAlign w:val="center"/>
          </w:tcPr>
          <w:p>
            <w:pPr>
              <w:spacing w:before="0" w:after="0" w:line="240" w:lineRule="auto"/>
              <w:jc w:val="left"/>
            </w:pPr>
            <w:r/>
            <w:r>
              <w:rPr>
                <w:rFonts w:ascii="Arial" w:hAnsi="Arial" w:cs="Arial"/>
                <w:sz w:val="18"/>
              </w:rPr>
              <w:t>Quién lo promueve</w:t>
            </w:r>
          </w:p>
        </w:tc>
        <w:tc>
          <w:tcPr>
            <w:tcW w:type="dxa" w:w="2762"/>
            <w:tcMar>
              <w:top w:w="80" w:type="dxa"/>
              <w:start w:w="120" w:type="dxa"/>
              <w:bottom w:w="80" w:type="dxa"/>
              <w:end w:w="120" w:type="dxa"/>
            </w:tcMar>
            <w:vAlign w:val="center"/>
          </w:tcPr>
          <w:p>
            <w:pPr>
              <w:spacing w:before="0" w:after="0" w:line="240" w:lineRule="auto"/>
              <w:jc w:val="left"/>
            </w:pPr>
            <w:r/>
            <w:r>
              <w:rPr>
                <w:rFonts w:ascii="Arial" w:hAnsi="Arial" w:cs="Arial"/>
                <w:sz w:val="18"/>
              </w:rPr>
              <w:t>Sujetos del art. 162.1.a CE</w:t>
            </w:r>
          </w:p>
        </w:tc>
        <w:tc>
          <w:tcPr>
            <w:tcW w:type="dxa" w:w="2627"/>
            <w:tcMar>
              <w:top w:w="80" w:type="dxa"/>
              <w:start w:w="120" w:type="dxa"/>
              <w:bottom w:w="80" w:type="dxa"/>
              <w:end w:w="120" w:type="dxa"/>
            </w:tcMar>
            <w:vAlign w:val="center"/>
          </w:tcPr>
          <w:p>
            <w:pPr>
              <w:spacing w:before="0" w:after="0" w:line="240" w:lineRule="auto"/>
              <w:jc w:val="center"/>
            </w:pPr>
            <w:r/>
            <w:r>
              <w:rPr>
                <w:rFonts w:ascii="Arial" w:hAnsi="Arial" w:cs="Arial"/>
                <w:sz w:val="18"/>
              </w:rPr>
              <w:t>Juez o tribunal</w:t>
            </w:r>
          </w:p>
        </w:tc>
        <w:tc>
          <w:tcPr>
            <w:tcW w:type="dxa" w:w="2357"/>
            <w:tcMar>
              <w:top w:w="80" w:type="dxa"/>
              <w:start w:w="120" w:type="dxa"/>
              <w:bottom w:w="80" w:type="dxa"/>
              <w:end w:w="120" w:type="dxa"/>
            </w:tcMar>
            <w:vAlign w:val="center"/>
          </w:tcPr>
          <w:p>
            <w:pPr>
              <w:spacing w:before="0" w:after="0" w:line="240" w:lineRule="auto"/>
              <w:jc w:val="left"/>
            </w:pPr>
            <w:r/>
            <w:r>
              <w:rPr>
                <w:rFonts w:ascii="Arial" w:hAnsi="Arial" w:cs="Arial"/>
                <w:sz w:val="18"/>
              </w:rPr>
              <w:t>Persona legitimada, Defensor o Fiscal</w:t>
            </w:r>
          </w:p>
        </w:tc>
      </w:tr>
      <w:tr>
        <w:tc>
          <w:tcPr>
            <w:tcW w:type="dxa" w:w="1280"/>
            <w:tcMar>
              <w:top w:w="80" w:type="dxa"/>
              <w:start w:w="120" w:type="dxa"/>
              <w:bottom w:w="80" w:type="dxa"/>
              <w:end w:w="120" w:type="dxa"/>
            </w:tcMar>
            <w:vAlign w:val="center"/>
          </w:tcPr>
          <w:p>
            <w:pPr>
              <w:spacing w:before="0" w:after="0" w:line="240" w:lineRule="auto"/>
              <w:jc w:val="left"/>
            </w:pPr>
            <w:r/>
            <w:r>
              <w:rPr>
                <w:rFonts w:ascii="Arial" w:hAnsi="Arial" w:cs="Arial"/>
                <w:sz w:val="18"/>
              </w:rPr>
              <w:t>Plazo principal</w:t>
            </w:r>
          </w:p>
        </w:tc>
        <w:tc>
          <w:tcPr>
            <w:tcW w:type="dxa" w:w="2762"/>
            <w:tcMar>
              <w:top w:w="80" w:type="dxa"/>
              <w:start w:w="120" w:type="dxa"/>
              <w:bottom w:w="80" w:type="dxa"/>
              <w:end w:w="120" w:type="dxa"/>
            </w:tcMar>
            <w:vAlign w:val="center"/>
          </w:tcPr>
          <w:p>
            <w:pPr>
              <w:spacing w:before="0" w:after="0" w:line="240" w:lineRule="auto"/>
              <w:jc w:val="left"/>
            </w:pPr>
            <w:r/>
            <w:r>
              <w:rPr>
                <w:rFonts w:ascii="Arial" w:hAnsi="Arial" w:cs="Arial"/>
                <w:sz w:val="18"/>
              </w:rPr>
              <w:t>3 meses; excepcionalmente 9</w:t>
            </w:r>
          </w:p>
        </w:tc>
        <w:tc>
          <w:tcPr>
            <w:tcW w:type="dxa" w:w="2627"/>
            <w:tcMar>
              <w:top w:w="80" w:type="dxa"/>
              <w:start w:w="120" w:type="dxa"/>
              <w:bottom w:w="80" w:type="dxa"/>
              <w:end w:w="120" w:type="dxa"/>
            </w:tcMar>
            <w:vAlign w:val="center"/>
          </w:tcPr>
          <w:p>
            <w:pPr>
              <w:spacing w:before="0" w:after="0" w:line="240" w:lineRule="auto"/>
              <w:jc w:val="left"/>
            </w:pPr>
            <w:r/>
            <w:r>
              <w:rPr>
                <w:rFonts w:ascii="Arial" w:hAnsi="Arial" w:cs="Arial"/>
                <w:sz w:val="18"/>
              </w:rPr>
              <w:t>Dentro del plazo para resolver el proceso</w:t>
            </w:r>
          </w:p>
        </w:tc>
        <w:tc>
          <w:tcPr>
            <w:tcW w:type="dxa" w:w="2357"/>
            <w:tcMar>
              <w:top w:w="80" w:type="dxa"/>
              <w:start w:w="120" w:type="dxa"/>
              <w:bottom w:w="80" w:type="dxa"/>
              <w:end w:w="120" w:type="dxa"/>
            </w:tcMar>
            <w:vAlign w:val="center"/>
          </w:tcPr>
          <w:p>
            <w:pPr>
              <w:spacing w:before="0" w:after="0" w:line="240" w:lineRule="auto"/>
              <w:jc w:val="left"/>
            </w:pPr>
            <w:r/>
            <w:r>
              <w:rPr>
                <w:rFonts w:ascii="Arial" w:hAnsi="Arial" w:cs="Arial"/>
                <w:sz w:val="18"/>
              </w:rPr>
              <w:t>3 meses, 20 días o 30 días</w:t>
            </w:r>
          </w:p>
        </w:tc>
      </w:tr>
      <w:tr>
        <w:tc>
          <w:tcPr>
            <w:tcW w:type="dxa" w:w="1280"/>
            <w:tcMar>
              <w:top w:w="80" w:type="dxa"/>
              <w:start w:w="120" w:type="dxa"/>
              <w:bottom w:w="80" w:type="dxa"/>
              <w:end w:w="120" w:type="dxa"/>
            </w:tcMar>
            <w:vAlign w:val="center"/>
          </w:tcPr>
          <w:p>
            <w:pPr>
              <w:spacing w:before="0" w:after="0" w:line="240" w:lineRule="auto"/>
              <w:jc w:val="left"/>
            </w:pPr>
            <w:r/>
            <w:r>
              <w:rPr>
                <w:rFonts w:ascii="Arial" w:hAnsi="Arial" w:cs="Arial"/>
                <w:sz w:val="18"/>
              </w:rPr>
              <w:t>Vía judicial previa</w:t>
            </w:r>
          </w:p>
        </w:tc>
        <w:tc>
          <w:tcPr>
            <w:tcW w:type="dxa" w:w="2762"/>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627"/>
            <w:tcMar>
              <w:top w:w="80" w:type="dxa"/>
              <w:start w:w="120" w:type="dxa"/>
              <w:bottom w:w="80" w:type="dxa"/>
              <w:end w:w="120" w:type="dxa"/>
            </w:tcMar>
            <w:vAlign w:val="center"/>
          </w:tcPr>
          <w:p>
            <w:pPr>
              <w:spacing w:before="0" w:after="0" w:line="240" w:lineRule="auto"/>
              <w:jc w:val="left"/>
            </w:pPr>
            <w:r/>
            <w:r>
              <w:rPr>
                <w:rFonts w:ascii="Arial" w:hAnsi="Arial" w:cs="Arial"/>
                <w:sz w:val="18"/>
              </w:rPr>
              <w:t>Existe un proceso en curso</w:t>
            </w:r>
          </w:p>
        </w:tc>
        <w:tc>
          <w:tcPr>
            <w:tcW w:type="dxa" w:w="2357"/>
            <w:tcMar>
              <w:top w:w="80" w:type="dxa"/>
              <w:start w:w="120" w:type="dxa"/>
              <w:bottom w:w="80" w:type="dxa"/>
              <w:end w:w="120" w:type="dxa"/>
            </w:tcMar>
            <w:vAlign w:val="center"/>
          </w:tcPr>
          <w:p>
            <w:pPr>
              <w:spacing w:before="0" w:after="0" w:line="240" w:lineRule="auto"/>
              <w:jc w:val="left"/>
            </w:pPr>
            <w:r/>
            <w:r>
              <w:rPr>
                <w:rFonts w:ascii="Arial" w:hAnsi="Arial" w:cs="Arial"/>
                <w:sz w:val="18"/>
              </w:rPr>
              <w:t>Normalmente debe agotarse</w:t>
            </w:r>
          </w:p>
        </w:tc>
      </w:tr>
      <w:tr>
        <w:tc>
          <w:tcPr>
            <w:tcW w:type="dxa" w:w="1280"/>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de la norma</w:t>
            </w:r>
          </w:p>
        </w:tc>
        <w:tc>
          <w:tcPr>
            <w:tcW w:type="dxa" w:w="2762"/>
            <w:tcMar>
              <w:top w:w="80" w:type="dxa"/>
              <w:start w:w="120" w:type="dxa"/>
              <w:bottom w:w="80" w:type="dxa"/>
              <w:end w:w="120" w:type="dxa"/>
            </w:tcMar>
            <w:vAlign w:val="center"/>
          </w:tcPr>
          <w:p>
            <w:pPr>
              <w:spacing w:before="0" w:after="0" w:line="240" w:lineRule="auto"/>
              <w:jc w:val="left"/>
            </w:pPr>
            <w:r/>
            <w:r>
              <w:rPr>
                <w:rFonts w:ascii="Arial" w:hAnsi="Arial" w:cs="Arial"/>
                <w:sz w:val="18"/>
              </w:rPr>
              <w:t>Regla general: no</w:t>
            </w:r>
          </w:p>
        </w:tc>
        <w:tc>
          <w:tcPr>
            <w:tcW w:type="dxa" w:w="2627"/>
            <w:tcMar>
              <w:top w:w="80" w:type="dxa"/>
              <w:start w:w="120" w:type="dxa"/>
              <w:bottom w:w="80" w:type="dxa"/>
              <w:end w:w="120" w:type="dxa"/>
            </w:tcMar>
            <w:vAlign w:val="center"/>
          </w:tcPr>
          <w:p>
            <w:pPr>
              <w:spacing w:before="0" w:after="0" w:line="240" w:lineRule="auto"/>
              <w:jc w:val="left"/>
            </w:pPr>
            <w:r/>
            <w:r>
              <w:rPr>
                <w:rFonts w:ascii="Arial" w:hAnsi="Arial" w:cs="Arial"/>
                <w:sz w:val="18"/>
              </w:rPr>
              <w:t>No suspende la vigencia; sí el proceso de origen</w:t>
            </w:r>
          </w:p>
        </w:tc>
        <w:tc>
          <w:tcPr>
            <w:tcW w:type="dxa" w:w="2357"/>
            <w:tcMar>
              <w:top w:w="80" w:type="dxa"/>
              <w:start w:w="120" w:type="dxa"/>
              <w:bottom w:w="80" w:type="dxa"/>
              <w:end w:w="120" w:type="dxa"/>
            </w:tcMar>
            <w:vAlign w:val="center"/>
          </w:tcPr>
          <w:p>
            <w:pPr>
              <w:spacing w:before="0" w:after="0" w:line="240" w:lineRule="auto"/>
              <w:jc w:val="left"/>
            </w:pPr>
            <w:r/>
            <w:r>
              <w:rPr>
                <w:rFonts w:ascii="Arial" w:hAnsi="Arial" w:cs="Arial"/>
                <w:sz w:val="18"/>
              </w:rPr>
              <w:t>No se dirige normalmente contra leyes</w:t>
            </w:r>
          </w:p>
        </w:tc>
      </w:tr>
      <w:tr>
        <w:tc>
          <w:tcPr>
            <w:tcW w:type="dxa" w:w="1280"/>
            <w:tcMar>
              <w:top w:w="80" w:type="dxa"/>
              <w:start w:w="120" w:type="dxa"/>
              <w:bottom w:w="80" w:type="dxa"/>
              <w:end w:w="120" w:type="dxa"/>
            </w:tcMar>
            <w:vAlign w:val="center"/>
          </w:tcPr>
          <w:p>
            <w:pPr>
              <w:spacing w:before="0" w:after="0" w:line="240" w:lineRule="auto"/>
              <w:jc w:val="left"/>
            </w:pPr>
            <w:r/>
            <w:r>
              <w:rPr>
                <w:rFonts w:ascii="Arial" w:hAnsi="Arial" w:cs="Arial"/>
                <w:sz w:val="18"/>
              </w:rPr>
              <w:t>Efecto típico</w:t>
            </w:r>
          </w:p>
        </w:tc>
        <w:tc>
          <w:tcPr>
            <w:tcW w:type="dxa" w:w="2762"/>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627"/>
            <w:tcMar>
              <w:top w:w="80" w:type="dxa"/>
              <w:start w:w="120" w:type="dxa"/>
              <w:bottom w:w="80" w:type="dxa"/>
              <w:end w:w="120" w:type="dxa"/>
            </w:tcMar>
            <w:vAlign w:val="center"/>
          </w:tcPr>
          <w:p>
            <w:pPr>
              <w:spacing w:before="0" w:after="0" w:line="240" w:lineRule="auto"/>
              <w:jc w:val="left"/>
            </w:pPr>
            <w:r/>
            <w:r>
              <w:rPr>
                <w:rFonts w:ascii="Arial" w:hAnsi="Arial" w:cs="Arial"/>
                <w:sz w:val="18"/>
              </w:rPr>
              <w:t>General sobre la norma</w:t>
            </w:r>
          </w:p>
        </w:tc>
        <w:tc>
          <w:tcPr>
            <w:tcW w:type="dxa" w:w="2357"/>
            <w:tcMar>
              <w:top w:w="80" w:type="dxa"/>
              <w:start w:w="120" w:type="dxa"/>
              <w:bottom w:w="80" w:type="dxa"/>
              <w:end w:w="120" w:type="dxa"/>
            </w:tcMar>
            <w:vAlign w:val="center"/>
          </w:tcPr>
          <w:p>
            <w:pPr>
              <w:spacing w:before="0" w:after="0" w:line="240" w:lineRule="auto"/>
              <w:jc w:val="left"/>
            </w:pPr>
            <w:r/>
            <w:r>
              <w:rPr>
                <w:rFonts w:ascii="Arial" w:hAnsi="Arial" w:cs="Arial"/>
                <w:sz w:val="18"/>
              </w:rPr>
              <w:t>Restablecimiento subjetivo del derecho</w:t>
            </w:r>
          </w:p>
        </w:tc>
      </w:tr>
    </w:tbl>
    <w:p>
      <w:pPr>
        <w:spacing w:after="40"/>
      </w:pPr>
    </w:p>
    <w:tbl>
      <w:tblPr>
        <w:tblStyle w:val="TableGrid"/>
        <w:tblW w:type="dxa" w:w="9026"/>
        <w:jc w:val="left"/>
        <w:tblLayout w:type="fixed"/>
        <w:tblLook w:firstColumn="1" w:firstRow="1" w:lastColumn="0" w:lastRow="0" w:noHBand="0" w:noVBand="1" w:val="04A0"/>
        <w:tblInd w:w="120" w:type="dxa"/>
      </w:tblPr>
      <w:tblGrid>
        <w:gridCol w:w="1412"/>
        <w:gridCol w:w="2824"/>
        <w:gridCol w:w="2640"/>
        <w:gridCol w:w="2150"/>
      </w:tblGrid>
      <w:tr>
        <w:trPr>
          <w:tblHeader w:val="true"/>
        </w:trPr>
        <w:tc>
          <w:tcPr>
            <w:tcW w:type="dxa" w:w="14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Vía territorial</w:t>
            </w:r>
          </w:p>
        </w:tc>
        <w:tc>
          <w:tcPr>
            <w:tcW w:type="dxa" w:w="282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Objeto</w:t>
            </w:r>
          </w:p>
        </w:tc>
        <w:tc>
          <w:tcPr>
            <w:tcW w:type="dxa" w:w="264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Legitimación característica</w:t>
            </w:r>
          </w:p>
        </w:tc>
        <w:tc>
          <w:tcPr>
            <w:tcW w:type="dxa" w:w="215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Suspensión</w:t>
            </w:r>
          </w:p>
        </w:tc>
      </w:tr>
      <w:tr>
        <w:tc>
          <w:tcPr>
            <w:tcW w:type="dxa" w:w="1412"/>
            <w:tcMar>
              <w:top w:w="80" w:type="dxa"/>
              <w:start w:w="120" w:type="dxa"/>
              <w:bottom w:w="80" w:type="dxa"/>
              <w:end w:w="120" w:type="dxa"/>
            </w:tcMar>
            <w:vAlign w:val="center"/>
          </w:tcPr>
          <w:p>
            <w:pPr>
              <w:spacing w:before="0" w:after="0" w:line="240" w:lineRule="auto"/>
              <w:jc w:val="left"/>
            </w:pPr>
            <w:r/>
            <w:r>
              <w:rPr>
                <w:rFonts w:ascii="Arial" w:hAnsi="Arial" w:cs="Arial"/>
                <w:sz w:val="18"/>
              </w:rPr>
              <w:t>Conflicto positivo</w:t>
            </w:r>
          </w:p>
        </w:tc>
        <w:tc>
          <w:tcPr>
            <w:tcW w:type="dxa" w:w="2824"/>
            <w:tcMar>
              <w:top w:w="80" w:type="dxa"/>
              <w:start w:w="120" w:type="dxa"/>
              <w:bottom w:w="80" w:type="dxa"/>
              <w:end w:w="120" w:type="dxa"/>
            </w:tcMar>
            <w:vAlign w:val="center"/>
          </w:tcPr>
          <w:p>
            <w:pPr>
              <w:spacing w:before="0" w:after="0" w:line="240" w:lineRule="auto"/>
              <w:jc w:val="left"/>
            </w:pPr>
            <w:r/>
            <w:r>
              <w:rPr>
                <w:rFonts w:ascii="Arial" w:hAnsi="Arial" w:cs="Arial"/>
                <w:sz w:val="18"/>
              </w:rPr>
              <w:t>Disposición, acto, resolución u omisión competencial</w:t>
            </w:r>
          </w:p>
        </w:tc>
        <w:tc>
          <w:tcPr>
            <w:tcW w:type="dxa" w:w="2640"/>
            <w:tcMar>
              <w:top w:w="80" w:type="dxa"/>
              <w:start w:w="120" w:type="dxa"/>
              <w:bottom w:w="80" w:type="dxa"/>
              <w:end w:w="120" w:type="dxa"/>
            </w:tcMar>
            <w:vAlign w:val="center"/>
          </w:tcPr>
          <w:p>
            <w:pPr>
              <w:spacing w:before="0" w:after="0" w:line="240" w:lineRule="auto"/>
              <w:jc w:val="left"/>
            </w:pPr>
            <w:r/>
            <w:r>
              <w:rPr>
                <w:rFonts w:ascii="Arial" w:hAnsi="Arial" w:cs="Arial"/>
                <w:sz w:val="18"/>
              </w:rPr>
              <w:t>Gobierno o ejecutivos autonómicos</w:t>
            </w:r>
          </w:p>
        </w:tc>
        <w:tc>
          <w:tcPr>
            <w:tcW w:type="dxa" w:w="2150"/>
            <w:tcMar>
              <w:top w:w="80" w:type="dxa"/>
              <w:start w:w="120" w:type="dxa"/>
              <w:bottom w:w="80" w:type="dxa"/>
              <w:end w:w="120" w:type="dxa"/>
            </w:tcMar>
            <w:vAlign w:val="center"/>
          </w:tcPr>
          <w:p>
            <w:pPr>
              <w:spacing w:before="0" w:after="0" w:line="240" w:lineRule="auto"/>
              <w:jc w:val="left"/>
            </w:pPr>
            <w:r/>
            <w:r>
              <w:rPr>
                <w:rFonts w:ascii="Arial" w:hAnsi="Arial" w:cs="Arial"/>
                <w:sz w:val="18"/>
              </w:rPr>
              <w:t>Automática si Gobierno invoca art. 161.2 CE</w:t>
            </w:r>
          </w:p>
        </w:tc>
      </w:tr>
      <w:tr>
        <w:tc>
          <w:tcPr>
            <w:tcW w:type="dxa" w:w="1412"/>
            <w:tcMar>
              <w:top w:w="80" w:type="dxa"/>
              <w:start w:w="120" w:type="dxa"/>
              <w:bottom w:w="80" w:type="dxa"/>
              <w:end w:w="120" w:type="dxa"/>
            </w:tcMar>
            <w:vAlign w:val="center"/>
          </w:tcPr>
          <w:p>
            <w:pPr>
              <w:spacing w:before="0" w:after="0" w:line="240" w:lineRule="auto"/>
              <w:jc w:val="left"/>
            </w:pPr>
            <w:r/>
            <w:r>
              <w:rPr>
                <w:rFonts w:ascii="Arial" w:hAnsi="Arial" w:cs="Arial"/>
                <w:sz w:val="18"/>
              </w:rPr>
              <w:t>Conflicto negativo</w:t>
            </w:r>
          </w:p>
        </w:tc>
        <w:tc>
          <w:tcPr>
            <w:tcW w:type="dxa" w:w="2824"/>
            <w:tcMar>
              <w:top w:w="80" w:type="dxa"/>
              <w:start w:w="120" w:type="dxa"/>
              <w:bottom w:w="80" w:type="dxa"/>
              <w:end w:w="120" w:type="dxa"/>
            </w:tcMar>
            <w:vAlign w:val="center"/>
          </w:tcPr>
          <w:p>
            <w:pPr>
              <w:spacing w:before="0" w:after="0" w:line="240" w:lineRule="auto"/>
              <w:jc w:val="left"/>
            </w:pPr>
            <w:r/>
            <w:r>
              <w:rPr>
                <w:rFonts w:ascii="Arial" w:hAnsi="Arial" w:cs="Arial"/>
                <w:sz w:val="18"/>
              </w:rPr>
              <w:t>Rechazo o inactividad competencial</w:t>
            </w:r>
          </w:p>
        </w:tc>
        <w:tc>
          <w:tcPr>
            <w:tcW w:type="dxa" w:w="2640"/>
            <w:tcMar>
              <w:top w:w="80" w:type="dxa"/>
              <w:start w:w="120" w:type="dxa"/>
              <w:bottom w:w="80" w:type="dxa"/>
              <w:end w:w="120" w:type="dxa"/>
            </w:tcMar>
            <w:vAlign w:val="center"/>
          </w:tcPr>
          <w:p>
            <w:pPr>
              <w:spacing w:before="0" w:after="0" w:line="240" w:lineRule="auto"/>
              <w:jc w:val="left"/>
            </w:pPr>
            <w:r/>
            <w:r>
              <w:rPr>
                <w:rFonts w:ascii="Arial" w:hAnsi="Arial" w:cs="Arial"/>
                <w:sz w:val="18"/>
              </w:rPr>
              <w:t>También personas interesadas en el supuesto legal</w:t>
            </w:r>
          </w:p>
        </w:tc>
        <w:tc>
          <w:tcPr>
            <w:tcW w:type="dxa" w:w="2150"/>
            <w:tcMar>
              <w:top w:w="80" w:type="dxa"/>
              <w:start w:w="120" w:type="dxa"/>
              <w:bottom w:w="80" w:type="dxa"/>
              <w:end w:w="120" w:type="dxa"/>
            </w:tcMar>
            <w:vAlign w:val="center"/>
          </w:tcPr>
          <w:p>
            <w:pPr>
              <w:spacing w:before="0" w:after="0" w:line="240" w:lineRule="auto"/>
              <w:jc w:val="left"/>
            </w:pPr>
            <w:r/>
            <w:r>
              <w:rPr>
                <w:rFonts w:ascii="Arial" w:hAnsi="Arial" w:cs="Arial"/>
                <w:sz w:val="18"/>
              </w:rPr>
              <w:t>No es su efecto característico</w:t>
            </w:r>
          </w:p>
        </w:tc>
      </w:tr>
      <w:tr>
        <w:tc>
          <w:tcPr>
            <w:tcW w:type="dxa" w:w="1412"/>
            <w:tcMar>
              <w:top w:w="80" w:type="dxa"/>
              <w:start w:w="120" w:type="dxa"/>
              <w:bottom w:w="80" w:type="dxa"/>
              <w:end w:w="120" w:type="dxa"/>
            </w:tcMar>
            <w:vAlign w:val="center"/>
          </w:tcPr>
          <w:p>
            <w:pPr>
              <w:spacing w:before="0" w:after="0" w:line="240" w:lineRule="auto"/>
              <w:jc w:val="left"/>
            </w:pPr>
            <w:r/>
            <w:r>
              <w:rPr>
                <w:rFonts w:ascii="Arial" w:hAnsi="Arial" w:cs="Arial"/>
                <w:sz w:val="18"/>
              </w:rPr>
              <w:t>Defensa de autonomía local</w:t>
            </w:r>
          </w:p>
        </w:tc>
        <w:tc>
          <w:tcPr>
            <w:tcW w:type="dxa" w:w="2824"/>
            <w:tcMar>
              <w:top w:w="80" w:type="dxa"/>
              <w:start w:w="120" w:type="dxa"/>
              <w:bottom w:w="80" w:type="dxa"/>
              <w:end w:w="120" w:type="dxa"/>
            </w:tcMar>
            <w:vAlign w:val="center"/>
          </w:tcPr>
          <w:p>
            <w:pPr>
              <w:spacing w:before="0" w:after="0" w:line="240" w:lineRule="auto"/>
              <w:jc w:val="left"/>
            </w:pPr>
            <w:r/>
            <w:r>
              <w:rPr>
                <w:rFonts w:ascii="Arial" w:hAnsi="Arial" w:cs="Arial"/>
                <w:sz w:val="18"/>
              </w:rPr>
              <w:t>Ley estatal o autonómica</w:t>
            </w:r>
          </w:p>
        </w:tc>
        <w:tc>
          <w:tcPr>
            <w:tcW w:type="dxa" w:w="2640"/>
            <w:tcMar>
              <w:top w:w="80" w:type="dxa"/>
              <w:start w:w="120" w:type="dxa"/>
              <w:bottom w:w="80" w:type="dxa"/>
              <w:end w:w="120" w:type="dxa"/>
            </w:tcMar>
            <w:vAlign w:val="center"/>
          </w:tcPr>
          <w:p>
            <w:pPr>
              <w:spacing w:before="0" w:after="0" w:line="240" w:lineRule="auto"/>
              <w:jc w:val="left"/>
            </w:pPr>
            <w:r/>
            <w:r>
              <w:rPr>
                <w:rFonts w:ascii="Arial" w:hAnsi="Arial" w:cs="Arial"/>
                <w:sz w:val="18"/>
              </w:rPr>
              <w:t>Entidades locales con umbrales legales</w:t>
            </w:r>
          </w:p>
        </w:tc>
        <w:tc>
          <w:tcPr>
            <w:tcW w:type="dxa" w:w="2150"/>
            <w:tcMar>
              <w:top w:w="80" w:type="dxa"/>
              <w:start w:w="120" w:type="dxa"/>
              <w:bottom w:w="80" w:type="dxa"/>
              <w:end w:w="120" w:type="dxa"/>
            </w:tcMar>
            <w:vAlign w:val="center"/>
          </w:tcPr>
          <w:p>
            <w:pPr>
              <w:spacing w:before="0" w:after="0" w:line="240" w:lineRule="auto"/>
              <w:jc w:val="center"/>
            </w:pPr>
            <w:r/>
            <w:r>
              <w:rPr>
                <w:rFonts w:ascii="Arial" w:hAnsi="Arial" w:cs="Arial"/>
                <w:sz w:val="18"/>
              </w:rPr>
              <w:t>No automática</w:t>
            </w:r>
          </w:p>
        </w:tc>
      </w:tr>
      <w:tr>
        <w:tc>
          <w:tcPr>
            <w:tcW w:type="dxa" w:w="1412"/>
            <w:tcMar>
              <w:top w:w="80" w:type="dxa"/>
              <w:start w:w="120" w:type="dxa"/>
              <w:bottom w:w="80" w:type="dxa"/>
              <w:end w:w="120" w:type="dxa"/>
            </w:tcMar>
            <w:vAlign w:val="center"/>
          </w:tcPr>
          <w:p>
            <w:pPr>
              <w:spacing w:before="0" w:after="0" w:line="240" w:lineRule="auto"/>
              <w:jc w:val="left"/>
            </w:pPr>
            <w:r/>
            <w:r>
              <w:rPr>
                <w:rFonts w:ascii="Arial" w:hAnsi="Arial" w:cs="Arial"/>
                <w:sz w:val="18"/>
              </w:rPr>
              <w:t>Impugnación art. 161.2 CE</w:t>
            </w:r>
          </w:p>
        </w:tc>
        <w:tc>
          <w:tcPr>
            <w:tcW w:type="dxa" w:w="2824"/>
            <w:tcMar>
              <w:top w:w="80" w:type="dxa"/>
              <w:start w:w="120" w:type="dxa"/>
              <w:bottom w:w="80" w:type="dxa"/>
              <w:end w:w="120" w:type="dxa"/>
            </w:tcMar>
            <w:vAlign w:val="center"/>
          </w:tcPr>
          <w:p>
            <w:pPr>
              <w:spacing w:before="0" w:after="0" w:line="240" w:lineRule="auto"/>
              <w:jc w:val="left"/>
            </w:pPr>
            <w:r/>
            <w:r>
              <w:rPr>
                <w:rFonts w:ascii="Arial" w:hAnsi="Arial" w:cs="Arial"/>
                <w:sz w:val="18"/>
              </w:rPr>
              <w:t>Disposición sin fuerza de ley o resolución autonómica</w:t>
            </w:r>
          </w:p>
        </w:tc>
        <w:tc>
          <w:tcPr>
            <w:tcW w:type="dxa" w:w="2640"/>
            <w:tcMar>
              <w:top w:w="80" w:type="dxa"/>
              <w:start w:w="120" w:type="dxa"/>
              <w:bottom w:w="80" w:type="dxa"/>
              <w:end w:w="120" w:type="dxa"/>
            </w:tcMar>
            <w:vAlign w:val="center"/>
          </w:tcPr>
          <w:p>
            <w:pPr>
              <w:spacing w:before="0" w:after="0" w:line="240" w:lineRule="auto"/>
              <w:jc w:val="center"/>
            </w:pPr>
            <w:r/>
            <w:r>
              <w:rPr>
                <w:rFonts w:ascii="Arial" w:hAnsi="Arial" w:cs="Arial"/>
                <w:sz w:val="18"/>
              </w:rPr>
              <w:t>Gobierno</w:t>
            </w:r>
          </w:p>
        </w:tc>
        <w:tc>
          <w:tcPr>
            <w:tcW w:type="dxa" w:w="2150"/>
            <w:tcMar>
              <w:top w:w="80" w:type="dxa"/>
              <w:start w:w="120" w:type="dxa"/>
              <w:bottom w:w="80" w:type="dxa"/>
              <w:end w:w="120" w:type="dxa"/>
            </w:tcMar>
            <w:vAlign w:val="center"/>
          </w:tcPr>
          <w:p>
            <w:pPr>
              <w:spacing w:before="0" w:after="0" w:line="240" w:lineRule="auto"/>
              <w:jc w:val="left"/>
            </w:pPr>
            <w:r/>
            <w:r>
              <w:rPr>
                <w:rFonts w:ascii="Arial" w:hAnsi="Arial" w:cs="Arial"/>
                <w:sz w:val="18"/>
              </w:rPr>
              <w:t>Automática, revisión en máximo 5 meses</w:t>
            </w:r>
          </w:p>
        </w:tc>
      </w:tr>
    </w:tbl>
    <w:p>
      <w:pPr>
        <w:spacing w:after="40"/>
      </w:pPr>
    </w:p>
    <w:p>
      <w:pPr>
        <w:pStyle w:val="Heading1"/>
        <w:keepNext/>
      </w:pPr>
      <w:r>
        <w:rPr>
          <w:rFonts w:ascii="Arial" w:hAnsi="Arial" w:cs="Arial"/>
          <w:sz w:val="30"/>
        </w:rPr>
        <w:t>12. Confusiones frecuentes</w:t>
      </w:r>
    </w:p>
    <w:p>
      <w:pPr>
        <w:spacing w:after="40"/>
        <w:ind w:left="369" w:hanging="227"/>
      </w:pPr>
      <w:r>
        <w:rPr>
          <w:rFonts w:ascii="Arial" w:hAnsi="Arial" w:cs="Arial"/>
          <w:sz w:val="22"/>
        </w:rPr>
        <w:t xml:space="preserve">1. </w:t>
      </w:r>
      <w:r>
        <w:rPr>
          <w:rFonts w:ascii="Arial" w:hAnsi="Arial" w:cs="Arial"/>
          <w:b/>
          <w:sz w:val="22"/>
        </w:rPr>
        <w:t>El Tribunal no pertenece al Poder Judicial.</w:t>
      </w:r>
      <w:r>
        <w:rPr>
          <w:rFonts w:ascii="Arial" w:hAnsi="Arial" w:cs="Arial"/>
          <w:sz w:val="22"/>
        </w:rPr>
        <w:t xml:space="preserve"> Su independencia no lo convierte en órgano judicial ordinario ni en una tercera instancia.</w:t>
      </w:r>
    </w:p>
    <w:p>
      <w:pPr>
        <w:spacing w:after="40"/>
        <w:ind w:left="369" w:hanging="227"/>
      </w:pPr>
      <w:r>
        <w:rPr>
          <w:rFonts w:ascii="Arial" w:hAnsi="Arial" w:cs="Arial"/>
          <w:sz w:val="22"/>
        </w:rPr>
        <w:t xml:space="preserve">2. </w:t>
      </w:r>
      <w:r>
        <w:rPr>
          <w:rFonts w:ascii="Arial" w:hAnsi="Arial" w:cs="Arial"/>
          <w:b/>
          <w:sz w:val="22"/>
        </w:rPr>
        <w:t>Doce magistrados no equivalen a doce años.</w:t>
      </w:r>
      <w:r>
        <w:rPr>
          <w:rFonts w:ascii="Arial" w:hAnsi="Arial" w:cs="Arial"/>
          <w:sz w:val="22"/>
        </w:rPr>
        <w:t xml:space="preserve"> Son doce miembros, con mandato de nueve años y renovación por tercios cada tres.</w:t>
      </w:r>
    </w:p>
    <w:p>
      <w:pPr>
        <w:spacing w:after="40"/>
        <w:ind w:left="369" w:hanging="227"/>
      </w:pPr>
      <w:r>
        <w:rPr>
          <w:rFonts w:ascii="Arial" w:hAnsi="Arial" w:cs="Arial"/>
          <w:sz w:val="22"/>
        </w:rPr>
        <w:t xml:space="preserve">3. </w:t>
      </w:r>
      <w:r>
        <w:rPr>
          <w:rFonts w:ascii="Arial" w:hAnsi="Arial" w:cs="Arial"/>
          <w:b/>
          <w:sz w:val="22"/>
        </w:rPr>
        <w:t>Solo Congreso y Senado eligen por tres quintos.</w:t>
      </w:r>
      <w:r>
        <w:rPr>
          <w:rFonts w:ascii="Arial" w:hAnsi="Arial" w:cs="Arial"/>
          <w:sz w:val="22"/>
        </w:rPr>
        <w:t xml:space="preserve"> El Gobierno propone dos y el CGPJ otros dos; todos son nombrados por el Rey.</w:t>
      </w:r>
    </w:p>
    <w:p>
      <w:pPr>
        <w:spacing w:after="40"/>
        <w:ind w:left="369" w:hanging="227"/>
      </w:pPr>
      <w:r>
        <w:rPr>
          <w:rFonts w:ascii="Arial" w:hAnsi="Arial" w:cs="Arial"/>
          <w:sz w:val="22"/>
        </w:rPr>
        <w:t xml:space="preserve">4. </w:t>
      </w:r>
      <w:r>
        <w:rPr>
          <w:rFonts w:ascii="Arial" w:hAnsi="Arial" w:cs="Arial"/>
          <w:b/>
          <w:sz w:val="22"/>
        </w:rPr>
        <w:t>La experiencia exigida es superior a quince años</w:t>
      </w:r>
      <w:r>
        <w:rPr>
          <w:rFonts w:ascii="Arial" w:hAnsi="Arial" w:cs="Arial"/>
          <w:sz w:val="22"/>
        </w:rPr>
        <w:t>, no exactamente quince.</w:t>
      </w:r>
    </w:p>
    <w:p>
      <w:pPr>
        <w:spacing w:after="40"/>
        <w:ind w:left="369" w:hanging="227"/>
      </w:pPr>
      <w:r>
        <w:rPr>
          <w:rFonts w:ascii="Arial" w:hAnsi="Arial" w:cs="Arial"/>
          <w:sz w:val="22"/>
        </w:rPr>
        <w:t xml:space="preserve">5. </w:t>
      </w:r>
      <w:r>
        <w:rPr>
          <w:rFonts w:ascii="Arial" w:hAnsi="Arial" w:cs="Arial"/>
          <w:b/>
          <w:sz w:val="22"/>
        </w:rPr>
        <w:t>Presidente y magistrados tienen mandatos distintos.</w:t>
      </w:r>
      <w:r>
        <w:rPr>
          <w:rFonts w:ascii="Arial" w:hAnsi="Arial" w:cs="Arial"/>
          <w:sz w:val="22"/>
        </w:rPr>
        <w:t xml:space="preserve"> La presidencia dura tres años; el mandato como magistrado, nueve.</w:t>
      </w:r>
    </w:p>
    <w:p>
      <w:pPr>
        <w:spacing w:after="40"/>
        <w:ind w:left="369" w:hanging="227"/>
      </w:pPr>
      <w:r>
        <w:rPr>
          <w:rFonts w:ascii="Arial" w:hAnsi="Arial" w:cs="Arial"/>
          <w:sz w:val="22"/>
        </w:rPr>
        <w:t xml:space="preserve">6. </w:t>
      </w:r>
      <w:r>
        <w:rPr>
          <w:rFonts w:ascii="Arial" w:hAnsi="Arial" w:cs="Arial"/>
          <w:b/>
          <w:sz w:val="22"/>
        </w:rPr>
        <w:t>La admisión de un recurso de inconstitucionalidad no suspende ordinariamente la ley.</w:t>
      </w:r>
      <w:r>
        <w:rPr>
          <w:rFonts w:ascii="Arial" w:hAnsi="Arial" w:cs="Arial"/>
          <w:sz w:val="22"/>
        </w:rPr>
        <w:t xml:space="preserve"> La excepción autonómica deriva del artículo 161.2.</w:t>
      </w:r>
    </w:p>
    <w:p>
      <w:pPr>
        <w:spacing w:after="40"/>
        <w:ind w:left="369" w:hanging="227"/>
      </w:pPr>
      <w:r>
        <w:rPr>
          <w:rFonts w:ascii="Arial" w:hAnsi="Arial" w:cs="Arial"/>
          <w:sz w:val="22"/>
        </w:rPr>
        <w:t xml:space="preserve">7. </w:t>
      </w:r>
      <w:r>
        <w:rPr>
          <w:rFonts w:ascii="Arial" w:hAnsi="Arial" w:cs="Arial"/>
          <w:b/>
          <w:sz w:val="22"/>
        </w:rPr>
        <w:t>La cuestión no la plantea una parte.</w:t>
      </w:r>
      <w:r>
        <w:rPr>
          <w:rFonts w:ascii="Arial" w:hAnsi="Arial" w:cs="Arial"/>
          <w:sz w:val="22"/>
        </w:rPr>
        <w:t xml:space="preserve"> La parte puede pedirlo, pero decide y plantea el órgano judicial.</w:t>
      </w:r>
    </w:p>
    <w:p>
      <w:pPr>
        <w:spacing w:after="40"/>
        <w:ind w:left="369" w:hanging="227"/>
      </w:pPr>
      <w:r>
        <w:rPr>
          <w:rFonts w:ascii="Arial" w:hAnsi="Arial" w:cs="Arial"/>
          <w:sz w:val="22"/>
        </w:rPr>
        <w:t xml:space="preserve">8. </w:t>
      </w:r>
      <w:r>
        <w:rPr>
          <w:rFonts w:ascii="Arial" w:hAnsi="Arial" w:cs="Arial"/>
          <w:b/>
          <w:sz w:val="22"/>
        </w:rPr>
        <w:t>“En ningún caso serán suspensivos” no significa que siga el proceso judicial.</w:t>
      </w:r>
      <w:r>
        <w:rPr>
          <w:rFonts w:ascii="Arial" w:hAnsi="Arial" w:cs="Arial"/>
          <w:sz w:val="22"/>
        </w:rPr>
        <w:t xml:space="preserve"> No se suspende la vigencia general de la ley, pero sí el proceso concreto tras el planteamiento.</w:t>
      </w:r>
    </w:p>
    <w:p>
      <w:pPr>
        <w:spacing w:after="40"/>
        <w:ind w:left="369" w:hanging="227"/>
      </w:pPr>
      <w:r>
        <w:rPr>
          <w:rFonts w:ascii="Arial" w:hAnsi="Arial" w:cs="Arial"/>
          <w:sz w:val="22"/>
        </w:rPr>
        <w:t xml:space="preserve">9. </w:t>
      </w:r>
      <w:r>
        <w:rPr>
          <w:rFonts w:ascii="Arial" w:hAnsi="Arial" w:cs="Arial"/>
          <w:b/>
          <w:sz w:val="22"/>
        </w:rPr>
        <w:t>El amparo no cubre todos los derechos constitucionales.</w:t>
      </w:r>
      <w:r>
        <w:rPr>
          <w:rFonts w:ascii="Arial" w:hAnsi="Arial" w:cs="Arial"/>
          <w:sz w:val="22"/>
        </w:rPr>
        <w:t xml:space="preserve"> Se limita a los artículos 14 a 29 y a la objeción de conciencia del artículo 30.2.</w:t>
      </w:r>
    </w:p>
    <w:p>
      <w:pPr>
        <w:spacing w:after="40"/>
        <w:ind w:left="369" w:hanging="227"/>
      </w:pPr>
      <w:r>
        <w:rPr>
          <w:rFonts w:ascii="Arial" w:hAnsi="Arial" w:cs="Arial"/>
          <w:sz w:val="22"/>
        </w:rPr>
        <w:t xml:space="preserve">10. </w:t>
      </w:r>
      <w:r>
        <w:rPr>
          <w:rFonts w:ascii="Arial" w:hAnsi="Arial" w:cs="Arial"/>
          <w:b/>
          <w:sz w:val="22"/>
        </w:rPr>
        <w:t>Los plazos de amparo dependen del origen de la lesión:</w:t>
      </w:r>
      <w:r>
        <w:rPr>
          <w:rFonts w:ascii="Arial" w:hAnsi="Arial" w:cs="Arial"/>
          <w:sz w:val="22"/>
        </w:rPr>
        <w:t xml:space="preserve"> tres meses, veinte días o treinta días.</w:t>
      </w:r>
    </w:p>
    <w:p>
      <w:pPr>
        <w:spacing w:after="40"/>
        <w:ind w:left="369" w:hanging="227"/>
      </w:pPr>
      <w:r>
        <w:rPr>
          <w:rFonts w:ascii="Arial" w:hAnsi="Arial" w:cs="Arial"/>
          <w:sz w:val="22"/>
        </w:rPr>
        <w:t xml:space="preserve">11. </w:t>
      </w:r>
      <w:r>
        <w:rPr>
          <w:rFonts w:ascii="Arial" w:hAnsi="Arial" w:cs="Arial"/>
          <w:b/>
          <w:sz w:val="22"/>
        </w:rPr>
        <w:t>El recurso previo actual no se dirige contra cualquier ley.</w:t>
      </w:r>
      <w:r>
        <w:rPr>
          <w:rFonts w:ascii="Arial" w:hAnsi="Arial" w:cs="Arial"/>
          <w:sz w:val="22"/>
        </w:rPr>
        <w:t xml:space="preserve"> Se limita a proyectos de estatuto y propuestas de reforma de estatutos.</w:t>
      </w:r>
    </w:p>
    <w:p>
      <w:pPr>
        <w:spacing w:after="40"/>
        <w:ind w:left="369" w:hanging="227"/>
      </w:pPr>
      <w:r>
        <w:rPr>
          <w:rFonts w:ascii="Arial" w:hAnsi="Arial" w:cs="Arial"/>
          <w:sz w:val="22"/>
        </w:rPr>
        <w:t xml:space="preserve">12. </w:t>
      </w:r>
      <w:r>
        <w:rPr>
          <w:rFonts w:ascii="Arial" w:hAnsi="Arial" w:cs="Arial"/>
          <w:b/>
          <w:sz w:val="22"/>
        </w:rPr>
        <w:t>La autonomía local se defiende frente a normas con rango de ley.</w:t>
      </w:r>
      <w:r>
        <w:rPr>
          <w:rFonts w:ascii="Arial" w:hAnsi="Arial" w:cs="Arial"/>
          <w:sz w:val="22"/>
        </w:rPr>
        <w:t xml:space="preserve"> Su declaración de inconstitucionalidad exige una fase posterior específica.</w:t>
      </w:r>
    </w:p>
    <w:p>
      <w:pPr>
        <w:spacing w:after="40"/>
        <w:ind w:left="369" w:hanging="227"/>
      </w:pPr>
      <w:r>
        <w:rPr>
          <w:rFonts w:ascii="Arial" w:hAnsi="Arial" w:cs="Arial"/>
          <w:sz w:val="22"/>
        </w:rPr>
        <w:t xml:space="preserve">13. </w:t>
      </w:r>
      <w:r>
        <w:rPr>
          <w:rFonts w:ascii="Arial" w:hAnsi="Arial" w:cs="Arial"/>
          <w:b/>
          <w:sz w:val="22"/>
        </w:rPr>
        <w:t>Los votos particulares no anulan el fallo.</w:t>
      </w:r>
      <w:r>
        <w:rPr>
          <w:rFonts w:ascii="Arial" w:hAnsi="Arial" w:cs="Arial"/>
          <w:sz w:val="22"/>
        </w:rPr>
        <w:t xml:space="preserve"> Se publican y expresan la discrepancia, pero la decisión mayoritaria es vinculante.</w:t>
      </w:r>
    </w:p>
    <w:p>
      <w:pPr>
        <w:spacing w:after="40"/>
        <w:ind w:left="369" w:hanging="227"/>
      </w:pPr>
      <w:r>
        <w:rPr>
          <w:rFonts w:ascii="Arial" w:hAnsi="Arial" w:cs="Arial"/>
          <w:sz w:val="22"/>
        </w:rPr>
        <w:t xml:space="preserve">14. </w:t>
      </w:r>
      <w:r>
        <w:rPr>
          <w:rFonts w:ascii="Arial" w:hAnsi="Arial" w:cs="Arial"/>
          <w:b/>
          <w:sz w:val="22"/>
        </w:rPr>
        <w:t>Inconstitucionalidad y nulidad suelen ir unidas, pero los efectos se modulan conforme a la Constitución y la LOTC</w:t>
      </w:r>
      <w:r>
        <w:rPr>
          <w:rFonts w:ascii="Arial" w:hAnsi="Arial" w:cs="Arial"/>
          <w:sz w:val="22"/>
        </w:rPr>
        <w:t>, especialmente respecto de sentencias firmes.</w:t>
      </w:r>
    </w:p>
    <w:p>
      <w:pPr>
        <w:pStyle w:val="Heading1"/>
        <w:keepNext/>
      </w:pPr>
      <w:r>
        <w:rPr>
          <w:rFonts w:ascii="Arial" w:hAnsi="Arial" w:cs="Arial"/>
          <w:sz w:val="30"/>
        </w:rPr>
        <w:t>13. Resumen final</w:t>
      </w:r>
    </w:p>
    <w:p>
      <w:pPr>
        <w:jc w:val="both"/>
      </w:pPr>
      <w:r>
        <w:rPr>
          <w:rFonts w:ascii="Arial" w:hAnsi="Arial" w:cs="Arial"/>
          <w:sz w:val="22"/>
        </w:rPr>
        <w:t>El Tribunal Constitucional es el intérprete supremo de la Constitución, independiente, único y con jurisdicción nacional. Lo integran doce magistrados nombrados por el Rey: cuatro a propuesta del Congreso por tres quintos, cuatro del Senado por igual mayoría, dos del Gobierno y dos del CGPJ. Han de ser juristas españoles de reconocida competencia con más de quince años de ejercicio. Su mandato es de nueve años y la renovación se realiza por tercios cada tres.</w:t>
      </w:r>
    </w:p>
    <w:p>
      <w:pPr>
        <w:jc w:val="both"/>
      </w:pPr>
      <w:r>
        <w:rPr>
          <w:rFonts w:ascii="Arial" w:hAnsi="Arial" w:cs="Arial"/>
          <w:sz w:val="22"/>
        </w:rPr>
        <w:t>Actúa en Pleno, dos Salas de seis miembros y Secciones de tres. El Presidente y el Vicepresidente son elegidos por el Pleno por tres años. El Pleno y las Salas necesitan un cuórum de dos tercios; las decisiones se adoptan, salvo regla especial, por mayoría y el presidente desempata.</w:t>
      </w:r>
    </w:p>
    <w:p>
      <w:pPr>
        <w:jc w:val="both"/>
      </w:pPr>
      <w:r>
        <w:rPr>
          <w:rFonts w:ascii="Arial" w:hAnsi="Arial" w:cs="Arial"/>
          <w:sz w:val="22"/>
        </w:rPr>
        <w:t>Sus atribuciones centrales son controlar normas con fuerza de ley mediante recurso o cuestión de inconstitucionalidad, proteger derechos mediante amparo, resolver conflictos territoriales y orgánicos, controlar previamente ciertos tratados y textos estatutarios e intervenir en las impugnaciones autonómicas del artículo 161.2. Sus sentencias son irrecurribles, se publican en el BOE, vinculan a los poderes públicos y, cuando corresponde, producen efectos generales.</w:t>
      </w:r>
    </w:p>
    <w:p>
      <w:pPr>
        <w:pStyle w:val="Heading1"/>
        <w:keepNext/>
      </w:pPr>
      <w:r>
        <w:rPr>
          <w:rFonts w:ascii="Arial" w:hAnsi="Arial" w:cs="Arial"/>
          <w:sz w:val="30"/>
        </w:rPr>
        <w:t>14. Datos preguntables</w:t>
      </w:r>
    </w:p>
    <w:p>
      <w:pPr>
        <w:pStyle w:val="ListBullet"/>
      </w:pPr>
      <w:r>
        <w:rPr>
          <w:rFonts w:ascii="Arial" w:hAnsi="Arial" w:cs="Arial"/>
          <w:sz w:val="22"/>
        </w:rPr>
        <w:t>12 magistrados: 4 Congreso, 4 Senado, 2 Gobierno y 2 CGPJ.</w:t>
      </w:r>
    </w:p>
    <w:p>
      <w:pPr>
        <w:pStyle w:val="ListBullet"/>
      </w:pPr>
      <w:r>
        <w:rPr>
          <w:rFonts w:ascii="Arial" w:hAnsi="Arial" w:cs="Arial"/>
          <w:sz w:val="22"/>
        </w:rPr>
        <w:t>Mayoría parlamentaria de propuesta: tres quintos.</w:t>
      </w:r>
    </w:p>
    <w:p>
      <w:pPr>
        <w:pStyle w:val="ListBullet"/>
      </w:pPr>
      <w:r>
        <w:rPr>
          <w:rFonts w:ascii="Arial" w:hAnsi="Arial" w:cs="Arial"/>
          <w:sz w:val="22"/>
        </w:rPr>
        <w:t>Presencia equilibrada en cada propuesta: mínimo del 40 % de cada sexo.</w:t>
      </w:r>
    </w:p>
    <w:p>
      <w:pPr>
        <w:pStyle w:val="ListBullet"/>
      </w:pPr>
      <w:r>
        <w:rPr>
          <w:rFonts w:ascii="Arial" w:hAnsi="Arial" w:cs="Arial"/>
          <w:sz w:val="22"/>
        </w:rPr>
        <w:t>Experiencia profesional: más de 15 años.</w:t>
      </w:r>
    </w:p>
    <w:p>
      <w:pPr>
        <w:pStyle w:val="ListBullet"/>
      </w:pPr>
      <w:r>
        <w:rPr>
          <w:rFonts w:ascii="Arial" w:hAnsi="Arial" w:cs="Arial"/>
          <w:sz w:val="22"/>
        </w:rPr>
        <w:t>Mandato: 9 años; renovación de un tercio cada 3 años.</w:t>
      </w:r>
    </w:p>
    <w:p>
      <w:pPr>
        <w:pStyle w:val="ListBullet"/>
      </w:pPr>
      <w:r>
        <w:rPr>
          <w:rFonts w:ascii="Arial" w:hAnsi="Arial" w:cs="Arial"/>
          <w:sz w:val="22"/>
        </w:rPr>
        <w:t>Petición de inicio de la renovación: antes de los 4 meses previos al vencimiento.</w:t>
      </w:r>
    </w:p>
    <w:p>
      <w:pPr>
        <w:pStyle w:val="ListBullet"/>
      </w:pPr>
      <w:r>
        <w:rPr>
          <w:rFonts w:ascii="Arial" w:hAnsi="Arial" w:cs="Arial"/>
          <w:sz w:val="22"/>
        </w:rPr>
        <w:t>Presidencia y Vicepresidencia: 3 años; el Presidente puede ser reelegido una vez.</w:t>
      </w:r>
    </w:p>
    <w:p>
      <w:pPr>
        <w:pStyle w:val="ListBullet"/>
      </w:pPr>
      <w:r>
        <w:rPr>
          <w:rFonts w:ascii="Arial" w:hAnsi="Arial" w:cs="Arial"/>
          <w:sz w:val="22"/>
        </w:rPr>
        <w:t>Salas: 2, con 6 magistrados cada una.</w:t>
      </w:r>
    </w:p>
    <w:p>
      <w:pPr>
        <w:pStyle w:val="ListBullet"/>
      </w:pPr>
      <w:r>
        <w:rPr>
          <w:rFonts w:ascii="Arial" w:hAnsi="Arial" w:cs="Arial"/>
          <w:sz w:val="22"/>
        </w:rPr>
        <w:t>Secciones: 3 integrantes.</w:t>
      </w:r>
    </w:p>
    <w:p>
      <w:pPr>
        <w:pStyle w:val="ListBullet"/>
      </w:pPr>
      <w:r>
        <w:rPr>
          <w:rFonts w:ascii="Arial" w:hAnsi="Arial" w:cs="Arial"/>
          <w:sz w:val="22"/>
        </w:rPr>
        <w:t>Cuórum de Pleno y Salas: dos tercios.</w:t>
      </w:r>
    </w:p>
    <w:p>
      <w:pPr>
        <w:pStyle w:val="ListBullet"/>
      </w:pPr>
      <w:r>
        <w:rPr>
          <w:rFonts w:ascii="Arial" w:hAnsi="Arial" w:cs="Arial"/>
          <w:sz w:val="22"/>
        </w:rPr>
        <w:t>Incompatibilidad: opción por el cargo en 10 días.</w:t>
      </w:r>
    </w:p>
    <w:p>
      <w:pPr>
        <w:pStyle w:val="ListBullet"/>
      </w:pPr>
      <w:r>
        <w:rPr>
          <w:rFonts w:ascii="Arial" w:hAnsi="Arial" w:cs="Arial"/>
          <w:sz w:val="22"/>
        </w:rPr>
        <w:t>Suspensión o determinados ceses del magistrado: tres cuartas partes del Pleno.</w:t>
      </w:r>
    </w:p>
    <w:p>
      <w:pPr>
        <w:pStyle w:val="ListBullet"/>
      </w:pPr>
      <w:r>
        <w:rPr>
          <w:rFonts w:ascii="Arial" w:hAnsi="Arial" w:cs="Arial"/>
          <w:sz w:val="22"/>
        </w:rPr>
        <w:t>Recurso de inconstitucionalidad: 3 meses; vía negociada, 9 meses.</w:t>
      </w:r>
    </w:p>
    <w:p>
      <w:pPr>
        <w:pStyle w:val="ListBullet"/>
      </w:pPr>
      <w:r>
        <w:rPr>
          <w:rFonts w:ascii="Arial" w:hAnsi="Arial" w:cs="Arial"/>
          <w:sz w:val="22"/>
        </w:rPr>
        <w:t>Audiencia previa a la cuestión: 10 días; decisión judicial: 3 días.</w:t>
      </w:r>
    </w:p>
    <w:p>
      <w:pPr>
        <w:pStyle w:val="ListBullet"/>
      </w:pPr>
      <w:r>
        <w:rPr>
          <w:rFonts w:ascii="Arial" w:hAnsi="Arial" w:cs="Arial"/>
          <w:sz w:val="22"/>
        </w:rPr>
        <w:t>Personación de las partes tras publicarse la cuestión: 15 días; alegaciones: otros 15.</w:t>
      </w:r>
    </w:p>
    <w:p>
      <w:pPr>
        <w:pStyle w:val="ListBullet"/>
      </w:pPr>
      <w:r>
        <w:rPr>
          <w:rFonts w:ascii="Arial" w:hAnsi="Arial" w:cs="Arial"/>
          <w:sz w:val="22"/>
        </w:rPr>
        <w:t>Amparo: 3 meses para actos parlamentarios; 20 días para actos ejecutivos; 30 días para actos judiciales.</w:t>
      </w:r>
    </w:p>
    <w:p>
      <w:pPr>
        <w:pStyle w:val="ListBullet"/>
      </w:pPr>
      <w:r>
        <w:rPr>
          <w:rFonts w:ascii="Arial" w:hAnsi="Arial" w:cs="Arial"/>
          <w:sz w:val="22"/>
        </w:rPr>
        <w:t>Subsanación de la demanda de amparo: 10 días.</w:t>
      </w:r>
    </w:p>
    <w:p>
      <w:pPr>
        <w:pStyle w:val="ListBullet"/>
      </w:pPr>
      <w:r>
        <w:rPr>
          <w:rFonts w:ascii="Arial" w:hAnsi="Arial" w:cs="Arial"/>
          <w:sz w:val="22"/>
        </w:rPr>
        <w:t>Recurso del Fiscal contra inadmisión de amparo: súplica en 3 días.</w:t>
      </w:r>
    </w:p>
    <w:p>
      <w:pPr>
        <w:pStyle w:val="ListBullet"/>
      </w:pPr>
      <w:r>
        <w:rPr>
          <w:rFonts w:ascii="Arial" w:hAnsi="Arial" w:cs="Arial"/>
          <w:sz w:val="22"/>
        </w:rPr>
        <w:t>Conflicto positivo: plazo general de 2 meses.</w:t>
      </w:r>
    </w:p>
    <w:p>
      <w:pPr>
        <w:pStyle w:val="ListBullet"/>
      </w:pPr>
      <w:r>
        <w:rPr>
          <w:rFonts w:ascii="Arial" w:hAnsi="Arial" w:cs="Arial"/>
          <w:sz w:val="22"/>
        </w:rPr>
        <w:t>Suspensión del artículo 161.2: revisión en plazo máximo de 5 meses.</w:t>
      </w:r>
    </w:p>
    <w:p>
      <w:pPr>
        <w:pStyle w:val="ListBullet"/>
      </w:pPr>
      <w:r>
        <w:rPr>
          <w:rFonts w:ascii="Arial" w:hAnsi="Arial" w:cs="Arial"/>
          <w:sz w:val="22"/>
        </w:rPr>
        <w:t>Recurso previo estatutario: 3 días; resolución en 6 meses improrrogables.</w:t>
      </w:r>
    </w:p>
    <w:p>
      <w:pPr>
        <w:pStyle w:val="ListBullet"/>
      </w:pPr>
      <w:r>
        <w:rPr>
          <w:rFonts w:ascii="Arial" w:hAnsi="Arial" w:cs="Arial"/>
          <w:sz w:val="22"/>
        </w:rPr>
        <w:t>Publicación de sentencias y declaraciones sobre tratados: dentro de 30 días desde el fallo.</w:t>
      </w:r>
    </w:p>
    <w:p>
      <w:pPr>
        <w:pStyle w:val="ListBullet"/>
      </w:pPr>
      <w:r>
        <w:rPr>
          <w:rFonts w:ascii="Arial" w:hAnsi="Arial" w:cs="Arial"/>
          <w:sz w:val="22"/>
        </w:rPr>
        <w:t>Aclaración de sentencia: 2 días.</w:t>
      </w:r>
    </w:p>
    <w:p>
      <w:pPr>
        <w:pStyle w:val="ListBullet"/>
      </w:pPr>
      <w:r>
        <w:rPr>
          <w:rFonts w:ascii="Arial" w:hAnsi="Arial" w:cs="Arial"/>
          <w:sz w:val="22"/>
        </w:rPr>
        <w:t>Multa coercitiva por incumplimiento: 3.000 a 30.000 euros, reiterable.</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2, 2025: 3,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Ley Orgánica 2/1979 (7).</w:t>
      </w:r>
    </w:p>
    <w:p>
      <w:pPr>
        <w:jc w:val="both"/>
      </w:pPr>
      <w:r>
        <w:rPr>
          <w:rFonts w:ascii="Arial" w:hAnsi="Arial" w:cs="Arial"/>
          <w:b/>
          <w:sz w:val="22"/>
        </w:rPr>
        <w:t>Artículos o preceptos más repetidos:</w:t>
      </w:r>
      <w:r>
        <w:rPr>
          <w:rFonts w:ascii="Arial" w:hAnsi="Arial" w:cs="Arial"/>
          <w:sz w:val="22"/>
        </w:rPr>
        <w:t xml:space="preserve"> 9 (1); 59 (1); 17 (1); 7 (1); 12 (1); 23 (1); 16 (1).</w:t>
      </w:r>
    </w:p>
    <w:p>
      <w:pPr>
        <w:jc w:val="both"/>
      </w:pPr>
      <w:r>
        <w:rPr>
          <w:rFonts w:ascii="Arial" w:hAnsi="Arial" w:cs="Arial"/>
          <w:b/>
          <w:sz w:val="22"/>
        </w:rPr>
        <w:t>Formas de pregunta predominantes:</w:t>
      </w:r>
      <w:r>
        <w:rPr>
          <w:rFonts w:ascii="Arial" w:hAnsi="Arial" w:cs="Arial"/>
          <w:sz w:val="22"/>
        </w:rPr>
        <w:t xml:space="preserve"> Artículos literales (6); Competencias (1).</w:t>
      </w:r>
    </w:p>
    <w:p>
      <w:pPr>
        <w:pStyle w:val="Heading2"/>
        <w:keepNext/>
      </w:pPr>
      <w:r>
        <w:rPr>
          <w:rFonts w:ascii="Arial" w:hAnsi="Arial" w:cs="Arial"/>
          <w:sz w:val="25"/>
        </w:rPr>
        <w:t>Patrones observados</w:t>
      </w:r>
    </w:p>
    <w:p>
      <w:pPr>
        <w:pStyle w:val="ListBullet"/>
      </w:pPr>
      <w:r>
        <w:rPr>
          <w:rFonts w:ascii="Arial" w:hAnsi="Arial" w:cs="Arial"/>
          <w:b/>
          <w:sz w:val="22"/>
        </w:rPr>
        <w:t>2024, teoría 71, reserva:</w:t>
      </w:r>
      <w:r>
        <w:rPr>
          <w:rFonts w:ascii="Arial" w:hAnsi="Arial" w:cs="Arial"/>
          <w:sz w:val="22"/>
        </w:rPr>
        <w:t xml:space="preserve"> Según el artículo 59 de la Ley Orgánica 2/1979, de 3 de octubre, eI Tribunal Constitucional entenderá de -los conflictos que se susciten sobre las competencias o atribuciones asignadas directamente por la…</w:t>
      </w:r>
    </w:p>
    <w:p>
      <w:pPr>
        <w:pStyle w:val="ListBullet"/>
      </w:pPr>
      <w:r>
        <w:rPr>
          <w:rFonts w:ascii="Arial" w:hAnsi="Arial" w:cs="Arial"/>
          <w:b/>
          <w:sz w:val="22"/>
        </w:rPr>
        <w:t>2024, teoría 3:</w:t>
      </w:r>
      <w:r>
        <w:rPr>
          <w:rFonts w:ascii="Arial" w:hAnsi="Arial" w:cs="Arial"/>
          <w:sz w:val="22"/>
        </w:rPr>
        <w:t xml:space="preserve"> Según 10 establecido en el artículo 9 de la Ley Orgánica 2/1979, de 3 de octubre, del Tribunal Constitucional, en relación al Presidente:</w:t>
      </w:r>
    </w:p>
    <w:p>
      <w:pPr>
        <w:pStyle w:val="ListBullet"/>
      </w:pPr>
      <w:r>
        <w:rPr>
          <w:rFonts w:ascii="Arial" w:hAnsi="Arial" w:cs="Arial"/>
          <w:b/>
          <w:sz w:val="22"/>
        </w:rPr>
        <w:t>2025, teoría 3:</w:t>
      </w:r>
      <w:r>
        <w:rPr>
          <w:rFonts w:ascii="Arial" w:hAnsi="Arial" w:cs="Arial"/>
          <w:sz w:val="22"/>
        </w:rPr>
        <w:t xml:space="preserve"> Según el articulo 17 de la Ley Orgánica 2/1979, de 3 de octubre, del Tribunal Constitucional:</w:t>
      </w:r>
    </w:p>
    <w:p>
      <w:pPr>
        <w:pStyle w:val="ListBullet"/>
      </w:pPr>
      <w:r>
        <w:rPr>
          <w:rFonts w:ascii="Arial" w:hAnsi="Arial" w:cs="Arial"/>
          <w:b/>
          <w:sz w:val="22"/>
        </w:rPr>
        <w:t>2025, teoría 3:</w:t>
      </w:r>
      <w:r>
        <w:rPr>
          <w:rFonts w:ascii="Arial" w:hAnsi="Arial" w:cs="Arial"/>
          <w:sz w:val="22"/>
        </w:rPr>
        <w:t xml:space="preserve"> Según el artículo 7 de Ea Ley Orgánica 2/1979, de 3 de octubre, del Tribunal Constitucional, señale la afirmación correcta:</w:t>
      </w:r>
    </w:p>
    <w:p>
      <w:pPr>
        <w:pStyle w:val="ListBullet"/>
      </w:pPr>
      <w:r>
        <w:rPr>
          <w:rFonts w:ascii="Arial" w:hAnsi="Arial" w:cs="Arial"/>
          <w:b/>
          <w:sz w:val="22"/>
        </w:rPr>
        <w:t>2025, teoría 3:</w:t>
      </w:r>
      <w:r>
        <w:rPr>
          <w:rFonts w:ascii="Arial" w:hAnsi="Arial" w:cs="Arial"/>
          <w:sz w:val="22"/>
        </w:rPr>
        <w:t xml:space="preserve"> Según el artículo 12 de la Ley Orgánica 2/1979, de 3 de octubre, del Tribunal Constitucional, señale la afirmación correcta:</w:t>
      </w:r>
    </w:p>
    <w:p>
      <w:pPr>
        <w:pStyle w:val="ListBullet"/>
      </w:pPr>
      <w:r>
        <w:rPr>
          <w:rFonts w:ascii="Arial" w:hAnsi="Arial" w:cs="Arial"/>
          <w:b/>
          <w:sz w:val="22"/>
        </w:rPr>
        <w:t>2026, teoría 4:</w:t>
      </w:r>
      <w:r>
        <w:rPr>
          <w:rFonts w:ascii="Arial" w:hAnsi="Arial" w:cs="Arial"/>
          <w:sz w:val="22"/>
        </w:rPr>
        <w:t xml:space="preserve"> Conforme a 10 previsto en el artículo 23 de la Ley Orgánica 2/1979, de 3 de octubre, del Tribunal Constitucional, la decisión sobre el cese de los Magistrados del Tribunal Constitucional requerirá mayoría…</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del BOE (https://www.boe.es/buscar/act.php?id=BOE-A-1978-31229)</w:t>
      </w:r>
    </w:p>
    <w:p>
      <w:pPr>
        <w:pStyle w:val="ListBullet"/>
        <w:ind w:left="397" w:hanging="198"/>
      </w:pPr>
      <w:r>
        <w:rPr>
          <w:rFonts w:ascii="Arial" w:hAnsi="Arial" w:cs="Arial"/>
          <w:sz w:val="18"/>
        </w:rPr>
        <w:t>Ley Orgánica 2/1979, de 3 de octubre, del Tribunal Constitucional, texto consolidado del BOE (https://www.boe.es/buscar/act.php?id=BOE-A-1979-23709)</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G03 · Tema 3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 El Tribunal Constitucional. Organización, composición y atribuciones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