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4</w:t>
      </w:r>
    </w:p>
    <w:p>
      <w:pPr>
        <w:keepNext/>
        <w:spacing w:before="0" w:after="280"/>
        <w:pBdr>
          <w:bottom w:val="single" w:sz="12" w:space="1" w:color="2F75B5"/>
        </w:pBdr>
      </w:pPr>
      <w:r>
        <w:rPr>
          <w:rFonts w:ascii="Arial" w:hAnsi="Arial" w:cs="Arial"/>
          <w:b/>
          <w:color w:val="17365D"/>
          <w:sz w:val="40"/>
        </w:rPr>
        <w:t>La Corona. Funciones constitucionales del Rey. Sucesión y regencia. El refrendo.</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b/>
          <w:sz w:val="22"/>
        </w:rPr>
        <w:t>Actualización normativa: 30 de julio de 2026.</w:t>
      </w:r>
    </w:p>
    <w:p>
      <w:pPr>
        <w:jc w:val="both"/>
      </w:pPr>
      <w:r>
        <w:rPr>
          <w:rFonts w:ascii="Arial" w:hAnsi="Arial" w:cs="Arial"/>
          <w:sz w:val="22"/>
        </w:rPr>
        <w:t>La forma política del Estado español es la Monarquía parlamentaria. La Corona es la institución constitucional en la que se encarna la Jefatura del Estado y se regula principalmente en el título II de la Constitución, artículos 56 a 65. El Rey ejerce únicamente las funciones que la Constitución y las leyes le atribuyen expresamente. La dirección política corresponde al Gobierno y la responsabilidad de los actos regios se desplaza, mediante el refrendo, a quien los refrenda.</w:t>
      </w:r>
    </w:p>
    <w:p>
      <w:pPr>
        <w:pStyle w:val="Heading1"/>
        <w:keepNext/>
      </w:pPr>
      <w:r>
        <w:rPr>
          <w:rFonts w:ascii="Arial" w:hAnsi="Arial" w:cs="Arial"/>
          <w:sz w:val="30"/>
        </w:rPr>
        <w:t>1. Marco constitucional de la Corona</w:t>
      </w:r>
    </w:p>
    <w:p>
      <w:pPr>
        <w:pStyle w:val="Heading2"/>
        <w:keepNext/>
      </w:pPr>
      <w:r>
        <w:rPr>
          <w:rFonts w:ascii="Arial" w:hAnsi="Arial" w:cs="Arial"/>
          <w:sz w:val="25"/>
        </w:rPr>
        <w:t>1.1. Monarquía parlamentaria y Jefatura del Estado</w:t>
      </w:r>
    </w:p>
    <w:p>
      <w:pPr>
        <w:jc w:val="both"/>
      </w:pPr>
      <w:r>
        <w:rPr>
          <w:rFonts w:ascii="Arial" w:hAnsi="Arial" w:cs="Arial"/>
          <w:sz w:val="22"/>
        </w:rPr>
        <w:t xml:space="preserve">El artículo 1.3 de la Constitución dispone que la forma política del Estado español es la </w:t>
      </w:r>
      <w:r>
        <w:rPr>
          <w:rFonts w:ascii="Arial" w:hAnsi="Arial" w:cs="Arial"/>
          <w:b/>
          <w:sz w:val="22"/>
        </w:rPr>
        <w:t>Monarquía parlamentaria</w:t>
      </w:r>
      <w:r>
        <w:rPr>
          <w:rFonts w:ascii="Arial" w:hAnsi="Arial" w:cs="Arial"/>
          <w:sz w:val="22"/>
        </w:rPr>
        <w:t>. Esta expresión reúne dos elementos:</w:t>
      </w:r>
    </w:p>
    <w:p>
      <w:pPr>
        <w:pStyle w:val="ListBullet"/>
      </w:pPr>
      <w:r>
        <w:rPr>
          <w:rFonts w:ascii="Arial" w:hAnsi="Arial" w:cs="Arial"/>
          <w:sz w:val="22"/>
        </w:rPr>
        <w:t>la Corona proporciona una Jefatura del Estado hereditaria;</w:t>
      </w:r>
    </w:p>
    <w:p>
      <w:pPr>
        <w:pStyle w:val="ListBullet"/>
      </w:pPr>
      <w:r>
        <w:rPr>
          <w:rFonts w:ascii="Arial" w:hAnsi="Arial" w:cs="Arial"/>
          <w:sz w:val="22"/>
        </w:rPr>
        <w:t>el sistema de gobierno es parlamentario: el Gobierno necesita la confianza del Congreso y dirige la política interior y exterior, la Administración y la defensa.</w:t>
      </w:r>
    </w:p>
    <w:p>
      <w:pPr>
        <w:jc w:val="both"/>
      </w:pPr>
      <w:r>
        <w:rPr>
          <w:rFonts w:ascii="Arial" w:hAnsi="Arial" w:cs="Arial"/>
          <w:sz w:val="22"/>
        </w:rPr>
        <w:t>El Rey no dirige la acción del Gobierno ni ejerce por sí una potestad política general. El artículo 97 atribuye al Gobierno la dirección política y la función ejecutiva, mientras que el artículo 56.1 asigna al Rey funciones institucionales y las competencias expresamente previstas. Los actos del Rey necesitan, como regla, refrendo y la responsabilidad recae en la persona que lo presta.</w:t>
      </w:r>
    </w:p>
    <w:p>
      <w:pPr>
        <w:jc w:val="both"/>
      </w:pPr>
      <w:r>
        <w:rPr>
          <w:rFonts w:ascii="Arial" w:hAnsi="Arial" w:cs="Arial"/>
          <w:sz w:val="22"/>
        </w:rPr>
        <w:t>La Corona no es solo la persona física del monarca. Es un órgano constitucional permanente, sometido a reglas sobre titularidad, sucesión, regencia, tutela, juramento, funciones y refrendo. La continuidad de la institución no depende de una elección periódica, sino del orden sucesorio establecido en el artículo 57.</w:t>
      </w:r>
    </w:p>
    <w:p>
      <w:pPr>
        <w:pStyle w:val="Heading2"/>
        <w:keepNext/>
      </w:pPr>
      <w:r>
        <w:rPr>
          <w:rFonts w:ascii="Arial" w:hAnsi="Arial" w:cs="Arial"/>
          <w:sz w:val="25"/>
        </w:rPr>
        <w:t>1.2. Regulación y protección constitucional</w:t>
      </w:r>
    </w:p>
    <w:p>
      <w:pPr>
        <w:jc w:val="both"/>
      </w:pPr>
      <w:r>
        <w:rPr>
          <w:rFonts w:ascii="Arial" w:hAnsi="Arial" w:cs="Arial"/>
          <w:sz w:val="22"/>
        </w:rPr>
        <w:t>El título II comprende diez artículos:</w:t>
      </w:r>
    </w:p>
    <w:tbl>
      <w:tblPr>
        <w:tblStyle w:val="TableGrid"/>
        <w:tblW w:type="dxa" w:w="9026"/>
        <w:jc w:val="left"/>
        <w:tblLayout w:type="fixed"/>
        <w:tblLook w:firstColumn="1" w:firstRow="1" w:lastColumn="0" w:lastRow="0" w:noHBand="0" w:noVBand="1" w:val="04A0"/>
        <w:tblInd w:w="120" w:type="dxa"/>
      </w:tblPr>
      <w:tblGrid>
        <w:gridCol w:w="1062"/>
        <w:gridCol w:w="7964"/>
      </w:tblGrid>
      <w:tr>
        <w:trPr>
          <w:tblHeader w:val="true"/>
        </w:trPr>
        <w:tc>
          <w:tcPr>
            <w:tcW w:type="dxa" w:w="106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Artículo</w:t>
            </w:r>
          </w:p>
        </w:tc>
        <w:tc>
          <w:tcPr>
            <w:tcW w:type="dxa" w:w="796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Materia principal</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56</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Posición del Rey, título, inviolabilidad, irresponsabilidad y refrendo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57</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Sucesión, Príncipe heredero, exclusión matrimonial, abdicación y renuncia</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58</w:t>
            </w:r>
          </w:p>
        </w:tc>
        <w:tc>
          <w:tcPr>
            <w:tcW w:type="dxa" w:w="7964"/>
            <w:tcMar>
              <w:top w:w="80" w:type="dxa"/>
              <w:start w:w="120" w:type="dxa"/>
              <w:bottom w:w="80" w:type="dxa"/>
              <w:end w:w="120" w:type="dxa"/>
            </w:tcMar>
            <w:vAlign w:val="center"/>
          </w:tcPr>
          <w:p>
            <w:pPr>
              <w:spacing w:before="0" w:after="0" w:line="240" w:lineRule="auto"/>
              <w:jc w:val="center"/>
            </w:pPr>
            <w:r/>
            <w:r>
              <w:rPr>
                <w:rFonts w:ascii="Arial" w:hAnsi="Arial" w:cs="Arial"/>
                <w:sz w:val="18"/>
              </w:rPr>
              <w:t>Consorte</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59</w:t>
            </w:r>
          </w:p>
        </w:tc>
        <w:tc>
          <w:tcPr>
            <w:tcW w:type="dxa" w:w="7964"/>
            <w:tcMar>
              <w:top w:w="80" w:type="dxa"/>
              <w:start w:w="120" w:type="dxa"/>
              <w:bottom w:w="80" w:type="dxa"/>
              <w:end w:w="120" w:type="dxa"/>
            </w:tcMar>
            <w:vAlign w:val="center"/>
          </w:tcPr>
          <w:p>
            <w:pPr>
              <w:spacing w:before="0" w:after="0" w:line="240" w:lineRule="auto"/>
              <w:jc w:val="center"/>
            </w:pPr>
            <w:r/>
            <w:r>
              <w:rPr>
                <w:rFonts w:ascii="Arial" w:hAnsi="Arial" w:cs="Arial"/>
                <w:sz w:val="18"/>
              </w:rPr>
              <w:t>Regencia</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60</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Tutela del Rey menor</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61</w:t>
            </w:r>
          </w:p>
        </w:tc>
        <w:tc>
          <w:tcPr>
            <w:tcW w:type="dxa" w:w="7964"/>
            <w:tcMar>
              <w:top w:w="80" w:type="dxa"/>
              <w:start w:w="120" w:type="dxa"/>
              <w:bottom w:w="80" w:type="dxa"/>
              <w:end w:w="120" w:type="dxa"/>
            </w:tcMar>
            <w:vAlign w:val="center"/>
          </w:tcPr>
          <w:p>
            <w:pPr>
              <w:spacing w:before="0" w:after="0" w:line="240" w:lineRule="auto"/>
              <w:jc w:val="center"/>
            </w:pPr>
            <w:r/>
            <w:r>
              <w:rPr>
                <w:rFonts w:ascii="Arial" w:hAnsi="Arial" w:cs="Arial"/>
                <w:sz w:val="18"/>
              </w:rPr>
              <w:t>Juramentos</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62</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Funciones internas del Rey</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63</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Funciones internacionales</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64</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Sujetos y efectos del refrendo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65</w:t>
            </w:r>
          </w:p>
        </w:tc>
        <w:tc>
          <w:tcPr>
            <w:tcW w:type="dxa" w:w="7964"/>
            <w:tcMar>
              <w:top w:w="80" w:type="dxa"/>
              <w:start w:w="120" w:type="dxa"/>
              <w:bottom w:w="80" w:type="dxa"/>
              <w:end w:w="120" w:type="dxa"/>
            </w:tcMar>
            <w:vAlign w:val="center"/>
          </w:tcPr>
          <w:p>
            <w:pPr>
              <w:spacing w:before="0" w:after="0" w:line="240" w:lineRule="auto"/>
              <w:jc w:val="left"/>
            </w:pPr>
            <w:r/>
            <w:r>
              <w:rPr>
                <w:rFonts w:ascii="Arial" w:hAnsi="Arial" w:cs="Arial"/>
                <w:sz w:val="18"/>
              </w:rPr>
              <w:t>Dotación de la Familia y Casa; nombramientos de la Casa</w:t>
            </w:r>
          </w:p>
        </w:tc>
      </w:tr>
    </w:tbl>
    <w:p>
      <w:pPr>
        <w:spacing w:after="40"/>
      </w:pPr>
    </w:p>
    <w:p>
      <w:pPr>
        <w:jc w:val="both"/>
      </w:pPr>
      <w:r>
        <w:rPr>
          <w:rFonts w:ascii="Arial" w:hAnsi="Arial" w:cs="Arial"/>
          <w:sz w:val="22"/>
        </w:rPr>
        <w:t>Una reforma constitucional que afecte al título II debe tramitarse por el procedimiento agravado del artículo 168: aprobación del principio por dos tercios de cada Cámara, disolución inmediata de las Cortes, ratificación por las nuevas Cámaras, aprobación del nuevo texto por dos tercios de ambas y referéndum obligatorio.</w:t>
      </w:r>
    </w:p>
    <w:p>
      <w:pPr>
        <w:pStyle w:val="Heading1"/>
        <w:keepNext/>
      </w:pPr>
      <w:r>
        <w:rPr>
          <w:rFonts w:ascii="Arial" w:hAnsi="Arial" w:cs="Arial"/>
          <w:sz w:val="30"/>
        </w:rPr>
        <w:t>2. Posición constitucional del Rey</w:t>
      </w:r>
    </w:p>
    <w:p>
      <w:pPr>
        <w:pStyle w:val="Heading2"/>
        <w:keepNext/>
      </w:pPr>
      <w:r>
        <w:rPr>
          <w:rFonts w:ascii="Arial" w:hAnsi="Arial" w:cs="Arial"/>
          <w:sz w:val="25"/>
        </w:rPr>
        <w:t>2.1. Jefe del Estado</w:t>
      </w:r>
    </w:p>
    <w:p>
      <w:pPr>
        <w:jc w:val="both"/>
      </w:pPr>
      <w:r>
        <w:rPr>
          <w:rFonts w:ascii="Arial" w:hAnsi="Arial" w:cs="Arial"/>
          <w:sz w:val="22"/>
        </w:rPr>
        <w:t xml:space="preserve">El artículo 56.1 define al Rey como </w:t>
      </w:r>
      <w:r>
        <w:rPr>
          <w:rFonts w:ascii="Arial" w:hAnsi="Arial" w:cs="Arial"/>
          <w:b/>
          <w:sz w:val="22"/>
        </w:rPr>
        <w:t>Jefe del Estado</w:t>
      </w:r>
      <w:r>
        <w:rPr>
          <w:rFonts w:ascii="Arial" w:hAnsi="Arial" w:cs="Arial"/>
          <w:sz w:val="22"/>
        </w:rPr>
        <w:t>. No es el jefe del Gobierno ni forma parte de este. La Jefatura del Estado explica su intervención formal en actos de los diferentes poderes: sanciona leyes, convoca elecciones, nombra al Presidente y a los ministros, acredita embajadores y efectúa nombramientos constitucionales. Esa intervención no altera la titularidad de las competencias de decisión que la Constitución atribuye al Parlamento, al Gobierno o a otros órganos.</w:t>
      </w:r>
    </w:p>
    <w:p>
      <w:pPr>
        <w:jc w:val="both"/>
      </w:pPr>
      <w:r>
        <w:rPr>
          <w:rFonts w:ascii="Arial" w:hAnsi="Arial" w:cs="Arial"/>
          <w:sz w:val="22"/>
        </w:rPr>
        <w:t xml:space="preserve">El Rey ostenta el título de </w:t>
      </w:r>
      <w:r>
        <w:rPr>
          <w:rFonts w:ascii="Arial" w:hAnsi="Arial" w:cs="Arial"/>
          <w:b/>
          <w:sz w:val="22"/>
        </w:rPr>
        <w:t>Rey de España</w:t>
      </w:r>
      <w:r>
        <w:rPr>
          <w:rFonts w:ascii="Arial" w:hAnsi="Arial" w:cs="Arial"/>
          <w:sz w:val="22"/>
        </w:rPr>
        <w:t xml:space="preserve"> y puede utilizar los demás títulos que correspondan a la Corona. El Real Decreto 1368/1987 concreta tratamientos y títulos de la Familia Real: el titular recibe tratamiento de Majestad; el heredero tiene la dignidad de Príncipe o Princesa de Asturias y tratamiento de Alteza Real.</w:t>
      </w:r>
    </w:p>
    <w:p>
      <w:pPr>
        <w:pStyle w:val="Heading2"/>
        <w:keepNext/>
      </w:pPr>
      <w:r>
        <w:rPr>
          <w:rFonts w:ascii="Arial" w:hAnsi="Arial" w:cs="Arial"/>
          <w:sz w:val="25"/>
        </w:rPr>
        <w:t>2.2. Símbolo de unidad y permanencia</w:t>
      </w:r>
    </w:p>
    <w:p>
      <w:pPr>
        <w:jc w:val="both"/>
      </w:pPr>
      <w:r>
        <w:rPr>
          <w:rFonts w:ascii="Arial" w:hAnsi="Arial" w:cs="Arial"/>
          <w:sz w:val="22"/>
        </w:rPr>
        <w:t>El Rey es símbolo de la unidad y permanencia del Estado. La unidad expresa la representación común del Estado frente a su pluralidad territorial, institucional y política. La permanencia alude a la continuidad de la Jefatura del Estado más allá de los cambios de Gobierno y de las legislaturas.</w:t>
      </w:r>
    </w:p>
    <w:p>
      <w:pPr>
        <w:jc w:val="both"/>
      </w:pPr>
      <w:r>
        <w:rPr>
          <w:rFonts w:ascii="Arial" w:hAnsi="Arial" w:cs="Arial"/>
          <w:sz w:val="22"/>
        </w:rPr>
        <w:t xml:space="preserve">Estas funciones simbólicas no crean una competencia abierta. El inciso final del artículo 56.1 es decisivo: el Rey ejerce las funciones que le atribuyen </w:t>
      </w:r>
      <w:r>
        <w:rPr>
          <w:rFonts w:ascii="Arial" w:hAnsi="Arial" w:cs="Arial"/>
          <w:b/>
          <w:sz w:val="22"/>
        </w:rPr>
        <w:t>expresamente</w:t>
      </w:r>
      <w:r>
        <w:rPr>
          <w:rFonts w:ascii="Arial" w:hAnsi="Arial" w:cs="Arial"/>
          <w:sz w:val="22"/>
        </w:rPr>
        <w:t xml:space="preserve"> la Constitución y las leyes. Por tanto, no puede asumir facultades por analogía, necesidad política o costumbre contra el reparto constitucional de poderes.</w:t>
      </w:r>
    </w:p>
    <w:p>
      <w:pPr>
        <w:pStyle w:val="Heading2"/>
        <w:keepNext/>
      </w:pPr>
      <w:r>
        <w:rPr>
          <w:rFonts w:ascii="Arial" w:hAnsi="Arial" w:cs="Arial"/>
          <w:sz w:val="25"/>
        </w:rPr>
        <w:t>2.3. Arbitraje y moderación</w:t>
      </w:r>
    </w:p>
    <w:p>
      <w:pPr>
        <w:jc w:val="both"/>
      </w:pPr>
      <w:r>
        <w:rPr>
          <w:rFonts w:ascii="Arial" w:hAnsi="Arial" w:cs="Arial"/>
          <w:sz w:val="22"/>
        </w:rPr>
        <w:t>Corresponde al Rey arbitrar y moderar el funcionamiento regular de las instituciones. La concreción de esta función se encuentra en atribuciones tasadas: consultas para proponer candidato a la Presidencia del Gobierno, nombramientos, convocatoria y disolución de las Cortes en los casos previstos, recepción de información sobre asuntos de Estado y, a petición del Presidente del Gobierno, presidencia de sesiones del Consejo de Ministros.</w:t>
      </w:r>
    </w:p>
    <w:p>
      <w:pPr>
        <w:jc w:val="both"/>
      </w:pPr>
      <w:r>
        <w:rPr>
          <w:rFonts w:ascii="Arial" w:hAnsi="Arial" w:cs="Arial"/>
          <w:sz w:val="22"/>
        </w:rPr>
        <w:t>“Arbitrar y moderar” no equivale a resolver libremente conflictos políticos ni a sustituir a los órganos competentes. El Rey actúa dentro del procedimiento constitucional, y la necesidad de refrendo conecta su actuación con un órgano responsable.</w:t>
      </w:r>
    </w:p>
    <w:p>
      <w:pPr>
        <w:pStyle w:val="Heading2"/>
        <w:keepNext/>
      </w:pPr>
      <w:r>
        <w:rPr>
          <w:rFonts w:ascii="Arial" w:hAnsi="Arial" w:cs="Arial"/>
          <w:sz w:val="25"/>
        </w:rPr>
        <w:t>2.4. Más alta representación internacional</w:t>
      </w:r>
    </w:p>
    <w:p>
      <w:pPr>
        <w:jc w:val="both"/>
      </w:pPr>
      <w:r>
        <w:rPr>
          <w:rFonts w:ascii="Arial" w:hAnsi="Arial" w:cs="Arial"/>
          <w:sz w:val="22"/>
        </w:rPr>
        <w:t>El Rey asume la más alta representación del Estado español en las relaciones internacionales, especialmente con las naciones de su comunidad histórica. Esta posición general se concreta en el artículo 63: acredita representantes diplomáticos, recibe la acreditación de representantes extranjeros, manifiesta el consentimiento del Estado para obligarse por tratados y, previa autorización de las Cortes, declara la guerra y hace la paz.</w:t>
      </w:r>
    </w:p>
    <w:p>
      <w:pPr>
        <w:jc w:val="both"/>
      </w:pPr>
      <w:r>
        <w:rPr>
          <w:rFonts w:ascii="Arial" w:hAnsi="Arial" w:cs="Arial"/>
          <w:sz w:val="22"/>
        </w:rPr>
        <w:t>La dirección de la política exterior pertenece al Gobierno. La representación regia y la dirección gubernamental son funciones compatibles: el Rey formaliza o representa al Estado y el Gobierno adopta y responde de la orientación política.</w:t>
      </w:r>
    </w:p>
    <w:p>
      <w:pPr>
        <w:pStyle w:val="Heading1"/>
        <w:keepNext/>
      </w:pPr>
      <w:r>
        <w:rPr>
          <w:rFonts w:ascii="Arial" w:hAnsi="Arial" w:cs="Arial"/>
          <w:sz w:val="30"/>
        </w:rPr>
        <w:t>3. Inviolabilidad, ausencia de responsabilidad y refrendo</w:t>
      </w:r>
    </w:p>
    <w:p>
      <w:pPr>
        <w:pStyle w:val="Heading2"/>
        <w:keepNext/>
      </w:pPr>
      <w:r>
        <w:rPr>
          <w:rFonts w:ascii="Arial" w:hAnsi="Arial" w:cs="Arial"/>
          <w:sz w:val="25"/>
        </w:rPr>
        <w:t>3.1. Inviolabilidad de la persona del Rey</w:t>
      </w:r>
    </w:p>
    <w:p>
      <w:pPr>
        <w:jc w:val="both"/>
      </w:pPr>
      <w:r>
        <w:rPr>
          <w:rFonts w:ascii="Arial" w:hAnsi="Arial" w:cs="Arial"/>
          <w:sz w:val="22"/>
        </w:rPr>
        <w:t xml:space="preserve">El artículo 56.3 afirma que la persona del Rey es </w:t>
      </w:r>
      <w:r>
        <w:rPr>
          <w:rFonts w:ascii="Arial" w:hAnsi="Arial" w:cs="Arial"/>
          <w:b/>
          <w:sz w:val="22"/>
        </w:rPr>
        <w:t>inviolable</w:t>
      </w:r>
      <w:r>
        <w:rPr>
          <w:rFonts w:ascii="Arial" w:hAnsi="Arial" w:cs="Arial"/>
          <w:sz w:val="22"/>
        </w:rPr>
        <w:t>. La Constitución formula esta protección respecto de la persona del titular de la Corona y, además, declara que no está sujeta a responsabilidad.</w:t>
      </w:r>
    </w:p>
    <w:p>
      <w:pPr>
        <w:jc w:val="both"/>
      </w:pPr>
      <w:r>
        <w:rPr>
          <w:rFonts w:ascii="Arial" w:hAnsi="Arial" w:cs="Arial"/>
          <w:sz w:val="22"/>
        </w:rPr>
        <w:t>La inviolabilidad no debe confundirse con:</w:t>
      </w:r>
    </w:p>
    <w:p>
      <w:pPr>
        <w:pStyle w:val="ListBullet"/>
      </w:pPr>
      <w:r>
        <w:rPr>
          <w:rFonts w:ascii="Arial" w:hAnsi="Arial" w:cs="Arial"/>
          <w:sz w:val="22"/>
        </w:rPr>
        <w:t>la inviolabilidad de las Cortes Generales como institución;</w:t>
      </w:r>
    </w:p>
    <w:p>
      <w:pPr>
        <w:pStyle w:val="ListBullet"/>
      </w:pPr>
      <w:r>
        <w:rPr>
          <w:rFonts w:ascii="Arial" w:hAnsi="Arial" w:cs="Arial"/>
          <w:sz w:val="22"/>
        </w:rPr>
        <w:t>la inviolabilidad parlamentaria por opiniones manifestadas en el ejercicio del cargo;</w:t>
      </w:r>
    </w:p>
    <w:p>
      <w:pPr>
        <w:pStyle w:val="ListBullet"/>
      </w:pPr>
      <w:r>
        <w:rPr>
          <w:rFonts w:ascii="Arial" w:hAnsi="Arial" w:cs="Arial"/>
          <w:sz w:val="22"/>
        </w:rPr>
        <w:t>la inmunidad parlamentaria, que limita la detención y el procesamiento de diputados y senadores;</w:t>
      </w:r>
    </w:p>
    <w:p>
      <w:pPr>
        <w:pStyle w:val="ListBullet"/>
      </w:pPr>
      <w:r>
        <w:rPr>
          <w:rFonts w:ascii="Arial" w:hAnsi="Arial" w:cs="Arial"/>
          <w:sz w:val="22"/>
        </w:rPr>
        <w:t>un privilegio transmisible a toda la Familia Real.</w:t>
      </w:r>
    </w:p>
    <w:p>
      <w:pPr>
        <w:jc w:val="both"/>
      </w:pPr>
      <w:r>
        <w:rPr>
          <w:rFonts w:ascii="Arial" w:hAnsi="Arial" w:cs="Arial"/>
          <w:sz w:val="22"/>
        </w:rPr>
        <w:t>El precepto se refiere a la persona del Rey. El consorte, el heredero, los infantes y los regentes no reciben del artículo 56.3 esa misma declaración.</w:t>
      </w:r>
    </w:p>
    <w:p>
      <w:pPr>
        <w:pStyle w:val="Heading2"/>
        <w:keepNext/>
      </w:pPr>
      <w:r>
        <w:rPr>
          <w:rFonts w:ascii="Arial" w:hAnsi="Arial" w:cs="Arial"/>
          <w:sz w:val="25"/>
        </w:rPr>
        <w:t>3.2. Irresponsabilidad política</w:t>
      </w:r>
    </w:p>
    <w:p>
      <w:pPr>
        <w:jc w:val="both"/>
      </w:pPr>
      <w:r>
        <w:rPr>
          <w:rFonts w:ascii="Arial" w:hAnsi="Arial" w:cs="Arial"/>
          <w:sz w:val="22"/>
        </w:rPr>
        <w:t>El Rey no está sujeto a responsabilidad. En una Monarquía parlamentaria, quien decide políticamente y puede responder ante el Parlamento o conforme al ordenamiento no es el monarca. La ausencia de responsabilidad se articula con el refrendo: los actos regios carecen normalmente de validez sin él y responde la persona que refrenda.</w:t>
      </w:r>
    </w:p>
    <w:p>
      <w:pPr>
        <w:jc w:val="both"/>
      </w:pPr>
      <w:r>
        <w:rPr>
          <w:rFonts w:ascii="Arial" w:hAnsi="Arial" w:cs="Arial"/>
          <w:sz w:val="22"/>
        </w:rPr>
        <w:t>Por eso deben distinguirse tres posiciones:</w:t>
      </w:r>
    </w:p>
    <w:tbl>
      <w:tblPr>
        <w:tblStyle w:val="TableGrid"/>
        <w:tblW w:type="dxa" w:w="9026"/>
        <w:jc w:val="left"/>
        <w:tblLayout w:type="fixed"/>
        <w:tblLook w:firstColumn="1" w:firstRow="1" w:lastColumn="0" w:lastRow="0" w:noHBand="0" w:noVBand="1" w:val="04A0"/>
        <w:tblInd w:w="120" w:type="dxa"/>
      </w:tblPr>
      <w:tblGrid>
        <w:gridCol w:w="2935"/>
        <w:gridCol w:w="3669"/>
        <w:gridCol w:w="2422"/>
      </w:tblGrid>
      <w:tr>
        <w:trPr>
          <w:tblHeader w:val="true"/>
        </w:trPr>
        <w:tc>
          <w:tcPr>
            <w:tcW w:type="dxa" w:w="293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Sujeto</w:t>
            </w:r>
          </w:p>
        </w:tc>
        <w:tc>
          <w:tcPr>
            <w:tcW w:type="dxa" w:w="366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Intervención</w:t>
            </w:r>
          </w:p>
        </w:tc>
        <w:tc>
          <w:tcPr>
            <w:tcW w:type="dxa" w:w="242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Responsabilidad constitucional</w:t>
            </w:r>
          </w:p>
        </w:tc>
      </w:tr>
      <w:tr>
        <w:tc>
          <w:tcPr>
            <w:tcW w:type="dxa" w:w="2935"/>
            <w:tcMar>
              <w:top w:w="80" w:type="dxa"/>
              <w:start w:w="120" w:type="dxa"/>
              <w:bottom w:w="80" w:type="dxa"/>
              <w:end w:w="120" w:type="dxa"/>
            </w:tcMar>
            <w:vAlign w:val="center"/>
          </w:tcPr>
          <w:p>
            <w:pPr>
              <w:spacing w:before="0" w:after="0" w:line="240" w:lineRule="auto"/>
              <w:jc w:val="left"/>
            </w:pPr>
            <w:r/>
            <w:r>
              <w:rPr>
                <w:rFonts w:ascii="Arial" w:hAnsi="Arial" w:cs="Arial"/>
                <w:sz w:val="18"/>
              </w:rPr>
              <w:t>Rey</w:t>
            </w:r>
          </w:p>
        </w:tc>
        <w:tc>
          <w:tcPr>
            <w:tcW w:type="dxa" w:w="3669"/>
            <w:tcMar>
              <w:top w:w="80" w:type="dxa"/>
              <w:start w:w="120" w:type="dxa"/>
              <w:bottom w:w="80" w:type="dxa"/>
              <w:end w:w="120" w:type="dxa"/>
            </w:tcMar>
            <w:vAlign w:val="center"/>
          </w:tcPr>
          <w:p>
            <w:pPr>
              <w:spacing w:before="0" w:after="0" w:line="240" w:lineRule="auto"/>
              <w:jc w:val="left"/>
            </w:pPr>
            <w:r/>
            <w:r>
              <w:rPr>
                <w:rFonts w:ascii="Arial" w:hAnsi="Arial" w:cs="Arial"/>
                <w:sz w:val="18"/>
              </w:rPr>
              <w:t>Realiza formalmente el acto atribuido por la Constitución</w:t>
            </w:r>
          </w:p>
        </w:tc>
        <w:tc>
          <w:tcPr>
            <w:tcW w:type="dxa" w:w="2422"/>
            <w:tcMar>
              <w:top w:w="80" w:type="dxa"/>
              <w:start w:w="120" w:type="dxa"/>
              <w:bottom w:w="80" w:type="dxa"/>
              <w:end w:w="120" w:type="dxa"/>
            </w:tcMar>
            <w:vAlign w:val="center"/>
          </w:tcPr>
          <w:p>
            <w:pPr>
              <w:spacing w:before="0" w:after="0" w:line="240" w:lineRule="auto"/>
              <w:jc w:val="left"/>
            </w:pPr>
            <w:r/>
            <w:r>
              <w:rPr>
                <w:rFonts w:ascii="Arial" w:hAnsi="Arial" w:cs="Arial"/>
                <w:sz w:val="18"/>
              </w:rPr>
              <w:t>No está sujeto a responsabilidad</w:t>
            </w:r>
          </w:p>
        </w:tc>
      </w:tr>
      <w:tr>
        <w:tc>
          <w:tcPr>
            <w:tcW w:type="dxa" w:w="2935"/>
            <w:tcMar>
              <w:top w:w="80" w:type="dxa"/>
              <w:start w:w="120" w:type="dxa"/>
              <w:bottom w:w="80" w:type="dxa"/>
              <w:end w:w="120" w:type="dxa"/>
            </w:tcMar>
            <w:vAlign w:val="center"/>
          </w:tcPr>
          <w:p>
            <w:pPr>
              <w:spacing w:before="0" w:after="0" w:line="240" w:lineRule="auto"/>
              <w:jc w:val="left"/>
            </w:pPr>
            <w:r/>
            <w:r>
              <w:rPr>
                <w:rFonts w:ascii="Arial" w:hAnsi="Arial" w:cs="Arial"/>
                <w:sz w:val="18"/>
              </w:rPr>
              <w:t>Presidente del Gobierno o ministro competente</w:t>
            </w:r>
          </w:p>
        </w:tc>
        <w:tc>
          <w:tcPr>
            <w:tcW w:type="dxa" w:w="3669"/>
            <w:tcMar>
              <w:top w:w="80" w:type="dxa"/>
              <w:start w:w="120" w:type="dxa"/>
              <w:bottom w:w="80" w:type="dxa"/>
              <w:end w:w="120" w:type="dxa"/>
            </w:tcMar>
            <w:vAlign w:val="center"/>
          </w:tcPr>
          <w:p>
            <w:pPr>
              <w:spacing w:before="0" w:after="0" w:line="240" w:lineRule="auto"/>
              <w:jc w:val="left"/>
            </w:pPr>
            <w:r/>
            <w:r>
              <w:rPr>
                <w:rFonts w:ascii="Arial" w:hAnsi="Arial" w:cs="Arial"/>
                <w:sz w:val="18"/>
              </w:rPr>
              <w:t>Refrenda con carácter general</w:t>
            </w:r>
          </w:p>
        </w:tc>
        <w:tc>
          <w:tcPr>
            <w:tcW w:type="dxa" w:w="2422"/>
            <w:tcMar>
              <w:top w:w="80" w:type="dxa"/>
              <w:start w:w="120" w:type="dxa"/>
              <w:bottom w:w="80" w:type="dxa"/>
              <w:end w:w="120" w:type="dxa"/>
            </w:tcMar>
            <w:vAlign w:val="center"/>
          </w:tcPr>
          <w:p>
            <w:pPr>
              <w:spacing w:before="0" w:after="0" w:line="240" w:lineRule="auto"/>
              <w:jc w:val="left"/>
            </w:pPr>
            <w:r/>
            <w:r>
              <w:rPr>
                <w:rFonts w:ascii="Arial" w:hAnsi="Arial" w:cs="Arial"/>
                <w:sz w:val="18"/>
              </w:rPr>
              <w:t>Asume la responsabilidad del acto</w:t>
            </w:r>
          </w:p>
        </w:tc>
      </w:tr>
      <w:tr>
        <w:tc>
          <w:tcPr>
            <w:tcW w:type="dxa" w:w="2935"/>
            <w:tcMar>
              <w:top w:w="80" w:type="dxa"/>
              <w:start w:w="120" w:type="dxa"/>
              <w:bottom w:w="80" w:type="dxa"/>
              <w:end w:w="120" w:type="dxa"/>
            </w:tcMar>
            <w:vAlign w:val="center"/>
          </w:tcPr>
          <w:p>
            <w:pPr>
              <w:spacing w:before="0" w:after="0" w:line="240" w:lineRule="auto"/>
              <w:jc w:val="left"/>
            </w:pPr>
            <w:r/>
            <w:r>
              <w:rPr>
                <w:rFonts w:ascii="Arial" w:hAnsi="Arial" w:cs="Arial"/>
                <w:sz w:val="18"/>
              </w:rPr>
              <w:t>Presidente del Congreso</w:t>
            </w:r>
          </w:p>
        </w:tc>
        <w:tc>
          <w:tcPr>
            <w:tcW w:type="dxa" w:w="3669"/>
            <w:tcMar>
              <w:top w:w="80" w:type="dxa"/>
              <w:start w:w="120" w:type="dxa"/>
              <w:bottom w:w="80" w:type="dxa"/>
              <w:end w:w="120" w:type="dxa"/>
            </w:tcMar>
            <w:vAlign w:val="center"/>
          </w:tcPr>
          <w:p>
            <w:pPr>
              <w:spacing w:before="0" w:after="0" w:line="240" w:lineRule="auto"/>
              <w:jc w:val="left"/>
            </w:pPr>
            <w:r/>
            <w:r>
              <w:rPr>
                <w:rFonts w:ascii="Arial" w:hAnsi="Arial" w:cs="Arial"/>
                <w:sz w:val="18"/>
              </w:rPr>
              <w:t>Refrenda los actos concretos del art. 64.1</w:t>
            </w:r>
          </w:p>
        </w:tc>
        <w:tc>
          <w:tcPr>
            <w:tcW w:type="dxa" w:w="2422"/>
            <w:tcMar>
              <w:top w:w="80" w:type="dxa"/>
              <w:start w:w="120" w:type="dxa"/>
              <w:bottom w:w="80" w:type="dxa"/>
              <w:end w:w="120" w:type="dxa"/>
            </w:tcMar>
            <w:vAlign w:val="center"/>
          </w:tcPr>
          <w:p>
            <w:pPr>
              <w:spacing w:before="0" w:after="0" w:line="240" w:lineRule="auto"/>
              <w:jc w:val="left"/>
            </w:pPr>
            <w:r/>
            <w:r>
              <w:rPr>
                <w:rFonts w:ascii="Arial" w:hAnsi="Arial" w:cs="Arial"/>
                <w:sz w:val="18"/>
              </w:rPr>
              <w:t>Asume la responsabilidad de esos actos</w:t>
            </w:r>
          </w:p>
        </w:tc>
      </w:tr>
    </w:tbl>
    <w:p>
      <w:pPr>
        <w:spacing w:after="40"/>
      </w:pPr>
    </w:p>
    <w:p>
      <w:pPr>
        <w:jc w:val="both"/>
      </w:pPr>
      <w:r>
        <w:rPr>
          <w:rFonts w:ascii="Arial" w:hAnsi="Arial" w:cs="Arial"/>
          <w:sz w:val="22"/>
        </w:rPr>
        <w:t>La responsabilidad transferida mediante refrendo no convierte al refrendante en autor material de todas las fases del procedimiento. Significa que el acto regio válido queda constitucionalmente cubierto por una autoridad responsable.</w:t>
      </w:r>
    </w:p>
    <w:p>
      <w:pPr>
        <w:pStyle w:val="Heading2"/>
        <w:keepNext/>
      </w:pPr>
      <w:r>
        <w:rPr>
          <w:rFonts w:ascii="Arial" w:hAnsi="Arial" w:cs="Arial"/>
          <w:sz w:val="25"/>
        </w:rPr>
        <w:t>3.3. Regla de validez</w:t>
      </w:r>
    </w:p>
    <w:p>
      <w:pPr>
        <w:jc w:val="both"/>
      </w:pPr>
      <w:r>
        <w:rPr>
          <w:rFonts w:ascii="Arial" w:hAnsi="Arial" w:cs="Arial"/>
          <w:sz w:val="22"/>
        </w:rPr>
        <w:t xml:space="preserve">Los actos del Rey estarán siempre refrendados en la forma del artículo 64 y </w:t>
      </w:r>
      <w:r>
        <w:rPr>
          <w:rFonts w:ascii="Arial" w:hAnsi="Arial" w:cs="Arial"/>
          <w:b/>
          <w:sz w:val="22"/>
        </w:rPr>
        <w:t>carecen de validez sin refrendo</w:t>
      </w:r>
      <w:r>
        <w:rPr>
          <w:rFonts w:ascii="Arial" w:hAnsi="Arial" w:cs="Arial"/>
          <w:sz w:val="22"/>
        </w:rPr>
        <w:t>, salvo lo dispuesto en el artículo 65.2. La excepción expresa comprende el nombramiento y relevo libre de los miembros civiles y militares de la Casa del Rey.</w:t>
      </w:r>
    </w:p>
    <w:p>
      <w:pPr>
        <w:jc w:val="both"/>
      </w:pPr>
      <w:r>
        <w:rPr>
          <w:rFonts w:ascii="Arial" w:hAnsi="Arial" w:cs="Arial"/>
          <w:sz w:val="22"/>
        </w:rPr>
        <w:t>El artículo 65.1, relativo a la libre distribución de la cantidad global recibida para el sostenimiento de la Familia y Casa, no aparece en el artículo 56.3 como excepción literal al refrendo. La excepción constitucional se remite específicamente al apartado 2 del artículo 65.</w:t>
      </w:r>
    </w:p>
    <w:p>
      <w:pPr>
        <w:pStyle w:val="Heading1"/>
        <w:keepNext/>
      </w:pPr>
      <w:r>
        <w:rPr>
          <w:rFonts w:ascii="Arial" w:hAnsi="Arial" w:cs="Arial"/>
          <w:sz w:val="30"/>
        </w:rPr>
        <w:t>4. Funciones constitucionales del Rey</w:t>
      </w:r>
    </w:p>
    <w:p>
      <w:pPr>
        <w:pStyle w:val="Heading2"/>
        <w:keepNext/>
      </w:pPr>
      <w:r>
        <w:rPr>
          <w:rFonts w:ascii="Arial" w:hAnsi="Arial" w:cs="Arial"/>
          <w:sz w:val="25"/>
        </w:rPr>
        <w:t>4.1. Clasificación general</w:t>
      </w:r>
    </w:p>
    <w:p>
      <w:pPr>
        <w:jc w:val="both"/>
      </w:pPr>
      <w:r>
        <w:rPr>
          <w:rFonts w:ascii="Arial" w:hAnsi="Arial" w:cs="Arial"/>
          <w:sz w:val="22"/>
        </w:rPr>
        <w:t>Las funciones pueden agruparse por el ámbito institucional en el que se ejercen:</w:t>
      </w:r>
    </w:p>
    <w:tbl>
      <w:tblPr>
        <w:tblStyle w:val="TableGrid"/>
        <w:tblW w:type="dxa" w:w="9026"/>
        <w:jc w:val="left"/>
        <w:tblLayout w:type="fixed"/>
        <w:tblLook w:firstColumn="1" w:firstRow="1" w:lastColumn="0" w:lastRow="0" w:noHBand="0" w:noVBand="1" w:val="04A0"/>
        <w:tblInd w:w="120" w:type="dxa"/>
      </w:tblPr>
      <w:tblGrid>
        <w:gridCol w:w="2501"/>
        <w:gridCol w:w="6525"/>
      </w:tblGrid>
      <w:tr>
        <w:trPr>
          <w:tblHeader w:val="true"/>
        </w:trPr>
        <w:tc>
          <w:tcPr>
            <w:tcW w:type="dxa" w:w="250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Ámbito</w:t>
            </w:r>
          </w:p>
        </w:tc>
        <w:tc>
          <w:tcPr>
            <w:tcW w:type="dxa" w:w="652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Funciones representativas</w:t>
            </w:r>
          </w:p>
        </w:tc>
      </w:tr>
      <w:tr>
        <w:tc>
          <w:tcPr>
            <w:tcW w:type="dxa" w:w="2501"/>
            <w:tcMar>
              <w:top w:w="80" w:type="dxa"/>
              <w:start w:w="120" w:type="dxa"/>
              <w:bottom w:w="80" w:type="dxa"/>
              <w:end w:w="120" w:type="dxa"/>
            </w:tcMar>
            <w:vAlign w:val="center"/>
          </w:tcPr>
          <w:p>
            <w:pPr>
              <w:spacing w:before="0" w:after="0" w:line="240" w:lineRule="auto"/>
              <w:jc w:val="left"/>
            </w:pPr>
            <w:r/>
            <w:r>
              <w:rPr>
                <w:rFonts w:ascii="Arial" w:hAnsi="Arial" w:cs="Arial"/>
                <w:sz w:val="18"/>
              </w:rPr>
              <w:t>Legislativo y electoral</w:t>
            </w:r>
          </w:p>
        </w:tc>
        <w:tc>
          <w:tcPr>
            <w:tcW w:type="dxa" w:w="6525"/>
            <w:tcMar>
              <w:top w:w="80" w:type="dxa"/>
              <w:start w:w="120" w:type="dxa"/>
              <w:bottom w:w="80" w:type="dxa"/>
              <w:end w:w="120" w:type="dxa"/>
            </w:tcMar>
            <w:vAlign w:val="center"/>
          </w:tcPr>
          <w:p>
            <w:pPr>
              <w:spacing w:before="0" w:after="0" w:line="240" w:lineRule="auto"/>
              <w:jc w:val="left"/>
            </w:pPr>
            <w:r/>
            <w:r>
              <w:rPr>
                <w:rFonts w:ascii="Arial" w:hAnsi="Arial" w:cs="Arial"/>
                <w:sz w:val="18"/>
              </w:rPr>
              <w:t>Sanción y promulgación; convocatoria y disolución; elecciones; referéndum</w:t>
            </w:r>
          </w:p>
        </w:tc>
      </w:tr>
      <w:tr>
        <w:tc>
          <w:tcPr>
            <w:tcW w:type="dxa" w:w="2501"/>
            <w:tcMar>
              <w:top w:w="80" w:type="dxa"/>
              <w:start w:w="120" w:type="dxa"/>
              <w:bottom w:w="80" w:type="dxa"/>
              <w:end w:w="120" w:type="dxa"/>
            </w:tcMar>
            <w:vAlign w:val="center"/>
          </w:tcPr>
          <w:p>
            <w:pPr>
              <w:spacing w:before="0" w:after="0" w:line="240" w:lineRule="auto"/>
              <w:jc w:val="left"/>
            </w:pPr>
            <w:r/>
            <w:r>
              <w:rPr>
                <w:rFonts w:ascii="Arial" w:hAnsi="Arial" w:cs="Arial"/>
                <w:sz w:val="18"/>
              </w:rPr>
              <w:t>Gobierno</w:t>
            </w:r>
          </w:p>
        </w:tc>
        <w:tc>
          <w:tcPr>
            <w:tcW w:type="dxa" w:w="6525"/>
            <w:tcMar>
              <w:top w:w="80" w:type="dxa"/>
              <w:start w:w="120" w:type="dxa"/>
              <w:bottom w:w="80" w:type="dxa"/>
              <w:end w:w="120" w:type="dxa"/>
            </w:tcMar>
            <w:vAlign w:val="center"/>
          </w:tcPr>
          <w:p>
            <w:pPr>
              <w:spacing w:before="0" w:after="0" w:line="240" w:lineRule="auto"/>
              <w:jc w:val="left"/>
            </w:pPr>
            <w:r/>
            <w:r>
              <w:rPr>
                <w:rFonts w:ascii="Arial" w:hAnsi="Arial" w:cs="Arial"/>
                <w:sz w:val="18"/>
              </w:rPr>
              <w:t>Propuesta y nombramiento del Presidente; nombramiento y separación de ministros; información y Consejo de Ministros</w:t>
            </w:r>
          </w:p>
        </w:tc>
      </w:tr>
      <w:tr>
        <w:tc>
          <w:tcPr>
            <w:tcW w:type="dxa" w:w="2501"/>
            <w:tcMar>
              <w:top w:w="80" w:type="dxa"/>
              <w:start w:w="120" w:type="dxa"/>
              <w:bottom w:w="80" w:type="dxa"/>
              <w:end w:w="120" w:type="dxa"/>
            </w:tcMar>
            <w:vAlign w:val="center"/>
          </w:tcPr>
          <w:p>
            <w:pPr>
              <w:spacing w:before="0" w:after="0" w:line="240" w:lineRule="auto"/>
              <w:jc w:val="left"/>
            </w:pPr>
            <w:r/>
            <w:r>
              <w:rPr>
                <w:rFonts w:ascii="Arial" w:hAnsi="Arial" w:cs="Arial"/>
                <w:sz w:val="18"/>
              </w:rPr>
              <w:t>Ejecutivo y nombramientos</w:t>
            </w:r>
          </w:p>
        </w:tc>
        <w:tc>
          <w:tcPr>
            <w:tcW w:type="dxa" w:w="6525"/>
            <w:tcMar>
              <w:top w:w="80" w:type="dxa"/>
              <w:start w:w="120" w:type="dxa"/>
              <w:bottom w:w="80" w:type="dxa"/>
              <w:end w:w="120" w:type="dxa"/>
            </w:tcMar>
            <w:vAlign w:val="center"/>
          </w:tcPr>
          <w:p>
            <w:pPr>
              <w:spacing w:before="0" w:after="0" w:line="240" w:lineRule="auto"/>
              <w:jc w:val="left"/>
            </w:pPr>
            <w:r/>
            <w:r>
              <w:rPr>
                <w:rFonts w:ascii="Arial" w:hAnsi="Arial" w:cs="Arial"/>
                <w:sz w:val="18"/>
              </w:rPr>
              <w:t>Expedición de decretos; empleos civiles y militares; honores y distinciones</w:t>
            </w:r>
          </w:p>
        </w:tc>
      </w:tr>
      <w:tr>
        <w:tc>
          <w:tcPr>
            <w:tcW w:type="dxa" w:w="2501"/>
            <w:tcMar>
              <w:top w:w="80" w:type="dxa"/>
              <w:start w:w="120" w:type="dxa"/>
              <w:bottom w:w="80" w:type="dxa"/>
              <w:end w:w="120" w:type="dxa"/>
            </w:tcMar>
            <w:vAlign w:val="center"/>
          </w:tcPr>
          <w:p>
            <w:pPr>
              <w:spacing w:before="0" w:after="0" w:line="240" w:lineRule="auto"/>
              <w:jc w:val="left"/>
            </w:pPr>
            <w:r/>
            <w:r>
              <w:rPr>
                <w:rFonts w:ascii="Arial" w:hAnsi="Arial" w:cs="Arial"/>
                <w:sz w:val="18"/>
              </w:rPr>
              <w:t>Defensa, gracia y cultura</w:t>
            </w:r>
          </w:p>
        </w:tc>
        <w:tc>
          <w:tcPr>
            <w:tcW w:type="dxa" w:w="6525"/>
            <w:tcMar>
              <w:top w:w="80" w:type="dxa"/>
              <w:start w:w="120" w:type="dxa"/>
              <w:bottom w:w="80" w:type="dxa"/>
              <w:end w:w="120" w:type="dxa"/>
            </w:tcMar>
            <w:vAlign w:val="center"/>
          </w:tcPr>
          <w:p>
            <w:pPr>
              <w:spacing w:before="0" w:after="0" w:line="240" w:lineRule="auto"/>
              <w:jc w:val="left"/>
            </w:pPr>
            <w:r/>
            <w:r>
              <w:rPr>
                <w:rFonts w:ascii="Arial" w:hAnsi="Arial" w:cs="Arial"/>
                <w:sz w:val="18"/>
              </w:rPr>
              <w:t>Mando supremo de las Fuerzas Armadas; derecho de gracia; Alto Patronazgo de Reales Academias</w:t>
            </w:r>
          </w:p>
        </w:tc>
      </w:tr>
      <w:tr>
        <w:tc>
          <w:tcPr>
            <w:tcW w:type="dxa" w:w="2501"/>
            <w:tcMar>
              <w:top w:w="80" w:type="dxa"/>
              <w:start w:w="120" w:type="dxa"/>
              <w:bottom w:w="80" w:type="dxa"/>
              <w:end w:w="120" w:type="dxa"/>
            </w:tcMar>
            <w:vAlign w:val="center"/>
          </w:tcPr>
          <w:p>
            <w:pPr>
              <w:spacing w:before="0" w:after="0" w:line="240" w:lineRule="auto"/>
              <w:jc w:val="left"/>
            </w:pPr>
            <w:r/>
            <w:r>
              <w:rPr>
                <w:rFonts w:ascii="Arial" w:hAnsi="Arial" w:cs="Arial"/>
                <w:sz w:val="18"/>
              </w:rPr>
              <w:t>Internacional</w:t>
            </w:r>
          </w:p>
        </w:tc>
        <w:tc>
          <w:tcPr>
            <w:tcW w:type="dxa" w:w="6525"/>
            <w:tcMar>
              <w:top w:w="80" w:type="dxa"/>
              <w:start w:w="120" w:type="dxa"/>
              <w:bottom w:w="80" w:type="dxa"/>
              <w:end w:w="120" w:type="dxa"/>
            </w:tcMar>
            <w:vAlign w:val="center"/>
          </w:tcPr>
          <w:p>
            <w:pPr>
              <w:spacing w:before="0" w:after="0" w:line="240" w:lineRule="auto"/>
              <w:jc w:val="left"/>
            </w:pPr>
            <w:r/>
            <w:r>
              <w:rPr>
                <w:rFonts w:ascii="Arial" w:hAnsi="Arial" w:cs="Arial"/>
                <w:sz w:val="18"/>
              </w:rPr>
              <w:t>Embajadores, tratados, guerra y paz</w:t>
            </w:r>
          </w:p>
        </w:tc>
      </w:tr>
      <w:tr>
        <w:tc>
          <w:tcPr>
            <w:tcW w:type="dxa" w:w="2501"/>
            <w:tcMar>
              <w:top w:w="80" w:type="dxa"/>
              <w:start w:w="120" w:type="dxa"/>
              <w:bottom w:w="80" w:type="dxa"/>
              <w:end w:w="120" w:type="dxa"/>
            </w:tcMar>
            <w:vAlign w:val="center"/>
          </w:tcPr>
          <w:p>
            <w:pPr>
              <w:spacing w:before="0" w:after="0" w:line="240" w:lineRule="auto"/>
              <w:jc w:val="left"/>
            </w:pPr>
            <w:r/>
            <w:r>
              <w:rPr>
                <w:rFonts w:ascii="Arial" w:hAnsi="Arial" w:cs="Arial"/>
                <w:sz w:val="18"/>
              </w:rPr>
              <w:t>Otros órganos</w:t>
            </w:r>
          </w:p>
        </w:tc>
        <w:tc>
          <w:tcPr>
            <w:tcW w:type="dxa" w:w="6525"/>
            <w:tcMar>
              <w:top w:w="80" w:type="dxa"/>
              <w:start w:w="120" w:type="dxa"/>
              <w:bottom w:w="80" w:type="dxa"/>
              <w:end w:w="120" w:type="dxa"/>
            </w:tcMar>
            <w:vAlign w:val="center"/>
          </w:tcPr>
          <w:p>
            <w:pPr>
              <w:spacing w:before="0" w:after="0" w:line="240" w:lineRule="auto"/>
              <w:jc w:val="left"/>
            </w:pPr>
            <w:r/>
            <w:r>
              <w:rPr>
                <w:rFonts w:ascii="Arial" w:hAnsi="Arial" w:cs="Arial"/>
                <w:sz w:val="18"/>
              </w:rPr>
              <w:t>Nombramientos constitucionales previstos en artículos distintos del título II</w:t>
            </w:r>
          </w:p>
        </w:tc>
      </w:tr>
    </w:tbl>
    <w:p>
      <w:pPr>
        <w:spacing w:after="40"/>
      </w:pPr>
    </w:p>
    <w:p>
      <w:pPr>
        <w:jc w:val="both"/>
      </w:pPr>
      <w:r>
        <w:rPr>
          <w:rFonts w:ascii="Arial" w:hAnsi="Arial" w:cs="Arial"/>
          <w:sz w:val="22"/>
        </w:rPr>
        <w:t>Las expresiones “corresponde al Rey” o “el Rey nombrará” deben leerse junto a la iniciativa, propuesta, acuerdo, autorización o refrendo exigidos en cada procedimiento. La actuación regia no desplaza la competencia del órgano que adopta la decisión sustantiva.</w:t>
      </w:r>
    </w:p>
    <w:p>
      <w:pPr>
        <w:pStyle w:val="Heading2"/>
        <w:keepNext/>
      </w:pPr>
      <w:r>
        <w:rPr>
          <w:rFonts w:ascii="Arial" w:hAnsi="Arial" w:cs="Arial"/>
          <w:sz w:val="25"/>
        </w:rPr>
        <w:t>4.2. Sanción, promulgación y publicación de las leyes</w:t>
      </w:r>
    </w:p>
    <w:p>
      <w:pPr>
        <w:jc w:val="both"/>
      </w:pPr>
      <w:r>
        <w:rPr>
          <w:rFonts w:ascii="Arial" w:hAnsi="Arial" w:cs="Arial"/>
          <w:sz w:val="22"/>
        </w:rPr>
        <w:t xml:space="preserve">El artículo 62.a atribuye al Rey sancionar y promulgar las leyes. El artículo 91 completa la regla: sancionará en el plazo de </w:t>
      </w:r>
      <w:r>
        <w:rPr>
          <w:rFonts w:ascii="Arial" w:hAnsi="Arial" w:cs="Arial"/>
          <w:b/>
          <w:sz w:val="22"/>
        </w:rPr>
        <w:t>quince días</w:t>
      </w:r>
      <w:r>
        <w:rPr>
          <w:rFonts w:ascii="Arial" w:hAnsi="Arial" w:cs="Arial"/>
          <w:sz w:val="22"/>
        </w:rPr>
        <w:t xml:space="preserve"> las leyes aprobadas por las Cortes Generales, las promulgará y ordenará su inmediata publicación.</w:t>
      </w:r>
    </w:p>
    <w:p>
      <w:pPr>
        <w:jc w:val="both"/>
      </w:pPr>
      <w:r>
        <w:rPr>
          <w:rFonts w:ascii="Arial" w:hAnsi="Arial" w:cs="Arial"/>
          <w:sz w:val="22"/>
        </w:rPr>
        <w:t>Los tres conceptos cumplen funciones diferentes:</w:t>
      </w:r>
    </w:p>
    <w:p>
      <w:pPr>
        <w:pStyle w:val="ListBullet"/>
      </w:pPr>
      <w:r>
        <w:rPr>
          <w:rFonts w:ascii="Arial" w:hAnsi="Arial" w:cs="Arial"/>
          <w:b/>
          <w:sz w:val="22"/>
        </w:rPr>
        <w:t>sanción:</w:t>
      </w:r>
      <w:r>
        <w:rPr>
          <w:rFonts w:ascii="Arial" w:hAnsi="Arial" w:cs="Arial"/>
          <w:sz w:val="22"/>
        </w:rPr>
        <w:t xml:space="preserve"> acto formal que completa la intervención del Jefe del Estado en la ley aprobada;</w:t>
      </w:r>
    </w:p>
    <w:p>
      <w:pPr>
        <w:pStyle w:val="ListBullet"/>
      </w:pPr>
      <w:r>
        <w:rPr>
          <w:rFonts w:ascii="Arial" w:hAnsi="Arial" w:cs="Arial"/>
          <w:b/>
          <w:sz w:val="22"/>
        </w:rPr>
        <w:t>promulgación:</w:t>
      </w:r>
      <w:r>
        <w:rPr>
          <w:rFonts w:ascii="Arial" w:hAnsi="Arial" w:cs="Arial"/>
          <w:sz w:val="22"/>
        </w:rPr>
        <w:t xml:space="preserve"> constatación solemne de la existencia de la ley y mandato de cumplimiento;</w:t>
      </w:r>
    </w:p>
    <w:p>
      <w:pPr>
        <w:pStyle w:val="ListBullet"/>
      </w:pPr>
      <w:r>
        <w:rPr>
          <w:rFonts w:ascii="Arial" w:hAnsi="Arial" w:cs="Arial"/>
          <w:b/>
          <w:sz w:val="22"/>
        </w:rPr>
        <w:t>orden de publicación:</w:t>
      </w:r>
      <w:r>
        <w:rPr>
          <w:rFonts w:ascii="Arial" w:hAnsi="Arial" w:cs="Arial"/>
          <w:sz w:val="22"/>
        </w:rPr>
        <w:t xml:space="preserve"> disposición para que el texto se inserte oficialmente y pueda desplegar los efectos ligados a su publicidad.</w:t>
      </w:r>
    </w:p>
    <w:p>
      <w:pPr>
        <w:jc w:val="both"/>
      </w:pPr>
      <w:r>
        <w:rPr>
          <w:rFonts w:ascii="Arial" w:hAnsi="Arial" w:cs="Arial"/>
          <w:sz w:val="22"/>
        </w:rPr>
        <w:t>El plazo constitucional y la configuración parlamentaria excluyen un veto regio. El Rey no puede devolver la ley por discrepancia política ni negarse a sancionarla. El Presidente del Gobierno refrenda el acto y, según el artículo 2.2.h de la Ley 50/1997, somete al Rey las leyes y normas con rango de ley para su sanción cuando proceda.</w:t>
      </w:r>
    </w:p>
    <w:p>
      <w:pPr>
        <w:pStyle w:val="Heading2"/>
        <w:keepNext/>
      </w:pPr>
      <w:r>
        <w:rPr>
          <w:rFonts w:ascii="Arial" w:hAnsi="Arial" w:cs="Arial"/>
          <w:sz w:val="25"/>
        </w:rPr>
        <w:t>4.3. Convocatoria y disolución de las Cortes; elecciones</w:t>
      </w:r>
    </w:p>
    <w:p>
      <w:pPr>
        <w:jc w:val="both"/>
      </w:pPr>
      <w:r>
        <w:rPr>
          <w:rFonts w:ascii="Arial" w:hAnsi="Arial" w:cs="Arial"/>
          <w:sz w:val="22"/>
        </w:rPr>
        <w:t>El Rey convoca y disuelve las Cortes Generales y convoca elecciones en los términos previstos en la Constitución. No existe una facultad general de disolución libre.</w:t>
      </w:r>
    </w:p>
    <w:p>
      <w:pPr>
        <w:jc w:val="both"/>
      </w:pPr>
      <w:r>
        <w:rPr>
          <w:rFonts w:ascii="Arial" w:hAnsi="Arial" w:cs="Arial"/>
          <w:sz w:val="22"/>
        </w:rPr>
        <w:t>Los dos supuestos más relevantes son:</w:t>
      </w:r>
    </w:p>
    <w:p>
      <w:pPr>
        <w:spacing w:after="40"/>
        <w:ind w:left="369" w:hanging="227"/>
      </w:pPr>
      <w:r>
        <w:rPr>
          <w:rFonts w:ascii="Arial" w:hAnsi="Arial" w:cs="Arial"/>
          <w:sz w:val="22"/>
        </w:rPr>
        <w:t xml:space="preserve">1. </w:t>
      </w:r>
      <w:r>
        <w:rPr>
          <w:rFonts w:ascii="Arial" w:hAnsi="Arial" w:cs="Arial"/>
          <w:b/>
          <w:sz w:val="22"/>
        </w:rPr>
        <w:t>Disolución a propuesta del Presidente del Gobierno —artículo 115—.</w:t>
      </w:r>
      <w:r>
        <w:rPr>
          <w:rFonts w:ascii="Arial" w:hAnsi="Arial" w:cs="Arial"/>
          <w:sz w:val="22"/>
        </w:rPr>
        <w:t xml:space="preserve"> El Presidente, previa deliberación del Consejo de Ministros y bajo su exclusiva responsabilidad, puede proponer la disolución del Congreso, del Senado o de ambas Cámaras. El Rey la decreta y el decreto fija la fecha electoral. No puede presentarse la propuesta mientras se tramite una moción de censura y, como regla, no procede una nueva disolución antes de un año desde la anterior.</w:t>
      </w:r>
    </w:p>
    <w:p>
      <w:pPr>
        <w:spacing w:after="40"/>
        <w:ind w:left="369" w:hanging="227"/>
      </w:pPr>
      <w:r>
        <w:rPr>
          <w:rFonts w:ascii="Arial" w:hAnsi="Arial" w:cs="Arial"/>
          <w:sz w:val="22"/>
        </w:rPr>
        <w:t xml:space="preserve">2. </w:t>
      </w:r>
      <w:r>
        <w:rPr>
          <w:rFonts w:ascii="Arial" w:hAnsi="Arial" w:cs="Arial"/>
          <w:b/>
          <w:sz w:val="22"/>
        </w:rPr>
        <w:t>Disolución por falta de investidura —artículo 99.5—.</w:t>
      </w:r>
      <w:r>
        <w:rPr>
          <w:rFonts w:ascii="Arial" w:hAnsi="Arial" w:cs="Arial"/>
          <w:sz w:val="22"/>
        </w:rPr>
        <w:t xml:space="preserve"> Si transcurren dos meses desde la primera votación de investidura sin que ningún candidato obtenga la confianza del Congreso, el Rey disuelve </w:t>
      </w:r>
      <w:r>
        <w:rPr>
          <w:rFonts w:ascii="Arial" w:hAnsi="Arial" w:cs="Arial"/>
          <w:b/>
          <w:sz w:val="22"/>
        </w:rPr>
        <w:t>ambas Cámaras</w:t>
      </w:r>
      <w:r>
        <w:rPr>
          <w:rFonts w:ascii="Arial" w:hAnsi="Arial" w:cs="Arial"/>
          <w:sz w:val="22"/>
        </w:rPr>
        <w:t xml:space="preserve"> y convoca elecciones. En este caso el refrendo corresponde al Presidente del Congreso.</w:t>
      </w:r>
    </w:p>
    <w:tbl>
      <w:tblPr>
        <w:tblStyle w:val="TableGrid"/>
        <w:tblW w:type="dxa" w:w="9026"/>
        <w:jc w:val="left"/>
        <w:tblLayout w:type="fixed"/>
        <w:tblLook w:firstColumn="1" w:firstRow="1" w:lastColumn="0" w:lastRow="0" w:noHBand="0" w:noVBand="1" w:val="04A0"/>
        <w:tblInd w:w="120" w:type="dxa"/>
      </w:tblPr>
      <w:tblGrid>
        <w:gridCol w:w="2083"/>
        <w:gridCol w:w="4166"/>
        <w:gridCol w:w="2777"/>
      </w:tblGrid>
      <w:tr>
        <w:trPr>
          <w:tblHeader w:val="true"/>
        </w:trPr>
        <w:tc>
          <w:tcPr>
            <w:tcW w:type="dxa" w:w="208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w:t>
            </w:r>
          </w:p>
        </w:tc>
        <w:tc>
          <w:tcPr>
            <w:tcW w:type="dxa" w:w="416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Artículo 115</w:t>
            </w:r>
          </w:p>
        </w:tc>
        <w:tc>
          <w:tcPr>
            <w:tcW w:type="dxa" w:w="277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Artículo 99.5</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Iniciativa o presupuesto</w:t>
            </w:r>
          </w:p>
        </w:tc>
        <w:tc>
          <w:tcPr>
            <w:tcW w:type="dxa" w:w="4166"/>
            <w:tcMar>
              <w:top w:w="80" w:type="dxa"/>
              <w:start w:w="120" w:type="dxa"/>
              <w:bottom w:w="80" w:type="dxa"/>
              <w:end w:w="120" w:type="dxa"/>
            </w:tcMar>
            <w:vAlign w:val="center"/>
          </w:tcPr>
          <w:p>
            <w:pPr>
              <w:spacing w:before="0" w:after="0" w:line="240" w:lineRule="auto"/>
              <w:jc w:val="left"/>
            </w:pPr>
            <w:r/>
            <w:r>
              <w:rPr>
                <w:rFonts w:ascii="Arial" w:hAnsi="Arial" w:cs="Arial"/>
                <w:sz w:val="18"/>
              </w:rPr>
              <w:t>Propuesta del Presidente tras deliberación del Consejo</w:t>
            </w:r>
          </w:p>
        </w:tc>
        <w:tc>
          <w:tcPr>
            <w:tcW w:type="dxa" w:w="2777"/>
            <w:tcMar>
              <w:top w:w="80" w:type="dxa"/>
              <w:start w:w="120" w:type="dxa"/>
              <w:bottom w:w="80" w:type="dxa"/>
              <w:end w:w="120" w:type="dxa"/>
            </w:tcMar>
            <w:vAlign w:val="center"/>
          </w:tcPr>
          <w:p>
            <w:pPr>
              <w:spacing w:before="0" w:after="0" w:line="240" w:lineRule="auto"/>
              <w:jc w:val="left"/>
            </w:pPr>
            <w:r/>
            <w:r>
              <w:rPr>
                <w:rFonts w:ascii="Arial" w:hAnsi="Arial" w:cs="Arial"/>
                <w:sz w:val="18"/>
              </w:rPr>
              <w:t>Transcurso de 2 meses sin investidura</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Cámaras afectadas</w:t>
            </w:r>
          </w:p>
        </w:tc>
        <w:tc>
          <w:tcPr>
            <w:tcW w:type="dxa" w:w="4166"/>
            <w:tcMar>
              <w:top w:w="80" w:type="dxa"/>
              <w:start w:w="120" w:type="dxa"/>
              <w:bottom w:w="80" w:type="dxa"/>
              <w:end w:w="120" w:type="dxa"/>
            </w:tcMar>
            <w:vAlign w:val="center"/>
          </w:tcPr>
          <w:p>
            <w:pPr>
              <w:spacing w:before="0" w:after="0" w:line="240" w:lineRule="auto"/>
              <w:jc w:val="left"/>
            </w:pPr>
            <w:r/>
            <w:r>
              <w:rPr>
                <w:rFonts w:ascii="Arial" w:hAnsi="Arial" w:cs="Arial"/>
                <w:sz w:val="18"/>
              </w:rPr>
              <w:t>Congreso, Senado o ambas</w:t>
            </w:r>
          </w:p>
        </w:tc>
        <w:tc>
          <w:tcPr>
            <w:tcW w:type="dxa" w:w="2777"/>
            <w:tcMar>
              <w:top w:w="80" w:type="dxa"/>
              <w:start w:w="120" w:type="dxa"/>
              <w:bottom w:w="80" w:type="dxa"/>
              <w:end w:w="120" w:type="dxa"/>
            </w:tcMar>
            <w:vAlign w:val="center"/>
          </w:tcPr>
          <w:p>
            <w:pPr>
              <w:spacing w:before="0" w:after="0" w:line="240" w:lineRule="auto"/>
              <w:jc w:val="center"/>
            </w:pPr>
            <w:r/>
            <w:r>
              <w:rPr>
                <w:rFonts w:ascii="Arial" w:hAnsi="Arial" w:cs="Arial"/>
                <w:sz w:val="18"/>
              </w:rPr>
              <w:t>Ambas Cámaras</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Margen del Rey</w:t>
            </w:r>
          </w:p>
        </w:tc>
        <w:tc>
          <w:tcPr>
            <w:tcW w:type="dxa" w:w="4166"/>
            <w:tcMar>
              <w:top w:w="80" w:type="dxa"/>
              <w:start w:w="120" w:type="dxa"/>
              <w:bottom w:w="80" w:type="dxa"/>
              <w:end w:w="120" w:type="dxa"/>
            </w:tcMar>
            <w:vAlign w:val="center"/>
          </w:tcPr>
          <w:p>
            <w:pPr>
              <w:spacing w:before="0" w:after="0" w:line="240" w:lineRule="auto"/>
              <w:jc w:val="left"/>
            </w:pPr>
            <w:r/>
            <w:r>
              <w:rPr>
                <w:rFonts w:ascii="Arial" w:hAnsi="Arial" w:cs="Arial"/>
                <w:sz w:val="18"/>
              </w:rPr>
              <w:t>Decreta la propuesta conforme al procedimiento</w:t>
            </w:r>
          </w:p>
        </w:tc>
        <w:tc>
          <w:tcPr>
            <w:tcW w:type="dxa" w:w="2777"/>
            <w:tcMar>
              <w:top w:w="80" w:type="dxa"/>
              <w:start w:w="120" w:type="dxa"/>
              <w:bottom w:w="80" w:type="dxa"/>
              <w:end w:w="120" w:type="dxa"/>
            </w:tcMar>
            <w:vAlign w:val="center"/>
          </w:tcPr>
          <w:p>
            <w:pPr>
              <w:spacing w:before="0" w:after="0" w:line="240" w:lineRule="auto"/>
              <w:jc w:val="left"/>
            </w:pPr>
            <w:r/>
            <w:r>
              <w:rPr>
                <w:rFonts w:ascii="Arial" w:hAnsi="Arial" w:cs="Arial"/>
                <w:sz w:val="18"/>
              </w:rPr>
              <w:t>Cumple el mandato constitucional</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Refrendo</w:t>
            </w:r>
          </w:p>
        </w:tc>
        <w:tc>
          <w:tcPr>
            <w:tcW w:type="dxa" w:w="4166"/>
            <w:tcMar>
              <w:top w:w="80" w:type="dxa"/>
              <w:start w:w="120" w:type="dxa"/>
              <w:bottom w:w="80" w:type="dxa"/>
              <w:end w:w="120" w:type="dxa"/>
            </w:tcMar>
            <w:vAlign w:val="center"/>
          </w:tcPr>
          <w:p>
            <w:pPr>
              <w:spacing w:before="0" w:after="0" w:line="240" w:lineRule="auto"/>
              <w:jc w:val="left"/>
            </w:pPr>
            <w:r/>
            <w:r>
              <w:rPr>
                <w:rFonts w:ascii="Arial" w:hAnsi="Arial" w:cs="Arial"/>
                <w:sz w:val="18"/>
              </w:rPr>
              <w:t>Presidente del Gobierno</w:t>
            </w:r>
          </w:p>
        </w:tc>
        <w:tc>
          <w:tcPr>
            <w:tcW w:type="dxa" w:w="2777"/>
            <w:tcMar>
              <w:top w:w="80" w:type="dxa"/>
              <w:start w:w="120" w:type="dxa"/>
              <w:bottom w:w="80" w:type="dxa"/>
              <w:end w:w="120" w:type="dxa"/>
            </w:tcMar>
            <w:vAlign w:val="center"/>
          </w:tcPr>
          <w:p>
            <w:pPr>
              <w:spacing w:before="0" w:after="0" w:line="240" w:lineRule="auto"/>
              <w:jc w:val="left"/>
            </w:pPr>
            <w:r/>
            <w:r>
              <w:rPr>
                <w:rFonts w:ascii="Arial" w:hAnsi="Arial" w:cs="Arial"/>
                <w:sz w:val="18"/>
              </w:rPr>
              <w:t>Presidente del Congreso</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Restricciones específicas</w:t>
            </w:r>
          </w:p>
        </w:tc>
        <w:tc>
          <w:tcPr>
            <w:tcW w:type="dxa" w:w="4166"/>
            <w:tcMar>
              <w:top w:w="80" w:type="dxa"/>
              <w:start w:w="120" w:type="dxa"/>
              <w:bottom w:w="80" w:type="dxa"/>
              <w:end w:w="120" w:type="dxa"/>
            </w:tcMar>
            <w:vAlign w:val="center"/>
          </w:tcPr>
          <w:p>
            <w:pPr>
              <w:spacing w:before="0" w:after="0" w:line="240" w:lineRule="auto"/>
              <w:jc w:val="left"/>
            </w:pPr>
            <w:r/>
            <w:r>
              <w:rPr>
                <w:rFonts w:ascii="Arial" w:hAnsi="Arial" w:cs="Arial"/>
                <w:sz w:val="18"/>
              </w:rPr>
              <w:t>Moción de censura y regla de un año</w:t>
            </w:r>
          </w:p>
        </w:tc>
        <w:tc>
          <w:tcPr>
            <w:tcW w:type="dxa" w:w="2777"/>
            <w:tcMar>
              <w:top w:w="80" w:type="dxa"/>
              <w:start w:w="120" w:type="dxa"/>
              <w:bottom w:w="80" w:type="dxa"/>
              <w:end w:w="120" w:type="dxa"/>
            </w:tcMar>
            <w:vAlign w:val="center"/>
          </w:tcPr>
          <w:p>
            <w:pPr>
              <w:spacing w:before="0" w:after="0" w:line="240" w:lineRule="auto"/>
              <w:jc w:val="left"/>
            </w:pPr>
            <w:r/>
            <w:r>
              <w:rPr>
                <w:rFonts w:ascii="Arial" w:hAnsi="Arial" w:cs="Arial"/>
                <w:sz w:val="18"/>
              </w:rPr>
              <w:t>Cómputo desde la primera votación</w:t>
            </w:r>
          </w:p>
        </w:tc>
      </w:tr>
    </w:tbl>
    <w:p>
      <w:pPr>
        <w:spacing w:after="40"/>
      </w:pPr>
    </w:p>
    <w:p>
      <w:pPr>
        <w:pStyle w:val="Heading2"/>
        <w:keepNext/>
      </w:pPr>
      <w:r>
        <w:rPr>
          <w:rFonts w:ascii="Arial" w:hAnsi="Arial" w:cs="Arial"/>
          <w:sz w:val="25"/>
        </w:rPr>
        <w:t>4.4. Convocatoria de referéndum</w:t>
      </w:r>
    </w:p>
    <w:p>
      <w:pPr>
        <w:jc w:val="both"/>
      </w:pPr>
      <w:r>
        <w:rPr>
          <w:rFonts w:ascii="Arial" w:hAnsi="Arial" w:cs="Arial"/>
          <w:sz w:val="22"/>
        </w:rPr>
        <w:t>El Rey convoca referéndum en los casos previstos constitucionalmente. En el referéndum consultivo del artículo 92:</w:t>
      </w:r>
    </w:p>
    <w:p>
      <w:pPr>
        <w:spacing w:after="40"/>
        <w:ind w:left="369" w:hanging="227"/>
      </w:pPr>
      <w:r>
        <w:rPr>
          <w:rFonts w:ascii="Arial" w:hAnsi="Arial" w:cs="Arial"/>
          <w:sz w:val="22"/>
        </w:rPr>
        <w:t>1. se trata de una decisión política de especial trascendencia;</w:t>
      </w:r>
    </w:p>
    <w:p>
      <w:pPr>
        <w:spacing w:after="40"/>
        <w:ind w:left="369" w:hanging="227"/>
      </w:pPr>
      <w:r>
        <w:rPr>
          <w:rFonts w:ascii="Arial" w:hAnsi="Arial" w:cs="Arial"/>
          <w:sz w:val="22"/>
        </w:rPr>
        <w:t>2. la propuesta corresponde al Presidente del Gobierno;</w:t>
      </w:r>
    </w:p>
    <w:p>
      <w:pPr>
        <w:spacing w:after="40"/>
        <w:ind w:left="369" w:hanging="227"/>
      </w:pPr>
      <w:r>
        <w:rPr>
          <w:rFonts w:ascii="Arial" w:hAnsi="Arial" w:cs="Arial"/>
          <w:sz w:val="22"/>
        </w:rPr>
        <w:t>3. el Congreso debe autorizarla previamente;</w:t>
      </w:r>
    </w:p>
    <w:p>
      <w:pPr>
        <w:spacing w:after="40"/>
        <w:ind w:left="369" w:hanging="227"/>
      </w:pPr>
      <w:r>
        <w:rPr>
          <w:rFonts w:ascii="Arial" w:hAnsi="Arial" w:cs="Arial"/>
          <w:sz w:val="22"/>
        </w:rPr>
        <w:t>4. el Rey efectúa la convocatoria.</w:t>
      </w:r>
    </w:p>
    <w:p>
      <w:pPr>
        <w:jc w:val="both"/>
      </w:pPr>
      <w:r>
        <w:rPr>
          <w:rFonts w:ascii="Arial" w:hAnsi="Arial" w:cs="Arial"/>
          <w:sz w:val="22"/>
        </w:rPr>
        <w:t>La Constitución no atribuye al monarca la selección de la pregunta ni la iniciativa. La Ley 50/1997 confirma que corresponde al Presidente del Gobierno proponer al Rey la convocatoria, previa autorización del Congreso.</w:t>
      </w:r>
    </w:p>
    <w:p>
      <w:pPr>
        <w:jc w:val="both"/>
      </w:pPr>
      <w:r>
        <w:rPr>
          <w:rFonts w:ascii="Arial" w:hAnsi="Arial" w:cs="Arial"/>
          <w:sz w:val="22"/>
        </w:rPr>
        <w:t>También existen referendos constitucionalmente previstos en procedimientos de reforma constitucional y de aprobación o reforma estatutaria. La función regia de convocatoria se ejerce siempre dentro de las reglas específicas aplicables.</w:t>
      </w:r>
    </w:p>
    <w:p>
      <w:pPr>
        <w:pStyle w:val="Heading2"/>
        <w:keepNext/>
      </w:pPr>
      <w:r>
        <w:rPr>
          <w:rFonts w:ascii="Arial" w:hAnsi="Arial" w:cs="Arial"/>
          <w:sz w:val="25"/>
        </w:rPr>
        <w:t>4.5. Propuesta y nombramiento del Presidente del Gobierno</w:t>
      </w:r>
    </w:p>
    <w:p>
      <w:pPr>
        <w:jc w:val="both"/>
      </w:pPr>
      <w:r>
        <w:rPr>
          <w:rFonts w:ascii="Arial" w:hAnsi="Arial" w:cs="Arial"/>
          <w:sz w:val="22"/>
        </w:rPr>
        <w:t>Después de cada renovación del Congreso y en los demás supuestos constitucionales, el artículo 99 establece:</w:t>
      </w:r>
    </w:p>
    <w:p>
      <w:pPr>
        <w:spacing w:after="40"/>
        <w:ind w:left="369" w:hanging="227"/>
      </w:pPr>
      <w:r>
        <w:rPr>
          <w:rFonts w:ascii="Arial" w:hAnsi="Arial" w:cs="Arial"/>
          <w:sz w:val="22"/>
        </w:rPr>
        <w:t>1. el Rey consulta a los representantes designados por los grupos políticos con representación parlamentaria;</w:t>
      </w:r>
    </w:p>
    <w:p>
      <w:pPr>
        <w:spacing w:after="40"/>
        <w:ind w:left="369" w:hanging="227"/>
      </w:pPr>
      <w:r>
        <w:rPr>
          <w:rFonts w:ascii="Arial" w:hAnsi="Arial" w:cs="Arial"/>
          <w:sz w:val="22"/>
        </w:rPr>
        <w:t>2. las consultas y la propuesta se canalizan a través del Presidente del Congreso;</w:t>
      </w:r>
    </w:p>
    <w:p>
      <w:pPr>
        <w:spacing w:after="40"/>
        <w:ind w:left="369" w:hanging="227"/>
      </w:pPr>
      <w:r>
        <w:rPr>
          <w:rFonts w:ascii="Arial" w:hAnsi="Arial" w:cs="Arial"/>
          <w:sz w:val="22"/>
        </w:rPr>
        <w:t>3. el Rey propone un candidato;</w:t>
      </w:r>
    </w:p>
    <w:p>
      <w:pPr>
        <w:spacing w:after="40"/>
        <w:ind w:left="369" w:hanging="227"/>
      </w:pPr>
      <w:r>
        <w:rPr>
          <w:rFonts w:ascii="Arial" w:hAnsi="Arial" w:cs="Arial"/>
          <w:sz w:val="22"/>
        </w:rPr>
        <w:t>4. el candidato expone su programa y solicita la confianza del Congreso;</w:t>
      </w:r>
    </w:p>
    <w:p>
      <w:pPr>
        <w:spacing w:after="40"/>
        <w:ind w:left="369" w:hanging="227"/>
      </w:pPr>
      <w:r>
        <w:rPr>
          <w:rFonts w:ascii="Arial" w:hAnsi="Arial" w:cs="Arial"/>
          <w:sz w:val="22"/>
        </w:rPr>
        <w:t>5. si obtiene mayoría absoluta en primera votación, el Rey lo nombra;</w:t>
      </w:r>
    </w:p>
    <w:p>
      <w:pPr>
        <w:spacing w:after="40"/>
        <w:ind w:left="369" w:hanging="227"/>
      </w:pPr>
      <w:r>
        <w:rPr>
          <w:rFonts w:ascii="Arial" w:hAnsi="Arial" w:cs="Arial"/>
          <w:sz w:val="22"/>
        </w:rPr>
        <w:t>6. si no, se celebra otra votación cuarenta y ocho horas después y basta mayoría simple;</w:t>
      </w:r>
    </w:p>
    <w:p>
      <w:pPr>
        <w:spacing w:after="40"/>
        <w:ind w:left="369" w:hanging="227"/>
      </w:pPr>
      <w:r>
        <w:rPr>
          <w:rFonts w:ascii="Arial" w:hAnsi="Arial" w:cs="Arial"/>
          <w:sz w:val="22"/>
        </w:rPr>
        <w:t>7. si fracasa, se tramitan sucesivas propuestas;</w:t>
      </w:r>
    </w:p>
    <w:p>
      <w:pPr>
        <w:spacing w:after="40"/>
        <w:ind w:left="369" w:hanging="227"/>
      </w:pPr>
      <w:r>
        <w:rPr>
          <w:rFonts w:ascii="Arial" w:hAnsi="Arial" w:cs="Arial"/>
          <w:sz w:val="22"/>
        </w:rPr>
        <w:t>8. si en dos meses desde la primera votación nadie obtiene la confianza, se disuelven ambas Cámaras y se convocan elecciones.</w:t>
      </w:r>
    </w:p>
    <w:p>
      <w:pPr>
        <w:jc w:val="both"/>
      </w:pPr>
      <w:r>
        <w:rPr>
          <w:rFonts w:ascii="Arial" w:hAnsi="Arial" w:cs="Arial"/>
          <w:sz w:val="22"/>
        </w:rPr>
        <w:t xml:space="preserve">La propuesta regia se orienta a posibilitar una investidura parlamentaria. La confianza no la otorga el Rey, sino el Congreso. Tanto la propuesta como el nombramiento del Presidente y la disolución del artículo 99.5 son refrendados por el </w:t>
      </w:r>
      <w:r>
        <w:rPr>
          <w:rFonts w:ascii="Arial" w:hAnsi="Arial" w:cs="Arial"/>
          <w:b/>
          <w:sz w:val="22"/>
        </w:rPr>
        <w:t>Presidente del Congreso</w:t>
      </w:r>
      <w:r>
        <w:rPr>
          <w:rFonts w:ascii="Arial" w:hAnsi="Arial" w:cs="Arial"/>
          <w:sz w:val="22"/>
        </w:rPr>
        <w:t>.</w:t>
      </w:r>
    </w:p>
    <w:p>
      <w:pPr>
        <w:jc w:val="both"/>
      </w:pPr>
      <w:r>
        <w:rPr>
          <w:rFonts w:ascii="Arial" w:hAnsi="Arial" w:cs="Arial"/>
          <w:sz w:val="22"/>
        </w:rPr>
        <w:t>El Rey también nombra Presidente al candidato incluido en una moción de censura aprobada, pues el artículo 114.2 lo considera investido de la confianza de la Cámara.</w:t>
      </w:r>
    </w:p>
    <w:p>
      <w:pPr>
        <w:pStyle w:val="Heading2"/>
        <w:keepNext/>
      </w:pPr>
      <w:r>
        <w:rPr>
          <w:rFonts w:ascii="Arial" w:hAnsi="Arial" w:cs="Arial"/>
          <w:sz w:val="25"/>
        </w:rPr>
        <w:t>4.6. Nombramiento y separación de los miembros del Gobierno</w:t>
      </w:r>
    </w:p>
    <w:p>
      <w:pPr>
        <w:jc w:val="both"/>
      </w:pPr>
      <w:r>
        <w:rPr>
          <w:rFonts w:ascii="Arial" w:hAnsi="Arial" w:cs="Arial"/>
          <w:sz w:val="22"/>
        </w:rPr>
        <w:t xml:space="preserve">El artículo 62.e y el artículo 100 disponen que el Rey nombra y separa a los demás miembros del Gobierno </w:t>
      </w:r>
      <w:r>
        <w:rPr>
          <w:rFonts w:ascii="Arial" w:hAnsi="Arial" w:cs="Arial"/>
          <w:b/>
          <w:sz w:val="22"/>
        </w:rPr>
        <w:t>a propuesta de su Presidente</w:t>
      </w:r>
      <w:r>
        <w:rPr>
          <w:rFonts w:ascii="Arial" w:hAnsi="Arial" w:cs="Arial"/>
          <w:sz w:val="22"/>
        </w:rPr>
        <w:t>. La competencia de propuesta corresponde al Presidente del Gobierno, como confirma el artículo 2.2.k de la Ley 50/1997.</w:t>
      </w:r>
    </w:p>
    <w:p>
      <w:pPr>
        <w:jc w:val="both"/>
      </w:pPr>
      <w:r>
        <w:rPr>
          <w:rFonts w:ascii="Arial" w:hAnsi="Arial" w:cs="Arial"/>
          <w:sz w:val="22"/>
        </w:rPr>
        <w:t>El Rey no selecciona ministros, no puede rechazarlos por razones políticas ni cesarlos por iniciativa propia. La propuesta presidencial es el presupuesto del acto. El correspondiente real decreto es refrendado por el Presidente del Gobierno.</w:t>
      </w:r>
    </w:p>
    <w:p>
      <w:pPr>
        <w:jc w:val="both"/>
      </w:pPr>
      <w:r>
        <w:rPr>
          <w:rFonts w:ascii="Arial" w:hAnsi="Arial" w:cs="Arial"/>
          <w:sz w:val="22"/>
        </w:rPr>
        <w:t>Cuando cesa el Gobierno por elecciones, pérdida de confianza, dimisión o fallecimiento de su Presidente, continúa en funciones hasta la toma de posesión del nuevo Gobierno. El Rey formaliza los actos de cese y nombramiento que correspondan dentro de ese marco.</w:t>
      </w:r>
    </w:p>
    <w:p>
      <w:pPr>
        <w:pStyle w:val="Heading2"/>
        <w:keepNext/>
      </w:pPr>
      <w:r>
        <w:rPr>
          <w:rFonts w:ascii="Arial" w:hAnsi="Arial" w:cs="Arial"/>
          <w:sz w:val="25"/>
        </w:rPr>
        <w:t>4.7. Decretos, empleos, honores y distinciones</w:t>
      </w:r>
    </w:p>
    <w:p>
      <w:pPr>
        <w:jc w:val="both"/>
      </w:pPr>
      <w:r>
        <w:rPr>
          <w:rFonts w:ascii="Arial" w:hAnsi="Arial" w:cs="Arial"/>
          <w:sz w:val="22"/>
        </w:rPr>
        <w:t>El artículo 62.f atribuye al Rey:</w:t>
      </w:r>
    </w:p>
    <w:p>
      <w:pPr>
        <w:pStyle w:val="ListBullet"/>
      </w:pPr>
      <w:r>
        <w:rPr>
          <w:rFonts w:ascii="Arial" w:hAnsi="Arial" w:cs="Arial"/>
          <w:sz w:val="22"/>
        </w:rPr>
        <w:t>expedir los decretos acordados en Consejo de Ministros;</w:t>
      </w:r>
    </w:p>
    <w:p>
      <w:pPr>
        <w:pStyle w:val="ListBullet"/>
      </w:pPr>
      <w:r>
        <w:rPr>
          <w:rFonts w:ascii="Arial" w:hAnsi="Arial" w:cs="Arial"/>
          <w:sz w:val="22"/>
        </w:rPr>
        <w:t>conferir empleos civiles y militares;</w:t>
      </w:r>
    </w:p>
    <w:p>
      <w:pPr>
        <w:pStyle w:val="ListBullet"/>
      </w:pPr>
      <w:r>
        <w:rPr>
          <w:rFonts w:ascii="Arial" w:hAnsi="Arial" w:cs="Arial"/>
          <w:sz w:val="22"/>
        </w:rPr>
        <w:t>conceder honores y distinciones con arreglo a las leyes.</w:t>
      </w:r>
    </w:p>
    <w:p>
      <w:pPr>
        <w:jc w:val="both"/>
      </w:pPr>
      <w:r>
        <w:rPr>
          <w:rFonts w:ascii="Arial" w:hAnsi="Arial" w:cs="Arial"/>
          <w:sz w:val="22"/>
        </w:rPr>
        <w:t>“Expedir” no significa decidir el contenido del decreto. El Consejo de Ministros adopta el acuerdo y el Rey formaliza la norma o acto. La firma regia y el refrendo correspondiente hacen visible la participación de la Jefatura del Estado y del órgano responsable.</w:t>
      </w:r>
    </w:p>
    <w:p>
      <w:pPr>
        <w:jc w:val="both"/>
      </w:pPr>
      <w:r>
        <w:rPr>
          <w:rFonts w:ascii="Arial" w:hAnsi="Arial" w:cs="Arial"/>
          <w:sz w:val="22"/>
        </w:rPr>
        <w:t>Los empleos, honores y distinciones se confieren conforme a las leyes. Por ello, la atribución no es ilimitada: debe respetar los procedimientos, propuestas y requisitos de cada normativa sectorial.</w:t>
      </w:r>
    </w:p>
    <w:p>
      <w:pPr>
        <w:pStyle w:val="Heading2"/>
        <w:keepNext/>
      </w:pPr>
      <w:r>
        <w:rPr>
          <w:rFonts w:ascii="Arial" w:hAnsi="Arial" w:cs="Arial"/>
          <w:sz w:val="25"/>
        </w:rPr>
        <w:t>4.8. Información sobre asuntos de Estado y Consejo de Ministros</w:t>
      </w:r>
    </w:p>
    <w:p>
      <w:pPr>
        <w:jc w:val="both"/>
      </w:pPr>
      <w:r>
        <w:rPr>
          <w:rFonts w:ascii="Arial" w:hAnsi="Arial" w:cs="Arial"/>
          <w:sz w:val="22"/>
        </w:rPr>
        <w:t xml:space="preserve">El Rey tiene derecho a ser informado de los asuntos de Estado. Puede presidir, a esos efectos, sesiones del Consejo de Ministros cuando lo estime oportuno, pero </w:t>
      </w:r>
      <w:r>
        <w:rPr>
          <w:rFonts w:ascii="Arial" w:hAnsi="Arial" w:cs="Arial"/>
          <w:b/>
          <w:sz w:val="22"/>
        </w:rPr>
        <w:t>a petición del Presidente del Gobierno</w:t>
      </w:r>
      <w:r>
        <w:rPr>
          <w:rFonts w:ascii="Arial" w:hAnsi="Arial" w:cs="Arial"/>
          <w:sz w:val="22"/>
        </w:rPr>
        <w:t>.</w:t>
      </w:r>
    </w:p>
    <w:p>
      <w:pPr>
        <w:jc w:val="both"/>
      </w:pPr>
      <w:r>
        <w:rPr>
          <w:rFonts w:ascii="Arial" w:hAnsi="Arial" w:cs="Arial"/>
          <w:sz w:val="22"/>
        </w:rPr>
        <w:t>La Constitución combina dos condiciones: valoración de oportunidad por el Rey y petición del Presidente. La presidencia regia de una sesión no convierte al monarca en miembro del Gobierno ni le transfiere la dirección política. El artículo 2.2.g de la Ley 50/1997 atribuye normalmente al Presidente del Gobierno convocar, presidir y fijar el orden del día del Consejo, sin perjuicio del artículo 62.g constitucional.</w:t>
      </w:r>
    </w:p>
    <w:p>
      <w:pPr>
        <w:pStyle w:val="Heading2"/>
        <w:keepNext/>
      </w:pPr>
      <w:r>
        <w:rPr>
          <w:rFonts w:ascii="Arial" w:hAnsi="Arial" w:cs="Arial"/>
          <w:sz w:val="25"/>
        </w:rPr>
        <w:t>4.9. Mando supremo de las Fuerzas Armadas</w:t>
      </w:r>
    </w:p>
    <w:p>
      <w:pPr>
        <w:jc w:val="both"/>
      </w:pPr>
      <w:r>
        <w:rPr>
          <w:rFonts w:ascii="Arial" w:hAnsi="Arial" w:cs="Arial"/>
          <w:sz w:val="22"/>
        </w:rPr>
        <w:t>El artículo 62.h atribuye al Rey el mando supremo de las Fuerzas Armadas. Debe coordinarse con:</w:t>
      </w:r>
    </w:p>
    <w:p>
      <w:pPr>
        <w:pStyle w:val="ListBullet"/>
      </w:pPr>
      <w:r>
        <w:rPr>
          <w:rFonts w:ascii="Arial" w:hAnsi="Arial" w:cs="Arial"/>
          <w:sz w:val="22"/>
        </w:rPr>
        <w:t>el artículo 8, que fija las misiones constitucionales de las Fuerzas Armadas;</w:t>
      </w:r>
    </w:p>
    <w:p>
      <w:pPr>
        <w:pStyle w:val="ListBullet"/>
      </w:pPr>
      <w:r>
        <w:rPr>
          <w:rFonts w:ascii="Arial" w:hAnsi="Arial" w:cs="Arial"/>
          <w:sz w:val="22"/>
        </w:rPr>
        <w:t>el artículo 97, que atribuye al Gobierno la dirección de la Administración militar y la defensa del Estado;</w:t>
      </w:r>
    </w:p>
    <w:p>
      <w:pPr>
        <w:pStyle w:val="ListBullet"/>
      </w:pPr>
      <w:r>
        <w:rPr>
          <w:rFonts w:ascii="Arial" w:hAnsi="Arial" w:cs="Arial"/>
          <w:sz w:val="22"/>
        </w:rPr>
        <w:t>la legislación de defensa, que concreta las competencias gubernamentales y militares.</w:t>
      </w:r>
    </w:p>
    <w:p>
      <w:pPr>
        <w:jc w:val="both"/>
      </w:pPr>
      <w:r>
        <w:rPr>
          <w:rFonts w:ascii="Arial" w:hAnsi="Arial" w:cs="Arial"/>
          <w:sz w:val="22"/>
        </w:rPr>
        <w:t>El mando supremo tiene posición constitucional de máxima jefatura, pero no convierte al Rey en director autónomo de la política de defensa ni permite órdenes políticas al margen del Gobierno y de las leyes.</w:t>
      </w:r>
    </w:p>
    <w:p>
      <w:pPr>
        <w:pStyle w:val="Heading2"/>
        <w:keepNext/>
      </w:pPr>
      <w:r>
        <w:rPr>
          <w:rFonts w:ascii="Arial" w:hAnsi="Arial" w:cs="Arial"/>
          <w:sz w:val="25"/>
        </w:rPr>
        <w:t>4.10. Derecho de gracia</w:t>
      </w:r>
    </w:p>
    <w:p>
      <w:pPr>
        <w:jc w:val="both"/>
      </w:pPr>
      <w:r>
        <w:rPr>
          <w:rFonts w:ascii="Arial" w:hAnsi="Arial" w:cs="Arial"/>
          <w:sz w:val="22"/>
        </w:rPr>
        <w:t xml:space="preserve">El Rey ejerce el derecho de gracia con arreglo a la ley, que no puede autorizar </w:t>
      </w:r>
      <w:r>
        <w:rPr>
          <w:rFonts w:ascii="Arial" w:hAnsi="Arial" w:cs="Arial"/>
          <w:b/>
          <w:sz w:val="22"/>
        </w:rPr>
        <w:t>indultos generales</w:t>
      </w:r>
      <w:r>
        <w:rPr>
          <w:rFonts w:ascii="Arial" w:hAnsi="Arial" w:cs="Arial"/>
          <w:sz w:val="22"/>
        </w:rPr>
        <w:t>. La función se ejerce mediante los actos y procedimientos legales y requiere refrendo. No configura una potestad personal para exceptuar libremente el cumplimiento de las penas.</w:t>
      </w:r>
    </w:p>
    <w:p>
      <w:pPr>
        <w:jc w:val="both"/>
      </w:pPr>
      <w:r>
        <w:rPr>
          <w:rFonts w:ascii="Arial" w:hAnsi="Arial" w:cs="Arial"/>
          <w:sz w:val="22"/>
        </w:rPr>
        <w:t>La prohibición constitucional se refiere a indultos generales. Los indultos particulares se someten a la legislación aplicable. Además, el artículo 102.3 de la Constitución impide aplicar la prerrogativa real de gracia a la responsabilidad criminal del Presidente y de los demás miembros del Gobierno en los supuestos allí contemplados.</w:t>
      </w:r>
    </w:p>
    <w:p>
      <w:pPr>
        <w:pStyle w:val="Heading2"/>
        <w:keepNext/>
      </w:pPr>
      <w:r>
        <w:rPr>
          <w:rFonts w:ascii="Arial" w:hAnsi="Arial" w:cs="Arial"/>
          <w:sz w:val="25"/>
        </w:rPr>
        <w:t>4.11. Alto Patronazgo de las Reales Academias</w:t>
      </w:r>
    </w:p>
    <w:p>
      <w:pPr>
        <w:jc w:val="both"/>
      </w:pPr>
      <w:r>
        <w:rPr>
          <w:rFonts w:ascii="Arial" w:hAnsi="Arial" w:cs="Arial"/>
          <w:sz w:val="22"/>
        </w:rPr>
        <w:t>El Rey ejerce el Alto Patronazgo de las Reales Academias. Es una función institucional y cultural expresamente individualizada en el artículo 62.j. No debe confundirse con la dirección académica, científica o administrativa de cada corporación.</w:t>
      </w:r>
    </w:p>
    <w:p>
      <w:pPr>
        <w:pStyle w:val="Heading2"/>
        <w:keepNext/>
      </w:pPr>
      <w:r>
        <w:rPr>
          <w:rFonts w:ascii="Arial" w:hAnsi="Arial" w:cs="Arial"/>
          <w:sz w:val="25"/>
        </w:rPr>
        <w:t>4.12. Funciones internacionales</w:t>
      </w:r>
    </w:p>
    <w:p>
      <w:pPr>
        <w:jc w:val="both"/>
      </w:pPr>
      <w:r>
        <w:rPr>
          <w:rFonts w:ascii="Arial" w:hAnsi="Arial" w:cs="Arial"/>
          <w:sz w:val="22"/>
        </w:rPr>
        <w:t>El artículo 63 distingue:</w:t>
      </w:r>
    </w:p>
    <w:p>
      <w:pPr>
        <w:spacing w:after="40"/>
        <w:ind w:left="369" w:hanging="227"/>
      </w:pPr>
      <w:r>
        <w:rPr>
          <w:rFonts w:ascii="Arial" w:hAnsi="Arial" w:cs="Arial"/>
          <w:sz w:val="22"/>
        </w:rPr>
        <w:t xml:space="preserve">1. </w:t>
      </w:r>
      <w:r>
        <w:rPr>
          <w:rFonts w:ascii="Arial" w:hAnsi="Arial" w:cs="Arial"/>
          <w:b/>
          <w:sz w:val="22"/>
        </w:rPr>
        <w:t>Relaciones diplomáticas.</w:t>
      </w:r>
      <w:r>
        <w:rPr>
          <w:rFonts w:ascii="Arial" w:hAnsi="Arial" w:cs="Arial"/>
          <w:sz w:val="22"/>
        </w:rPr>
        <w:t xml:space="preserve"> El Rey acredita a embajadores y otros representantes diplomáticos; los representantes extranjeros se acreditan ante él.</w:t>
      </w:r>
    </w:p>
    <w:p>
      <w:pPr>
        <w:spacing w:after="40"/>
        <w:ind w:left="369" w:hanging="227"/>
      </w:pPr>
      <w:r>
        <w:rPr>
          <w:rFonts w:ascii="Arial" w:hAnsi="Arial" w:cs="Arial"/>
          <w:sz w:val="22"/>
        </w:rPr>
        <w:t xml:space="preserve">2. </w:t>
      </w:r>
      <w:r>
        <w:rPr>
          <w:rFonts w:ascii="Arial" w:hAnsi="Arial" w:cs="Arial"/>
          <w:b/>
          <w:sz w:val="22"/>
        </w:rPr>
        <w:t>Tratados.</w:t>
      </w:r>
      <w:r>
        <w:rPr>
          <w:rFonts w:ascii="Arial" w:hAnsi="Arial" w:cs="Arial"/>
          <w:sz w:val="22"/>
        </w:rPr>
        <w:t xml:space="preserve"> Manifiesta el consentimiento del Estado para obligarse internacionalmente, de conformidad con la Constitución y las leyes. Las decisiones de negociación, firma y remisión a las Cortes corresponden al Gobierno según la Ley 50/1997.</w:t>
      </w:r>
    </w:p>
    <w:p>
      <w:pPr>
        <w:spacing w:after="40"/>
        <w:ind w:left="369" w:hanging="227"/>
      </w:pPr>
      <w:r>
        <w:rPr>
          <w:rFonts w:ascii="Arial" w:hAnsi="Arial" w:cs="Arial"/>
          <w:sz w:val="22"/>
        </w:rPr>
        <w:t xml:space="preserve">3. </w:t>
      </w:r>
      <w:r>
        <w:rPr>
          <w:rFonts w:ascii="Arial" w:hAnsi="Arial" w:cs="Arial"/>
          <w:b/>
          <w:sz w:val="22"/>
        </w:rPr>
        <w:t>Guerra y paz.</w:t>
      </w:r>
      <w:r>
        <w:rPr>
          <w:rFonts w:ascii="Arial" w:hAnsi="Arial" w:cs="Arial"/>
          <w:sz w:val="22"/>
        </w:rPr>
        <w:t xml:space="preserve"> Corresponde al Rey declarar la guerra y hacer la paz, siempre con autorización previa de las Cortes Generales.</w:t>
      </w:r>
    </w:p>
    <w:p>
      <w:pPr>
        <w:jc w:val="both"/>
      </w:pPr>
      <w:r>
        <w:rPr>
          <w:rFonts w:ascii="Arial" w:hAnsi="Arial" w:cs="Arial"/>
          <w:sz w:val="22"/>
        </w:rPr>
        <w:t>La autorización parlamentaria y el refrendo son elementos esenciales. La representación internacional del Rey no sustituye la competencia gubernamental de dirigir la política exterior ni las competencias de las Cortes en materia de tratados y guerra.</w:t>
      </w:r>
    </w:p>
    <w:p>
      <w:pPr>
        <w:pStyle w:val="Heading2"/>
        <w:keepNext/>
      </w:pPr>
      <w:r>
        <w:rPr>
          <w:rFonts w:ascii="Arial" w:hAnsi="Arial" w:cs="Arial"/>
          <w:sz w:val="25"/>
        </w:rPr>
        <w:t>4.13. Otros nombramientos previstos en la Constitución</w:t>
      </w:r>
    </w:p>
    <w:p>
      <w:pPr>
        <w:jc w:val="both"/>
      </w:pPr>
      <w:r>
        <w:rPr>
          <w:rFonts w:ascii="Arial" w:hAnsi="Arial" w:cs="Arial"/>
          <w:sz w:val="22"/>
        </w:rPr>
        <w:t>Fuera del título II, la Constitución encomienda al Rey diversos nombramientos formales:</w:t>
      </w:r>
    </w:p>
    <w:p>
      <w:pPr>
        <w:pStyle w:val="ListBullet"/>
      </w:pPr>
      <w:r>
        <w:rPr>
          <w:rFonts w:ascii="Arial" w:hAnsi="Arial" w:cs="Arial"/>
          <w:sz w:val="22"/>
        </w:rPr>
        <w:t>los veinte vocales del Consejo General del Poder Judicial, por cinco años;</w:t>
      </w:r>
    </w:p>
    <w:p>
      <w:pPr>
        <w:pStyle w:val="ListBullet"/>
      </w:pPr>
      <w:r>
        <w:rPr>
          <w:rFonts w:ascii="Arial" w:hAnsi="Arial" w:cs="Arial"/>
          <w:sz w:val="22"/>
        </w:rPr>
        <w:t>el Presidente del Tribunal Supremo, a propuesta del CGPJ;</w:t>
      </w:r>
    </w:p>
    <w:p>
      <w:pPr>
        <w:pStyle w:val="ListBullet"/>
      </w:pPr>
      <w:r>
        <w:rPr>
          <w:rFonts w:ascii="Arial" w:hAnsi="Arial" w:cs="Arial"/>
          <w:sz w:val="22"/>
        </w:rPr>
        <w:t>el Fiscal General del Estado, a propuesta del Gobierno, oído el CGPJ;</w:t>
      </w:r>
    </w:p>
    <w:p>
      <w:pPr>
        <w:pStyle w:val="ListBullet"/>
      </w:pPr>
      <w:r>
        <w:rPr>
          <w:rFonts w:ascii="Arial" w:hAnsi="Arial" w:cs="Arial"/>
          <w:sz w:val="22"/>
        </w:rPr>
        <w:t>los doce magistrados del Tribunal Constitucional, a propuesta de los órganos constitucionalmente señalados;</w:t>
      </w:r>
    </w:p>
    <w:p>
      <w:pPr>
        <w:pStyle w:val="ListBullet"/>
      </w:pPr>
      <w:r>
        <w:rPr>
          <w:rFonts w:ascii="Arial" w:hAnsi="Arial" w:cs="Arial"/>
          <w:sz w:val="22"/>
        </w:rPr>
        <w:t>el Presidente del Tribunal Constitucional, a propuesta del Pleno del propio Tribunal.</w:t>
      </w:r>
    </w:p>
    <w:p>
      <w:pPr>
        <w:jc w:val="both"/>
      </w:pPr>
      <w:r>
        <w:rPr>
          <w:rFonts w:ascii="Arial" w:hAnsi="Arial" w:cs="Arial"/>
          <w:sz w:val="22"/>
        </w:rPr>
        <w:t xml:space="preserve">También la justicia se administra </w:t>
      </w:r>
      <w:r>
        <w:rPr>
          <w:rFonts w:ascii="Arial" w:hAnsi="Arial" w:cs="Arial"/>
          <w:b/>
          <w:sz w:val="22"/>
        </w:rPr>
        <w:t>en nombre del Rey</w:t>
      </w:r>
      <w:r>
        <w:rPr>
          <w:rFonts w:ascii="Arial" w:hAnsi="Arial" w:cs="Arial"/>
          <w:sz w:val="22"/>
        </w:rPr>
        <w:t>, aunque emana del pueblo y corresponde en exclusiva a jueces y magistrados independientes. Esta fórmula del artículo 117.1 no atribuye al Rey potestad jurisdiccional.</w:t>
      </w:r>
    </w:p>
    <w:p>
      <w:pPr>
        <w:pStyle w:val="Heading1"/>
        <w:keepNext/>
      </w:pPr>
      <w:r>
        <w:rPr>
          <w:rFonts w:ascii="Arial" w:hAnsi="Arial" w:cs="Arial"/>
          <w:sz w:val="30"/>
        </w:rPr>
        <w:t>5. Sucesión en la Corona</w:t>
      </w:r>
    </w:p>
    <w:p>
      <w:pPr>
        <w:pStyle w:val="Heading2"/>
        <w:keepNext/>
      </w:pPr>
      <w:r>
        <w:rPr>
          <w:rFonts w:ascii="Arial" w:hAnsi="Arial" w:cs="Arial"/>
          <w:sz w:val="25"/>
        </w:rPr>
        <w:t>5.1. Carácter hereditario</w:t>
      </w:r>
    </w:p>
    <w:p>
      <w:pPr>
        <w:jc w:val="both"/>
      </w:pPr>
      <w:r>
        <w:rPr>
          <w:rFonts w:ascii="Arial" w:hAnsi="Arial" w:cs="Arial"/>
          <w:sz w:val="22"/>
        </w:rPr>
        <w:t>La Corona es hereditaria en los sucesores de don Juan Carlos I de Borbón, a quien la Constitución identifica como legítimo heredero de la dinastía histórica. El acceso a la titularidad se produce conforme a reglas constitucionales predeterminadas, no por designación del Rey saliente ni por elección ordinaria de las Cortes.</w:t>
      </w:r>
    </w:p>
    <w:p>
      <w:pPr>
        <w:jc w:val="both"/>
      </w:pPr>
      <w:r>
        <w:rPr>
          <w:rFonts w:ascii="Arial" w:hAnsi="Arial" w:cs="Arial"/>
          <w:sz w:val="22"/>
        </w:rPr>
        <w:t>La sucesión se produce automáticamente cuando tiene lugar el hecho sucesorio y se determina quién ocupa el primer lugar conforme al artículo 57. La proclamación y el juramento tienen gran relevancia constitucional, pero el orden de sucesión deriva directamente de la Constitución.</w:t>
      </w:r>
    </w:p>
    <w:p>
      <w:pPr>
        <w:pStyle w:val="Heading2"/>
        <w:keepNext/>
      </w:pPr>
      <w:r>
        <w:rPr>
          <w:rFonts w:ascii="Arial" w:hAnsi="Arial" w:cs="Arial"/>
          <w:sz w:val="25"/>
        </w:rPr>
        <w:t>5.2. Reglas de preferencia</w:t>
      </w:r>
    </w:p>
    <w:p>
      <w:pPr>
        <w:jc w:val="both"/>
      </w:pPr>
      <w:r>
        <w:rPr>
          <w:rFonts w:ascii="Arial" w:hAnsi="Arial" w:cs="Arial"/>
          <w:sz w:val="22"/>
        </w:rPr>
        <w:t xml:space="preserve">La sucesión sigue el orden regular de </w:t>
      </w:r>
      <w:r>
        <w:rPr>
          <w:rFonts w:ascii="Arial" w:hAnsi="Arial" w:cs="Arial"/>
          <w:b/>
          <w:sz w:val="22"/>
        </w:rPr>
        <w:t>primogenitura y representación</w:t>
      </w:r>
      <w:r>
        <w:rPr>
          <w:rFonts w:ascii="Arial" w:hAnsi="Arial" w:cs="Arial"/>
          <w:sz w:val="22"/>
        </w:rPr>
        <w:t>. El artículo 57.1 establece criterios sucesivos:</w:t>
      </w:r>
    </w:p>
    <w:p>
      <w:pPr>
        <w:spacing w:after="40"/>
        <w:ind w:left="369" w:hanging="227"/>
      </w:pPr>
      <w:r>
        <w:rPr>
          <w:rFonts w:ascii="Arial" w:hAnsi="Arial" w:cs="Arial"/>
          <w:sz w:val="22"/>
        </w:rPr>
        <w:t>1. línea anterior frente a líneas posteriores;</w:t>
      </w:r>
    </w:p>
    <w:p>
      <w:pPr>
        <w:spacing w:after="40"/>
        <w:ind w:left="369" w:hanging="227"/>
      </w:pPr>
      <w:r>
        <w:rPr>
          <w:rFonts w:ascii="Arial" w:hAnsi="Arial" w:cs="Arial"/>
          <w:sz w:val="22"/>
        </w:rPr>
        <w:t>2. dentro de la misma línea, grado más próximo frente al más remoto;</w:t>
      </w:r>
    </w:p>
    <w:p>
      <w:pPr>
        <w:spacing w:after="40"/>
        <w:ind w:left="369" w:hanging="227"/>
      </w:pPr>
      <w:r>
        <w:rPr>
          <w:rFonts w:ascii="Arial" w:hAnsi="Arial" w:cs="Arial"/>
          <w:sz w:val="22"/>
        </w:rPr>
        <w:t>3. dentro del mismo grado, varón frente a mujer;</w:t>
      </w:r>
    </w:p>
    <w:p>
      <w:pPr>
        <w:spacing w:after="40"/>
        <w:ind w:left="369" w:hanging="227"/>
      </w:pPr>
      <w:r>
        <w:rPr>
          <w:rFonts w:ascii="Arial" w:hAnsi="Arial" w:cs="Arial"/>
          <w:sz w:val="22"/>
        </w:rPr>
        <w:t>4. dentro del mismo sexo, persona de más edad frente a la de menos.</w:t>
      </w:r>
    </w:p>
    <w:p>
      <w:pPr>
        <w:jc w:val="both"/>
      </w:pPr>
      <w:r>
        <w:rPr>
          <w:rFonts w:ascii="Arial" w:hAnsi="Arial" w:cs="Arial"/>
          <w:sz w:val="22"/>
        </w:rPr>
        <w:t>Los criterios se aplican en ese orden, no de manera aislada. La preferencia de una línea anterior puede hacer que un descendiente represente a su progenitor y preceda a parientes de una línea posterior. Solo al comparar personas del mismo grado opera la preferencia del varón sobre la mujer; y solo entre personas del mismo sexo decide la edad.</w:t>
      </w:r>
    </w:p>
    <w:tbl>
      <w:tblPr>
        <w:tblStyle w:val="TableGrid"/>
        <w:tblW w:type="dxa" w:w="9026"/>
        <w:jc w:val="left"/>
        <w:tblLayout w:type="fixed"/>
        <w:tblLook w:firstColumn="1" w:firstRow="1" w:lastColumn="0" w:lastRow="0" w:noHBand="0" w:noVBand="1" w:val="04A0"/>
        <w:tblInd w:w="120" w:type="dxa"/>
      </w:tblPr>
      <w:tblGrid>
        <w:gridCol w:w="4212"/>
        <w:gridCol w:w="4814"/>
      </w:tblGrid>
      <w:tr>
        <w:trPr>
          <w:tblHeader w:val="true"/>
        </w:trPr>
        <w:tc>
          <w:tcPr>
            <w:tcW w:type="dxa" w:w="421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Criterio</w:t>
            </w:r>
          </w:p>
        </w:tc>
        <w:tc>
          <w:tcPr>
            <w:tcW w:type="dxa" w:w="481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Preferencia</w:t>
            </w:r>
          </w:p>
        </w:tc>
      </w:tr>
      <w:tr>
        <w:tc>
          <w:tcPr>
            <w:tcW w:type="dxa" w:w="4212"/>
            <w:tcMar>
              <w:top w:w="80" w:type="dxa"/>
              <w:start w:w="120" w:type="dxa"/>
              <w:bottom w:w="80" w:type="dxa"/>
              <w:end w:w="120" w:type="dxa"/>
            </w:tcMar>
            <w:vAlign w:val="center"/>
          </w:tcPr>
          <w:p>
            <w:pPr>
              <w:spacing w:before="0" w:after="0" w:line="240" w:lineRule="auto"/>
              <w:jc w:val="left"/>
            </w:pPr>
            <w:r/>
            <w:r>
              <w:rPr>
                <w:rFonts w:ascii="Arial" w:hAnsi="Arial" w:cs="Arial"/>
                <w:sz w:val="18"/>
              </w:rPr>
              <w:t>Línea</w:t>
            </w:r>
          </w:p>
        </w:tc>
        <w:tc>
          <w:tcPr>
            <w:tcW w:type="dxa" w:w="4814"/>
            <w:tcMar>
              <w:top w:w="80" w:type="dxa"/>
              <w:start w:w="120" w:type="dxa"/>
              <w:bottom w:w="80" w:type="dxa"/>
              <w:end w:w="120" w:type="dxa"/>
            </w:tcMar>
            <w:vAlign w:val="center"/>
          </w:tcPr>
          <w:p>
            <w:pPr>
              <w:spacing w:before="0" w:after="0" w:line="240" w:lineRule="auto"/>
              <w:jc w:val="left"/>
            </w:pPr>
            <w:r/>
            <w:r>
              <w:rPr>
                <w:rFonts w:ascii="Arial" w:hAnsi="Arial" w:cs="Arial"/>
                <w:sz w:val="18"/>
              </w:rPr>
              <w:t>Anterior sobre posterior</w:t>
            </w:r>
          </w:p>
        </w:tc>
      </w:tr>
      <w:tr>
        <w:tc>
          <w:tcPr>
            <w:tcW w:type="dxa" w:w="4212"/>
            <w:tcMar>
              <w:top w:w="80" w:type="dxa"/>
              <w:start w:w="120" w:type="dxa"/>
              <w:bottom w:w="80" w:type="dxa"/>
              <w:end w:w="120" w:type="dxa"/>
            </w:tcMar>
            <w:vAlign w:val="center"/>
          </w:tcPr>
          <w:p>
            <w:pPr>
              <w:spacing w:before="0" w:after="0" w:line="240" w:lineRule="auto"/>
              <w:jc w:val="left"/>
            </w:pPr>
            <w:r/>
            <w:r>
              <w:rPr>
                <w:rFonts w:ascii="Arial" w:hAnsi="Arial" w:cs="Arial"/>
                <w:sz w:val="18"/>
              </w:rPr>
              <w:t>Grado en la misma línea</w:t>
            </w:r>
          </w:p>
        </w:tc>
        <w:tc>
          <w:tcPr>
            <w:tcW w:type="dxa" w:w="4814"/>
            <w:tcMar>
              <w:top w:w="80" w:type="dxa"/>
              <w:start w:w="120" w:type="dxa"/>
              <w:bottom w:w="80" w:type="dxa"/>
              <w:end w:w="120" w:type="dxa"/>
            </w:tcMar>
            <w:vAlign w:val="center"/>
          </w:tcPr>
          <w:p>
            <w:pPr>
              <w:spacing w:before="0" w:after="0" w:line="240" w:lineRule="auto"/>
              <w:jc w:val="left"/>
            </w:pPr>
            <w:r/>
            <w:r>
              <w:rPr>
                <w:rFonts w:ascii="Arial" w:hAnsi="Arial" w:cs="Arial"/>
                <w:sz w:val="18"/>
              </w:rPr>
              <w:t>Más próximo sobre más remoto</w:t>
            </w:r>
          </w:p>
        </w:tc>
      </w:tr>
      <w:tr>
        <w:tc>
          <w:tcPr>
            <w:tcW w:type="dxa" w:w="4212"/>
            <w:tcMar>
              <w:top w:w="80" w:type="dxa"/>
              <w:start w:w="120" w:type="dxa"/>
              <w:bottom w:w="80" w:type="dxa"/>
              <w:end w:w="120" w:type="dxa"/>
            </w:tcMar>
            <w:vAlign w:val="center"/>
          </w:tcPr>
          <w:p>
            <w:pPr>
              <w:spacing w:before="0" w:after="0" w:line="240" w:lineRule="auto"/>
              <w:jc w:val="left"/>
            </w:pPr>
            <w:r/>
            <w:r>
              <w:rPr>
                <w:rFonts w:ascii="Arial" w:hAnsi="Arial" w:cs="Arial"/>
                <w:sz w:val="18"/>
              </w:rPr>
              <w:t>Personas del mismo grado</w:t>
            </w:r>
          </w:p>
        </w:tc>
        <w:tc>
          <w:tcPr>
            <w:tcW w:type="dxa" w:w="4814"/>
            <w:tcMar>
              <w:top w:w="80" w:type="dxa"/>
              <w:start w:w="120" w:type="dxa"/>
              <w:bottom w:w="80" w:type="dxa"/>
              <w:end w:w="120" w:type="dxa"/>
            </w:tcMar>
            <w:vAlign w:val="center"/>
          </w:tcPr>
          <w:p>
            <w:pPr>
              <w:spacing w:before="0" w:after="0" w:line="240" w:lineRule="auto"/>
              <w:jc w:val="left"/>
            </w:pPr>
            <w:r/>
            <w:r>
              <w:rPr>
                <w:rFonts w:ascii="Arial" w:hAnsi="Arial" w:cs="Arial"/>
                <w:sz w:val="18"/>
              </w:rPr>
              <w:t>Varón sobre mujer</w:t>
            </w:r>
          </w:p>
        </w:tc>
      </w:tr>
      <w:tr>
        <w:tc>
          <w:tcPr>
            <w:tcW w:type="dxa" w:w="4212"/>
            <w:tcMar>
              <w:top w:w="80" w:type="dxa"/>
              <w:start w:w="120" w:type="dxa"/>
              <w:bottom w:w="80" w:type="dxa"/>
              <w:end w:w="120" w:type="dxa"/>
            </w:tcMar>
            <w:vAlign w:val="center"/>
          </w:tcPr>
          <w:p>
            <w:pPr>
              <w:spacing w:before="0" w:after="0" w:line="240" w:lineRule="auto"/>
              <w:jc w:val="left"/>
            </w:pPr>
            <w:r/>
            <w:r>
              <w:rPr>
                <w:rFonts w:ascii="Arial" w:hAnsi="Arial" w:cs="Arial"/>
                <w:sz w:val="18"/>
              </w:rPr>
              <w:t>Personas del mismo sexo</w:t>
            </w:r>
          </w:p>
        </w:tc>
        <w:tc>
          <w:tcPr>
            <w:tcW w:type="dxa" w:w="4814"/>
            <w:tcMar>
              <w:top w:w="80" w:type="dxa"/>
              <w:start w:w="120" w:type="dxa"/>
              <w:bottom w:w="80" w:type="dxa"/>
              <w:end w:w="120" w:type="dxa"/>
            </w:tcMar>
            <w:vAlign w:val="center"/>
          </w:tcPr>
          <w:p>
            <w:pPr>
              <w:spacing w:before="0" w:after="0" w:line="240" w:lineRule="auto"/>
              <w:jc w:val="left"/>
            </w:pPr>
            <w:r/>
            <w:r>
              <w:rPr>
                <w:rFonts w:ascii="Arial" w:hAnsi="Arial" w:cs="Arial"/>
                <w:sz w:val="18"/>
              </w:rPr>
              <w:t>Mayor edad sobre menor</w:t>
            </w:r>
          </w:p>
        </w:tc>
      </w:tr>
    </w:tbl>
    <w:p>
      <w:pPr>
        <w:spacing w:after="40"/>
      </w:pPr>
    </w:p>
    <w:p>
      <w:pPr>
        <w:jc w:val="both"/>
      </w:pPr>
      <w:r>
        <w:rPr>
          <w:rFonts w:ascii="Arial" w:hAnsi="Arial" w:cs="Arial"/>
          <w:sz w:val="22"/>
        </w:rPr>
        <w:t>La regla de preferencia masculina forma parte del texto vigente. Su modificación afectaría al título II y requeriría el procedimiento agravado del artículo 168.</w:t>
      </w:r>
    </w:p>
    <w:p>
      <w:pPr>
        <w:pStyle w:val="Heading2"/>
        <w:keepNext/>
      </w:pPr>
      <w:r>
        <w:rPr>
          <w:rFonts w:ascii="Arial" w:hAnsi="Arial" w:cs="Arial"/>
          <w:sz w:val="25"/>
        </w:rPr>
        <w:t>5.3. Príncipe o Princesa heredera</w:t>
      </w:r>
    </w:p>
    <w:p>
      <w:pPr>
        <w:jc w:val="both"/>
      </w:pPr>
      <w:r>
        <w:rPr>
          <w:rFonts w:ascii="Arial" w:hAnsi="Arial" w:cs="Arial"/>
          <w:sz w:val="22"/>
        </w:rPr>
        <w:t xml:space="preserve">El heredero, desde su nacimiento o desde el hecho que origine el llamamiento, tiene la dignidad de </w:t>
      </w:r>
      <w:r>
        <w:rPr>
          <w:rFonts w:ascii="Arial" w:hAnsi="Arial" w:cs="Arial"/>
          <w:b/>
          <w:sz w:val="22"/>
        </w:rPr>
        <w:t>Príncipe de Asturias</w:t>
      </w:r>
      <w:r>
        <w:rPr>
          <w:rFonts w:ascii="Arial" w:hAnsi="Arial" w:cs="Arial"/>
          <w:sz w:val="22"/>
        </w:rPr>
        <w:t xml:space="preserve"> y los demás títulos vinculados tradicionalmente al sucesor de la Corona.</w:t>
      </w:r>
    </w:p>
    <w:p>
      <w:pPr>
        <w:jc w:val="both"/>
      </w:pPr>
      <w:r>
        <w:rPr>
          <w:rFonts w:ascii="Arial" w:hAnsi="Arial" w:cs="Arial"/>
          <w:sz w:val="22"/>
        </w:rPr>
        <w:t>El Real Decreto 1368/1987 utiliza expresamente la fórmula Príncipe o Princesa de Asturias y le atribuye tratamiento de Alteza Real. La condición depende de ocupar el primer lugar sucesorio; no se adquiere por una concesión discrecional.</w:t>
      </w:r>
    </w:p>
    <w:p>
      <w:pPr>
        <w:jc w:val="both"/>
      </w:pPr>
      <w:r>
        <w:rPr>
          <w:rFonts w:ascii="Arial" w:hAnsi="Arial" w:cs="Arial"/>
          <w:sz w:val="22"/>
        </w:rPr>
        <w:t>Al alcanzar la mayoría de edad, el heredero presta ante las Cortes Generales el mismo juramento exigido al Rey y, además, juramento de fidelidad al Rey.</w:t>
      </w:r>
    </w:p>
    <w:p>
      <w:pPr>
        <w:pStyle w:val="Heading2"/>
        <w:keepNext/>
      </w:pPr>
      <w:r>
        <w:rPr>
          <w:rFonts w:ascii="Arial" w:hAnsi="Arial" w:cs="Arial"/>
          <w:sz w:val="25"/>
        </w:rPr>
        <w:t>5.4. Extinción de las líneas sucesorias</w:t>
      </w:r>
    </w:p>
    <w:p>
      <w:pPr>
        <w:jc w:val="both"/>
      </w:pPr>
      <w:r>
        <w:rPr>
          <w:rFonts w:ascii="Arial" w:hAnsi="Arial" w:cs="Arial"/>
          <w:sz w:val="22"/>
        </w:rPr>
        <w:t>Si se extinguen todas las líneas llamadas en Derecho, las Cortes Generales deben proveer a la sucesión en la forma que más convenga a los intereses de España. No se trata de una abdicación ni de una regencia: es la solución constitucional para la inexistencia de sucesor conforme al orden ordinario.</w:t>
      </w:r>
    </w:p>
    <w:p>
      <w:pPr>
        <w:jc w:val="both"/>
      </w:pPr>
      <w:r>
        <w:rPr>
          <w:rFonts w:ascii="Arial" w:hAnsi="Arial" w:cs="Arial"/>
          <w:sz w:val="22"/>
        </w:rPr>
        <w:t>La Constitución atribuye esta decisión a las Cortes Generales, sin convertir al Gobierno o al monarca en órganos electores del nuevo titular.</w:t>
      </w:r>
    </w:p>
    <w:p>
      <w:pPr>
        <w:pStyle w:val="Heading2"/>
        <w:keepNext/>
      </w:pPr>
      <w:r>
        <w:rPr>
          <w:rFonts w:ascii="Arial" w:hAnsi="Arial" w:cs="Arial"/>
          <w:sz w:val="25"/>
        </w:rPr>
        <w:t>5.5. Exclusión por matrimonio prohibido</w:t>
      </w:r>
    </w:p>
    <w:p>
      <w:pPr>
        <w:jc w:val="both"/>
      </w:pPr>
      <w:r>
        <w:rPr>
          <w:rFonts w:ascii="Arial" w:hAnsi="Arial" w:cs="Arial"/>
          <w:sz w:val="22"/>
        </w:rPr>
        <w:t xml:space="preserve">Quedan excluidas de la sucesión, por sí y sus descendientes, las personas con derecho sucesorio que contraigan matrimonio contra la </w:t>
      </w:r>
      <w:r>
        <w:rPr>
          <w:rFonts w:ascii="Arial" w:hAnsi="Arial" w:cs="Arial"/>
          <w:b/>
          <w:sz w:val="22"/>
        </w:rPr>
        <w:t>expresa prohibición del Rey y de las Cortes Generales</w:t>
      </w:r>
      <w:r>
        <w:rPr>
          <w:rFonts w:ascii="Arial" w:hAnsi="Arial" w:cs="Arial"/>
          <w:sz w:val="22"/>
        </w:rPr>
        <w:t>.</w:t>
      </w:r>
    </w:p>
    <w:p>
      <w:pPr>
        <w:jc w:val="both"/>
      </w:pPr>
      <w:r>
        <w:rPr>
          <w:rFonts w:ascii="Arial" w:hAnsi="Arial" w:cs="Arial"/>
          <w:sz w:val="22"/>
        </w:rPr>
        <w:t>Los requisitos son acumulativos:</w:t>
      </w:r>
    </w:p>
    <w:p>
      <w:pPr>
        <w:pStyle w:val="ListBullet"/>
      </w:pPr>
      <w:r>
        <w:rPr>
          <w:rFonts w:ascii="Arial" w:hAnsi="Arial" w:cs="Arial"/>
          <w:sz w:val="22"/>
        </w:rPr>
        <w:t>la persona debe tener derecho a la sucesión;</w:t>
      </w:r>
    </w:p>
    <w:p>
      <w:pPr>
        <w:pStyle w:val="ListBullet"/>
      </w:pPr>
      <w:r>
        <w:rPr>
          <w:rFonts w:ascii="Arial" w:hAnsi="Arial" w:cs="Arial"/>
          <w:sz w:val="22"/>
        </w:rPr>
        <w:t>debe existir prohibición expresa;</w:t>
      </w:r>
    </w:p>
    <w:p>
      <w:pPr>
        <w:pStyle w:val="ListBullet"/>
      </w:pPr>
      <w:r>
        <w:rPr>
          <w:rFonts w:ascii="Arial" w:hAnsi="Arial" w:cs="Arial"/>
          <w:sz w:val="22"/>
        </w:rPr>
        <w:t>la prohibición debe proceder tanto del Rey como de las Cortes Generales;</w:t>
      </w:r>
    </w:p>
    <w:p>
      <w:pPr>
        <w:pStyle w:val="ListBullet"/>
      </w:pPr>
      <w:r>
        <w:rPr>
          <w:rFonts w:ascii="Arial" w:hAnsi="Arial" w:cs="Arial"/>
          <w:sz w:val="22"/>
        </w:rPr>
        <w:t>pese a ello, la persona contrae matrimonio.</w:t>
      </w:r>
    </w:p>
    <w:p>
      <w:pPr>
        <w:jc w:val="both"/>
      </w:pPr>
      <w:r>
        <w:rPr>
          <w:rFonts w:ascii="Arial" w:hAnsi="Arial" w:cs="Arial"/>
          <w:sz w:val="22"/>
        </w:rPr>
        <w:t>No basta la oposición del Rey por sí solo, la de una de las Cámaras de manera aislada o una mera ausencia de autorización. La consecuencia afecta a la persona y a sus descendientes.</w:t>
      </w:r>
    </w:p>
    <w:p>
      <w:pPr>
        <w:pStyle w:val="Heading2"/>
        <w:keepNext/>
      </w:pPr>
      <w:r>
        <w:rPr>
          <w:rFonts w:ascii="Arial" w:hAnsi="Arial" w:cs="Arial"/>
          <w:sz w:val="25"/>
        </w:rPr>
        <w:t>5.6. Abdicación, renuncia y dudas sucesorias</w:t>
      </w:r>
    </w:p>
    <w:p>
      <w:pPr>
        <w:jc w:val="both"/>
      </w:pPr>
      <w:r>
        <w:rPr>
          <w:rFonts w:ascii="Arial" w:hAnsi="Arial" w:cs="Arial"/>
          <w:sz w:val="22"/>
        </w:rPr>
        <w:t xml:space="preserve">Las abdicaciones, las renuncias y cualquier duda de hecho o de derecho en el orden sucesorio se resuelven mediante </w:t>
      </w:r>
      <w:r>
        <w:rPr>
          <w:rFonts w:ascii="Arial" w:hAnsi="Arial" w:cs="Arial"/>
          <w:b/>
          <w:sz w:val="22"/>
        </w:rPr>
        <w:t>ley orgánica</w:t>
      </w:r>
      <w:r>
        <w:rPr>
          <w:rFonts w:ascii="Arial" w:hAnsi="Arial" w:cs="Arial"/>
          <w:sz w:val="22"/>
        </w:rPr>
        <w:t>.</w:t>
      </w:r>
    </w:p>
    <w:p>
      <w:pPr>
        <w:jc w:val="both"/>
      </w:pPr>
      <w:r>
        <w:rPr>
          <w:rFonts w:ascii="Arial" w:hAnsi="Arial" w:cs="Arial"/>
          <w:sz w:val="22"/>
        </w:rPr>
        <w:t>La abdicación es el acto del titular de la Corona por el que pone fin a su reinado. La renuncia corresponde a quien, sin ser titular, abandona su derecho o posición sucesoria. En ambos casos, el artículo 57.5 exige ley orgánica.</w:t>
      </w:r>
    </w:p>
    <w:p>
      <w:pPr>
        <w:jc w:val="both"/>
      </w:pPr>
      <w:r>
        <w:rPr>
          <w:rFonts w:ascii="Arial" w:hAnsi="Arial" w:cs="Arial"/>
          <w:sz w:val="22"/>
        </w:rPr>
        <w:t>La Ley Orgánica 3/2014 hizo efectiva la abdicación de don Juan Carlos I. Contenía una regla material muy breve: la abdicación sería efectiva en el momento de entrada en vigor de la ley, que se produjo con su publicación en el BOE. Desde ese instante se produjo automáticamente la sucesión conforme a la Constitución. Este precedente confirma que la decisión personal de abdicar necesita el instrumento orgánico para desplegar sus efectos constitucionales.</w:t>
      </w:r>
    </w:p>
    <w:tbl>
      <w:tblPr>
        <w:tblStyle w:val="TableGrid"/>
        <w:tblW w:type="dxa" w:w="9026"/>
        <w:jc w:val="left"/>
        <w:tblLayout w:type="fixed"/>
        <w:tblLook w:firstColumn="1" w:firstRow="1" w:lastColumn="0" w:lastRow="0" w:noHBand="0" w:noVBand="1" w:val="04A0"/>
        <w:tblInd w:w="120" w:type="dxa"/>
      </w:tblPr>
      <w:tblGrid>
        <w:gridCol w:w="1364"/>
        <w:gridCol w:w="2939"/>
        <w:gridCol w:w="3568"/>
        <w:gridCol w:w="1155"/>
      </w:tblGrid>
      <w:tr>
        <w:trPr>
          <w:tblHeader w:val="true"/>
        </w:trPr>
        <w:tc>
          <w:tcPr>
            <w:tcW w:type="dxa" w:w="136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Figura</w:t>
            </w:r>
          </w:p>
        </w:tc>
        <w:tc>
          <w:tcPr>
            <w:tcW w:type="dxa" w:w="293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Sujeto</w:t>
            </w:r>
          </w:p>
        </w:tc>
        <w:tc>
          <w:tcPr>
            <w:tcW w:type="dxa" w:w="356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Efecto básico</w:t>
            </w:r>
          </w:p>
        </w:tc>
        <w:tc>
          <w:tcPr>
            <w:tcW w:type="dxa" w:w="115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Instrumento</w:t>
            </w:r>
          </w:p>
        </w:tc>
      </w:tr>
      <w:tr>
        <w:tc>
          <w:tcPr>
            <w:tcW w:type="dxa" w:w="1364"/>
            <w:tcMar>
              <w:top w:w="80" w:type="dxa"/>
              <w:start w:w="120" w:type="dxa"/>
              <w:bottom w:w="80" w:type="dxa"/>
              <w:end w:w="120" w:type="dxa"/>
            </w:tcMar>
            <w:vAlign w:val="center"/>
          </w:tcPr>
          <w:p>
            <w:pPr>
              <w:spacing w:before="0" w:after="0" w:line="240" w:lineRule="auto"/>
              <w:jc w:val="left"/>
            </w:pPr>
            <w:r/>
            <w:r>
              <w:rPr>
                <w:rFonts w:ascii="Arial" w:hAnsi="Arial" w:cs="Arial"/>
                <w:sz w:val="18"/>
              </w:rPr>
              <w:t>Abdicación</w:t>
            </w:r>
          </w:p>
        </w:tc>
        <w:tc>
          <w:tcPr>
            <w:tcW w:type="dxa" w:w="2939"/>
            <w:tcMar>
              <w:top w:w="80" w:type="dxa"/>
              <w:start w:w="120" w:type="dxa"/>
              <w:bottom w:w="80" w:type="dxa"/>
              <w:end w:w="120" w:type="dxa"/>
            </w:tcMar>
            <w:vAlign w:val="center"/>
          </w:tcPr>
          <w:p>
            <w:pPr>
              <w:spacing w:before="0" w:after="0" w:line="240" w:lineRule="auto"/>
              <w:jc w:val="left"/>
            </w:pPr>
            <w:r/>
            <w:r>
              <w:rPr>
                <w:rFonts w:ascii="Arial" w:hAnsi="Arial" w:cs="Arial"/>
                <w:sz w:val="18"/>
              </w:rPr>
              <w:t>Rey o Reina titular</w:t>
            </w:r>
          </w:p>
        </w:tc>
        <w:tc>
          <w:tcPr>
            <w:tcW w:type="dxa" w:w="3568"/>
            <w:tcMar>
              <w:top w:w="80" w:type="dxa"/>
              <w:start w:w="120" w:type="dxa"/>
              <w:bottom w:w="80" w:type="dxa"/>
              <w:end w:w="120" w:type="dxa"/>
            </w:tcMar>
            <w:vAlign w:val="center"/>
          </w:tcPr>
          <w:p>
            <w:pPr>
              <w:spacing w:before="0" w:after="0" w:line="240" w:lineRule="auto"/>
              <w:jc w:val="left"/>
            </w:pPr>
            <w:r/>
            <w:r>
              <w:rPr>
                <w:rFonts w:ascii="Arial" w:hAnsi="Arial" w:cs="Arial"/>
                <w:sz w:val="18"/>
              </w:rPr>
              <w:t>Fin del reinado y apertura de la sucesión</w:t>
            </w:r>
          </w:p>
        </w:tc>
        <w:tc>
          <w:tcPr>
            <w:tcW w:type="dxa" w:w="1155"/>
            <w:tcMar>
              <w:top w:w="80" w:type="dxa"/>
              <w:start w:w="120" w:type="dxa"/>
              <w:bottom w:w="80" w:type="dxa"/>
              <w:end w:w="120" w:type="dxa"/>
            </w:tcMar>
            <w:vAlign w:val="center"/>
          </w:tcPr>
          <w:p>
            <w:pPr>
              <w:spacing w:before="0" w:after="0" w:line="240" w:lineRule="auto"/>
              <w:jc w:val="center"/>
            </w:pPr>
            <w:r/>
            <w:r>
              <w:rPr>
                <w:rFonts w:ascii="Arial" w:hAnsi="Arial" w:cs="Arial"/>
                <w:sz w:val="18"/>
              </w:rPr>
              <w:t>Ley orgánica</w:t>
            </w:r>
          </w:p>
        </w:tc>
      </w:tr>
      <w:tr>
        <w:tc>
          <w:tcPr>
            <w:tcW w:type="dxa" w:w="1364"/>
            <w:tcMar>
              <w:top w:w="80" w:type="dxa"/>
              <w:start w:w="120" w:type="dxa"/>
              <w:bottom w:w="80" w:type="dxa"/>
              <w:end w:w="120" w:type="dxa"/>
            </w:tcMar>
            <w:vAlign w:val="center"/>
          </w:tcPr>
          <w:p>
            <w:pPr>
              <w:spacing w:before="0" w:after="0" w:line="240" w:lineRule="auto"/>
              <w:jc w:val="left"/>
            </w:pPr>
            <w:r/>
            <w:r>
              <w:rPr>
                <w:rFonts w:ascii="Arial" w:hAnsi="Arial" w:cs="Arial"/>
                <w:sz w:val="18"/>
              </w:rPr>
              <w:t>Renuncia</w:t>
            </w:r>
          </w:p>
        </w:tc>
        <w:tc>
          <w:tcPr>
            <w:tcW w:type="dxa" w:w="2939"/>
            <w:tcMar>
              <w:top w:w="80" w:type="dxa"/>
              <w:start w:w="120" w:type="dxa"/>
              <w:bottom w:w="80" w:type="dxa"/>
              <w:end w:w="120" w:type="dxa"/>
            </w:tcMar>
            <w:vAlign w:val="center"/>
          </w:tcPr>
          <w:p>
            <w:pPr>
              <w:spacing w:before="0" w:after="0" w:line="240" w:lineRule="auto"/>
              <w:jc w:val="left"/>
            </w:pPr>
            <w:r/>
            <w:r>
              <w:rPr>
                <w:rFonts w:ascii="Arial" w:hAnsi="Arial" w:cs="Arial"/>
                <w:sz w:val="18"/>
              </w:rPr>
              <w:t>Persona con derecho sucesorio</w:t>
            </w:r>
          </w:p>
        </w:tc>
        <w:tc>
          <w:tcPr>
            <w:tcW w:type="dxa" w:w="3568"/>
            <w:tcMar>
              <w:top w:w="80" w:type="dxa"/>
              <w:start w:w="120" w:type="dxa"/>
              <w:bottom w:w="80" w:type="dxa"/>
              <w:end w:w="120" w:type="dxa"/>
            </w:tcMar>
            <w:vAlign w:val="center"/>
          </w:tcPr>
          <w:p>
            <w:pPr>
              <w:spacing w:before="0" w:after="0" w:line="240" w:lineRule="auto"/>
              <w:jc w:val="left"/>
            </w:pPr>
            <w:r/>
            <w:r>
              <w:rPr>
                <w:rFonts w:ascii="Arial" w:hAnsi="Arial" w:cs="Arial"/>
                <w:sz w:val="18"/>
              </w:rPr>
              <w:t>Abandono del derecho sucesorio</w:t>
            </w:r>
          </w:p>
        </w:tc>
        <w:tc>
          <w:tcPr>
            <w:tcW w:type="dxa" w:w="1155"/>
            <w:tcMar>
              <w:top w:w="80" w:type="dxa"/>
              <w:start w:w="120" w:type="dxa"/>
              <w:bottom w:w="80" w:type="dxa"/>
              <w:end w:w="120" w:type="dxa"/>
            </w:tcMar>
            <w:vAlign w:val="center"/>
          </w:tcPr>
          <w:p>
            <w:pPr>
              <w:spacing w:before="0" w:after="0" w:line="240" w:lineRule="auto"/>
              <w:jc w:val="center"/>
            </w:pPr>
            <w:r/>
            <w:r>
              <w:rPr>
                <w:rFonts w:ascii="Arial" w:hAnsi="Arial" w:cs="Arial"/>
                <w:sz w:val="18"/>
              </w:rPr>
              <w:t>Ley orgánica</w:t>
            </w:r>
          </w:p>
        </w:tc>
      </w:tr>
      <w:tr>
        <w:tc>
          <w:tcPr>
            <w:tcW w:type="dxa" w:w="1364"/>
            <w:tcMar>
              <w:top w:w="80" w:type="dxa"/>
              <w:start w:w="120" w:type="dxa"/>
              <w:bottom w:w="80" w:type="dxa"/>
              <w:end w:w="120" w:type="dxa"/>
            </w:tcMar>
            <w:vAlign w:val="center"/>
          </w:tcPr>
          <w:p>
            <w:pPr>
              <w:spacing w:before="0" w:after="0" w:line="240" w:lineRule="auto"/>
              <w:jc w:val="left"/>
            </w:pPr>
            <w:r/>
            <w:r>
              <w:rPr>
                <w:rFonts w:ascii="Arial" w:hAnsi="Arial" w:cs="Arial"/>
                <w:sz w:val="18"/>
              </w:rPr>
              <w:t>Duda sucesoria</w:t>
            </w:r>
          </w:p>
        </w:tc>
        <w:tc>
          <w:tcPr>
            <w:tcW w:type="dxa" w:w="2939"/>
            <w:tcMar>
              <w:top w:w="80" w:type="dxa"/>
              <w:start w:w="120" w:type="dxa"/>
              <w:bottom w:w="80" w:type="dxa"/>
              <w:end w:w="120" w:type="dxa"/>
            </w:tcMar>
            <w:vAlign w:val="center"/>
          </w:tcPr>
          <w:p>
            <w:pPr>
              <w:spacing w:before="0" w:after="0" w:line="240" w:lineRule="auto"/>
              <w:jc w:val="left"/>
            </w:pPr>
            <w:r/>
            <w:r>
              <w:rPr>
                <w:rFonts w:ascii="Arial" w:hAnsi="Arial" w:cs="Arial"/>
                <w:sz w:val="18"/>
              </w:rPr>
              <w:t>Controversia fáctica o jurídica</w:t>
            </w:r>
          </w:p>
        </w:tc>
        <w:tc>
          <w:tcPr>
            <w:tcW w:type="dxa" w:w="3568"/>
            <w:tcMar>
              <w:top w:w="80" w:type="dxa"/>
              <w:start w:w="120" w:type="dxa"/>
              <w:bottom w:w="80" w:type="dxa"/>
              <w:end w:w="120" w:type="dxa"/>
            </w:tcMar>
            <w:vAlign w:val="center"/>
          </w:tcPr>
          <w:p>
            <w:pPr>
              <w:spacing w:before="0" w:after="0" w:line="240" w:lineRule="auto"/>
              <w:jc w:val="left"/>
            </w:pPr>
            <w:r/>
            <w:r>
              <w:rPr>
                <w:rFonts w:ascii="Arial" w:hAnsi="Arial" w:cs="Arial"/>
                <w:sz w:val="18"/>
              </w:rPr>
              <w:t>Determinación de la solución</w:t>
            </w:r>
          </w:p>
        </w:tc>
        <w:tc>
          <w:tcPr>
            <w:tcW w:type="dxa" w:w="1155"/>
            <w:tcMar>
              <w:top w:w="80" w:type="dxa"/>
              <w:start w:w="120" w:type="dxa"/>
              <w:bottom w:w="80" w:type="dxa"/>
              <w:end w:w="120" w:type="dxa"/>
            </w:tcMar>
            <w:vAlign w:val="center"/>
          </w:tcPr>
          <w:p>
            <w:pPr>
              <w:spacing w:before="0" w:after="0" w:line="240" w:lineRule="auto"/>
              <w:jc w:val="center"/>
            </w:pPr>
            <w:r/>
            <w:r>
              <w:rPr>
                <w:rFonts w:ascii="Arial" w:hAnsi="Arial" w:cs="Arial"/>
                <w:sz w:val="18"/>
              </w:rPr>
              <w:t>Ley orgánica</w:t>
            </w:r>
          </w:p>
        </w:tc>
      </w:tr>
    </w:tbl>
    <w:p>
      <w:pPr>
        <w:spacing w:after="40"/>
      </w:pPr>
    </w:p>
    <w:p>
      <w:pPr>
        <w:pStyle w:val="Heading1"/>
        <w:keepNext/>
      </w:pPr>
      <w:r>
        <w:rPr>
          <w:rFonts w:ascii="Arial" w:hAnsi="Arial" w:cs="Arial"/>
          <w:sz w:val="30"/>
        </w:rPr>
        <w:t>6. El consorte</w:t>
      </w:r>
    </w:p>
    <w:p>
      <w:pPr>
        <w:jc w:val="both"/>
      </w:pPr>
      <w:r>
        <w:rPr>
          <w:rFonts w:ascii="Arial" w:hAnsi="Arial" w:cs="Arial"/>
          <w:sz w:val="22"/>
        </w:rPr>
        <w:t>La Reina consorte o el consorte de la Reina no puede asumir funciones constitucionales, salvo lo dispuesto para la Regencia. La posición de consorte deriva del matrimonio con el titular, pero no confiere cotitularidad de la Corona ni facultades públicas propias.</w:t>
      </w:r>
    </w:p>
    <w:p>
      <w:pPr>
        <w:jc w:val="both"/>
      </w:pPr>
      <w:r>
        <w:rPr>
          <w:rFonts w:ascii="Arial" w:hAnsi="Arial" w:cs="Arial"/>
          <w:sz w:val="22"/>
        </w:rPr>
        <w:t>El artículo 58 contiene una excepción precisa: el consorte puede ejercer la Regencia si reúne los requisitos y resulta llamado conforme al artículo 59. Mientras actúa como regente, las funciones no proceden de su condición matrimonial, sino del mandato constitucional de Regencia.</w:t>
      </w:r>
    </w:p>
    <w:p>
      <w:pPr>
        <w:jc w:val="both"/>
      </w:pPr>
      <w:r>
        <w:rPr>
          <w:rFonts w:ascii="Arial" w:hAnsi="Arial" w:cs="Arial"/>
          <w:sz w:val="22"/>
        </w:rPr>
        <w:t>Según el Real Decreto 1368/1987:</w:t>
      </w:r>
    </w:p>
    <w:p>
      <w:pPr>
        <w:pStyle w:val="ListBullet"/>
      </w:pPr>
      <w:r>
        <w:rPr>
          <w:rFonts w:ascii="Arial" w:hAnsi="Arial" w:cs="Arial"/>
          <w:sz w:val="22"/>
        </w:rPr>
        <w:t>la consorte del Rey se denomina Reina y recibe tratamiento de Majestad mientras lo sea o permanezca viuda;</w:t>
      </w:r>
    </w:p>
    <w:p>
      <w:pPr>
        <w:pStyle w:val="ListBullet"/>
      </w:pPr>
      <w:r>
        <w:rPr>
          <w:rFonts w:ascii="Arial" w:hAnsi="Arial" w:cs="Arial"/>
          <w:sz w:val="22"/>
        </w:rPr>
        <w:t>el consorte de la Reina tiene dignidad de Príncipe y tratamiento de Alteza Real mientras lo sea o permanezca viudo.</w:t>
      </w:r>
    </w:p>
    <w:p>
      <w:pPr>
        <w:jc w:val="both"/>
      </w:pPr>
      <w:r>
        <w:rPr>
          <w:rFonts w:ascii="Arial" w:hAnsi="Arial" w:cs="Arial"/>
          <w:sz w:val="22"/>
        </w:rPr>
        <w:t>Esta diferencia de denominaciones y tratamientos no modifica la prohibición constitucional de asumir funciones.</w:t>
      </w:r>
    </w:p>
    <w:p>
      <w:pPr>
        <w:pStyle w:val="Heading1"/>
        <w:keepNext/>
      </w:pPr>
      <w:r>
        <w:rPr>
          <w:rFonts w:ascii="Arial" w:hAnsi="Arial" w:cs="Arial"/>
          <w:sz w:val="30"/>
        </w:rPr>
        <w:t>7. La Regencia</w:t>
      </w:r>
    </w:p>
    <w:p>
      <w:pPr>
        <w:pStyle w:val="Heading2"/>
        <w:keepNext/>
      </w:pPr>
      <w:r>
        <w:rPr>
          <w:rFonts w:ascii="Arial" w:hAnsi="Arial" w:cs="Arial"/>
          <w:sz w:val="25"/>
        </w:rPr>
        <w:t>7.1. Concepto y principios</w:t>
      </w:r>
    </w:p>
    <w:p>
      <w:pPr>
        <w:jc w:val="both"/>
      </w:pPr>
      <w:r>
        <w:rPr>
          <w:rFonts w:ascii="Arial" w:hAnsi="Arial" w:cs="Arial"/>
          <w:sz w:val="22"/>
        </w:rPr>
        <w:t xml:space="preserve">La Regencia permite ejercer temporalmente las funciones de la Jefatura del Estado cuando el Rey es menor de edad o se encuentra inhabilitado para ejercer su autoridad. No cambia al titular de la Corona: el regente actúa </w:t>
      </w:r>
      <w:r>
        <w:rPr>
          <w:rFonts w:ascii="Arial" w:hAnsi="Arial" w:cs="Arial"/>
          <w:b/>
          <w:sz w:val="22"/>
        </w:rPr>
        <w:t>siempre en nombre del Rey</w:t>
      </w:r>
      <w:r>
        <w:rPr>
          <w:rFonts w:ascii="Arial" w:hAnsi="Arial" w:cs="Arial"/>
          <w:sz w:val="22"/>
        </w:rPr>
        <w:t>.</w:t>
      </w:r>
    </w:p>
    <w:p>
      <w:pPr>
        <w:jc w:val="both"/>
      </w:pPr>
      <w:r>
        <w:rPr>
          <w:rFonts w:ascii="Arial" w:hAnsi="Arial" w:cs="Arial"/>
          <w:sz w:val="22"/>
        </w:rPr>
        <w:t>Sus notas constitucionales son:</w:t>
      </w:r>
    </w:p>
    <w:p>
      <w:pPr>
        <w:pStyle w:val="ListBullet"/>
      </w:pPr>
      <w:r>
        <w:rPr>
          <w:rFonts w:ascii="Arial" w:hAnsi="Arial" w:cs="Arial"/>
          <w:sz w:val="22"/>
        </w:rPr>
        <w:t>temporalidad;</w:t>
      </w:r>
    </w:p>
    <w:p>
      <w:pPr>
        <w:pStyle w:val="ListBullet"/>
      </w:pPr>
      <w:r>
        <w:rPr>
          <w:rFonts w:ascii="Arial" w:hAnsi="Arial" w:cs="Arial"/>
          <w:sz w:val="22"/>
        </w:rPr>
        <w:t>ejercicio por mandato constitucional;</w:t>
      </w:r>
    </w:p>
    <w:p>
      <w:pPr>
        <w:pStyle w:val="ListBullet"/>
      </w:pPr>
      <w:r>
        <w:rPr>
          <w:rFonts w:ascii="Arial" w:hAnsi="Arial" w:cs="Arial"/>
          <w:sz w:val="22"/>
        </w:rPr>
        <w:t>actuación en nombre del Rey;</w:t>
      </w:r>
    </w:p>
    <w:p>
      <w:pPr>
        <w:pStyle w:val="ListBullet"/>
      </w:pPr>
      <w:r>
        <w:rPr>
          <w:rFonts w:ascii="Arial" w:hAnsi="Arial" w:cs="Arial"/>
          <w:sz w:val="22"/>
        </w:rPr>
        <w:t>exigencia de nacionalidad española y mayoría de edad;</w:t>
      </w:r>
    </w:p>
    <w:p>
      <w:pPr>
        <w:pStyle w:val="ListBullet"/>
      </w:pPr>
      <w:r>
        <w:rPr>
          <w:rFonts w:ascii="Arial" w:hAnsi="Arial" w:cs="Arial"/>
          <w:sz w:val="22"/>
        </w:rPr>
        <w:t>juramento ante las Cortes Generales al asumir el cargo.</w:t>
      </w:r>
    </w:p>
    <w:p>
      <w:pPr>
        <w:jc w:val="both"/>
      </w:pPr>
      <w:r>
        <w:rPr>
          <w:rFonts w:ascii="Arial" w:hAnsi="Arial" w:cs="Arial"/>
          <w:sz w:val="22"/>
        </w:rPr>
        <w:t>El regente no sucede al Rey ni recibe la Corona. Ejerce las funciones necesarias mientras permanece la causa constitucional.</w:t>
      </w:r>
    </w:p>
    <w:p>
      <w:pPr>
        <w:pStyle w:val="Heading2"/>
        <w:keepNext/>
      </w:pPr>
      <w:r>
        <w:rPr>
          <w:rFonts w:ascii="Arial" w:hAnsi="Arial" w:cs="Arial"/>
          <w:sz w:val="25"/>
        </w:rPr>
        <w:t>7.2. Regencia por minoría de edad</w:t>
      </w:r>
    </w:p>
    <w:p>
      <w:pPr>
        <w:jc w:val="both"/>
      </w:pPr>
      <w:r>
        <w:rPr>
          <w:rFonts w:ascii="Arial" w:hAnsi="Arial" w:cs="Arial"/>
          <w:sz w:val="22"/>
        </w:rPr>
        <w:t>Si el Rey es menor, entra inmediatamente a ejercer la Regencia:</w:t>
      </w:r>
    </w:p>
    <w:p>
      <w:pPr>
        <w:spacing w:after="40"/>
        <w:ind w:left="369" w:hanging="227"/>
      </w:pPr>
      <w:r>
        <w:rPr>
          <w:rFonts w:ascii="Arial" w:hAnsi="Arial" w:cs="Arial"/>
          <w:sz w:val="22"/>
        </w:rPr>
        <w:t>1. el padre o la madre del Rey;</w:t>
      </w:r>
    </w:p>
    <w:p>
      <w:pPr>
        <w:spacing w:after="40"/>
        <w:ind w:left="369" w:hanging="227"/>
      </w:pPr>
      <w:r>
        <w:rPr>
          <w:rFonts w:ascii="Arial" w:hAnsi="Arial" w:cs="Arial"/>
          <w:sz w:val="22"/>
        </w:rPr>
        <w:t>2. en su defecto, el pariente mayor de edad más próximo a suceder en la Corona según el orden constitucional.</w:t>
      </w:r>
    </w:p>
    <w:p>
      <w:pPr>
        <w:jc w:val="both"/>
      </w:pPr>
      <w:r>
        <w:rPr>
          <w:rFonts w:ascii="Arial" w:hAnsi="Arial" w:cs="Arial"/>
          <w:sz w:val="22"/>
        </w:rPr>
        <w:t xml:space="preserve">La Regencia dura durante todo el tiempo de la minoría de edad. La mayoría de edad general en España se alcanza a los </w:t>
      </w:r>
      <w:r>
        <w:rPr>
          <w:rFonts w:ascii="Arial" w:hAnsi="Arial" w:cs="Arial"/>
          <w:b/>
          <w:sz w:val="22"/>
        </w:rPr>
        <w:t>dieciocho años</w:t>
      </w:r>
      <w:r>
        <w:rPr>
          <w:rFonts w:ascii="Arial" w:hAnsi="Arial" w:cs="Arial"/>
          <w:sz w:val="22"/>
        </w:rPr>
        <w:t>, conforme al artículo 12 de la Constitución.</w:t>
      </w:r>
    </w:p>
    <w:p>
      <w:pPr>
        <w:jc w:val="both"/>
      </w:pPr>
      <w:r>
        <w:rPr>
          <w:rFonts w:ascii="Arial" w:hAnsi="Arial" w:cs="Arial"/>
          <w:sz w:val="22"/>
        </w:rPr>
        <w:t>No se exige que el padre o la madre sean españoles de nacimiento, pero toda persona que ejerza la Regencia debe ser española y mayor de edad. La Constitución dice “el padre o la madre”, sin establecer preferencia entre ambos en el propio artículo 59.1.</w:t>
      </w:r>
    </w:p>
    <w:p>
      <w:pPr>
        <w:pStyle w:val="Heading2"/>
        <w:keepNext/>
      </w:pPr>
      <w:r>
        <w:rPr>
          <w:rFonts w:ascii="Arial" w:hAnsi="Arial" w:cs="Arial"/>
          <w:sz w:val="25"/>
        </w:rPr>
        <w:t>7.3. Regencia por inhabilitación</w:t>
      </w:r>
    </w:p>
    <w:p>
      <w:pPr>
        <w:jc w:val="both"/>
      </w:pPr>
      <w:r>
        <w:rPr>
          <w:rFonts w:ascii="Arial" w:hAnsi="Arial" w:cs="Arial"/>
          <w:sz w:val="22"/>
        </w:rPr>
        <w:t xml:space="preserve">Si el Rey se inhabilita para ejercer su autoridad, la imposibilidad debe ser </w:t>
      </w:r>
      <w:r>
        <w:rPr>
          <w:rFonts w:ascii="Arial" w:hAnsi="Arial" w:cs="Arial"/>
          <w:b/>
          <w:sz w:val="22"/>
        </w:rPr>
        <w:t>reconocida por las Cortes Generales</w:t>
      </w:r>
      <w:r>
        <w:rPr>
          <w:rFonts w:ascii="Arial" w:hAnsi="Arial" w:cs="Arial"/>
          <w:sz w:val="22"/>
        </w:rPr>
        <w:t>. No basta una declaración del Gobierno, un informe médico aislado ni la apreciación del heredero.</w:t>
      </w:r>
    </w:p>
    <w:p>
      <w:pPr>
        <w:jc w:val="both"/>
      </w:pPr>
      <w:r>
        <w:rPr>
          <w:rFonts w:ascii="Arial" w:hAnsi="Arial" w:cs="Arial"/>
          <w:sz w:val="22"/>
        </w:rPr>
        <w:t>Reconocida la imposibilidad:</w:t>
      </w:r>
    </w:p>
    <w:p>
      <w:pPr>
        <w:pStyle w:val="ListBullet"/>
      </w:pPr>
      <w:r>
        <w:rPr>
          <w:rFonts w:ascii="Arial" w:hAnsi="Arial" w:cs="Arial"/>
          <w:sz w:val="22"/>
        </w:rPr>
        <w:t>ejerce inmediatamente la Regencia el Príncipe heredero si es mayor de edad;</w:t>
      </w:r>
    </w:p>
    <w:p>
      <w:pPr>
        <w:pStyle w:val="ListBullet"/>
      </w:pPr>
      <w:r>
        <w:rPr>
          <w:rFonts w:ascii="Arial" w:hAnsi="Arial" w:cs="Arial"/>
          <w:sz w:val="22"/>
        </w:rPr>
        <w:t>si no lo es, se aplica el orden de la Regencia por minoría;</w:t>
      </w:r>
    </w:p>
    <w:p>
      <w:pPr>
        <w:pStyle w:val="ListBullet"/>
      </w:pPr>
      <w:r>
        <w:rPr>
          <w:rFonts w:ascii="Arial" w:hAnsi="Arial" w:cs="Arial"/>
          <w:sz w:val="22"/>
        </w:rPr>
        <w:t>esta situación se mantiene hasta que el Príncipe alcance la mayoría de edad.</w:t>
      </w:r>
    </w:p>
    <w:p>
      <w:pPr>
        <w:jc w:val="both"/>
      </w:pPr>
      <w:r>
        <w:rPr>
          <w:rFonts w:ascii="Arial" w:hAnsi="Arial" w:cs="Arial"/>
          <w:sz w:val="22"/>
        </w:rPr>
        <w:t>La Constitución utiliza una fórmula distinta para cada supuesto. En la minoría del Rey, la causa es objetiva y la Regencia comienza inmediatamente. En la inhabilitación se añade el reconocimiento de las Cortes.</w:t>
      </w:r>
    </w:p>
    <w:p>
      <w:pPr>
        <w:pStyle w:val="Heading2"/>
        <w:keepNext/>
      </w:pPr>
      <w:r>
        <w:rPr>
          <w:rFonts w:ascii="Arial" w:hAnsi="Arial" w:cs="Arial"/>
          <w:sz w:val="25"/>
        </w:rPr>
        <w:t>7.4. Regencia nombrada por las Cortes</w:t>
      </w:r>
    </w:p>
    <w:p>
      <w:pPr>
        <w:jc w:val="both"/>
      </w:pPr>
      <w:r>
        <w:rPr>
          <w:rFonts w:ascii="Arial" w:hAnsi="Arial" w:cs="Arial"/>
          <w:sz w:val="22"/>
        </w:rPr>
        <w:t xml:space="preserve">Si no existe ninguna persona a quien corresponda ejercerla conforme a las reglas anteriores, las Cortes Generales nombran la Regencia. Puede componerse de </w:t>
      </w:r>
      <w:r>
        <w:rPr>
          <w:rFonts w:ascii="Arial" w:hAnsi="Arial" w:cs="Arial"/>
          <w:b/>
          <w:sz w:val="22"/>
        </w:rPr>
        <w:t>una, tres o cinco personas</w:t>
      </w:r>
      <w:r>
        <w:rPr>
          <w:rFonts w:ascii="Arial" w:hAnsi="Arial" w:cs="Arial"/>
          <w:sz w:val="22"/>
        </w:rPr>
        <w:t>.</w:t>
      </w:r>
    </w:p>
    <w:p>
      <w:pPr>
        <w:jc w:val="both"/>
      </w:pPr>
      <w:r>
        <w:rPr>
          <w:rFonts w:ascii="Arial" w:hAnsi="Arial" w:cs="Arial"/>
          <w:sz w:val="22"/>
        </w:rPr>
        <w:t>No puede tener dos o cuatro miembros. Todos sus integrantes deben ser españoles y mayores de edad. Aunque la Regencia sea colegiada, se ejerce por mandato constitucional y en nombre del Rey.</w:t>
      </w:r>
    </w:p>
    <w:tbl>
      <w:tblPr>
        <w:tblStyle w:val="TableGrid"/>
        <w:tblW w:type="dxa" w:w="9026"/>
        <w:jc w:val="left"/>
        <w:tblLayout w:type="fixed"/>
        <w:tblLook w:firstColumn="1" w:firstRow="1" w:lastColumn="0" w:lastRow="0" w:noHBand="0" w:noVBand="1" w:val="04A0"/>
        <w:tblInd w:w="120" w:type="dxa"/>
      </w:tblPr>
      <w:tblGrid>
        <w:gridCol w:w="1641"/>
        <w:gridCol w:w="2256"/>
        <w:gridCol w:w="2872"/>
        <w:gridCol w:w="2257"/>
      </w:tblGrid>
      <w:tr>
        <w:trPr>
          <w:tblHeader w:val="true"/>
        </w:trPr>
        <w:tc>
          <w:tcPr>
            <w:tcW w:type="dxa" w:w="16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Causa</w:t>
            </w:r>
          </w:p>
        </w:tc>
        <w:tc>
          <w:tcPr>
            <w:tcW w:type="dxa" w:w="225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Primer llamado</w:t>
            </w:r>
          </w:p>
        </w:tc>
        <w:tc>
          <w:tcPr>
            <w:tcW w:type="dxa" w:w="287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Suplencia</w:t>
            </w:r>
          </w:p>
        </w:tc>
        <w:tc>
          <w:tcPr>
            <w:tcW w:type="dxa" w:w="225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Duración</w:t>
            </w:r>
          </w:p>
        </w:tc>
      </w:tr>
      <w:tr>
        <w:tc>
          <w:tcPr>
            <w:tcW w:type="dxa" w:w="1641"/>
            <w:tcMar>
              <w:top w:w="80" w:type="dxa"/>
              <w:start w:w="120" w:type="dxa"/>
              <w:bottom w:w="80" w:type="dxa"/>
              <w:end w:w="120" w:type="dxa"/>
            </w:tcMar>
            <w:vAlign w:val="center"/>
          </w:tcPr>
          <w:p>
            <w:pPr>
              <w:spacing w:before="0" w:after="0" w:line="240" w:lineRule="auto"/>
              <w:jc w:val="left"/>
            </w:pPr>
            <w:r/>
            <w:r>
              <w:rPr>
                <w:rFonts w:ascii="Arial" w:hAnsi="Arial" w:cs="Arial"/>
                <w:sz w:val="18"/>
              </w:rPr>
              <w:t>Rey menor</w:t>
            </w:r>
          </w:p>
        </w:tc>
        <w:tc>
          <w:tcPr>
            <w:tcW w:type="dxa" w:w="2256"/>
            <w:tcMar>
              <w:top w:w="80" w:type="dxa"/>
              <w:start w:w="120" w:type="dxa"/>
              <w:bottom w:w="80" w:type="dxa"/>
              <w:end w:w="120" w:type="dxa"/>
            </w:tcMar>
            <w:vAlign w:val="center"/>
          </w:tcPr>
          <w:p>
            <w:pPr>
              <w:spacing w:before="0" w:after="0" w:line="240" w:lineRule="auto"/>
              <w:jc w:val="center"/>
            </w:pPr>
            <w:r/>
            <w:r>
              <w:rPr>
                <w:rFonts w:ascii="Arial" w:hAnsi="Arial" w:cs="Arial"/>
                <w:sz w:val="18"/>
              </w:rPr>
              <w:t>Padre o madre</w:t>
            </w:r>
          </w:p>
        </w:tc>
        <w:tc>
          <w:tcPr>
            <w:tcW w:type="dxa" w:w="2872"/>
            <w:tcMar>
              <w:top w:w="80" w:type="dxa"/>
              <w:start w:w="120" w:type="dxa"/>
              <w:bottom w:w="80" w:type="dxa"/>
              <w:end w:w="120" w:type="dxa"/>
            </w:tcMar>
            <w:vAlign w:val="center"/>
          </w:tcPr>
          <w:p>
            <w:pPr>
              <w:spacing w:before="0" w:after="0" w:line="240" w:lineRule="auto"/>
              <w:jc w:val="left"/>
            </w:pPr>
            <w:r/>
            <w:r>
              <w:rPr>
                <w:rFonts w:ascii="Arial" w:hAnsi="Arial" w:cs="Arial"/>
                <w:sz w:val="18"/>
              </w:rPr>
              <w:t>Pariente adulto más próximo en la sucesión</w:t>
            </w:r>
          </w:p>
        </w:tc>
        <w:tc>
          <w:tcPr>
            <w:tcW w:type="dxa" w:w="2257"/>
            <w:tcMar>
              <w:top w:w="80" w:type="dxa"/>
              <w:start w:w="120" w:type="dxa"/>
              <w:bottom w:w="80" w:type="dxa"/>
              <w:end w:w="120" w:type="dxa"/>
            </w:tcMar>
            <w:vAlign w:val="center"/>
          </w:tcPr>
          <w:p>
            <w:pPr>
              <w:spacing w:before="0" w:after="0" w:line="240" w:lineRule="auto"/>
              <w:jc w:val="left"/>
            </w:pPr>
            <w:r/>
            <w:r>
              <w:rPr>
                <w:rFonts w:ascii="Arial" w:hAnsi="Arial" w:cs="Arial"/>
                <w:sz w:val="18"/>
              </w:rPr>
              <w:t>Hasta la mayoría de edad del Rey</w:t>
            </w:r>
          </w:p>
        </w:tc>
      </w:tr>
      <w:tr>
        <w:tc>
          <w:tcPr>
            <w:tcW w:type="dxa" w:w="1641"/>
            <w:tcMar>
              <w:top w:w="80" w:type="dxa"/>
              <w:start w:w="120" w:type="dxa"/>
              <w:bottom w:w="80" w:type="dxa"/>
              <w:end w:w="120" w:type="dxa"/>
            </w:tcMar>
            <w:vAlign w:val="center"/>
          </w:tcPr>
          <w:p>
            <w:pPr>
              <w:spacing w:before="0" w:after="0" w:line="240" w:lineRule="auto"/>
              <w:jc w:val="left"/>
            </w:pPr>
            <w:r/>
            <w:r>
              <w:rPr>
                <w:rFonts w:ascii="Arial" w:hAnsi="Arial" w:cs="Arial"/>
                <w:sz w:val="18"/>
              </w:rPr>
              <w:t>Rey inhabilitado</w:t>
            </w:r>
          </w:p>
        </w:tc>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Príncipe heredero mayor de edad</w:t>
            </w:r>
          </w:p>
        </w:tc>
        <w:tc>
          <w:tcPr>
            <w:tcW w:type="dxa" w:w="2872"/>
            <w:tcMar>
              <w:top w:w="80" w:type="dxa"/>
              <w:start w:w="120" w:type="dxa"/>
              <w:bottom w:w="80" w:type="dxa"/>
              <w:end w:w="120" w:type="dxa"/>
            </w:tcMar>
            <w:vAlign w:val="center"/>
          </w:tcPr>
          <w:p>
            <w:pPr>
              <w:spacing w:before="0" w:after="0" w:line="240" w:lineRule="auto"/>
              <w:jc w:val="left"/>
            </w:pPr>
            <w:r/>
            <w:r>
              <w:rPr>
                <w:rFonts w:ascii="Arial" w:hAnsi="Arial" w:cs="Arial"/>
                <w:sz w:val="18"/>
              </w:rPr>
              <w:t>Orden de la minoría hasta que el Príncipe sea mayor</w:t>
            </w:r>
          </w:p>
        </w:tc>
        <w:tc>
          <w:tcPr>
            <w:tcW w:type="dxa" w:w="2257"/>
            <w:tcMar>
              <w:top w:w="80" w:type="dxa"/>
              <w:start w:w="120" w:type="dxa"/>
              <w:bottom w:w="80" w:type="dxa"/>
              <w:end w:w="120" w:type="dxa"/>
            </w:tcMar>
            <w:vAlign w:val="center"/>
          </w:tcPr>
          <w:p>
            <w:pPr>
              <w:spacing w:before="0" w:after="0" w:line="240" w:lineRule="auto"/>
              <w:jc w:val="left"/>
            </w:pPr>
            <w:r/>
            <w:r>
              <w:rPr>
                <w:rFonts w:ascii="Arial" w:hAnsi="Arial" w:cs="Arial"/>
                <w:sz w:val="18"/>
              </w:rPr>
              <w:t>Mientras subsista el régimen previsto</w:t>
            </w:r>
          </w:p>
        </w:tc>
      </w:tr>
      <w:tr>
        <w:tc>
          <w:tcPr>
            <w:tcW w:type="dxa" w:w="1641"/>
            <w:tcMar>
              <w:top w:w="80" w:type="dxa"/>
              <w:start w:w="120" w:type="dxa"/>
              <w:bottom w:w="80" w:type="dxa"/>
              <w:end w:w="120" w:type="dxa"/>
            </w:tcMar>
            <w:vAlign w:val="center"/>
          </w:tcPr>
          <w:p>
            <w:pPr>
              <w:spacing w:before="0" w:after="0" w:line="240" w:lineRule="auto"/>
              <w:jc w:val="left"/>
            </w:pPr>
            <w:r/>
            <w:r>
              <w:rPr>
                <w:rFonts w:ascii="Arial" w:hAnsi="Arial" w:cs="Arial"/>
                <w:sz w:val="18"/>
              </w:rPr>
              <w:t>Ausencia de persona llamada</w:t>
            </w:r>
          </w:p>
        </w:tc>
        <w:tc>
          <w:tcPr>
            <w:tcW w:type="dxa" w:w="2256"/>
            <w:tcMar>
              <w:top w:w="80" w:type="dxa"/>
              <w:start w:w="120" w:type="dxa"/>
              <w:bottom w:w="80" w:type="dxa"/>
              <w:end w:w="120" w:type="dxa"/>
            </w:tcMar>
            <w:vAlign w:val="center"/>
          </w:tcPr>
          <w:p>
            <w:pPr>
              <w:spacing w:before="0" w:after="0" w:line="240" w:lineRule="auto"/>
              <w:jc w:val="left"/>
            </w:pPr>
            <w:r/>
            <w:r>
              <w:rPr>
                <w:rFonts w:ascii="Arial" w:hAnsi="Arial" w:cs="Arial"/>
                <w:sz w:val="18"/>
              </w:rPr>
              <w:t>1, 3 o 5 personas nombradas por las Cortes</w:t>
            </w:r>
          </w:p>
        </w:tc>
        <w:tc>
          <w:tcPr>
            <w:tcW w:type="dxa" w:w="2872"/>
            <w:tcMar>
              <w:top w:w="80" w:type="dxa"/>
              <w:start w:w="120" w:type="dxa"/>
              <w:bottom w:w="80" w:type="dxa"/>
              <w:end w:w="120" w:type="dxa"/>
            </w:tcMar>
            <w:vAlign w:val="center"/>
          </w:tcPr>
          <w:p>
            <w:pPr>
              <w:spacing w:before="0" w:after="0" w:line="240" w:lineRule="auto"/>
              <w:jc w:val="left"/>
            </w:pPr>
            <w:r/>
            <w:r>
              <w:rPr>
                <w:rFonts w:ascii="Arial" w:hAnsi="Arial" w:cs="Arial"/>
                <w:sz w:val="18"/>
              </w:rPr>
              <w:t>No procede otra regla personal</w:t>
            </w:r>
          </w:p>
        </w:tc>
        <w:tc>
          <w:tcPr>
            <w:tcW w:type="dxa" w:w="2257"/>
            <w:tcMar>
              <w:top w:w="80" w:type="dxa"/>
              <w:start w:w="120" w:type="dxa"/>
              <w:bottom w:w="80" w:type="dxa"/>
              <w:end w:w="120" w:type="dxa"/>
            </w:tcMar>
            <w:vAlign w:val="center"/>
          </w:tcPr>
          <w:p>
            <w:pPr>
              <w:spacing w:before="0" w:after="0" w:line="240" w:lineRule="auto"/>
              <w:jc w:val="left"/>
            </w:pPr>
            <w:r/>
            <w:r>
              <w:rPr>
                <w:rFonts w:ascii="Arial" w:hAnsi="Arial" w:cs="Arial"/>
                <w:sz w:val="18"/>
              </w:rPr>
              <w:t>Mientras dure la causa</w:t>
            </w:r>
          </w:p>
        </w:tc>
      </w:tr>
    </w:tbl>
    <w:p>
      <w:pPr>
        <w:spacing w:after="40"/>
      </w:pPr>
    </w:p>
    <w:p>
      <w:pPr>
        <w:pStyle w:val="Heading2"/>
        <w:keepNext/>
      </w:pPr>
      <w:r>
        <w:rPr>
          <w:rFonts w:ascii="Arial" w:hAnsi="Arial" w:cs="Arial"/>
          <w:sz w:val="25"/>
        </w:rPr>
        <w:t>7.5. Juramento de los regentes</w:t>
      </w:r>
    </w:p>
    <w:p>
      <w:pPr>
        <w:jc w:val="both"/>
      </w:pPr>
      <w:r>
        <w:rPr>
          <w:rFonts w:ascii="Arial" w:hAnsi="Arial" w:cs="Arial"/>
          <w:sz w:val="22"/>
        </w:rPr>
        <w:t>El regente o regentes prestan, al asumir sus funciones:</w:t>
      </w:r>
    </w:p>
    <w:p>
      <w:pPr>
        <w:spacing w:after="40"/>
        <w:ind w:left="369" w:hanging="227"/>
      </w:pPr>
      <w:r>
        <w:rPr>
          <w:rFonts w:ascii="Arial" w:hAnsi="Arial" w:cs="Arial"/>
          <w:sz w:val="22"/>
        </w:rPr>
        <w:t>1. el mismo juramento que el Rey: desempeñar fielmente las funciones, guardar y hacer guardar la Constitución y las leyes y respetar los derechos de los ciudadanos y de las comunidades autónomas;</w:t>
      </w:r>
    </w:p>
    <w:p>
      <w:pPr>
        <w:spacing w:after="40"/>
        <w:ind w:left="369" w:hanging="227"/>
      </w:pPr>
      <w:r>
        <w:rPr>
          <w:rFonts w:ascii="Arial" w:hAnsi="Arial" w:cs="Arial"/>
          <w:sz w:val="22"/>
        </w:rPr>
        <w:t>2. juramento de fidelidad al Rey.</w:t>
      </w:r>
    </w:p>
    <w:p>
      <w:pPr>
        <w:jc w:val="both"/>
      </w:pPr>
      <w:r>
        <w:rPr>
          <w:rFonts w:ascii="Arial" w:hAnsi="Arial" w:cs="Arial"/>
          <w:sz w:val="22"/>
        </w:rPr>
        <w:t>El juramento se presta ante las Cortes Generales. No constituye una elección del regente cuando este resulta llamado directamente por la Constitución.</w:t>
      </w:r>
    </w:p>
    <w:p>
      <w:pPr>
        <w:pStyle w:val="Heading1"/>
        <w:keepNext/>
      </w:pPr>
      <w:r>
        <w:rPr>
          <w:rFonts w:ascii="Arial" w:hAnsi="Arial" w:cs="Arial"/>
          <w:sz w:val="30"/>
        </w:rPr>
        <w:t>8. Tutela del Rey menor</w:t>
      </w:r>
    </w:p>
    <w:p>
      <w:pPr>
        <w:jc w:val="both"/>
      </w:pPr>
      <w:r>
        <w:rPr>
          <w:rFonts w:ascii="Arial" w:hAnsi="Arial" w:cs="Arial"/>
          <w:sz w:val="22"/>
        </w:rPr>
        <w:t>La tutela protege la esfera personal del Rey menor; la Regencia atiende al ejercicio de las funciones constitucionales. Son instituciones distintas.</w:t>
      </w:r>
    </w:p>
    <w:p>
      <w:pPr>
        <w:jc w:val="both"/>
      </w:pPr>
      <w:r>
        <w:rPr>
          <w:rFonts w:ascii="Arial" w:hAnsi="Arial" w:cs="Arial"/>
          <w:sz w:val="22"/>
        </w:rPr>
        <w:t>El orden para designar tutor es:</w:t>
      </w:r>
    </w:p>
    <w:p>
      <w:pPr>
        <w:spacing w:after="40"/>
        <w:ind w:left="369" w:hanging="227"/>
      </w:pPr>
      <w:r>
        <w:rPr>
          <w:rFonts w:ascii="Arial" w:hAnsi="Arial" w:cs="Arial"/>
          <w:sz w:val="22"/>
        </w:rPr>
        <w:t>1. la persona nombrada por el Rey difunto en testamento, si es mayor de edad y española de nacimiento;</w:t>
      </w:r>
    </w:p>
    <w:p>
      <w:pPr>
        <w:spacing w:after="40"/>
        <w:ind w:left="369" w:hanging="227"/>
      </w:pPr>
      <w:r>
        <w:rPr>
          <w:rFonts w:ascii="Arial" w:hAnsi="Arial" w:cs="Arial"/>
          <w:sz w:val="22"/>
        </w:rPr>
        <w:t>2. si no hay designación, el padre o la madre mientras permanezca viudo o viuda;</w:t>
      </w:r>
    </w:p>
    <w:p>
      <w:pPr>
        <w:spacing w:after="40"/>
        <w:ind w:left="369" w:hanging="227"/>
      </w:pPr>
      <w:r>
        <w:rPr>
          <w:rFonts w:ascii="Arial" w:hAnsi="Arial" w:cs="Arial"/>
          <w:sz w:val="22"/>
        </w:rPr>
        <w:t>3. en defecto de los anteriores, la persona nombrada por las Cortes Generales.</w:t>
      </w:r>
    </w:p>
    <w:p>
      <w:pPr>
        <w:jc w:val="both"/>
      </w:pPr>
      <w:r>
        <w:rPr>
          <w:rFonts w:ascii="Arial" w:hAnsi="Arial" w:cs="Arial"/>
          <w:sz w:val="22"/>
        </w:rPr>
        <w:t>La tutela es incompatible con todo cargo o representación política.</w:t>
      </w:r>
    </w:p>
    <w:p>
      <w:pPr>
        <w:jc w:val="both"/>
      </w:pPr>
      <w:r>
        <w:rPr>
          <w:rFonts w:ascii="Arial" w:hAnsi="Arial" w:cs="Arial"/>
          <w:sz w:val="22"/>
        </w:rPr>
        <w:t>Regencia y tutela no pueden acumularse en una misma persona, salvo en:</w:t>
      </w:r>
    </w:p>
    <w:p>
      <w:pPr>
        <w:pStyle w:val="ListBullet"/>
      </w:pPr>
      <w:r>
        <w:rPr>
          <w:rFonts w:ascii="Arial" w:hAnsi="Arial" w:cs="Arial"/>
          <w:sz w:val="22"/>
        </w:rPr>
        <w:t>el padre;</w:t>
      </w:r>
    </w:p>
    <w:p>
      <w:pPr>
        <w:pStyle w:val="ListBullet"/>
      </w:pPr>
      <w:r>
        <w:rPr>
          <w:rFonts w:ascii="Arial" w:hAnsi="Arial" w:cs="Arial"/>
          <w:sz w:val="22"/>
        </w:rPr>
        <w:t>la madre;</w:t>
      </w:r>
    </w:p>
    <w:p>
      <w:pPr>
        <w:pStyle w:val="ListBullet"/>
      </w:pPr>
      <w:r>
        <w:rPr>
          <w:rFonts w:ascii="Arial" w:hAnsi="Arial" w:cs="Arial"/>
          <w:sz w:val="22"/>
        </w:rPr>
        <w:t>los ascendientes directos del Rey.</w:t>
      </w:r>
    </w:p>
    <w:tbl>
      <w:tblPr>
        <w:tblStyle w:val="TableGrid"/>
        <w:tblW w:type="dxa" w:w="9026"/>
        <w:jc w:val="left"/>
        <w:tblLayout w:type="fixed"/>
        <w:tblLook w:firstColumn="1" w:firstRow="1" w:lastColumn="0" w:lastRow="0" w:noHBand="0" w:noVBand="1" w:val="04A0"/>
        <w:tblInd w:w="120" w:type="dxa"/>
      </w:tblPr>
      <w:tblGrid>
        <w:gridCol w:w="1062"/>
        <w:gridCol w:w="3982"/>
        <w:gridCol w:w="3982"/>
      </w:tblGrid>
      <w:tr>
        <w:trPr>
          <w:tblHeader w:val="true"/>
        </w:trPr>
        <w:tc>
          <w:tcPr>
            <w:tcW w:type="dxa" w:w="106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Aspecto</w:t>
            </w:r>
          </w:p>
        </w:tc>
        <w:tc>
          <w:tcPr>
            <w:tcW w:type="dxa" w:w="398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Regencia</w:t>
            </w:r>
          </w:p>
        </w:tc>
        <w:tc>
          <w:tcPr>
            <w:tcW w:type="dxa" w:w="398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Tutela</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Finalidad</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Ejercicio de funciones constitucionales</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personal del Rey menor</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Requisito general</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Español y mayor de edad</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Varía según título: el tutor testamentario debe ser español de nacimiento y adulto</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Actuación</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En nombre del Rey</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En interés de la persona menor</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Cargo político</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La Constitución no establece aquí una incompatibilidad general equivalente</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Incompatible con todo cargo o representación política</w:t>
            </w:r>
          </w:p>
        </w:tc>
      </w:tr>
      <w:tr>
        <w:tc>
          <w:tcPr>
            <w:tcW w:type="dxa" w:w="1062"/>
            <w:tcMar>
              <w:top w:w="80" w:type="dxa"/>
              <w:start w:w="120" w:type="dxa"/>
              <w:bottom w:w="80" w:type="dxa"/>
              <w:end w:w="120" w:type="dxa"/>
            </w:tcMar>
            <w:vAlign w:val="center"/>
          </w:tcPr>
          <w:p>
            <w:pPr>
              <w:spacing w:before="0" w:after="0" w:line="240" w:lineRule="auto"/>
              <w:jc w:val="left"/>
            </w:pPr>
            <w:r/>
            <w:r>
              <w:rPr>
                <w:rFonts w:ascii="Arial" w:hAnsi="Arial" w:cs="Arial"/>
                <w:sz w:val="18"/>
              </w:rPr>
              <w:t>Acumulación</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Solo con tutela en padre, madre o ascendientes directos</w:t>
            </w:r>
          </w:p>
        </w:tc>
        <w:tc>
          <w:tcPr>
            <w:tcW w:type="dxa" w:w="3982"/>
            <w:tcMar>
              <w:top w:w="80" w:type="dxa"/>
              <w:start w:w="120" w:type="dxa"/>
              <w:bottom w:w="80" w:type="dxa"/>
              <w:end w:w="120" w:type="dxa"/>
            </w:tcMar>
            <w:vAlign w:val="center"/>
          </w:tcPr>
          <w:p>
            <w:pPr>
              <w:spacing w:before="0" w:after="0" w:line="240" w:lineRule="auto"/>
              <w:jc w:val="center"/>
            </w:pPr>
            <w:r/>
            <w:r>
              <w:rPr>
                <w:rFonts w:ascii="Arial" w:hAnsi="Arial" w:cs="Arial"/>
                <w:sz w:val="18"/>
              </w:rPr>
              <w:t>Misma regla</w:t>
            </w:r>
          </w:p>
        </w:tc>
      </w:tr>
    </w:tbl>
    <w:p>
      <w:pPr>
        <w:spacing w:after="40"/>
      </w:pPr>
    </w:p>
    <w:p>
      <w:pPr>
        <w:jc w:val="both"/>
      </w:pPr>
      <w:r>
        <w:rPr>
          <w:rFonts w:ascii="Arial" w:hAnsi="Arial" w:cs="Arial"/>
          <w:sz w:val="22"/>
        </w:rPr>
        <w:t xml:space="preserve">Un error frecuente consiste en exigir al regente ser español de nacimiento. El artículo 59 solo exige ser español y mayor de edad. La nacionalidad española </w:t>
      </w:r>
      <w:r>
        <w:rPr>
          <w:rFonts w:ascii="Arial" w:hAnsi="Arial" w:cs="Arial"/>
          <w:b/>
          <w:sz w:val="22"/>
        </w:rPr>
        <w:t>de nacimiento</w:t>
      </w:r>
      <w:r>
        <w:rPr>
          <w:rFonts w:ascii="Arial" w:hAnsi="Arial" w:cs="Arial"/>
          <w:sz w:val="22"/>
        </w:rPr>
        <w:t xml:space="preserve"> se exige expresamente al tutor testamentario del artículo 60.</w:t>
      </w:r>
    </w:p>
    <w:p>
      <w:pPr>
        <w:pStyle w:val="Heading1"/>
        <w:keepNext/>
      </w:pPr>
      <w:r>
        <w:rPr>
          <w:rFonts w:ascii="Arial" w:hAnsi="Arial" w:cs="Arial"/>
          <w:sz w:val="30"/>
        </w:rPr>
        <w:t>9. Proclamación y juramentos</w:t>
      </w:r>
    </w:p>
    <w:p>
      <w:pPr>
        <w:pStyle w:val="Heading2"/>
        <w:keepNext/>
      </w:pPr>
      <w:r>
        <w:rPr>
          <w:rFonts w:ascii="Arial" w:hAnsi="Arial" w:cs="Arial"/>
          <w:sz w:val="25"/>
        </w:rPr>
        <w:t>9.1. Juramento del Rey</w:t>
      </w:r>
    </w:p>
    <w:p>
      <w:pPr>
        <w:jc w:val="both"/>
      </w:pPr>
      <w:r>
        <w:rPr>
          <w:rFonts w:ascii="Arial" w:hAnsi="Arial" w:cs="Arial"/>
          <w:sz w:val="22"/>
        </w:rPr>
        <w:t>Al ser proclamado ante las Cortes Generales, el Rey jura:</w:t>
      </w:r>
    </w:p>
    <w:p>
      <w:pPr>
        <w:pStyle w:val="ListBullet"/>
      </w:pPr>
      <w:r>
        <w:rPr>
          <w:rFonts w:ascii="Arial" w:hAnsi="Arial" w:cs="Arial"/>
          <w:sz w:val="22"/>
        </w:rPr>
        <w:t>desempeñar fielmente sus funciones;</w:t>
      </w:r>
    </w:p>
    <w:p>
      <w:pPr>
        <w:pStyle w:val="ListBullet"/>
      </w:pPr>
      <w:r>
        <w:rPr>
          <w:rFonts w:ascii="Arial" w:hAnsi="Arial" w:cs="Arial"/>
          <w:sz w:val="22"/>
        </w:rPr>
        <w:t>guardar y hacer guardar la Constitución y las leyes;</w:t>
      </w:r>
    </w:p>
    <w:p>
      <w:pPr>
        <w:pStyle w:val="ListBullet"/>
      </w:pPr>
      <w:r>
        <w:rPr>
          <w:rFonts w:ascii="Arial" w:hAnsi="Arial" w:cs="Arial"/>
          <w:sz w:val="22"/>
        </w:rPr>
        <w:t>respetar los derechos de los ciudadanos;</w:t>
      </w:r>
    </w:p>
    <w:p>
      <w:pPr>
        <w:pStyle w:val="ListBullet"/>
      </w:pPr>
      <w:r>
        <w:rPr>
          <w:rFonts w:ascii="Arial" w:hAnsi="Arial" w:cs="Arial"/>
          <w:sz w:val="22"/>
        </w:rPr>
        <w:t>respetar los derechos de las comunidades autónomas.</w:t>
      </w:r>
    </w:p>
    <w:p>
      <w:pPr>
        <w:jc w:val="both"/>
      </w:pPr>
      <w:r>
        <w:rPr>
          <w:rFonts w:ascii="Arial" w:hAnsi="Arial" w:cs="Arial"/>
          <w:sz w:val="22"/>
        </w:rPr>
        <w:t>El juramento exterioriza la sujeción de la Corona a la Constitución. No atribuye al Rey funciones diferentes de las enumeradas por el ordenamiento.</w:t>
      </w:r>
    </w:p>
    <w:p>
      <w:pPr>
        <w:pStyle w:val="Heading2"/>
        <w:keepNext/>
      </w:pPr>
      <w:r>
        <w:rPr>
          <w:rFonts w:ascii="Arial" w:hAnsi="Arial" w:cs="Arial"/>
          <w:sz w:val="25"/>
        </w:rPr>
        <w:t>9.2. Juramento del heredero y de los regentes</w:t>
      </w:r>
    </w:p>
    <w:p>
      <w:pPr>
        <w:jc w:val="both"/>
      </w:pPr>
      <w:r>
        <w:rPr>
          <w:rFonts w:ascii="Arial" w:hAnsi="Arial" w:cs="Arial"/>
          <w:sz w:val="22"/>
        </w:rPr>
        <w:t>El Príncipe heredero presta juramento cuando alcanza la mayoría de edad, no necesariamente cuando adquiere la condición de heredero. Jura lo mismo que el Rey y añade fidelidad al Rey.</w:t>
      </w:r>
    </w:p>
    <w:p>
      <w:pPr>
        <w:jc w:val="both"/>
      </w:pPr>
      <w:r>
        <w:rPr>
          <w:rFonts w:ascii="Arial" w:hAnsi="Arial" w:cs="Arial"/>
          <w:sz w:val="22"/>
        </w:rPr>
        <w:t>Los regentes lo prestan cuando se hacen cargo de sus funciones y también añaden fidelidad al Rey. Por tanto:</w:t>
      </w:r>
    </w:p>
    <w:tbl>
      <w:tblPr>
        <w:tblStyle w:val="TableGrid"/>
        <w:tblW w:type="dxa" w:w="9026"/>
        <w:jc w:val="left"/>
        <w:tblLayout w:type="fixed"/>
        <w:tblLook w:firstColumn="1" w:firstRow="1" w:lastColumn="0" w:lastRow="0" w:noHBand="0" w:noVBand="1" w:val="04A0"/>
        <w:tblInd w:w="120" w:type="dxa"/>
      </w:tblPr>
      <w:tblGrid>
        <w:gridCol w:w="2222"/>
        <w:gridCol w:w="3472"/>
        <w:gridCol w:w="3332"/>
      </w:tblGrid>
      <w:tr>
        <w:trPr>
          <w:tblHeader w:val="true"/>
        </w:trPr>
        <w:tc>
          <w:tcPr>
            <w:tcW w:type="dxa" w:w="222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Sujeto</w:t>
            </w:r>
          </w:p>
        </w:tc>
        <w:tc>
          <w:tcPr>
            <w:tcW w:type="dxa" w:w="347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Momento</w:t>
            </w:r>
          </w:p>
        </w:tc>
        <w:tc>
          <w:tcPr>
            <w:tcW w:type="dxa" w:w="333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Contenido adicional</w:t>
            </w:r>
          </w:p>
        </w:tc>
      </w:tr>
      <w:tr>
        <w:tc>
          <w:tcPr>
            <w:tcW w:type="dxa" w:w="2222"/>
            <w:tcMar>
              <w:top w:w="80" w:type="dxa"/>
              <w:start w:w="120" w:type="dxa"/>
              <w:bottom w:w="80" w:type="dxa"/>
              <w:end w:w="120" w:type="dxa"/>
            </w:tcMar>
            <w:vAlign w:val="center"/>
          </w:tcPr>
          <w:p>
            <w:pPr>
              <w:spacing w:before="0" w:after="0" w:line="240" w:lineRule="auto"/>
              <w:jc w:val="left"/>
            </w:pPr>
            <w:r/>
            <w:r>
              <w:rPr>
                <w:rFonts w:ascii="Arial" w:hAnsi="Arial" w:cs="Arial"/>
                <w:sz w:val="18"/>
              </w:rPr>
              <w:t>Rey</w:t>
            </w:r>
          </w:p>
        </w:tc>
        <w:tc>
          <w:tcPr>
            <w:tcW w:type="dxa" w:w="3472"/>
            <w:tcMar>
              <w:top w:w="80" w:type="dxa"/>
              <w:start w:w="120" w:type="dxa"/>
              <w:bottom w:w="80" w:type="dxa"/>
              <w:end w:w="120" w:type="dxa"/>
            </w:tcMar>
            <w:vAlign w:val="center"/>
          </w:tcPr>
          <w:p>
            <w:pPr>
              <w:spacing w:before="0" w:after="0" w:line="240" w:lineRule="auto"/>
              <w:jc w:val="left"/>
            </w:pPr>
            <w:r/>
            <w:r>
              <w:rPr>
                <w:rFonts w:ascii="Arial" w:hAnsi="Arial" w:cs="Arial"/>
                <w:sz w:val="18"/>
              </w:rPr>
              <w:t>Al ser proclamado</w:t>
            </w:r>
          </w:p>
        </w:tc>
        <w:tc>
          <w:tcPr>
            <w:tcW w:type="dxa" w:w="3332"/>
            <w:tcMar>
              <w:top w:w="80" w:type="dxa"/>
              <w:start w:w="120" w:type="dxa"/>
              <w:bottom w:w="80" w:type="dxa"/>
              <w:end w:w="120" w:type="dxa"/>
            </w:tcMar>
            <w:vAlign w:val="center"/>
          </w:tcPr>
          <w:p>
            <w:pPr>
              <w:spacing w:before="0" w:after="0" w:line="240" w:lineRule="auto"/>
              <w:jc w:val="left"/>
            </w:pPr>
            <w:r/>
            <w:r>
              <w:rPr>
                <w:rFonts w:ascii="Arial" w:hAnsi="Arial" w:cs="Arial"/>
                <w:sz w:val="18"/>
              </w:rPr>
              <w:t>Ninguno distinto del art. 61.1</w:t>
            </w:r>
          </w:p>
        </w:tc>
      </w:tr>
      <w:tr>
        <w:tc>
          <w:tcPr>
            <w:tcW w:type="dxa" w:w="2222"/>
            <w:tcMar>
              <w:top w:w="80" w:type="dxa"/>
              <w:start w:w="120" w:type="dxa"/>
              <w:bottom w:w="80" w:type="dxa"/>
              <w:end w:w="120" w:type="dxa"/>
            </w:tcMar>
            <w:vAlign w:val="center"/>
          </w:tcPr>
          <w:p>
            <w:pPr>
              <w:spacing w:before="0" w:after="0" w:line="240" w:lineRule="auto"/>
              <w:jc w:val="left"/>
            </w:pPr>
            <w:r/>
            <w:r>
              <w:rPr>
                <w:rFonts w:ascii="Arial" w:hAnsi="Arial" w:cs="Arial"/>
                <w:sz w:val="18"/>
              </w:rPr>
              <w:t>Príncipe heredero</w:t>
            </w:r>
          </w:p>
        </w:tc>
        <w:tc>
          <w:tcPr>
            <w:tcW w:type="dxa" w:w="3472"/>
            <w:tcMar>
              <w:top w:w="80" w:type="dxa"/>
              <w:start w:w="120" w:type="dxa"/>
              <w:bottom w:w="80" w:type="dxa"/>
              <w:end w:w="120" w:type="dxa"/>
            </w:tcMar>
            <w:vAlign w:val="center"/>
          </w:tcPr>
          <w:p>
            <w:pPr>
              <w:spacing w:before="0" w:after="0" w:line="240" w:lineRule="auto"/>
              <w:jc w:val="left"/>
            </w:pPr>
            <w:r/>
            <w:r>
              <w:rPr>
                <w:rFonts w:ascii="Arial" w:hAnsi="Arial" w:cs="Arial"/>
                <w:sz w:val="18"/>
              </w:rPr>
              <w:t>Al alcanzar la mayoría de edad</w:t>
            </w:r>
          </w:p>
        </w:tc>
        <w:tc>
          <w:tcPr>
            <w:tcW w:type="dxa" w:w="3332"/>
            <w:tcMar>
              <w:top w:w="80" w:type="dxa"/>
              <w:start w:w="120" w:type="dxa"/>
              <w:bottom w:w="80" w:type="dxa"/>
              <w:end w:w="120" w:type="dxa"/>
            </w:tcMar>
            <w:vAlign w:val="center"/>
          </w:tcPr>
          <w:p>
            <w:pPr>
              <w:spacing w:before="0" w:after="0" w:line="240" w:lineRule="auto"/>
              <w:jc w:val="left"/>
            </w:pPr>
            <w:r/>
            <w:r>
              <w:rPr>
                <w:rFonts w:ascii="Arial" w:hAnsi="Arial" w:cs="Arial"/>
                <w:sz w:val="18"/>
              </w:rPr>
              <w:t>Fidelidad al Rey</w:t>
            </w:r>
          </w:p>
        </w:tc>
      </w:tr>
      <w:tr>
        <w:tc>
          <w:tcPr>
            <w:tcW w:type="dxa" w:w="2222"/>
            <w:tcMar>
              <w:top w:w="80" w:type="dxa"/>
              <w:start w:w="120" w:type="dxa"/>
              <w:bottom w:w="80" w:type="dxa"/>
              <w:end w:w="120" w:type="dxa"/>
            </w:tcMar>
            <w:vAlign w:val="center"/>
          </w:tcPr>
          <w:p>
            <w:pPr>
              <w:spacing w:before="0" w:after="0" w:line="240" w:lineRule="auto"/>
              <w:jc w:val="left"/>
            </w:pPr>
            <w:r/>
            <w:r>
              <w:rPr>
                <w:rFonts w:ascii="Arial" w:hAnsi="Arial" w:cs="Arial"/>
                <w:sz w:val="18"/>
              </w:rPr>
              <w:t>Regente o regentes</w:t>
            </w:r>
          </w:p>
        </w:tc>
        <w:tc>
          <w:tcPr>
            <w:tcW w:type="dxa" w:w="3472"/>
            <w:tcMar>
              <w:top w:w="80" w:type="dxa"/>
              <w:start w:w="120" w:type="dxa"/>
              <w:bottom w:w="80" w:type="dxa"/>
              <w:end w:w="120" w:type="dxa"/>
            </w:tcMar>
            <w:vAlign w:val="center"/>
          </w:tcPr>
          <w:p>
            <w:pPr>
              <w:spacing w:before="0" w:after="0" w:line="240" w:lineRule="auto"/>
              <w:jc w:val="left"/>
            </w:pPr>
            <w:r/>
            <w:r>
              <w:rPr>
                <w:rFonts w:ascii="Arial" w:hAnsi="Arial" w:cs="Arial"/>
                <w:sz w:val="18"/>
              </w:rPr>
              <w:t>Al asumir sus funciones</w:t>
            </w:r>
          </w:p>
        </w:tc>
        <w:tc>
          <w:tcPr>
            <w:tcW w:type="dxa" w:w="3332"/>
            <w:tcMar>
              <w:top w:w="80" w:type="dxa"/>
              <w:start w:w="120" w:type="dxa"/>
              <w:bottom w:w="80" w:type="dxa"/>
              <w:end w:w="120" w:type="dxa"/>
            </w:tcMar>
            <w:vAlign w:val="center"/>
          </w:tcPr>
          <w:p>
            <w:pPr>
              <w:spacing w:before="0" w:after="0" w:line="240" w:lineRule="auto"/>
              <w:jc w:val="left"/>
            </w:pPr>
            <w:r/>
            <w:r>
              <w:rPr>
                <w:rFonts w:ascii="Arial" w:hAnsi="Arial" w:cs="Arial"/>
                <w:sz w:val="18"/>
              </w:rPr>
              <w:t>Fidelidad al Rey</w:t>
            </w:r>
          </w:p>
        </w:tc>
      </w:tr>
    </w:tbl>
    <w:p>
      <w:pPr>
        <w:spacing w:after="40"/>
      </w:pPr>
    </w:p>
    <w:p>
      <w:pPr>
        <w:pStyle w:val="Heading1"/>
        <w:keepNext/>
      </w:pPr>
      <w:r>
        <w:rPr>
          <w:rFonts w:ascii="Arial" w:hAnsi="Arial" w:cs="Arial"/>
          <w:sz w:val="30"/>
        </w:rPr>
        <w:t>10. El refrendo</w:t>
      </w:r>
    </w:p>
    <w:p>
      <w:pPr>
        <w:pStyle w:val="Heading2"/>
        <w:keepNext/>
      </w:pPr>
      <w:r>
        <w:rPr>
          <w:rFonts w:ascii="Arial" w:hAnsi="Arial" w:cs="Arial"/>
          <w:sz w:val="25"/>
        </w:rPr>
        <w:t>10.1. Concepto y finalidad</w:t>
      </w:r>
    </w:p>
    <w:p>
      <w:pPr>
        <w:jc w:val="both"/>
      </w:pPr>
      <w:r>
        <w:rPr>
          <w:rFonts w:ascii="Arial" w:hAnsi="Arial" w:cs="Arial"/>
          <w:sz w:val="22"/>
        </w:rPr>
        <w:t>El refrendo es la intervención de una autoridad constitucionalmente responsable que dota de validez al acto del Rey y asume la responsabilidad correspondiente. Se conecta directamente con la inviolabilidad y la irresponsabilidad regias.</w:t>
      </w:r>
    </w:p>
    <w:p>
      <w:pPr>
        <w:jc w:val="both"/>
      </w:pPr>
      <w:r>
        <w:rPr>
          <w:rFonts w:ascii="Arial" w:hAnsi="Arial" w:cs="Arial"/>
          <w:sz w:val="22"/>
        </w:rPr>
        <w:t>Sus efectos principales son:</w:t>
      </w:r>
    </w:p>
    <w:p>
      <w:pPr>
        <w:spacing w:after="40"/>
        <w:ind w:left="369" w:hanging="227"/>
      </w:pPr>
      <w:r>
        <w:rPr>
          <w:rFonts w:ascii="Arial" w:hAnsi="Arial" w:cs="Arial"/>
          <w:sz w:val="22"/>
        </w:rPr>
        <w:t xml:space="preserve">1. </w:t>
      </w:r>
      <w:r>
        <w:rPr>
          <w:rFonts w:ascii="Arial" w:hAnsi="Arial" w:cs="Arial"/>
          <w:b/>
          <w:sz w:val="22"/>
        </w:rPr>
        <w:t>validez:</w:t>
      </w:r>
      <w:r>
        <w:rPr>
          <w:rFonts w:ascii="Arial" w:hAnsi="Arial" w:cs="Arial"/>
          <w:sz w:val="22"/>
        </w:rPr>
        <w:t xml:space="preserve"> el acto regio carece de ella si no está refrendado, salvo el artículo 65.2;</w:t>
      </w:r>
    </w:p>
    <w:p>
      <w:pPr>
        <w:spacing w:after="40"/>
        <w:ind w:left="369" w:hanging="227"/>
      </w:pPr>
      <w:r>
        <w:rPr>
          <w:rFonts w:ascii="Arial" w:hAnsi="Arial" w:cs="Arial"/>
          <w:sz w:val="22"/>
        </w:rPr>
        <w:t xml:space="preserve">2. </w:t>
      </w:r>
      <w:r>
        <w:rPr>
          <w:rFonts w:ascii="Arial" w:hAnsi="Arial" w:cs="Arial"/>
          <w:b/>
          <w:sz w:val="22"/>
        </w:rPr>
        <w:t>responsabilidad:</w:t>
      </w:r>
      <w:r>
        <w:rPr>
          <w:rFonts w:ascii="Arial" w:hAnsi="Arial" w:cs="Arial"/>
          <w:sz w:val="22"/>
        </w:rPr>
        <w:t xml:space="preserve"> responde la persona que refrenda;</w:t>
      </w:r>
    </w:p>
    <w:p>
      <w:pPr>
        <w:spacing w:after="40"/>
        <w:ind w:left="369" w:hanging="227"/>
      </w:pPr>
      <w:r>
        <w:rPr>
          <w:rFonts w:ascii="Arial" w:hAnsi="Arial" w:cs="Arial"/>
          <w:sz w:val="22"/>
        </w:rPr>
        <w:t xml:space="preserve">3. </w:t>
      </w:r>
      <w:r>
        <w:rPr>
          <w:rFonts w:ascii="Arial" w:hAnsi="Arial" w:cs="Arial"/>
          <w:b/>
          <w:sz w:val="22"/>
        </w:rPr>
        <w:t>integración del procedimiento:</w:t>
      </w:r>
      <w:r>
        <w:rPr>
          <w:rFonts w:ascii="Arial" w:hAnsi="Arial" w:cs="Arial"/>
          <w:sz w:val="22"/>
        </w:rPr>
        <w:t xml:space="preserve"> el acto del Rey queda vinculado a la decisión, propuesta o competencia del órgano responsable.</w:t>
      </w:r>
    </w:p>
    <w:p>
      <w:pPr>
        <w:jc w:val="both"/>
      </w:pPr>
      <w:r>
        <w:rPr>
          <w:rFonts w:ascii="Arial" w:hAnsi="Arial" w:cs="Arial"/>
          <w:sz w:val="22"/>
        </w:rPr>
        <w:t>La Constitución no permite sustituir el refrendo exigido por una aprobación informal ni atribuirlo indistintamente a cualquier autoridad.</w:t>
      </w:r>
    </w:p>
    <w:p>
      <w:pPr>
        <w:pStyle w:val="Heading2"/>
        <w:keepNext/>
      </w:pPr>
      <w:r>
        <w:rPr>
          <w:rFonts w:ascii="Arial" w:hAnsi="Arial" w:cs="Arial"/>
          <w:sz w:val="25"/>
        </w:rPr>
        <w:t>10.2. Sujetos refrendantes</w:t>
      </w:r>
    </w:p>
    <w:p>
      <w:pPr>
        <w:jc w:val="both"/>
      </w:pPr>
      <w:r>
        <w:rPr>
          <w:rFonts w:ascii="Arial" w:hAnsi="Arial" w:cs="Arial"/>
          <w:sz w:val="22"/>
        </w:rPr>
        <w:t>El artículo 64 establece la regla:</w:t>
      </w:r>
    </w:p>
    <w:p>
      <w:pPr>
        <w:pStyle w:val="ListBullet"/>
      </w:pPr>
      <w:r>
        <w:rPr>
          <w:rFonts w:ascii="Arial" w:hAnsi="Arial" w:cs="Arial"/>
          <w:sz w:val="22"/>
        </w:rPr>
        <w:t xml:space="preserve">el </w:t>
      </w:r>
      <w:r>
        <w:rPr>
          <w:rFonts w:ascii="Arial" w:hAnsi="Arial" w:cs="Arial"/>
          <w:b/>
          <w:sz w:val="22"/>
        </w:rPr>
        <w:t>Presidente del Gobierno</w:t>
      </w:r>
      <w:r>
        <w:rPr>
          <w:rFonts w:ascii="Arial" w:hAnsi="Arial" w:cs="Arial"/>
          <w:sz w:val="22"/>
        </w:rPr>
        <w:t xml:space="preserve"> refrenda los actos del Rey con carácter general;</w:t>
      </w:r>
    </w:p>
    <w:p>
      <w:pPr>
        <w:pStyle w:val="ListBullet"/>
      </w:pPr>
      <w:r>
        <w:rPr>
          <w:rFonts w:ascii="Arial" w:hAnsi="Arial" w:cs="Arial"/>
          <w:sz w:val="22"/>
        </w:rPr>
        <w:t xml:space="preserve">en su caso, los </w:t>
      </w:r>
      <w:r>
        <w:rPr>
          <w:rFonts w:ascii="Arial" w:hAnsi="Arial" w:cs="Arial"/>
          <w:b/>
          <w:sz w:val="22"/>
        </w:rPr>
        <w:t>ministros competentes</w:t>
      </w:r>
      <w:r>
        <w:rPr>
          <w:rFonts w:ascii="Arial" w:hAnsi="Arial" w:cs="Arial"/>
          <w:sz w:val="22"/>
        </w:rPr>
        <w:t xml:space="preserve"> refrendan los actos relativos a su materia;</w:t>
      </w:r>
    </w:p>
    <w:p>
      <w:pPr>
        <w:pStyle w:val="ListBullet"/>
      </w:pPr>
      <w:r>
        <w:rPr>
          <w:rFonts w:ascii="Arial" w:hAnsi="Arial" w:cs="Arial"/>
          <w:sz w:val="22"/>
        </w:rPr>
        <w:t xml:space="preserve">el </w:t>
      </w:r>
      <w:r>
        <w:rPr>
          <w:rFonts w:ascii="Arial" w:hAnsi="Arial" w:cs="Arial"/>
          <w:b/>
          <w:sz w:val="22"/>
        </w:rPr>
        <w:t>Presidente del Congreso</w:t>
      </w:r>
      <w:r>
        <w:rPr>
          <w:rFonts w:ascii="Arial" w:hAnsi="Arial" w:cs="Arial"/>
          <w:sz w:val="22"/>
        </w:rPr>
        <w:t xml:space="preserve"> refrenda tres actuaciones vinculadas al artículo 99: propuesta de candidato a Presidente del Gobierno, nombramiento del Presidente del Gobierno y disolución de ambas Cámaras por falta de investidura.</w:t>
      </w:r>
    </w:p>
    <w:p>
      <w:pPr>
        <w:jc w:val="both"/>
      </w:pPr>
      <w:r>
        <w:rPr>
          <w:rFonts w:ascii="Arial" w:hAnsi="Arial" w:cs="Arial"/>
          <w:sz w:val="22"/>
        </w:rPr>
        <w:t>La Ley 50/1997 concreta que corresponde al Presidente del Gobierno refrendar, en su caso, los actos del Rey y someterle las leyes y demás normas con rango de ley para su sanción. A los ministros les corresponde refrendar, en su caso, los actos regios de su competencia.</w:t>
      </w:r>
    </w:p>
    <w:p>
      <w:pPr>
        <w:pStyle w:val="Heading2"/>
        <w:keepNext/>
      </w:pPr>
      <w:r>
        <w:rPr>
          <w:rFonts w:ascii="Arial" w:hAnsi="Arial" w:cs="Arial"/>
          <w:sz w:val="25"/>
        </w:rPr>
        <w:t>10.3. Refrendo del Presidente del Congreso</w:t>
      </w:r>
    </w:p>
    <w:p>
      <w:pPr>
        <w:jc w:val="both"/>
      </w:pPr>
      <w:r>
        <w:rPr>
          <w:rFonts w:ascii="Arial" w:hAnsi="Arial" w:cs="Arial"/>
          <w:sz w:val="22"/>
        </w:rPr>
        <w:t>Es una regla excepcional y tasada. Opera en:</w:t>
      </w:r>
    </w:p>
    <w:p>
      <w:pPr>
        <w:spacing w:after="40"/>
        <w:ind w:left="369" w:hanging="227"/>
      </w:pPr>
      <w:r>
        <w:rPr>
          <w:rFonts w:ascii="Arial" w:hAnsi="Arial" w:cs="Arial"/>
          <w:sz w:val="22"/>
        </w:rPr>
        <w:t>1. la propuesta de candidato a Presidente del Gobierno;</w:t>
      </w:r>
    </w:p>
    <w:p>
      <w:pPr>
        <w:spacing w:after="40"/>
        <w:ind w:left="369" w:hanging="227"/>
      </w:pPr>
      <w:r>
        <w:rPr>
          <w:rFonts w:ascii="Arial" w:hAnsi="Arial" w:cs="Arial"/>
          <w:sz w:val="22"/>
        </w:rPr>
        <w:t>2. el nombramiento del Presidente tras obtener la confianza;</w:t>
      </w:r>
    </w:p>
    <w:p>
      <w:pPr>
        <w:spacing w:after="40"/>
        <w:ind w:left="369" w:hanging="227"/>
      </w:pPr>
      <w:r>
        <w:rPr>
          <w:rFonts w:ascii="Arial" w:hAnsi="Arial" w:cs="Arial"/>
          <w:sz w:val="22"/>
        </w:rPr>
        <w:t>3. la disolución de ambas Cámaras y convocatoria electoral del artículo 99.5.</w:t>
      </w:r>
    </w:p>
    <w:p>
      <w:pPr>
        <w:jc w:val="both"/>
      </w:pPr>
      <w:r>
        <w:rPr>
          <w:rFonts w:ascii="Arial" w:hAnsi="Arial" w:cs="Arial"/>
          <w:sz w:val="22"/>
        </w:rPr>
        <w:t>La disolución ordinaria del artículo 115 no se incluye en esta excepción: parte de la propuesta del Presidente del Gobierno y se ejerce bajo su exclusiva responsabilidad, por lo que el refrendo corresponde al Presidente del Gobierno.</w:t>
      </w:r>
    </w:p>
    <w:p>
      <w:pPr>
        <w:pStyle w:val="Heading2"/>
        <w:keepNext/>
      </w:pPr>
      <w:r>
        <w:rPr>
          <w:rFonts w:ascii="Arial" w:hAnsi="Arial" w:cs="Arial"/>
          <w:sz w:val="25"/>
        </w:rPr>
        <w:t>10.4. Actos exceptuados</w:t>
      </w:r>
    </w:p>
    <w:p>
      <w:pPr>
        <w:jc w:val="both"/>
      </w:pPr>
      <w:r>
        <w:rPr>
          <w:rFonts w:ascii="Arial" w:hAnsi="Arial" w:cs="Arial"/>
          <w:sz w:val="22"/>
        </w:rPr>
        <w:t>El artículo 56.3 exceptúa expresamente lo dispuesto en el artículo 65.2: el Rey nombra y releva libremente a los miembros civiles y militares de su Casa. Estos actos pertenecen al ámbito interno de organización de la Casa y no requieren el refrendo ordinario del artículo 64.</w:t>
      </w:r>
    </w:p>
    <w:p>
      <w:pPr>
        <w:jc w:val="both"/>
      </w:pPr>
      <w:r>
        <w:rPr>
          <w:rFonts w:ascii="Arial" w:hAnsi="Arial" w:cs="Arial"/>
          <w:sz w:val="22"/>
        </w:rPr>
        <w:t>La excepción debe interpretarse conforme a su tenor: no comprende todos los actos privados del monarca ni crea una facultad general de actuación pública sin refrendo. Se limita a la potestad constitucional concreta de nombrar y relevar a los miembros de su Casa.</w:t>
      </w:r>
    </w:p>
    <w:p>
      <w:pPr>
        <w:pStyle w:val="Heading2"/>
        <w:keepNext/>
      </w:pPr>
      <w:r>
        <w:rPr>
          <w:rFonts w:ascii="Arial" w:hAnsi="Arial" w:cs="Arial"/>
          <w:sz w:val="25"/>
        </w:rPr>
        <w:t>10.5. Refrendo y acto debido</w:t>
      </w:r>
    </w:p>
    <w:p>
      <w:pPr>
        <w:jc w:val="both"/>
      </w:pPr>
      <w:r>
        <w:rPr>
          <w:rFonts w:ascii="Arial" w:hAnsi="Arial" w:cs="Arial"/>
          <w:sz w:val="22"/>
        </w:rPr>
        <w:t>Muchas funciones regias se ejercen después de una decisión adoptada por otro órgano:</w:t>
      </w:r>
    </w:p>
    <w:tbl>
      <w:tblPr>
        <w:tblStyle w:val="TableGrid"/>
        <w:tblW w:type="dxa" w:w="9026"/>
        <w:jc w:val="left"/>
        <w:tblLayout w:type="fixed"/>
        <w:tblLook w:firstColumn="1" w:firstRow="1" w:lastColumn="0" w:lastRow="0" w:noHBand="0" w:noVBand="1" w:val="04A0"/>
        <w:tblInd w:w="120" w:type="dxa"/>
      </w:tblPr>
      <w:tblGrid>
        <w:gridCol w:w="4083"/>
        <w:gridCol w:w="4943"/>
      </w:tblGrid>
      <w:tr>
        <w:trPr>
          <w:tblHeader w:val="true"/>
        </w:trPr>
        <w:tc>
          <w:tcPr>
            <w:tcW w:type="dxa" w:w="408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Acto regio</w:t>
            </w:r>
          </w:p>
        </w:tc>
        <w:tc>
          <w:tcPr>
            <w:tcW w:type="dxa" w:w="494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Presupuesto decisorio</w:t>
            </w:r>
          </w:p>
        </w:tc>
      </w:tr>
      <w:tr>
        <w:tc>
          <w:tcPr>
            <w:tcW w:type="dxa" w:w="4083"/>
            <w:tcMar>
              <w:top w:w="80" w:type="dxa"/>
              <w:start w:w="120" w:type="dxa"/>
              <w:bottom w:w="80" w:type="dxa"/>
              <w:end w:w="120" w:type="dxa"/>
            </w:tcMar>
            <w:vAlign w:val="center"/>
          </w:tcPr>
          <w:p>
            <w:pPr>
              <w:spacing w:before="0" w:after="0" w:line="240" w:lineRule="auto"/>
              <w:jc w:val="left"/>
            </w:pPr>
            <w:r/>
            <w:r>
              <w:rPr>
                <w:rFonts w:ascii="Arial" w:hAnsi="Arial" w:cs="Arial"/>
                <w:sz w:val="18"/>
              </w:rPr>
              <w:t>Sanción de una ley</w:t>
            </w:r>
          </w:p>
        </w:tc>
        <w:tc>
          <w:tcPr>
            <w:tcW w:type="dxa" w:w="4943"/>
            <w:tcMar>
              <w:top w:w="80" w:type="dxa"/>
              <w:start w:w="120" w:type="dxa"/>
              <w:bottom w:w="80" w:type="dxa"/>
              <w:end w:w="120" w:type="dxa"/>
            </w:tcMar>
            <w:vAlign w:val="center"/>
          </w:tcPr>
          <w:p>
            <w:pPr>
              <w:spacing w:before="0" w:after="0" w:line="240" w:lineRule="auto"/>
              <w:jc w:val="left"/>
            </w:pPr>
            <w:r/>
            <w:r>
              <w:rPr>
                <w:rFonts w:ascii="Arial" w:hAnsi="Arial" w:cs="Arial"/>
                <w:sz w:val="18"/>
              </w:rPr>
              <w:t>Aprobación por las Cortes</w:t>
            </w:r>
          </w:p>
        </w:tc>
      </w:tr>
      <w:tr>
        <w:tc>
          <w:tcPr>
            <w:tcW w:type="dxa" w:w="4083"/>
            <w:tcMar>
              <w:top w:w="80" w:type="dxa"/>
              <w:start w:w="120" w:type="dxa"/>
              <w:bottom w:w="80" w:type="dxa"/>
              <w:end w:w="120" w:type="dxa"/>
            </w:tcMar>
            <w:vAlign w:val="center"/>
          </w:tcPr>
          <w:p>
            <w:pPr>
              <w:spacing w:before="0" w:after="0" w:line="240" w:lineRule="auto"/>
              <w:jc w:val="left"/>
            </w:pPr>
            <w:r/>
            <w:r>
              <w:rPr>
                <w:rFonts w:ascii="Arial" w:hAnsi="Arial" w:cs="Arial"/>
                <w:sz w:val="18"/>
              </w:rPr>
              <w:t>Nombramiento de ministros</w:t>
            </w:r>
          </w:p>
        </w:tc>
        <w:tc>
          <w:tcPr>
            <w:tcW w:type="dxa" w:w="4943"/>
            <w:tcMar>
              <w:top w:w="80" w:type="dxa"/>
              <w:start w:w="120" w:type="dxa"/>
              <w:bottom w:w="80" w:type="dxa"/>
              <w:end w:w="120" w:type="dxa"/>
            </w:tcMar>
            <w:vAlign w:val="center"/>
          </w:tcPr>
          <w:p>
            <w:pPr>
              <w:spacing w:before="0" w:after="0" w:line="240" w:lineRule="auto"/>
              <w:jc w:val="left"/>
            </w:pPr>
            <w:r/>
            <w:r>
              <w:rPr>
                <w:rFonts w:ascii="Arial" w:hAnsi="Arial" w:cs="Arial"/>
                <w:sz w:val="18"/>
              </w:rPr>
              <w:t>Propuesta del Presidente del Gobierno</w:t>
            </w:r>
          </w:p>
        </w:tc>
      </w:tr>
      <w:tr>
        <w:tc>
          <w:tcPr>
            <w:tcW w:type="dxa" w:w="4083"/>
            <w:tcMar>
              <w:top w:w="80" w:type="dxa"/>
              <w:start w:w="120" w:type="dxa"/>
              <w:bottom w:w="80" w:type="dxa"/>
              <w:end w:w="120" w:type="dxa"/>
            </w:tcMar>
            <w:vAlign w:val="center"/>
          </w:tcPr>
          <w:p>
            <w:pPr>
              <w:spacing w:before="0" w:after="0" w:line="240" w:lineRule="auto"/>
              <w:jc w:val="left"/>
            </w:pPr>
            <w:r/>
            <w:r>
              <w:rPr>
                <w:rFonts w:ascii="Arial" w:hAnsi="Arial" w:cs="Arial"/>
                <w:sz w:val="18"/>
              </w:rPr>
              <w:t>Expedición de decreto</w:t>
            </w:r>
          </w:p>
        </w:tc>
        <w:tc>
          <w:tcPr>
            <w:tcW w:type="dxa" w:w="4943"/>
            <w:tcMar>
              <w:top w:w="80" w:type="dxa"/>
              <w:start w:w="120" w:type="dxa"/>
              <w:bottom w:w="80" w:type="dxa"/>
              <w:end w:w="120" w:type="dxa"/>
            </w:tcMar>
            <w:vAlign w:val="center"/>
          </w:tcPr>
          <w:p>
            <w:pPr>
              <w:spacing w:before="0" w:after="0" w:line="240" w:lineRule="auto"/>
              <w:jc w:val="left"/>
            </w:pPr>
            <w:r/>
            <w:r>
              <w:rPr>
                <w:rFonts w:ascii="Arial" w:hAnsi="Arial" w:cs="Arial"/>
                <w:sz w:val="18"/>
              </w:rPr>
              <w:t>Acuerdo del Consejo de Ministros</w:t>
            </w:r>
          </w:p>
        </w:tc>
      </w:tr>
      <w:tr>
        <w:tc>
          <w:tcPr>
            <w:tcW w:type="dxa" w:w="4083"/>
            <w:tcMar>
              <w:top w:w="80" w:type="dxa"/>
              <w:start w:w="120" w:type="dxa"/>
              <w:bottom w:w="80" w:type="dxa"/>
              <w:end w:w="120" w:type="dxa"/>
            </w:tcMar>
            <w:vAlign w:val="center"/>
          </w:tcPr>
          <w:p>
            <w:pPr>
              <w:spacing w:before="0" w:after="0" w:line="240" w:lineRule="auto"/>
              <w:jc w:val="left"/>
            </w:pPr>
            <w:r/>
            <w:r>
              <w:rPr>
                <w:rFonts w:ascii="Arial" w:hAnsi="Arial" w:cs="Arial"/>
                <w:sz w:val="18"/>
              </w:rPr>
              <w:t>Convocatoria de referéndum consultivo</w:t>
            </w:r>
          </w:p>
        </w:tc>
        <w:tc>
          <w:tcPr>
            <w:tcW w:type="dxa" w:w="4943"/>
            <w:tcMar>
              <w:top w:w="80" w:type="dxa"/>
              <w:start w:w="120" w:type="dxa"/>
              <w:bottom w:w="80" w:type="dxa"/>
              <w:end w:w="120" w:type="dxa"/>
            </w:tcMar>
            <w:vAlign w:val="center"/>
          </w:tcPr>
          <w:p>
            <w:pPr>
              <w:spacing w:before="0" w:after="0" w:line="240" w:lineRule="auto"/>
              <w:jc w:val="left"/>
            </w:pPr>
            <w:r/>
            <w:r>
              <w:rPr>
                <w:rFonts w:ascii="Arial" w:hAnsi="Arial" w:cs="Arial"/>
                <w:sz w:val="18"/>
              </w:rPr>
              <w:t>Propuesta del Presidente y autorización del Congreso</w:t>
            </w:r>
          </w:p>
        </w:tc>
      </w:tr>
      <w:tr>
        <w:tc>
          <w:tcPr>
            <w:tcW w:type="dxa" w:w="4083"/>
            <w:tcMar>
              <w:top w:w="80" w:type="dxa"/>
              <w:start w:w="120" w:type="dxa"/>
              <w:bottom w:w="80" w:type="dxa"/>
              <w:end w:w="120" w:type="dxa"/>
            </w:tcMar>
            <w:vAlign w:val="center"/>
          </w:tcPr>
          <w:p>
            <w:pPr>
              <w:spacing w:before="0" w:after="0" w:line="240" w:lineRule="auto"/>
              <w:jc w:val="left"/>
            </w:pPr>
            <w:r/>
            <w:r>
              <w:rPr>
                <w:rFonts w:ascii="Arial" w:hAnsi="Arial" w:cs="Arial"/>
                <w:sz w:val="18"/>
              </w:rPr>
              <w:t>Declaración de guerra y paz</w:t>
            </w:r>
          </w:p>
        </w:tc>
        <w:tc>
          <w:tcPr>
            <w:tcW w:type="dxa" w:w="4943"/>
            <w:tcMar>
              <w:top w:w="80" w:type="dxa"/>
              <w:start w:w="120" w:type="dxa"/>
              <w:bottom w:w="80" w:type="dxa"/>
              <w:end w:w="120" w:type="dxa"/>
            </w:tcMar>
            <w:vAlign w:val="center"/>
          </w:tcPr>
          <w:p>
            <w:pPr>
              <w:spacing w:before="0" w:after="0" w:line="240" w:lineRule="auto"/>
              <w:jc w:val="left"/>
            </w:pPr>
            <w:r/>
            <w:r>
              <w:rPr>
                <w:rFonts w:ascii="Arial" w:hAnsi="Arial" w:cs="Arial"/>
                <w:sz w:val="18"/>
              </w:rPr>
              <w:t>Autorización previa de las Cortes</w:t>
            </w:r>
          </w:p>
        </w:tc>
      </w:tr>
      <w:tr>
        <w:tc>
          <w:tcPr>
            <w:tcW w:type="dxa" w:w="4083"/>
            <w:tcMar>
              <w:top w:w="80" w:type="dxa"/>
              <w:start w:w="120" w:type="dxa"/>
              <w:bottom w:w="80" w:type="dxa"/>
              <w:end w:w="120" w:type="dxa"/>
            </w:tcMar>
            <w:vAlign w:val="center"/>
          </w:tcPr>
          <w:p>
            <w:pPr>
              <w:spacing w:before="0" w:after="0" w:line="240" w:lineRule="auto"/>
              <w:jc w:val="left"/>
            </w:pPr>
            <w:r/>
            <w:r>
              <w:rPr>
                <w:rFonts w:ascii="Arial" w:hAnsi="Arial" w:cs="Arial"/>
                <w:sz w:val="18"/>
              </w:rPr>
              <w:t>Nombramiento de magistrado constitucional</w:t>
            </w:r>
          </w:p>
        </w:tc>
        <w:tc>
          <w:tcPr>
            <w:tcW w:type="dxa" w:w="4943"/>
            <w:tcMar>
              <w:top w:w="80" w:type="dxa"/>
              <w:start w:w="120" w:type="dxa"/>
              <w:bottom w:w="80" w:type="dxa"/>
              <w:end w:w="120" w:type="dxa"/>
            </w:tcMar>
            <w:vAlign w:val="center"/>
          </w:tcPr>
          <w:p>
            <w:pPr>
              <w:spacing w:before="0" w:after="0" w:line="240" w:lineRule="auto"/>
              <w:jc w:val="left"/>
            </w:pPr>
            <w:r/>
            <w:r>
              <w:rPr>
                <w:rFonts w:ascii="Arial" w:hAnsi="Arial" w:cs="Arial"/>
                <w:sz w:val="18"/>
              </w:rPr>
              <w:t>Propuesta del órgano correspondiente</w:t>
            </w:r>
          </w:p>
        </w:tc>
      </w:tr>
    </w:tbl>
    <w:p>
      <w:pPr>
        <w:spacing w:after="40"/>
      </w:pPr>
    </w:p>
    <w:p>
      <w:pPr>
        <w:jc w:val="both"/>
      </w:pPr>
      <w:r>
        <w:rPr>
          <w:rFonts w:ascii="Arial" w:hAnsi="Arial" w:cs="Arial"/>
          <w:sz w:val="22"/>
        </w:rPr>
        <w:t>La intervención del Rey perfecciona o formaliza el acto conforme al procedimiento, pero no le permite alterar el contenido decidido ni sustituir la propuesta.</w:t>
      </w:r>
    </w:p>
    <w:p>
      <w:pPr>
        <w:pStyle w:val="Heading1"/>
        <w:keepNext/>
      </w:pPr>
      <w:r>
        <w:rPr>
          <w:rFonts w:ascii="Arial" w:hAnsi="Arial" w:cs="Arial"/>
          <w:sz w:val="30"/>
        </w:rPr>
        <w:t>11. Familia, Casa y dotación presupuestaria</w:t>
      </w:r>
    </w:p>
    <w:p>
      <w:pPr>
        <w:jc w:val="both"/>
      </w:pPr>
      <w:r>
        <w:rPr>
          <w:rFonts w:ascii="Arial" w:hAnsi="Arial" w:cs="Arial"/>
          <w:sz w:val="22"/>
        </w:rPr>
        <w:t xml:space="preserve">El Rey recibe de los Presupuestos del Estado una </w:t>
      </w:r>
      <w:r>
        <w:rPr>
          <w:rFonts w:ascii="Arial" w:hAnsi="Arial" w:cs="Arial"/>
          <w:b/>
          <w:sz w:val="22"/>
        </w:rPr>
        <w:t>cantidad global</w:t>
      </w:r>
      <w:r>
        <w:rPr>
          <w:rFonts w:ascii="Arial" w:hAnsi="Arial" w:cs="Arial"/>
          <w:sz w:val="22"/>
        </w:rPr>
        <w:t xml:space="preserve"> para el sostenimiento de su Familia y Casa y la distribuye libremente. La Constitución combina así inclusión presupuestaria y autonomía de distribución interna.</w:t>
      </w:r>
    </w:p>
    <w:p>
      <w:pPr>
        <w:jc w:val="both"/>
      </w:pPr>
      <w:r>
        <w:rPr>
          <w:rFonts w:ascii="Arial" w:hAnsi="Arial" w:cs="Arial"/>
          <w:sz w:val="22"/>
        </w:rPr>
        <w:t>El artículo 65.2 le permite nombrar y relevar libremente a los miembros civiles y militares de su Casa. La Casa sirve de apoyo a las actividades derivadas de la Jefatura del Estado, pero no es un Gobierno paralelo ni un centro autónomo de decisión política.</w:t>
      </w:r>
    </w:p>
    <w:p>
      <w:pPr>
        <w:jc w:val="both"/>
      </w:pPr>
      <w:r>
        <w:rPr>
          <w:rFonts w:ascii="Arial" w:hAnsi="Arial" w:cs="Arial"/>
          <w:sz w:val="22"/>
        </w:rPr>
        <w:t>Familia Real y Casa del Rey no son conceptos equivalentes. La Familia se refiere a las personas vinculadas al titular en los términos constitucionales y normativos; la Casa es la organización de apoyo. El artículo 65 contempla ambas al referirse al sostenimiento, pero solo respecto de los miembros civiles y militares de la Casa establece expresamente la libertad de nombramiento y relevo.</w:t>
      </w:r>
    </w:p>
    <w:p>
      <w:pPr>
        <w:pStyle w:val="Heading1"/>
        <w:keepNext/>
      </w:pPr>
      <w:r>
        <w:rPr>
          <w:rFonts w:ascii="Arial" w:hAnsi="Arial" w:cs="Arial"/>
          <w:sz w:val="30"/>
        </w:rPr>
        <w:t>12. Títulos y tratamientos vinculados a la Corona</w:t>
      </w:r>
    </w:p>
    <w:p>
      <w:pPr>
        <w:jc w:val="both"/>
      </w:pPr>
      <w:r>
        <w:rPr>
          <w:rFonts w:ascii="Arial" w:hAnsi="Arial" w:cs="Arial"/>
          <w:sz w:val="22"/>
        </w:rPr>
        <w:t>El Real Decreto 1368/1987 desarrolla, sin alterar las funciones constitucionales, los títulos y tratamientos:</w:t>
      </w:r>
    </w:p>
    <w:p>
      <w:pPr>
        <w:pStyle w:val="ListBullet"/>
      </w:pPr>
      <w:r>
        <w:rPr>
          <w:rFonts w:ascii="Arial" w:hAnsi="Arial" w:cs="Arial"/>
          <w:sz w:val="22"/>
        </w:rPr>
        <w:t>titular de la Corona: Rey o Reina de España, tratamiento de Majestad;</w:t>
      </w:r>
    </w:p>
    <w:p>
      <w:pPr>
        <w:pStyle w:val="ListBullet"/>
      </w:pPr>
      <w:r>
        <w:rPr>
          <w:rFonts w:ascii="Arial" w:hAnsi="Arial" w:cs="Arial"/>
          <w:sz w:val="22"/>
        </w:rPr>
        <w:t>consorte del Rey: Reina, tratamiento de Majestad;</w:t>
      </w:r>
    </w:p>
    <w:p>
      <w:pPr>
        <w:pStyle w:val="ListBullet"/>
      </w:pPr>
      <w:r>
        <w:rPr>
          <w:rFonts w:ascii="Arial" w:hAnsi="Arial" w:cs="Arial"/>
          <w:sz w:val="22"/>
        </w:rPr>
        <w:t>consorte de la Reina: dignidad de Príncipe, tratamiento de Alteza Real;</w:t>
      </w:r>
    </w:p>
    <w:p>
      <w:pPr>
        <w:pStyle w:val="ListBullet"/>
      </w:pPr>
      <w:r>
        <w:rPr>
          <w:rFonts w:ascii="Arial" w:hAnsi="Arial" w:cs="Arial"/>
          <w:sz w:val="22"/>
        </w:rPr>
        <w:t>heredero: Príncipe o Princesa de Asturias, tratamiento de Alteza Real;</w:t>
      </w:r>
    </w:p>
    <w:p>
      <w:pPr>
        <w:pStyle w:val="ListBullet"/>
      </w:pPr>
      <w:r>
        <w:rPr>
          <w:rFonts w:ascii="Arial" w:hAnsi="Arial" w:cs="Arial"/>
          <w:sz w:val="22"/>
        </w:rPr>
        <w:t>hijos del Rey que no sean herederos e hijos del Príncipe o Princesa de Asturias: Infantes de España, tratamiento de Alteza Real.</w:t>
      </w:r>
    </w:p>
    <w:p>
      <w:pPr>
        <w:jc w:val="both"/>
      </w:pPr>
      <w:r>
        <w:rPr>
          <w:rFonts w:ascii="Arial" w:hAnsi="Arial" w:cs="Arial"/>
          <w:sz w:val="22"/>
        </w:rPr>
        <w:t>Los tratamientos no otorgan competencias. En particular, el título de Reina consorte no permite asumir funciones constitucionales, salvo la posible Regencia.</w:t>
      </w:r>
    </w:p>
    <w:p>
      <w:pPr>
        <w:pStyle w:val="Heading1"/>
        <w:keepNext/>
      </w:pPr>
      <w:r>
        <w:rPr>
          <w:rFonts w:ascii="Arial" w:hAnsi="Arial" w:cs="Arial"/>
          <w:sz w:val="30"/>
        </w:rPr>
        <w:t>13. Procedimientos constitucionales esenciales</w:t>
      </w:r>
    </w:p>
    <w:p>
      <w:pPr>
        <w:pStyle w:val="Heading2"/>
        <w:keepNext/>
      </w:pPr>
      <w:r>
        <w:rPr>
          <w:rFonts w:ascii="Arial" w:hAnsi="Arial" w:cs="Arial"/>
          <w:sz w:val="25"/>
        </w:rPr>
        <w:t>13.1. Formación del Gobierno</w:t>
      </w:r>
    </w:p>
    <w:p>
      <w:pPr>
        <w:jc w:val="both"/>
      </w:pPr>
      <w:r>
        <w:rPr>
          <w:rFonts w:ascii="Arial" w:hAnsi="Arial" w:cs="Arial"/>
          <w:b/>
          <w:sz w:val="22"/>
        </w:rPr>
        <w:t>Renovación del Congreso o supuesto constitucional → consultas del Rey → propuesta a través del Presidente del Congreso → debate y votación → nombramiento regio si hay confianza → refrendo del Presidente del Congreso.</w:t>
      </w:r>
    </w:p>
    <w:p>
      <w:pPr>
        <w:jc w:val="both"/>
      </w:pPr>
      <w:r>
        <w:rPr>
          <w:rFonts w:ascii="Arial" w:hAnsi="Arial" w:cs="Arial"/>
          <w:sz w:val="22"/>
        </w:rPr>
        <w:t>La primera votación exige mayoría absoluta. La segunda se celebra cuarenta y ocho horas después y exige mayoría simple. El plazo de dos meses para la disolución comienza en la primera votación, no en la primera consulta ni en la primera propuesta.</w:t>
      </w:r>
    </w:p>
    <w:p>
      <w:pPr>
        <w:pStyle w:val="Heading2"/>
        <w:keepNext/>
      </w:pPr>
      <w:r>
        <w:rPr>
          <w:rFonts w:ascii="Arial" w:hAnsi="Arial" w:cs="Arial"/>
          <w:sz w:val="25"/>
        </w:rPr>
        <w:t>13.2. Sucesión por abdicación</w:t>
      </w:r>
    </w:p>
    <w:p>
      <w:pPr>
        <w:jc w:val="both"/>
      </w:pPr>
      <w:r>
        <w:rPr>
          <w:rFonts w:ascii="Arial" w:hAnsi="Arial" w:cs="Arial"/>
          <w:b/>
          <w:sz w:val="22"/>
        </w:rPr>
        <w:t>Decisión del titular → ley orgánica que la hace efectiva → entrada en vigor → sucesión automática conforme al artículo 57 → proclamación y juramento del nuevo Rey.</w:t>
      </w:r>
    </w:p>
    <w:p>
      <w:pPr>
        <w:jc w:val="both"/>
      </w:pPr>
      <w:r>
        <w:rPr>
          <w:rFonts w:ascii="Arial" w:hAnsi="Arial" w:cs="Arial"/>
          <w:sz w:val="22"/>
        </w:rPr>
        <w:t>La Ley Orgánica 3/2014 entró en vigor al publicarse y la abdicación fue efectiva en ese mismo momento.</w:t>
      </w:r>
    </w:p>
    <w:p>
      <w:pPr>
        <w:pStyle w:val="Heading2"/>
        <w:keepNext/>
      </w:pPr>
      <w:r>
        <w:rPr>
          <w:rFonts w:ascii="Arial" w:hAnsi="Arial" w:cs="Arial"/>
          <w:sz w:val="25"/>
        </w:rPr>
        <w:t>13.3. Regencia por inhabilitación</w:t>
      </w:r>
    </w:p>
    <w:p>
      <w:pPr>
        <w:jc w:val="both"/>
      </w:pPr>
      <w:r>
        <w:rPr>
          <w:rFonts w:ascii="Arial" w:hAnsi="Arial" w:cs="Arial"/>
          <w:b/>
          <w:sz w:val="22"/>
        </w:rPr>
        <w:t>Imposibilidad del Rey → reconocimiento por las Cortes → Regencia inmediata del heredero si es adulto → si es menor, aplicación del orden subsidiario → ejercicio en nombre del Rey.</w:t>
      </w:r>
    </w:p>
    <w:p>
      <w:pPr>
        <w:jc w:val="both"/>
      </w:pPr>
      <w:r>
        <w:rPr>
          <w:rFonts w:ascii="Arial" w:hAnsi="Arial" w:cs="Arial"/>
          <w:sz w:val="22"/>
        </w:rPr>
        <w:t>La declaración de inhabilitación no equivale a abdicación: no cambia el titular ni activa definitivamente la sucesión.</w:t>
      </w:r>
    </w:p>
    <w:p>
      <w:pPr>
        <w:pStyle w:val="Heading2"/>
        <w:keepNext/>
      </w:pPr>
      <w:r>
        <w:rPr>
          <w:rFonts w:ascii="Arial" w:hAnsi="Arial" w:cs="Arial"/>
          <w:sz w:val="25"/>
        </w:rPr>
        <w:t>13.4. Ley aprobada por las Cortes</w:t>
      </w:r>
    </w:p>
    <w:p>
      <w:pPr>
        <w:jc w:val="both"/>
      </w:pPr>
      <w:r>
        <w:rPr>
          <w:rFonts w:ascii="Arial" w:hAnsi="Arial" w:cs="Arial"/>
          <w:b/>
          <w:sz w:val="22"/>
        </w:rPr>
        <w:t>Aprobación parlamentaria → presentación al Rey → sanción dentro de quince días → promulgación → orden de inmediata publicación → refrendo del Presidente del Gobierno.</w:t>
      </w:r>
    </w:p>
    <w:p>
      <w:pPr>
        <w:pStyle w:val="Heading1"/>
        <w:keepNext/>
      </w:pPr>
      <w:r>
        <w:rPr>
          <w:rFonts w:ascii="Arial" w:hAnsi="Arial" w:cs="Arial"/>
          <w:sz w:val="30"/>
        </w:rPr>
        <w:t>14. Confusiones frecuentes</w:t>
      </w:r>
    </w:p>
    <w:p>
      <w:pPr>
        <w:spacing w:after="40"/>
        <w:ind w:left="369" w:hanging="227"/>
      </w:pPr>
      <w:r>
        <w:rPr>
          <w:rFonts w:ascii="Arial" w:hAnsi="Arial" w:cs="Arial"/>
          <w:sz w:val="22"/>
        </w:rPr>
        <w:t xml:space="preserve">1. </w:t>
      </w:r>
      <w:r>
        <w:rPr>
          <w:rFonts w:ascii="Arial" w:hAnsi="Arial" w:cs="Arial"/>
          <w:b/>
          <w:sz w:val="22"/>
        </w:rPr>
        <w:t>El Rey es Jefe del Estado, no jefe del Gobierno.</w:t>
      </w:r>
      <w:r>
        <w:rPr>
          <w:rFonts w:ascii="Arial" w:hAnsi="Arial" w:cs="Arial"/>
          <w:sz w:val="22"/>
        </w:rPr>
        <w:t xml:space="preserve"> El Gobierno dirige la política conforme al artículo 97.</w:t>
      </w:r>
    </w:p>
    <w:p>
      <w:pPr>
        <w:spacing w:after="40"/>
        <w:ind w:left="369" w:hanging="227"/>
      </w:pPr>
      <w:r>
        <w:rPr>
          <w:rFonts w:ascii="Arial" w:hAnsi="Arial" w:cs="Arial"/>
          <w:sz w:val="22"/>
        </w:rPr>
        <w:t xml:space="preserve">2. </w:t>
      </w:r>
      <w:r>
        <w:rPr>
          <w:rFonts w:ascii="Arial" w:hAnsi="Arial" w:cs="Arial"/>
          <w:b/>
          <w:sz w:val="22"/>
        </w:rPr>
        <w:t>Arbitrar y moderar no es gobernar.</w:t>
      </w:r>
      <w:r>
        <w:rPr>
          <w:rFonts w:ascii="Arial" w:hAnsi="Arial" w:cs="Arial"/>
          <w:sz w:val="22"/>
        </w:rPr>
        <w:t xml:space="preserve"> Las funciones regias son expresas y procedimentalmente limitadas.</w:t>
      </w:r>
    </w:p>
    <w:p>
      <w:pPr>
        <w:spacing w:after="40"/>
        <w:ind w:left="369" w:hanging="227"/>
      </w:pPr>
      <w:r>
        <w:rPr>
          <w:rFonts w:ascii="Arial" w:hAnsi="Arial" w:cs="Arial"/>
          <w:sz w:val="22"/>
        </w:rPr>
        <w:t xml:space="preserve">3. </w:t>
      </w:r>
      <w:r>
        <w:rPr>
          <w:rFonts w:ascii="Arial" w:hAnsi="Arial" w:cs="Arial"/>
          <w:b/>
          <w:sz w:val="22"/>
        </w:rPr>
        <w:t>La inviolabilidad se predica de la persona del Rey.</w:t>
      </w:r>
      <w:r>
        <w:rPr>
          <w:rFonts w:ascii="Arial" w:hAnsi="Arial" w:cs="Arial"/>
          <w:sz w:val="22"/>
        </w:rPr>
        <w:t xml:space="preserve"> No se extiende por el artículo 56.3 a toda la Familia Real.</w:t>
      </w:r>
    </w:p>
    <w:p>
      <w:pPr>
        <w:spacing w:after="40"/>
        <w:ind w:left="369" w:hanging="227"/>
      </w:pPr>
      <w:r>
        <w:rPr>
          <w:rFonts w:ascii="Arial" w:hAnsi="Arial" w:cs="Arial"/>
          <w:sz w:val="22"/>
        </w:rPr>
        <w:t xml:space="preserve">4. </w:t>
      </w:r>
      <w:r>
        <w:rPr>
          <w:rFonts w:ascii="Arial" w:hAnsi="Arial" w:cs="Arial"/>
          <w:b/>
          <w:sz w:val="22"/>
        </w:rPr>
        <w:t>El refrendo no es opcional.</w:t>
      </w:r>
      <w:r>
        <w:rPr>
          <w:rFonts w:ascii="Arial" w:hAnsi="Arial" w:cs="Arial"/>
          <w:sz w:val="22"/>
        </w:rPr>
        <w:t xml:space="preserve"> Sin él, los actos regios carecen de validez, salvo el artículo 65.2.</w:t>
      </w:r>
    </w:p>
    <w:p>
      <w:pPr>
        <w:spacing w:after="40"/>
        <w:ind w:left="369" w:hanging="227"/>
      </w:pPr>
      <w:r>
        <w:rPr>
          <w:rFonts w:ascii="Arial" w:hAnsi="Arial" w:cs="Arial"/>
          <w:sz w:val="22"/>
        </w:rPr>
        <w:t xml:space="preserve">5. </w:t>
      </w:r>
      <w:r>
        <w:rPr>
          <w:rFonts w:ascii="Arial" w:hAnsi="Arial" w:cs="Arial"/>
          <w:b/>
          <w:sz w:val="22"/>
        </w:rPr>
        <w:t>El Presidente del Congreso no refrenda cualquier disolución.</w:t>
      </w:r>
      <w:r>
        <w:rPr>
          <w:rFonts w:ascii="Arial" w:hAnsi="Arial" w:cs="Arial"/>
          <w:sz w:val="22"/>
        </w:rPr>
        <w:t xml:space="preserve"> Solo la disolución del artículo 99.5, además de la propuesta y el nombramiento del Presidente.</w:t>
      </w:r>
    </w:p>
    <w:p>
      <w:pPr>
        <w:spacing w:after="40"/>
        <w:ind w:left="369" w:hanging="227"/>
      </w:pPr>
      <w:r>
        <w:rPr>
          <w:rFonts w:ascii="Arial" w:hAnsi="Arial" w:cs="Arial"/>
          <w:sz w:val="22"/>
        </w:rPr>
        <w:t xml:space="preserve">6. </w:t>
      </w:r>
      <w:r>
        <w:rPr>
          <w:rFonts w:ascii="Arial" w:hAnsi="Arial" w:cs="Arial"/>
          <w:b/>
          <w:sz w:val="22"/>
        </w:rPr>
        <w:t>La sanción de las leyes no incorpora un veto regio.</w:t>
      </w:r>
      <w:r>
        <w:rPr>
          <w:rFonts w:ascii="Arial" w:hAnsi="Arial" w:cs="Arial"/>
          <w:sz w:val="22"/>
        </w:rPr>
        <w:t xml:space="preserve"> Debe realizarse en quince días.</w:t>
      </w:r>
    </w:p>
    <w:p>
      <w:pPr>
        <w:spacing w:after="40"/>
        <w:ind w:left="369" w:hanging="227"/>
      </w:pPr>
      <w:r>
        <w:rPr>
          <w:rFonts w:ascii="Arial" w:hAnsi="Arial" w:cs="Arial"/>
          <w:sz w:val="22"/>
        </w:rPr>
        <w:t xml:space="preserve">7. </w:t>
      </w:r>
      <w:r>
        <w:rPr>
          <w:rFonts w:ascii="Arial" w:hAnsi="Arial" w:cs="Arial"/>
          <w:b/>
          <w:sz w:val="22"/>
        </w:rPr>
        <w:t>El Rey puede presidir el Consejo de Ministros solo a petición del Presidente del Gobierno.</w:t>
      </w:r>
    </w:p>
    <w:p>
      <w:pPr>
        <w:spacing w:after="40"/>
        <w:ind w:left="369" w:hanging="227"/>
      </w:pPr>
      <w:r>
        <w:rPr>
          <w:rFonts w:ascii="Arial" w:hAnsi="Arial" w:cs="Arial"/>
          <w:sz w:val="22"/>
        </w:rPr>
        <w:t xml:space="preserve">8. </w:t>
      </w:r>
      <w:r>
        <w:rPr>
          <w:rFonts w:ascii="Arial" w:hAnsi="Arial" w:cs="Arial"/>
          <w:b/>
          <w:sz w:val="22"/>
        </w:rPr>
        <w:t>Mando supremo no equivale a dirección gubernamental de la defensa.</w:t>
      </w:r>
    </w:p>
    <w:p>
      <w:pPr>
        <w:spacing w:after="40"/>
        <w:ind w:left="369" w:hanging="227"/>
      </w:pPr>
      <w:r>
        <w:rPr>
          <w:rFonts w:ascii="Arial" w:hAnsi="Arial" w:cs="Arial"/>
          <w:sz w:val="22"/>
        </w:rPr>
        <w:t xml:space="preserve">9. </w:t>
      </w:r>
      <w:r>
        <w:rPr>
          <w:rFonts w:ascii="Arial" w:hAnsi="Arial" w:cs="Arial"/>
          <w:b/>
          <w:sz w:val="22"/>
        </w:rPr>
        <w:t>El indulto general está prohibido.</w:t>
      </w:r>
      <w:r>
        <w:rPr>
          <w:rFonts w:ascii="Arial" w:hAnsi="Arial" w:cs="Arial"/>
          <w:sz w:val="22"/>
        </w:rPr>
        <w:t xml:space="preserve"> El derecho de gracia se ejerce con arreglo a la ley.</w:t>
      </w:r>
    </w:p>
    <w:p>
      <w:pPr>
        <w:spacing w:after="40"/>
        <w:ind w:left="369" w:hanging="227"/>
      </w:pPr>
      <w:r>
        <w:rPr>
          <w:rFonts w:ascii="Arial" w:hAnsi="Arial" w:cs="Arial"/>
          <w:sz w:val="22"/>
        </w:rPr>
        <w:t xml:space="preserve">10. </w:t>
      </w:r>
      <w:r>
        <w:rPr>
          <w:rFonts w:ascii="Arial" w:hAnsi="Arial" w:cs="Arial"/>
          <w:b/>
          <w:sz w:val="22"/>
        </w:rPr>
        <w:t>La sucesión aplica criterios ordenados.</w:t>
      </w:r>
      <w:r>
        <w:rPr>
          <w:rFonts w:ascii="Arial" w:hAnsi="Arial" w:cs="Arial"/>
          <w:sz w:val="22"/>
        </w:rPr>
        <w:t xml:space="preserve"> Primero línea, después grado, luego sexo y finalmente edad.</w:t>
      </w:r>
    </w:p>
    <w:p>
      <w:pPr>
        <w:spacing w:after="40"/>
        <w:ind w:left="369" w:hanging="227"/>
      </w:pPr>
      <w:r>
        <w:rPr>
          <w:rFonts w:ascii="Arial" w:hAnsi="Arial" w:cs="Arial"/>
          <w:sz w:val="22"/>
        </w:rPr>
        <w:t xml:space="preserve">11. </w:t>
      </w:r>
      <w:r>
        <w:rPr>
          <w:rFonts w:ascii="Arial" w:hAnsi="Arial" w:cs="Arial"/>
          <w:b/>
          <w:sz w:val="22"/>
        </w:rPr>
        <w:t>Para la exclusión matrimonial hacen falta prohibición expresa del Rey y de las Cortes.</w:t>
      </w:r>
      <w:r>
        <w:rPr>
          <w:rFonts w:ascii="Arial" w:hAnsi="Arial" w:cs="Arial"/>
          <w:sz w:val="22"/>
        </w:rPr>
        <w:t xml:space="preserve"> No basta una sola voluntad.</w:t>
      </w:r>
    </w:p>
    <w:p>
      <w:pPr>
        <w:spacing w:after="40"/>
        <w:ind w:left="369" w:hanging="227"/>
      </w:pPr>
      <w:r>
        <w:rPr>
          <w:rFonts w:ascii="Arial" w:hAnsi="Arial" w:cs="Arial"/>
          <w:sz w:val="22"/>
        </w:rPr>
        <w:t xml:space="preserve">12. </w:t>
      </w:r>
      <w:r>
        <w:rPr>
          <w:rFonts w:ascii="Arial" w:hAnsi="Arial" w:cs="Arial"/>
          <w:b/>
          <w:sz w:val="22"/>
        </w:rPr>
        <w:t>Abdicación y renuncia no son sinónimos.</w:t>
      </w:r>
      <w:r>
        <w:rPr>
          <w:rFonts w:ascii="Arial" w:hAnsi="Arial" w:cs="Arial"/>
          <w:sz w:val="22"/>
        </w:rPr>
        <w:t xml:space="preserve"> Abdica quien ocupa la Corona; renuncia quien tiene derecho sucesorio.</w:t>
      </w:r>
    </w:p>
    <w:p>
      <w:pPr>
        <w:spacing w:after="40"/>
        <w:ind w:left="369" w:hanging="227"/>
      </w:pPr>
      <w:r>
        <w:rPr>
          <w:rFonts w:ascii="Arial" w:hAnsi="Arial" w:cs="Arial"/>
          <w:sz w:val="22"/>
        </w:rPr>
        <w:t xml:space="preserve">13. </w:t>
      </w:r>
      <w:r>
        <w:rPr>
          <w:rFonts w:ascii="Arial" w:hAnsi="Arial" w:cs="Arial"/>
          <w:b/>
          <w:sz w:val="22"/>
        </w:rPr>
        <w:t>Regencia y sucesión son distintas.</w:t>
      </w:r>
      <w:r>
        <w:rPr>
          <w:rFonts w:ascii="Arial" w:hAnsi="Arial" w:cs="Arial"/>
          <w:sz w:val="22"/>
        </w:rPr>
        <w:t xml:space="preserve"> El regente actúa temporalmente y en nombre del Rey.</w:t>
      </w:r>
    </w:p>
    <w:p>
      <w:pPr>
        <w:spacing w:after="40"/>
        <w:ind w:left="369" w:hanging="227"/>
      </w:pPr>
      <w:r>
        <w:rPr>
          <w:rFonts w:ascii="Arial" w:hAnsi="Arial" w:cs="Arial"/>
          <w:sz w:val="22"/>
        </w:rPr>
        <w:t xml:space="preserve">14. </w:t>
      </w:r>
      <w:r>
        <w:rPr>
          <w:rFonts w:ascii="Arial" w:hAnsi="Arial" w:cs="Arial"/>
          <w:b/>
          <w:sz w:val="22"/>
        </w:rPr>
        <w:t>El regente debe ser español; el tutor testamentario, español de nacimiento.</w:t>
      </w:r>
    </w:p>
    <w:p>
      <w:pPr>
        <w:spacing w:after="40"/>
        <w:ind w:left="369" w:hanging="227"/>
      </w:pPr>
      <w:r>
        <w:rPr>
          <w:rFonts w:ascii="Arial" w:hAnsi="Arial" w:cs="Arial"/>
          <w:sz w:val="22"/>
        </w:rPr>
        <w:t xml:space="preserve">15. </w:t>
      </w:r>
      <w:r>
        <w:rPr>
          <w:rFonts w:ascii="Arial" w:hAnsi="Arial" w:cs="Arial"/>
          <w:b/>
          <w:sz w:val="22"/>
        </w:rPr>
        <w:t>La Regencia designada por las Cortes tiene uno, tres o cinco miembros.</w:t>
      </w:r>
    </w:p>
    <w:p>
      <w:pPr>
        <w:spacing w:after="40"/>
        <w:ind w:left="369" w:hanging="227"/>
      </w:pPr>
      <w:r>
        <w:rPr>
          <w:rFonts w:ascii="Arial" w:hAnsi="Arial" w:cs="Arial"/>
          <w:sz w:val="22"/>
        </w:rPr>
        <w:t xml:space="preserve">16. </w:t>
      </w:r>
      <w:r>
        <w:rPr>
          <w:rFonts w:ascii="Arial" w:hAnsi="Arial" w:cs="Arial"/>
          <w:b/>
          <w:sz w:val="22"/>
        </w:rPr>
        <w:t>El consorte no asume funciones constitucionales por matrimonio.</w:t>
      </w:r>
      <w:r>
        <w:rPr>
          <w:rFonts w:ascii="Arial" w:hAnsi="Arial" w:cs="Arial"/>
          <w:sz w:val="22"/>
        </w:rPr>
        <w:t xml:space="preserve"> Solo puede ejercer las propias de la Regencia si resulta llamado.</w:t>
      </w:r>
    </w:p>
    <w:p>
      <w:pPr>
        <w:spacing w:after="40"/>
        <w:ind w:left="369" w:hanging="227"/>
      </w:pPr>
      <w:r>
        <w:rPr>
          <w:rFonts w:ascii="Arial" w:hAnsi="Arial" w:cs="Arial"/>
          <w:sz w:val="22"/>
        </w:rPr>
        <w:t xml:space="preserve">17. </w:t>
      </w:r>
      <w:r>
        <w:rPr>
          <w:rFonts w:ascii="Arial" w:hAnsi="Arial" w:cs="Arial"/>
          <w:b/>
          <w:sz w:val="22"/>
        </w:rPr>
        <w:t>La tutela se refiere al Rey menor, no al ejercicio de la Jefatura del Estado.</w:t>
      </w:r>
    </w:p>
    <w:p>
      <w:pPr>
        <w:spacing w:after="40"/>
        <w:ind w:left="369" w:hanging="227"/>
      </w:pPr>
      <w:r>
        <w:rPr>
          <w:rFonts w:ascii="Arial" w:hAnsi="Arial" w:cs="Arial"/>
          <w:sz w:val="22"/>
        </w:rPr>
        <w:t xml:space="preserve">18. </w:t>
      </w:r>
      <w:r>
        <w:rPr>
          <w:rFonts w:ascii="Arial" w:hAnsi="Arial" w:cs="Arial"/>
          <w:b/>
          <w:sz w:val="22"/>
        </w:rPr>
        <w:t>El heredero jura al alcanzar la mayoría de edad; los regentes, al hacerse cargo de sus funciones.</w:t>
      </w:r>
    </w:p>
    <w:p>
      <w:pPr>
        <w:spacing w:after="40"/>
        <w:ind w:left="369" w:hanging="227"/>
      </w:pPr>
      <w:r>
        <w:rPr>
          <w:rFonts w:ascii="Arial" w:hAnsi="Arial" w:cs="Arial"/>
          <w:sz w:val="22"/>
        </w:rPr>
        <w:t xml:space="preserve">19. </w:t>
      </w:r>
      <w:r>
        <w:rPr>
          <w:rFonts w:ascii="Arial" w:hAnsi="Arial" w:cs="Arial"/>
          <w:b/>
          <w:sz w:val="22"/>
        </w:rPr>
        <w:t>Justicia en nombre del Rey no significa justicia impartida por el Rey.</w:t>
      </w:r>
      <w:r>
        <w:rPr>
          <w:rFonts w:ascii="Arial" w:hAnsi="Arial" w:cs="Arial"/>
          <w:sz w:val="22"/>
        </w:rPr>
        <w:t xml:space="preserve"> La potestad jurisdiccional pertenece a jueces y tribunales.</w:t>
      </w:r>
    </w:p>
    <w:p>
      <w:pPr>
        <w:spacing w:after="40"/>
        <w:ind w:left="369" w:hanging="227"/>
      </w:pPr>
      <w:r>
        <w:rPr>
          <w:rFonts w:ascii="Arial" w:hAnsi="Arial" w:cs="Arial"/>
          <w:sz w:val="22"/>
        </w:rPr>
        <w:t xml:space="preserve">20. </w:t>
      </w:r>
      <w:r>
        <w:rPr>
          <w:rFonts w:ascii="Arial" w:hAnsi="Arial" w:cs="Arial"/>
          <w:b/>
          <w:sz w:val="22"/>
        </w:rPr>
        <w:t>Una reforma del título II sigue el procedimiento agravado del artículo 168</w:t>
      </w:r>
      <w:r>
        <w:rPr>
          <w:rFonts w:ascii="Arial" w:hAnsi="Arial" w:cs="Arial"/>
          <w:sz w:val="22"/>
        </w:rPr>
        <w:t>, con nuevas Cámaras y referéndum obligatorio.</w:t>
      </w:r>
    </w:p>
    <w:p>
      <w:pPr>
        <w:pStyle w:val="Heading1"/>
        <w:keepNext/>
      </w:pPr>
      <w:r>
        <w:rPr>
          <w:rFonts w:ascii="Arial" w:hAnsi="Arial" w:cs="Arial"/>
          <w:sz w:val="30"/>
        </w:rPr>
        <w:t>15. Resumen final</w:t>
      </w:r>
    </w:p>
    <w:p>
      <w:pPr>
        <w:jc w:val="both"/>
      </w:pPr>
      <w:r>
        <w:rPr>
          <w:rFonts w:ascii="Arial" w:hAnsi="Arial" w:cs="Arial"/>
          <w:sz w:val="22"/>
        </w:rPr>
        <w:t>La Corona encarna la Jefatura del Estado en la Monarquía parlamentaria. El Rey simboliza la unidad y permanencia, arbitra y modera el funcionamiento regular de las instituciones, representa al Estado internacionalmente y ejerce solo las funciones expresamente atribuidas.</w:t>
      </w:r>
    </w:p>
    <w:p>
      <w:pPr>
        <w:jc w:val="both"/>
      </w:pPr>
      <w:r>
        <w:rPr>
          <w:rFonts w:ascii="Arial" w:hAnsi="Arial" w:cs="Arial"/>
          <w:sz w:val="22"/>
        </w:rPr>
        <w:t>Sus funciones incluyen sancionar y promulgar leyes, convocar y disolver las Cortes en los casos constitucionales, convocar elecciones y referendos, intervenir en la formación del Gobierno, expedir decretos acordados, efectuar nombramientos, ejercer el mando supremo de las Fuerzas Armadas y el derecho de gracia dentro de la ley, y formalizar actos internacionales.</w:t>
      </w:r>
    </w:p>
    <w:p>
      <w:pPr>
        <w:jc w:val="both"/>
      </w:pPr>
      <w:r>
        <w:rPr>
          <w:rFonts w:ascii="Arial" w:hAnsi="Arial" w:cs="Arial"/>
          <w:sz w:val="22"/>
        </w:rPr>
        <w:t>La Corona es hereditaria. La sucesión atiende, por orden, a línea, grado, sexo y edad. La abdicación, la renuncia y las dudas sucesorias exigen ley orgánica. La Regencia opera por minoría o inhabilitación y se ejerce siempre en nombre del Rey por persona española y mayor de edad.</w:t>
      </w:r>
    </w:p>
    <w:p>
      <w:pPr>
        <w:jc w:val="both"/>
      </w:pPr>
      <w:r>
        <w:rPr>
          <w:rFonts w:ascii="Arial" w:hAnsi="Arial" w:cs="Arial"/>
          <w:sz w:val="22"/>
        </w:rPr>
        <w:t>La persona del Rey es inviolable y no está sujeta a responsabilidad. Sus actos requieren refrendo, que les da validez y traslada la responsabilidad al Presidente del Gobierno, al ministro competente o, en los supuestos tasados del artículo 99, al Presidente del Congreso. La excepción expresa es el nombramiento y relevo de miembros de la Casa del Rey.</w:t>
      </w:r>
    </w:p>
    <w:p>
      <w:pPr>
        <w:pStyle w:val="Heading1"/>
        <w:keepNext/>
      </w:pPr>
      <w:r>
        <w:rPr>
          <w:rFonts w:ascii="Arial" w:hAnsi="Arial" w:cs="Arial"/>
          <w:sz w:val="30"/>
        </w:rPr>
        <w:t>16. Datos preguntables</w:t>
      </w:r>
    </w:p>
    <w:p>
      <w:pPr>
        <w:pStyle w:val="ListBullet"/>
      </w:pPr>
      <w:r>
        <w:rPr>
          <w:rFonts w:ascii="Arial" w:hAnsi="Arial" w:cs="Arial"/>
          <w:sz w:val="22"/>
        </w:rPr>
        <w:t>Forma política: Monarquía parlamentaria.</w:t>
      </w:r>
    </w:p>
    <w:p>
      <w:pPr>
        <w:pStyle w:val="ListBullet"/>
      </w:pPr>
      <w:r>
        <w:rPr>
          <w:rFonts w:ascii="Arial" w:hAnsi="Arial" w:cs="Arial"/>
          <w:sz w:val="22"/>
        </w:rPr>
        <w:t>Título del monarca: Rey de España.</w:t>
      </w:r>
    </w:p>
    <w:p>
      <w:pPr>
        <w:pStyle w:val="ListBullet"/>
      </w:pPr>
      <w:r>
        <w:rPr>
          <w:rFonts w:ascii="Arial" w:hAnsi="Arial" w:cs="Arial"/>
          <w:sz w:val="22"/>
        </w:rPr>
        <w:t>Título II: artículos 56 a 65.</w:t>
      </w:r>
    </w:p>
    <w:p>
      <w:pPr>
        <w:pStyle w:val="ListBullet"/>
      </w:pPr>
      <w:r>
        <w:rPr>
          <w:rFonts w:ascii="Arial" w:hAnsi="Arial" w:cs="Arial"/>
          <w:sz w:val="22"/>
        </w:rPr>
        <w:t>Sanción de las leyes: 15 días.</w:t>
      </w:r>
    </w:p>
    <w:p>
      <w:pPr>
        <w:pStyle w:val="ListBullet"/>
      </w:pPr>
      <w:r>
        <w:rPr>
          <w:rFonts w:ascii="Arial" w:hAnsi="Arial" w:cs="Arial"/>
          <w:sz w:val="22"/>
        </w:rPr>
        <w:t>Segunda votación de investidura: 48 horas después de la primera.</w:t>
      </w:r>
    </w:p>
    <w:p>
      <w:pPr>
        <w:pStyle w:val="ListBullet"/>
      </w:pPr>
      <w:r>
        <w:rPr>
          <w:rFonts w:ascii="Arial" w:hAnsi="Arial" w:cs="Arial"/>
          <w:sz w:val="22"/>
        </w:rPr>
        <w:t>Disolución automática por investidura fallida: 2 meses desde la primera votación.</w:t>
      </w:r>
    </w:p>
    <w:p>
      <w:pPr>
        <w:pStyle w:val="ListBullet"/>
      </w:pPr>
      <w:r>
        <w:rPr>
          <w:rFonts w:ascii="Arial" w:hAnsi="Arial" w:cs="Arial"/>
          <w:sz w:val="22"/>
        </w:rPr>
        <w:t>Orden sucesorio: línea, grado, varón sobre mujer en igual grado y edad dentro del mismo sexo.</w:t>
      </w:r>
    </w:p>
    <w:p>
      <w:pPr>
        <w:pStyle w:val="ListBullet"/>
      </w:pPr>
      <w:r>
        <w:rPr>
          <w:rFonts w:ascii="Arial" w:hAnsi="Arial" w:cs="Arial"/>
          <w:sz w:val="22"/>
        </w:rPr>
        <w:t>Heredero: Príncipe o Princesa de Asturias desde el nacimiento o hecho que origine el llamamiento.</w:t>
      </w:r>
    </w:p>
    <w:p>
      <w:pPr>
        <w:pStyle w:val="ListBullet"/>
      </w:pPr>
      <w:r>
        <w:rPr>
          <w:rFonts w:ascii="Arial" w:hAnsi="Arial" w:cs="Arial"/>
          <w:sz w:val="22"/>
        </w:rPr>
        <w:t>Prohibición matrimonial: debe ser expresa y conjunta del Rey y las Cortes; exclusión de la persona y descendientes.</w:t>
      </w:r>
    </w:p>
    <w:p>
      <w:pPr>
        <w:pStyle w:val="ListBullet"/>
      </w:pPr>
      <w:r>
        <w:rPr>
          <w:rFonts w:ascii="Arial" w:hAnsi="Arial" w:cs="Arial"/>
          <w:sz w:val="22"/>
        </w:rPr>
        <w:t>Abdicaciones, renuncias y dudas: ley orgánica.</w:t>
      </w:r>
    </w:p>
    <w:p>
      <w:pPr>
        <w:pStyle w:val="ListBullet"/>
      </w:pPr>
      <w:r>
        <w:rPr>
          <w:rFonts w:ascii="Arial" w:hAnsi="Arial" w:cs="Arial"/>
          <w:sz w:val="22"/>
        </w:rPr>
        <w:t>Regencia por minoría: padre o madre; en defecto, pariente adulto más próximo a suceder.</w:t>
      </w:r>
    </w:p>
    <w:p>
      <w:pPr>
        <w:pStyle w:val="ListBullet"/>
      </w:pPr>
      <w:r>
        <w:rPr>
          <w:rFonts w:ascii="Arial" w:hAnsi="Arial" w:cs="Arial"/>
          <w:sz w:val="22"/>
        </w:rPr>
        <w:t>Inhabilitación: reconocimiento por las Cortes.</w:t>
      </w:r>
    </w:p>
    <w:p>
      <w:pPr>
        <w:pStyle w:val="ListBullet"/>
      </w:pPr>
      <w:r>
        <w:rPr>
          <w:rFonts w:ascii="Arial" w:hAnsi="Arial" w:cs="Arial"/>
          <w:sz w:val="22"/>
        </w:rPr>
        <w:t>Regencia designada por las Cortes: 1, 3 o 5 personas.</w:t>
      </w:r>
    </w:p>
    <w:p>
      <w:pPr>
        <w:pStyle w:val="ListBullet"/>
      </w:pPr>
      <w:r>
        <w:rPr>
          <w:rFonts w:ascii="Arial" w:hAnsi="Arial" w:cs="Arial"/>
          <w:sz w:val="22"/>
        </w:rPr>
        <w:t>Requisitos del regente: español y mayor de edad.</w:t>
      </w:r>
    </w:p>
    <w:p>
      <w:pPr>
        <w:pStyle w:val="ListBullet"/>
      </w:pPr>
      <w:r>
        <w:rPr>
          <w:rFonts w:ascii="Arial" w:hAnsi="Arial" w:cs="Arial"/>
          <w:sz w:val="22"/>
        </w:rPr>
        <w:t>Tutor testamentario: mayor de edad y español de nacimiento.</w:t>
      </w:r>
    </w:p>
    <w:p>
      <w:pPr>
        <w:pStyle w:val="ListBullet"/>
      </w:pPr>
      <w:r>
        <w:rPr>
          <w:rFonts w:ascii="Arial" w:hAnsi="Arial" w:cs="Arial"/>
          <w:sz w:val="22"/>
        </w:rPr>
        <w:t>Acumulación de Regencia y tutela: solo padre, madre o ascendientes directos.</w:t>
      </w:r>
    </w:p>
    <w:p>
      <w:pPr>
        <w:pStyle w:val="ListBullet"/>
      </w:pPr>
      <w:r>
        <w:rPr>
          <w:rFonts w:ascii="Arial" w:hAnsi="Arial" w:cs="Arial"/>
          <w:sz w:val="22"/>
        </w:rPr>
        <w:t>Tutela: incompatible con todo cargo o representación política.</w:t>
      </w:r>
    </w:p>
    <w:p>
      <w:pPr>
        <w:pStyle w:val="ListBullet"/>
      </w:pPr>
      <w:r>
        <w:rPr>
          <w:rFonts w:ascii="Arial" w:hAnsi="Arial" w:cs="Arial"/>
          <w:sz w:val="22"/>
        </w:rPr>
        <w:t>Juramento del heredero: al alcanzar la mayoría de edad.</w:t>
      </w:r>
    </w:p>
    <w:p>
      <w:pPr>
        <w:pStyle w:val="ListBullet"/>
      </w:pPr>
      <w:r>
        <w:rPr>
          <w:rFonts w:ascii="Arial" w:hAnsi="Arial" w:cs="Arial"/>
          <w:sz w:val="22"/>
        </w:rPr>
        <w:t>Refrendo general: Presidente del Gobierno o ministro competente.</w:t>
      </w:r>
    </w:p>
    <w:p>
      <w:pPr>
        <w:pStyle w:val="ListBullet"/>
      </w:pPr>
      <w:r>
        <w:rPr>
          <w:rFonts w:ascii="Arial" w:hAnsi="Arial" w:cs="Arial"/>
          <w:sz w:val="22"/>
        </w:rPr>
        <w:t>Refrendo del Presidente del Congreso: propuesta y nombramiento del Presidente del Gobierno y disolución del artículo 99.5.</w:t>
      </w:r>
    </w:p>
    <w:p>
      <w:pPr>
        <w:pStyle w:val="ListBullet"/>
      </w:pPr>
      <w:r>
        <w:rPr>
          <w:rFonts w:ascii="Arial" w:hAnsi="Arial" w:cs="Arial"/>
          <w:sz w:val="22"/>
        </w:rPr>
        <w:t>Responsabilidad: de quien refrenda.</w:t>
      </w:r>
    </w:p>
    <w:p>
      <w:pPr>
        <w:pStyle w:val="ListBullet"/>
      </w:pPr>
      <w:r>
        <w:rPr>
          <w:rFonts w:ascii="Arial" w:hAnsi="Arial" w:cs="Arial"/>
          <w:sz w:val="22"/>
        </w:rPr>
        <w:t>Excepción expresa al refrendo: artículo 65.2.</w:t>
      </w:r>
    </w:p>
    <w:p>
      <w:pPr>
        <w:pStyle w:val="ListBullet"/>
      </w:pPr>
      <w:r>
        <w:rPr>
          <w:rFonts w:ascii="Arial" w:hAnsi="Arial" w:cs="Arial"/>
          <w:sz w:val="22"/>
        </w:rPr>
        <w:t>Reforma del título II: procedimiento agravado del artículo 168.</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G04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Constitución Española (4); Constitución española (1).</w:t>
      </w:r>
    </w:p>
    <w:p>
      <w:pPr>
        <w:jc w:val="both"/>
      </w:pPr>
      <w:r>
        <w:rPr>
          <w:rFonts w:ascii="Arial" w:hAnsi="Arial" w:cs="Arial"/>
          <w:b/>
          <w:sz w:val="22"/>
        </w:rPr>
        <w:t>Artículos o preceptos más repetidos:</w:t>
      </w:r>
      <w:r>
        <w:rPr>
          <w:rFonts w:ascii="Arial" w:hAnsi="Arial" w:cs="Arial"/>
          <w:sz w:val="22"/>
        </w:rPr>
        <w:t xml:space="preserve"> 62 (1); 63 (1); 58 (1); 59.3 (1).</w:t>
      </w:r>
    </w:p>
    <w:p>
      <w:pPr>
        <w:jc w:val="both"/>
      </w:pPr>
      <w:r>
        <w:rPr>
          <w:rFonts w:ascii="Arial" w:hAnsi="Arial" w:cs="Arial"/>
          <w:b/>
          <w:sz w:val="22"/>
        </w:rPr>
        <w:t>Formas de pregunta predominantes:</w:t>
      </w:r>
      <w:r>
        <w:rPr>
          <w:rFonts w:ascii="Arial" w:hAnsi="Arial" w:cs="Arial"/>
          <w:sz w:val="22"/>
        </w:rPr>
        <w:t xml:space="preserve"> Artículos literales (5).</w:t>
      </w:r>
    </w:p>
    <w:p>
      <w:pPr>
        <w:pStyle w:val="Heading2"/>
        <w:keepNext/>
      </w:pPr>
      <w:r>
        <w:rPr>
          <w:rFonts w:ascii="Arial" w:hAnsi="Arial" w:cs="Arial"/>
          <w:sz w:val="25"/>
        </w:rPr>
        <w:t>Patrones observados</w:t>
      </w:r>
    </w:p>
    <w:p>
      <w:pPr>
        <w:pStyle w:val="ListBullet"/>
      </w:pPr>
      <w:r>
        <w:rPr>
          <w:rFonts w:ascii="Arial" w:hAnsi="Arial" w:cs="Arial"/>
          <w:b/>
          <w:sz w:val="22"/>
        </w:rPr>
        <w:t>2024, teoría 4:</w:t>
      </w:r>
      <w:r>
        <w:rPr>
          <w:rFonts w:ascii="Arial" w:hAnsi="Arial" w:cs="Arial"/>
          <w:sz w:val="22"/>
        </w:rPr>
        <w:t xml:space="preserve"> Entre las funciones que el artículo 62 de la Constitución Española atribuye al Rey, ¿se encuentra la posibilidad de presidir eI Consejo de Ministros?</w:t>
      </w:r>
    </w:p>
    <w:p>
      <w:pPr>
        <w:pStyle w:val="ListBullet"/>
      </w:pPr>
      <w:r>
        <w:rPr>
          <w:rFonts w:ascii="Arial" w:hAnsi="Arial" w:cs="Arial"/>
          <w:b/>
          <w:sz w:val="22"/>
        </w:rPr>
        <w:t>2025, teoría 4:</w:t>
      </w:r>
      <w:r>
        <w:rPr>
          <w:rFonts w:ascii="Arial" w:hAnsi="Arial" w:cs="Arial"/>
          <w:sz w:val="22"/>
        </w:rPr>
        <w:t xml:space="preserve"> Según la Constitución española de 1978, el Rey recibe de los Presupuestos del Estado una cantidad global para el sostenimiento de su Familia y Casa, ¿a qui én le corresponde distribuir dicha cantidad entre…</w:t>
      </w:r>
    </w:p>
    <w:p>
      <w:pPr>
        <w:pStyle w:val="ListBullet"/>
      </w:pPr>
      <w:r>
        <w:rPr>
          <w:rFonts w:ascii="Arial" w:hAnsi="Arial" w:cs="Arial"/>
          <w:b/>
          <w:sz w:val="22"/>
        </w:rPr>
        <w:t>2025, teoría 4:</w:t>
      </w:r>
      <w:r>
        <w:rPr>
          <w:rFonts w:ascii="Arial" w:hAnsi="Arial" w:cs="Arial"/>
          <w:sz w:val="22"/>
        </w:rPr>
        <w:t xml:space="preserve"> De acuerdo con 10 establecido en eI artículo 63 de la Constitución Española, al Rey corresponde:</w:t>
      </w:r>
    </w:p>
    <w:p>
      <w:pPr>
        <w:pStyle w:val="ListBullet"/>
      </w:pPr>
      <w:r>
        <w:rPr>
          <w:rFonts w:ascii="Arial" w:hAnsi="Arial" w:cs="Arial"/>
          <w:b/>
          <w:sz w:val="22"/>
        </w:rPr>
        <w:t>2025, teoría 4:</w:t>
      </w:r>
      <w:r>
        <w:rPr>
          <w:rFonts w:ascii="Arial" w:hAnsi="Arial" w:cs="Arial"/>
          <w:sz w:val="22"/>
        </w:rPr>
        <w:t xml:space="preserve"> De acuerdo con lo establecido en el artículo 58 de la Constitución Española, la Reina consorte o el consorte de la Reina:</w:t>
      </w:r>
    </w:p>
    <w:p>
      <w:pPr>
        <w:pStyle w:val="ListBullet"/>
      </w:pPr>
      <w:r>
        <w:rPr>
          <w:rFonts w:ascii="Arial" w:hAnsi="Arial" w:cs="Arial"/>
          <w:b/>
          <w:sz w:val="22"/>
        </w:rPr>
        <w:t>2026, teoría 6:</w:t>
      </w:r>
      <w:r>
        <w:rPr>
          <w:rFonts w:ascii="Arial" w:hAnsi="Arial" w:cs="Arial"/>
          <w:sz w:val="22"/>
        </w:rPr>
        <w:t xml:space="preserve"> Según eI artículo 59.3 de la Constitución Española, señale la afirmación correcta:</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del BOE (https://www.boe.es/buscar/act.php?id=BOE-A-1978-31229)</w:t>
      </w:r>
    </w:p>
    <w:p>
      <w:pPr>
        <w:pStyle w:val="ListBullet"/>
        <w:ind w:left="397" w:hanging="198"/>
      </w:pPr>
      <w:r>
        <w:rPr>
          <w:rFonts w:ascii="Arial" w:hAnsi="Arial" w:cs="Arial"/>
          <w:sz w:val="18"/>
        </w:rPr>
        <w:t>Ley Orgánica 3/2014, de 18 de junio, por la que se hace efectiva la abdicación de S. M. el Rey Don Juan Carlos I (https://www.boe.es/buscar/doc.php?id=BOE-A-2014-6476)</w:t>
      </w:r>
    </w:p>
    <w:p>
      <w:pPr>
        <w:pStyle w:val="ListBullet"/>
        <w:ind w:left="397" w:hanging="198"/>
      </w:pPr>
      <w:r>
        <w:rPr>
          <w:rFonts w:ascii="Arial" w:hAnsi="Arial" w:cs="Arial"/>
          <w:sz w:val="18"/>
        </w:rPr>
        <w:t>Ley 50/1997, de 27 de noviembre, del Gobierno, texto consolidado del BOE (https://www.boe.es/buscar/act.php?id=BOE-A-1997-25336)</w:t>
      </w:r>
    </w:p>
    <w:p>
      <w:pPr>
        <w:pStyle w:val="ListBullet"/>
        <w:ind w:left="397" w:hanging="198"/>
      </w:pPr>
      <w:r>
        <w:rPr>
          <w:rFonts w:ascii="Arial" w:hAnsi="Arial" w:cs="Arial"/>
          <w:sz w:val="18"/>
        </w:rPr>
        <w:t>Real Decreto 1368/1987, de 6 de noviembre, sobre títulos, tratamientos y honores de la Familia Real y de los Regentes (https://www.boe.es/buscar/act.php?id=BOE-A-1987-25284)</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G04 · Tema 4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4. La Corona. Funciones constitucionales del Rey. Sucesión y regencia. El refrendo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