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5</w:t>
      </w:r>
    </w:p>
    <w:p>
      <w:pPr>
        <w:keepNext/>
        <w:spacing w:before="0" w:after="280"/>
        <w:pBdr>
          <w:bottom w:val="single" w:sz="12" w:space="1" w:color="2F75B5"/>
        </w:pBdr>
      </w:pPr>
      <w:r>
        <w:rPr>
          <w:rFonts w:ascii="Arial" w:hAnsi="Arial" w:cs="Arial"/>
          <w:b/>
          <w:color w:val="17365D"/>
          <w:sz w:val="40"/>
        </w:rPr>
        <w:t>El poder legislativo. Las Cortes Generales: Composición, atribuciones y funcionamiento. El Defensor del Pueblo.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Actualización normativa: 30 de julio de 2026.</w:t>
      </w:r>
    </w:p>
    <w:p>
      <w:pPr>
        <w:jc w:val="both"/>
      </w:pPr>
      <w:r>
        <w:rPr>
          <w:rFonts w:ascii="Arial" w:hAnsi="Arial" w:cs="Arial"/>
          <w:sz w:val="22"/>
        </w:rPr>
        <w:t>Las Cortes Generales son el Parlamento estatal. Representan al pueblo español, están formadas por el Congreso de los Diputados y el Senado y ejercen las funciones que la Constitución les atribuye: principalmente, aprobar las leyes y los Presupuestos Generales del Estado y controlar la acción del Gobierno. El modelo es bicameral, pero no perfectamente simétrico: el Congreso dispone de una posición predominante en la investidura, la responsabilidad política del Gobierno, la convalidación de decretos-leyes y la fase final del procedimiento legislativo.</w:t>
      </w:r>
    </w:p>
    <w:p>
      <w:pPr>
        <w:spacing w:after="100"/>
        <w:ind w:left="340" w:right="227"/>
        <w:shd w:fill="EAF2F8"/>
      </w:pPr>
      <w:r>
        <w:rPr>
          <w:rFonts w:ascii="Arial" w:hAnsi="Arial" w:cs="Arial"/>
          <w:b/>
          <w:sz w:val="20"/>
        </w:rPr>
        <w:t>Alerta de actualización 2026.</w:t>
      </w:r>
      <w:r>
        <w:rPr>
          <w:rFonts w:ascii="Arial" w:hAnsi="Arial" w:cs="Arial"/>
          <w:sz w:val="20"/>
        </w:rPr>
        <w:t xml:space="preserve"> Hay dos novedades que hacen inservibles muchos esquemas antiguos. Desde el 20 de mayo de 2026, el artículo 69.3 de la Constitución reconoce a Ibiza y Formentera como circunscripciones senatoriales separadas. Además, la reforma del artículo 23 del Reglamento del Congreso publicada el 28 de julio de 2026 </w:t>
      </w:r>
      <w:r>
        <w:rPr>
          <w:rFonts w:ascii="Arial" w:hAnsi="Arial" w:cs="Arial"/>
          <w:b/>
          <w:sz w:val="20"/>
        </w:rPr>
        <w:t>no entra en vigor hasta la XVI Legislatura</w:t>
      </w:r>
      <w:r>
        <w:rPr>
          <w:rFonts w:ascii="Arial" w:hAnsi="Arial" w:cs="Arial"/>
          <w:sz w:val="20"/>
        </w:rPr>
        <w:t>. A 30 de julio de 2026, durante la XV Legislatura, siguen aplicándose los umbrales anteriores para constituir grupo parlamentario.</w:t>
      </w:r>
    </w:p>
    <w:p>
      <w:pPr>
        <w:pStyle w:val="Heading1"/>
        <w:keepNext/>
      </w:pPr>
      <w:r>
        <w:rPr>
          <w:rFonts w:ascii="Arial" w:hAnsi="Arial" w:cs="Arial"/>
          <w:sz w:val="30"/>
        </w:rPr>
        <w:t>1. El poder legislativo y la posición constitucional de las Cortes</w:t>
      </w:r>
    </w:p>
    <w:p>
      <w:pPr>
        <w:pStyle w:val="Heading2"/>
        <w:keepNext/>
      </w:pPr>
      <w:r>
        <w:rPr>
          <w:rFonts w:ascii="Arial" w:hAnsi="Arial" w:cs="Arial"/>
          <w:sz w:val="25"/>
        </w:rPr>
        <w:t>1.1. Soberanía, representación y Parlamento</w:t>
      </w:r>
    </w:p>
    <w:p>
      <w:pPr>
        <w:jc w:val="both"/>
      </w:pPr>
      <w:r>
        <w:rPr>
          <w:rFonts w:ascii="Arial" w:hAnsi="Arial" w:cs="Arial"/>
          <w:sz w:val="22"/>
        </w:rPr>
        <w:t>El artículo 1.2 de la Constitución declara que la soberanía nacional reside en el pueblo español, del que emanan los poderes del Estado. En una democracia representativa, la ciudadanía ejerce ordinariamente su participación política mediante representantes elegidos por sufragio. Las Cortes Generales son el órgano constitucional que representa al pueblo español.</w:t>
      </w:r>
    </w:p>
    <w:p>
      <w:pPr>
        <w:jc w:val="both"/>
      </w:pPr>
      <w:r>
        <w:rPr>
          <w:rFonts w:ascii="Arial" w:hAnsi="Arial" w:cs="Arial"/>
          <w:sz w:val="22"/>
        </w:rPr>
        <w:t>El artículo 66 contiene su definición básica:</w:t>
      </w:r>
    </w:p>
    <w:p>
      <w:pPr>
        <w:spacing w:after="40"/>
        <w:ind w:left="369" w:hanging="227"/>
      </w:pPr>
      <w:r>
        <w:rPr>
          <w:rFonts w:ascii="Arial" w:hAnsi="Arial" w:cs="Arial"/>
          <w:sz w:val="22"/>
        </w:rPr>
        <w:t>1. representan al pueblo español;</w:t>
      </w:r>
    </w:p>
    <w:p>
      <w:pPr>
        <w:spacing w:after="40"/>
        <w:ind w:left="369" w:hanging="227"/>
      </w:pPr>
      <w:r>
        <w:rPr>
          <w:rFonts w:ascii="Arial" w:hAnsi="Arial" w:cs="Arial"/>
          <w:sz w:val="22"/>
        </w:rPr>
        <w:t>2. están formadas por el Congreso de los Diputados y el Senado;</w:t>
      </w:r>
    </w:p>
    <w:p>
      <w:pPr>
        <w:spacing w:after="40"/>
        <w:ind w:left="369" w:hanging="227"/>
      </w:pPr>
      <w:r>
        <w:rPr>
          <w:rFonts w:ascii="Arial" w:hAnsi="Arial" w:cs="Arial"/>
          <w:sz w:val="22"/>
        </w:rPr>
        <w:t>3. ejercen la potestad legislativa del Estado;</w:t>
      </w:r>
    </w:p>
    <w:p>
      <w:pPr>
        <w:spacing w:after="40"/>
        <w:ind w:left="369" w:hanging="227"/>
      </w:pPr>
      <w:r>
        <w:rPr>
          <w:rFonts w:ascii="Arial" w:hAnsi="Arial" w:cs="Arial"/>
          <w:sz w:val="22"/>
        </w:rPr>
        <w:t>4. aprueban los Presupuestos;</w:t>
      </w:r>
    </w:p>
    <w:p>
      <w:pPr>
        <w:spacing w:after="40"/>
        <w:ind w:left="369" w:hanging="227"/>
      </w:pPr>
      <w:r>
        <w:rPr>
          <w:rFonts w:ascii="Arial" w:hAnsi="Arial" w:cs="Arial"/>
          <w:sz w:val="22"/>
        </w:rPr>
        <w:t>5. controlan la acción del Gobierno;</w:t>
      </w:r>
    </w:p>
    <w:p>
      <w:pPr>
        <w:spacing w:after="40"/>
        <w:ind w:left="369" w:hanging="227"/>
      </w:pPr>
      <w:r>
        <w:rPr>
          <w:rFonts w:ascii="Arial" w:hAnsi="Arial" w:cs="Arial"/>
          <w:sz w:val="22"/>
        </w:rPr>
        <w:t>6. ejercen las demás competencias que les atribuye la Constitución;</w:t>
      </w:r>
    </w:p>
    <w:p>
      <w:pPr>
        <w:spacing w:after="40"/>
        <w:ind w:left="369" w:hanging="227"/>
      </w:pPr>
      <w:r>
        <w:rPr>
          <w:rFonts w:ascii="Arial" w:hAnsi="Arial" w:cs="Arial"/>
          <w:sz w:val="22"/>
        </w:rPr>
        <w:t>7. son inviolables.</w:t>
      </w:r>
    </w:p>
    <w:p>
      <w:pPr>
        <w:jc w:val="both"/>
      </w:pPr>
      <w:r>
        <w:rPr>
          <w:rFonts w:ascii="Arial" w:hAnsi="Arial" w:cs="Arial"/>
          <w:sz w:val="22"/>
        </w:rPr>
        <w:t xml:space="preserve">La </w:t>
      </w:r>
      <w:r>
        <w:rPr>
          <w:rFonts w:ascii="Arial" w:hAnsi="Arial" w:cs="Arial"/>
          <w:b/>
          <w:sz w:val="22"/>
        </w:rPr>
        <w:t>inviolabilidad de las Cortes</w:t>
      </w:r>
      <w:r>
        <w:rPr>
          <w:rFonts w:ascii="Arial" w:hAnsi="Arial" w:cs="Arial"/>
          <w:sz w:val="22"/>
        </w:rPr>
        <w:t xml:space="preserve"> protege a la institución frente a coacciones o interferencias. No debe confundirse con la inviolabilidad individual de diputados y senadores por las opiniones manifestadas en el ejercicio de sus funciones.</w:t>
      </w:r>
    </w:p>
    <w:p>
      <w:pPr>
        <w:jc w:val="both"/>
      </w:pPr>
      <w:r>
        <w:rPr>
          <w:rFonts w:ascii="Arial" w:hAnsi="Arial" w:cs="Arial"/>
          <w:sz w:val="22"/>
        </w:rPr>
        <w:t>Las Cortes son un órgano:</w:t>
      </w:r>
    </w:p>
    <w:p>
      <w:pPr>
        <w:pStyle w:val="ListBullet"/>
      </w:pPr>
      <w:r>
        <w:rPr>
          <w:rFonts w:ascii="Arial" w:hAnsi="Arial" w:cs="Arial"/>
          <w:b/>
          <w:sz w:val="22"/>
        </w:rPr>
        <w:t>constitucional</w:t>
      </w:r>
      <w:r>
        <w:rPr>
          <w:rFonts w:ascii="Arial" w:hAnsi="Arial" w:cs="Arial"/>
          <w:sz w:val="22"/>
        </w:rPr>
        <w:t>, porque su existencia, composición y funciones derivan directamente de la Constitución;</w:t>
      </w:r>
    </w:p>
    <w:p>
      <w:pPr>
        <w:pStyle w:val="ListBullet"/>
      </w:pPr>
      <w:r>
        <w:rPr>
          <w:rFonts w:ascii="Arial" w:hAnsi="Arial" w:cs="Arial"/>
          <w:b/>
          <w:sz w:val="22"/>
        </w:rPr>
        <w:t>representativo</w:t>
      </w:r>
      <w:r>
        <w:rPr>
          <w:rFonts w:ascii="Arial" w:hAnsi="Arial" w:cs="Arial"/>
          <w:sz w:val="22"/>
        </w:rPr>
        <w:t>, porque sus miembros proceden de elección o, en una parte del Senado, de designación autonómica;</w:t>
      </w:r>
    </w:p>
    <w:p>
      <w:pPr>
        <w:pStyle w:val="ListBullet"/>
      </w:pPr>
      <w:r>
        <w:rPr>
          <w:rFonts w:ascii="Arial" w:hAnsi="Arial" w:cs="Arial"/>
          <w:b/>
          <w:sz w:val="22"/>
        </w:rPr>
        <w:t>deliberante</w:t>
      </w:r>
      <w:r>
        <w:rPr>
          <w:rFonts w:ascii="Arial" w:hAnsi="Arial" w:cs="Arial"/>
          <w:sz w:val="22"/>
        </w:rPr>
        <w:t>, pues forma su voluntad mediante debate y votación;</w:t>
      </w:r>
    </w:p>
    <w:p>
      <w:pPr>
        <w:pStyle w:val="ListBullet"/>
      </w:pPr>
      <w:r>
        <w:rPr>
          <w:rFonts w:ascii="Arial" w:hAnsi="Arial" w:cs="Arial"/>
          <w:b/>
          <w:sz w:val="22"/>
        </w:rPr>
        <w:t>bicameral</w:t>
      </w:r>
      <w:r>
        <w:rPr>
          <w:rFonts w:ascii="Arial" w:hAnsi="Arial" w:cs="Arial"/>
          <w:sz w:val="22"/>
        </w:rPr>
        <w:t>, al estar integrado por dos Cámaras;</w:t>
      </w:r>
    </w:p>
    <w:p>
      <w:pPr>
        <w:pStyle w:val="ListBullet"/>
      </w:pPr>
      <w:r>
        <w:rPr>
          <w:rFonts w:ascii="Arial" w:hAnsi="Arial" w:cs="Arial"/>
          <w:b/>
          <w:sz w:val="22"/>
        </w:rPr>
        <w:t>permanente como institución</w:t>
      </w:r>
      <w:r>
        <w:rPr>
          <w:rFonts w:ascii="Arial" w:hAnsi="Arial" w:cs="Arial"/>
          <w:sz w:val="22"/>
        </w:rPr>
        <w:t>, aunque cada Cámara tenga un mandato temporal y pueda ser disuelta;</w:t>
      </w:r>
    </w:p>
    <w:p>
      <w:pPr>
        <w:pStyle w:val="ListBullet"/>
      </w:pPr>
      <w:r>
        <w:rPr>
          <w:rFonts w:ascii="Arial" w:hAnsi="Arial" w:cs="Arial"/>
          <w:b/>
          <w:sz w:val="22"/>
        </w:rPr>
        <w:t>autónomo</w:t>
      </w:r>
      <w:r>
        <w:rPr>
          <w:rFonts w:ascii="Arial" w:hAnsi="Arial" w:cs="Arial"/>
          <w:sz w:val="22"/>
        </w:rPr>
        <w:t>, porque cada Cámara aprueba su Reglamento y presupuesto y organiza sus trabajos.</w:t>
      </w:r>
    </w:p>
    <w:p>
      <w:pPr>
        <w:pStyle w:val="Heading2"/>
        <w:keepNext/>
      </w:pPr>
      <w:r>
        <w:rPr>
          <w:rFonts w:ascii="Arial" w:hAnsi="Arial" w:cs="Arial"/>
          <w:sz w:val="25"/>
        </w:rPr>
        <w:t>1.2. Bicameralismo imperfecto</w:t>
      </w:r>
    </w:p>
    <w:p>
      <w:pPr>
        <w:jc w:val="both"/>
      </w:pPr>
      <w:r>
        <w:rPr>
          <w:rFonts w:ascii="Arial" w:hAnsi="Arial" w:cs="Arial"/>
          <w:sz w:val="22"/>
        </w:rPr>
        <w:t xml:space="preserve">Congreso y Senado participan en la legislación, pero sus poderes no son equivalentes. La expresión </w:t>
      </w:r>
      <w:r>
        <w:rPr>
          <w:rFonts w:ascii="Arial" w:hAnsi="Arial" w:cs="Arial"/>
          <w:b/>
          <w:sz w:val="22"/>
        </w:rPr>
        <w:t>bicameralismo imperfecto o desigual</w:t>
      </w:r>
      <w:r>
        <w:rPr>
          <w:rFonts w:ascii="Arial" w:hAnsi="Arial" w:cs="Arial"/>
          <w:sz w:val="22"/>
        </w:rPr>
        <w:t xml:space="preserve"> resume la preeminencia del Congreso.</w:t>
      </w:r>
    </w:p>
    <w:tbl>
      <w:tblPr>
        <w:tblStyle w:val="TableGrid"/>
        <w:tblW w:type="dxa" w:w="9026"/>
        <w:jc w:val="left"/>
        <w:tblLayout w:type="fixed"/>
        <w:tblLook w:firstColumn="1" w:firstRow="1" w:lastColumn="0" w:lastRow="0" w:noHBand="0" w:noVBand="1" w:val="04A0"/>
        <w:tblInd w:w="120" w:type="dxa"/>
      </w:tblPr>
      <w:tblGrid>
        <w:gridCol w:w="2468"/>
        <w:gridCol w:w="4231"/>
        <w:gridCol w:w="2327"/>
      </w:tblGrid>
      <w:tr>
        <w:trPr>
          <w:tblHeader w:val="true"/>
        </w:trPr>
        <w:tc>
          <w:tcPr>
            <w:tcW w:type="dxa" w:w="246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w:t>
            </w:r>
          </w:p>
        </w:tc>
        <w:tc>
          <w:tcPr>
            <w:tcW w:type="dxa" w:w="423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Congreso</w:t>
            </w:r>
          </w:p>
        </w:tc>
        <w:tc>
          <w:tcPr>
            <w:tcW w:type="dxa" w:w="232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Senado</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Investidura del Presidente del Gobierno</w:t>
            </w:r>
          </w:p>
        </w:tc>
        <w:tc>
          <w:tcPr>
            <w:tcW w:type="dxa" w:w="4231"/>
            <w:tcMar>
              <w:top w:w="80" w:type="dxa"/>
              <w:start w:w="120" w:type="dxa"/>
              <w:bottom w:w="80" w:type="dxa"/>
              <w:end w:w="120" w:type="dxa"/>
            </w:tcMar>
            <w:vAlign w:val="center"/>
          </w:tcPr>
          <w:p>
            <w:pPr>
              <w:spacing w:before="0" w:after="0" w:line="240" w:lineRule="auto"/>
              <w:jc w:val="left"/>
            </w:pPr>
            <w:r/>
            <w:r>
              <w:rPr>
                <w:rFonts w:ascii="Arial" w:hAnsi="Arial" w:cs="Arial"/>
                <w:sz w:val="18"/>
              </w:rPr>
              <w:t>Otorga o deniega la confianza</w:t>
            </w:r>
          </w:p>
        </w:tc>
        <w:tc>
          <w:tcPr>
            <w:tcW w:type="dxa" w:w="2327"/>
            <w:tcMar>
              <w:top w:w="80" w:type="dxa"/>
              <w:start w:w="120" w:type="dxa"/>
              <w:bottom w:w="80" w:type="dxa"/>
              <w:end w:w="120" w:type="dxa"/>
            </w:tcMar>
            <w:vAlign w:val="center"/>
          </w:tcPr>
          <w:p>
            <w:pPr>
              <w:spacing w:before="0" w:after="0" w:line="240" w:lineRule="auto"/>
              <w:jc w:val="center"/>
            </w:pPr>
            <w:r/>
            <w:r>
              <w:rPr>
                <w:rFonts w:ascii="Arial" w:hAnsi="Arial" w:cs="Arial"/>
                <w:sz w:val="18"/>
              </w:rPr>
              <w:t>No interviene</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Moción de censura y cuestión de confianza</w:t>
            </w:r>
          </w:p>
        </w:tc>
        <w:tc>
          <w:tcPr>
            <w:tcW w:type="dxa" w:w="4231"/>
            <w:tcMar>
              <w:top w:w="80" w:type="dxa"/>
              <w:start w:w="120" w:type="dxa"/>
              <w:bottom w:w="80" w:type="dxa"/>
              <w:end w:w="120" w:type="dxa"/>
            </w:tcMar>
            <w:vAlign w:val="center"/>
          </w:tcPr>
          <w:p>
            <w:pPr>
              <w:spacing w:before="0" w:after="0" w:line="240" w:lineRule="auto"/>
              <w:jc w:val="center"/>
            </w:pPr>
            <w:r/>
            <w:r>
              <w:rPr>
                <w:rFonts w:ascii="Arial" w:hAnsi="Arial" w:cs="Arial"/>
                <w:sz w:val="18"/>
              </w:rPr>
              <w:t>Decide</w:t>
            </w:r>
          </w:p>
        </w:tc>
        <w:tc>
          <w:tcPr>
            <w:tcW w:type="dxa" w:w="2327"/>
            <w:tcMar>
              <w:top w:w="80" w:type="dxa"/>
              <w:start w:w="120" w:type="dxa"/>
              <w:bottom w:w="80" w:type="dxa"/>
              <w:end w:w="120" w:type="dxa"/>
            </w:tcMar>
            <w:vAlign w:val="center"/>
          </w:tcPr>
          <w:p>
            <w:pPr>
              <w:spacing w:before="0" w:after="0" w:line="240" w:lineRule="auto"/>
              <w:jc w:val="center"/>
            </w:pPr>
            <w:r/>
            <w:r>
              <w:rPr>
                <w:rFonts w:ascii="Arial" w:hAnsi="Arial" w:cs="Arial"/>
                <w:sz w:val="18"/>
              </w:rPr>
              <w:t>No interviene</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Decreto-ley</w:t>
            </w:r>
          </w:p>
        </w:tc>
        <w:tc>
          <w:tcPr>
            <w:tcW w:type="dxa" w:w="4231"/>
            <w:tcMar>
              <w:top w:w="80" w:type="dxa"/>
              <w:start w:w="120" w:type="dxa"/>
              <w:bottom w:w="80" w:type="dxa"/>
              <w:end w:w="120" w:type="dxa"/>
            </w:tcMar>
            <w:vAlign w:val="center"/>
          </w:tcPr>
          <w:p>
            <w:pPr>
              <w:spacing w:before="0" w:after="0" w:line="240" w:lineRule="auto"/>
              <w:jc w:val="left"/>
            </w:pPr>
            <w:r/>
            <w:r>
              <w:rPr>
                <w:rFonts w:ascii="Arial" w:hAnsi="Arial" w:cs="Arial"/>
                <w:sz w:val="18"/>
              </w:rPr>
              <w:t>Convalida o deroga en 30 días</w:t>
            </w:r>
          </w:p>
        </w:tc>
        <w:tc>
          <w:tcPr>
            <w:tcW w:type="dxa" w:w="2327"/>
            <w:tcMar>
              <w:top w:w="80" w:type="dxa"/>
              <w:start w:w="120" w:type="dxa"/>
              <w:bottom w:w="80" w:type="dxa"/>
              <w:end w:w="120" w:type="dxa"/>
            </w:tcMar>
            <w:vAlign w:val="center"/>
          </w:tcPr>
          <w:p>
            <w:pPr>
              <w:spacing w:before="0" w:after="0" w:line="240" w:lineRule="auto"/>
              <w:jc w:val="center"/>
            </w:pPr>
            <w:r/>
            <w:r>
              <w:rPr>
                <w:rFonts w:ascii="Arial" w:hAnsi="Arial" w:cs="Arial"/>
                <w:sz w:val="18"/>
              </w:rPr>
              <w:t>No convalida</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Leyes</w:t>
            </w:r>
          </w:p>
        </w:tc>
        <w:tc>
          <w:tcPr>
            <w:tcW w:type="dxa" w:w="4231"/>
            <w:tcMar>
              <w:top w:w="80" w:type="dxa"/>
              <w:start w:w="120" w:type="dxa"/>
              <w:bottom w:w="80" w:type="dxa"/>
              <w:end w:w="120" w:type="dxa"/>
            </w:tcMar>
            <w:vAlign w:val="center"/>
          </w:tcPr>
          <w:p>
            <w:pPr>
              <w:spacing w:before="0" w:after="0" w:line="240" w:lineRule="auto"/>
              <w:jc w:val="left"/>
            </w:pPr>
            <w:r/>
            <w:r>
              <w:rPr>
                <w:rFonts w:ascii="Arial" w:hAnsi="Arial" w:cs="Arial"/>
                <w:sz w:val="18"/>
              </w:rPr>
              <w:t>Aprueba inicialmente y decide al final sobre veto y enmiendas senatoriales</w:t>
            </w:r>
          </w:p>
        </w:tc>
        <w:tc>
          <w:tcPr>
            <w:tcW w:type="dxa" w:w="2327"/>
            <w:tcMar>
              <w:top w:w="80" w:type="dxa"/>
              <w:start w:w="120" w:type="dxa"/>
              <w:bottom w:w="80" w:type="dxa"/>
              <w:end w:w="120" w:type="dxa"/>
            </w:tcMar>
            <w:vAlign w:val="center"/>
          </w:tcPr>
          <w:p>
            <w:pPr>
              <w:spacing w:before="0" w:after="0" w:line="240" w:lineRule="auto"/>
              <w:jc w:val="left"/>
            </w:pPr>
            <w:r/>
            <w:r>
              <w:rPr>
                <w:rFonts w:ascii="Arial" w:hAnsi="Arial" w:cs="Arial"/>
                <w:sz w:val="18"/>
              </w:rPr>
              <w:t>Revisa, enmienda o veta</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Presupuestos</w:t>
            </w:r>
          </w:p>
        </w:tc>
        <w:tc>
          <w:tcPr>
            <w:tcW w:type="dxa" w:w="4231"/>
            <w:tcMar>
              <w:top w:w="80" w:type="dxa"/>
              <w:start w:w="120" w:type="dxa"/>
              <w:bottom w:w="80" w:type="dxa"/>
              <w:end w:w="120" w:type="dxa"/>
            </w:tcMar>
            <w:vAlign w:val="center"/>
          </w:tcPr>
          <w:p>
            <w:pPr>
              <w:spacing w:before="0" w:after="0" w:line="240" w:lineRule="auto"/>
              <w:jc w:val="left"/>
            </w:pPr>
            <w:r/>
            <w:r>
              <w:rPr>
                <w:rFonts w:ascii="Arial" w:hAnsi="Arial" w:cs="Arial"/>
                <w:sz w:val="18"/>
              </w:rPr>
              <w:t>Participa con posición decisiva final</w:t>
            </w:r>
          </w:p>
        </w:tc>
        <w:tc>
          <w:tcPr>
            <w:tcW w:type="dxa" w:w="2327"/>
            <w:tcMar>
              <w:top w:w="80" w:type="dxa"/>
              <w:start w:w="120" w:type="dxa"/>
              <w:bottom w:w="80" w:type="dxa"/>
              <w:end w:w="120" w:type="dxa"/>
            </w:tcMar>
            <w:vAlign w:val="center"/>
          </w:tcPr>
          <w:p>
            <w:pPr>
              <w:spacing w:before="0" w:after="0" w:line="240" w:lineRule="auto"/>
              <w:jc w:val="left"/>
            </w:pPr>
            <w:r/>
            <w:r>
              <w:rPr>
                <w:rFonts w:ascii="Arial" w:hAnsi="Arial" w:cs="Arial"/>
                <w:sz w:val="18"/>
              </w:rPr>
              <w:t>Participa en su tramitación</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Artículo 155 CE</w:t>
            </w:r>
          </w:p>
        </w:tc>
        <w:tc>
          <w:tcPr>
            <w:tcW w:type="dxa" w:w="4231"/>
            <w:tcMar>
              <w:top w:w="80" w:type="dxa"/>
              <w:start w:w="120" w:type="dxa"/>
              <w:bottom w:w="80" w:type="dxa"/>
              <w:end w:w="120" w:type="dxa"/>
            </w:tcMar>
            <w:vAlign w:val="center"/>
          </w:tcPr>
          <w:p>
            <w:pPr>
              <w:spacing w:before="0" w:after="0" w:line="240" w:lineRule="auto"/>
              <w:jc w:val="left"/>
            </w:pPr>
            <w:r/>
            <w:r>
              <w:rPr>
                <w:rFonts w:ascii="Arial" w:hAnsi="Arial" w:cs="Arial"/>
                <w:sz w:val="18"/>
              </w:rPr>
              <w:t>No concede la autorización inicial</w:t>
            </w:r>
          </w:p>
        </w:tc>
        <w:tc>
          <w:tcPr>
            <w:tcW w:type="dxa" w:w="2327"/>
            <w:tcMar>
              <w:top w:w="80" w:type="dxa"/>
              <w:start w:w="120" w:type="dxa"/>
              <w:bottom w:w="80" w:type="dxa"/>
              <w:end w:w="120" w:type="dxa"/>
            </w:tcMar>
            <w:vAlign w:val="center"/>
          </w:tcPr>
          <w:p>
            <w:pPr>
              <w:spacing w:before="0" w:after="0" w:line="240" w:lineRule="auto"/>
              <w:jc w:val="left"/>
            </w:pPr>
            <w:r/>
            <w:r>
              <w:rPr>
                <w:rFonts w:ascii="Arial" w:hAnsi="Arial" w:cs="Arial"/>
                <w:sz w:val="18"/>
              </w:rPr>
              <w:t>Autoriza por mayoría absoluta</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Designaciones constitucionales</w:t>
            </w:r>
          </w:p>
        </w:tc>
        <w:tc>
          <w:tcPr>
            <w:tcW w:type="dxa" w:w="4231"/>
            <w:tcMar>
              <w:top w:w="80" w:type="dxa"/>
              <w:start w:w="120" w:type="dxa"/>
              <w:bottom w:w="80" w:type="dxa"/>
              <w:end w:w="120" w:type="dxa"/>
            </w:tcMar>
            <w:vAlign w:val="center"/>
          </w:tcPr>
          <w:p>
            <w:pPr>
              <w:spacing w:before="0" w:after="0" w:line="240" w:lineRule="auto"/>
              <w:jc w:val="center"/>
            </w:pPr>
            <w:r/>
            <w:r>
              <w:rPr>
                <w:rFonts w:ascii="Arial" w:hAnsi="Arial" w:cs="Arial"/>
                <w:sz w:val="18"/>
              </w:rPr>
              <w:t>Participa</w:t>
            </w:r>
          </w:p>
        </w:tc>
        <w:tc>
          <w:tcPr>
            <w:tcW w:type="dxa" w:w="2327"/>
            <w:tcMar>
              <w:top w:w="80" w:type="dxa"/>
              <w:start w:w="120" w:type="dxa"/>
              <w:bottom w:w="80" w:type="dxa"/>
              <w:end w:w="120" w:type="dxa"/>
            </w:tcMar>
            <w:vAlign w:val="center"/>
          </w:tcPr>
          <w:p>
            <w:pPr>
              <w:spacing w:before="0" w:after="0" w:line="240" w:lineRule="auto"/>
              <w:jc w:val="center"/>
            </w:pPr>
            <w:r/>
            <w:r>
              <w:rPr>
                <w:rFonts w:ascii="Arial" w:hAnsi="Arial" w:cs="Arial"/>
                <w:sz w:val="18"/>
              </w:rPr>
              <w:t>Participa</w:t>
            </w:r>
          </w:p>
        </w:tc>
      </w:tr>
      <w:tr>
        <w:tc>
          <w:tcPr>
            <w:tcW w:type="dxa" w:w="2468"/>
            <w:tcMar>
              <w:top w:w="80" w:type="dxa"/>
              <w:start w:w="120" w:type="dxa"/>
              <w:bottom w:w="80" w:type="dxa"/>
              <w:end w:w="120" w:type="dxa"/>
            </w:tcMar>
            <w:vAlign w:val="center"/>
          </w:tcPr>
          <w:p>
            <w:pPr>
              <w:spacing w:before="0" w:after="0" w:line="240" w:lineRule="auto"/>
              <w:jc w:val="left"/>
            </w:pPr>
            <w:r/>
            <w:r>
              <w:rPr>
                <w:rFonts w:ascii="Arial" w:hAnsi="Arial" w:cs="Arial"/>
                <w:sz w:val="18"/>
              </w:rPr>
              <w:t>Función territorial</w:t>
            </w:r>
          </w:p>
        </w:tc>
        <w:tc>
          <w:tcPr>
            <w:tcW w:type="dxa" w:w="4231"/>
            <w:tcMar>
              <w:top w:w="80" w:type="dxa"/>
              <w:start w:w="120" w:type="dxa"/>
              <w:bottom w:w="80" w:type="dxa"/>
              <w:end w:w="120" w:type="dxa"/>
            </w:tcMar>
            <w:vAlign w:val="center"/>
          </w:tcPr>
          <w:p>
            <w:pPr>
              <w:spacing w:before="0" w:after="0" w:line="240" w:lineRule="auto"/>
              <w:jc w:val="left"/>
            </w:pPr>
            <w:r/>
            <w:r>
              <w:rPr>
                <w:rFonts w:ascii="Arial" w:hAnsi="Arial" w:cs="Arial"/>
                <w:sz w:val="18"/>
              </w:rPr>
              <w:t>Participación general</w:t>
            </w:r>
          </w:p>
        </w:tc>
        <w:tc>
          <w:tcPr>
            <w:tcW w:type="dxa" w:w="2327"/>
            <w:tcMar>
              <w:top w:w="80" w:type="dxa"/>
              <w:start w:w="120" w:type="dxa"/>
              <w:bottom w:w="80" w:type="dxa"/>
              <w:end w:w="120" w:type="dxa"/>
            </w:tcMar>
            <w:vAlign w:val="center"/>
          </w:tcPr>
          <w:p>
            <w:pPr>
              <w:spacing w:before="0" w:after="0" w:line="240" w:lineRule="auto"/>
              <w:jc w:val="left"/>
            </w:pPr>
            <w:r/>
            <w:r>
              <w:rPr>
                <w:rFonts w:ascii="Arial" w:hAnsi="Arial" w:cs="Arial"/>
                <w:sz w:val="18"/>
              </w:rPr>
              <w:t>Cámara de representación territorial</w:t>
            </w:r>
          </w:p>
        </w:tc>
      </w:tr>
    </w:tbl>
    <w:p>
      <w:pPr>
        <w:spacing w:after="40"/>
      </w:pPr>
    </w:p>
    <w:p>
      <w:pPr>
        <w:jc w:val="both"/>
      </w:pPr>
      <w:r>
        <w:rPr>
          <w:rFonts w:ascii="Arial" w:hAnsi="Arial" w:cs="Arial"/>
          <w:sz w:val="22"/>
        </w:rPr>
        <w:t>El Senado no es una simple comisión revisora: posee competencias constitucionales propias, especialmente territoriales, y participa en la formación de la voluntad legislativa. Sin embargo, su veto es suspensivo, no definitivo, porque el Congreso puede levantarlo en las condiciones del artículo 90.</w:t>
      </w:r>
    </w:p>
    <w:p>
      <w:pPr>
        <w:pStyle w:val="Heading2"/>
        <w:keepNext/>
      </w:pPr>
      <w:r>
        <w:rPr>
          <w:rFonts w:ascii="Arial" w:hAnsi="Arial" w:cs="Arial"/>
          <w:sz w:val="25"/>
        </w:rPr>
        <w:t>1.3. Prohibiciones generales de los parlamentarios</w:t>
      </w:r>
    </w:p>
    <w:p>
      <w:pPr>
        <w:jc w:val="both"/>
      </w:pPr>
      <w:r>
        <w:rPr>
          <w:rFonts w:ascii="Arial" w:hAnsi="Arial" w:cs="Arial"/>
          <w:sz w:val="22"/>
        </w:rPr>
        <w:t>Nadie puede ser miembro simultáneamente de las dos Cámaras. Tampoco se puede acumular el acta de una Asamblea de Comunidad Autónoma con la de diputado al Congreso. Esta última incompatibilidad constitucional no se formula respecto de los senadores, lo que permite que las Asambleas autonómicas designen senadores entre personas que reúnan los requisitos establecidos.</w:t>
      </w:r>
    </w:p>
    <w:p>
      <w:pPr>
        <w:jc w:val="both"/>
      </w:pPr>
      <w:r>
        <w:rPr>
          <w:rFonts w:ascii="Arial" w:hAnsi="Arial" w:cs="Arial"/>
          <w:sz w:val="22"/>
        </w:rPr>
        <w:t xml:space="preserve">Diputados y senadores no están ligados por </w:t>
      </w:r>
      <w:r>
        <w:rPr>
          <w:rFonts w:ascii="Arial" w:hAnsi="Arial" w:cs="Arial"/>
          <w:b/>
          <w:sz w:val="22"/>
        </w:rPr>
        <w:t>mandato imperativo</w:t>
      </w:r>
      <w:r>
        <w:rPr>
          <w:rFonts w:ascii="Arial" w:hAnsi="Arial" w:cs="Arial"/>
          <w:sz w:val="22"/>
        </w:rPr>
        <w:t>. El escaño pertenece al representante y no jurídicamente al partido: las instrucciones políticas pueden tener consecuencias internas, pero no anulan la libertad jurídica del voto parlamentario.</w:t>
      </w:r>
    </w:p>
    <w:p>
      <w:pPr>
        <w:jc w:val="both"/>
      </w:pPr>
      <w:r>
        <w:rPr>
          <w:rFonts w:ascii="Arial" w:hAnsi="Arial" w:cs="Arial"/>
          <w:sz w:val="22"/>
        </w:rPr>
        <w:t>Las reuniones de parlamentarios celebradas sin convocatoria reglamentaria no vinculan a las Cámaras ni permiten ejercer sus funciones o privilegios. La voluntad parlamentaria solo se forma mediante órganos y procedimientos válidamente constituidos.</w:t>
      </w:r>
    </w:p>
    <w:p>
      <w:pPr>
        <w:pStyle w:val="Heading1"/>
        <w:keepNext/>
      </w:pPr>
      <w:r>
        <w:rPr>
          <w:rFonts w:ascii="Arial" w:hAnsi="Arial" w:cs="Arial"/>
          <w:sz w:val="30"/>
        </w:rPr>
        <w:t>2. Composición de las Cortes Generales</w:t>
      </w:r>
    </w:p>
    <w:p>
      <w:pPr>
        <w:pStyle w:val="Heading2"/>
        <w:keepNext/>
      </w:pPr>
      <w:r>
        <w:rPr>
          <w:rFonts w:ascii="Arial" w:hAnsi="Arial" w:cs="Arial"/>
          <w:sz w:val="25"/>
        </w:rPr>
        <w:t>2.1. El Congreso de los Diputados</w:t>
      </w:r>
    </w:p>
    <w:p>
      <w:pPr>
        <w:jc w:val="both"/>
      </w:pPr>
      <w:r>
        <w:rPr>
          <w:rFonts w:ascii="Arial" w:hAnsi="Arial" w:cs="Arial"/>
          <w:sz w:val="22"/>
        </w:rPr>
        <w:t xml:space="preserve">El artículo 68 de la Constitución fija un marco de entre </w:t>
      </w:r>
      <w:r>
        <w:rPr>
          <w:rFonts w:ascii="Arial" w:hAnsi="Arial" w:cs="Arial"/>
          <w:b/>
          <w:sz w:val="22"/>
        </w:rPr>
        <w:t>300 y 400 diputados</w:t>
      </w:r>
      <w:r>
        <w:rPr>
          <w:rFonts w:ascii="Arial" w:hAnsi="Arial" w:cs="Arial"/>
          <w:sz w:val="22"/>
        </w:rPr>
        <w:t xml:space="preserve">. La </w:t>
      </w:r>
      <w:r>
        <w:rPr>
          <w:rFonts w:ascii="Arial" w:hAnsi="Arial" w:cs="Arial"/>
          <w:b/>
          <w:sz w:val="22"/>
        </w:rPr>
        <w:t>Ley Orgánica 5/1985, de 19 de junio, del Régimen Electoral General</w:t>
      </w:r>
      <w:r>
        <w:rPr>
          <w:rFonts w:ascii="Arial" w:hAnsi="Arial" w:cs="Arial"/>
          <w:sz w:val="22"/>
        </w:rPr>
        <w:t xml:space="preserve"> —LOREG— establece actualmente </w:t>
      </w:r>
      <w:r>
        <w:rPr>
          <w:rFonts w:ascii="Arial" w:hAnsi="Arial" w:cs="Arial"/>
          <w:b/>
          <w:sz w:val="22"/>
        </w:rPr>
        <w:t>350</w:t>
      </w:r>
      <w:r>
        <w:rPr>
          <w:rFonts w:ascii="Arial" w:hAnsi="Arial" w:cs="Arial"/>
          <w:sz w:val="22"/>
        </w:rPr>
        <w:t>.</w:t>
      </w:r>
    </w:p>
    <w:p>
      <w:pPr>
        <w:jc w:val="both"/>
      </w:pPr>
      <w:r>
        <w:rPr>
          <w:rFonts w:ascii="Arial" w:hAnsi="Arial" w:cs="Arial"/>
          <w:sz w:val="22"/>
        </w:rPr>
        <w:t>Sus reglas esenciales son:</w:t>
      </w:r>
    </w:p>
    <w:p>
      <w:pPr>
        <w:pStyle w:val="ListBullet"/>
      </w:pPr>
      <w:r>
        <w:rPr>
          <w:rFonts w:ascii="Arial" w:hAnsi="Arial" w:cs="Arial"/>
          <w:sz w:val="22"/>
        </w:rPr>
        <w:t>sufragio universal, libre, igual, directo y secreto;</w:t>
      </w:r>
    </w:p>
    <w:p>
      <w:pPr>
        <w:pStyle w:val="ListBullet"/>
      </w:pPr>
      <w:r>
        <w:rPr>
          <w:rFonts w:ascii="Arial" w:hAnsi="Arial" w:cs="Arial"/>
          <w:sz w:val="22"/>
        </w:rPr>
        <w:t>provincia como circunscripción electoral;</w:t>
      </w:r>
    </w:p>
    <w:p>
      <w:pPr>
        <w:pStyle w:val="ListBullet"/>
      </w:pPr>
      <w:r>
        <w:rPr>
          <w:rFonts w:ascii="Arial" w:hAnsi="Arial" w:cs="Arial"/>
          <w:sz w:val="22"/>
        </w:rPr>
        <w:t>un diputado para Ceuta y uno para Melilla;</w:t>
      </w:r>
    </w:p>
    <w:p>
      <w:pPr>
        <w:pStyle w:val="ListBullet"/>
      </w:pPr>
      <w:r>
        <w:rPr>
          <w:rFonts w:ascii="Arial" w:hAnsi="Arial" w:cs="Arial"/>
          <w:sz w:val="22"/>
        </w:rPr>
        <w:t>representación mínima inicial de cada provincia y distribución de los restantes escaños según población;</w:t>
      </w:r>
    </w:p>
    <w:p>
      <w:pPr>
        <w:pStyle w:val="ListBullet"/>
      </w:pPr>
      <w:r>
        <w:rPr>
          <w:rFonts w:ascii="Arial" w:hAnsi="Arial" w:cs="Arial"/>
          <w:sz w:val="22"/>
        </w:rPr>
        <w:t>elección conforme a criterios de representación proporcional;</w:t>
      </w:r>
    </w:p>
    <w:p>
      <w:pPr>
        <w:pStyle w:val="ListBullet"/>
      </w:pPr>
      <w:r>
        <w:rPr>
          <w:rFonts w:ascii="Arial" w:hAnsi="Arial" w:cs="Arial"/>
          <w:sz w:val="22"/>
        </w:rPr>
        <w:t>mandato de cuatro años, salvo disolución anterior.</w:t>
      </w:r>
    </w:p>
    <w:p>
      <w:pPr>
        <w:jc w:val="both"/>
      </w:pPr>
      <w:r>
        <w:rPr>
          <w:rFonts w:ascii="Arial" w:hAnsi="Arial" w:cs="Arial"/>
          <w:sz w:val="22"/>
        </w:rPr>
        <w:t>La LOREG asigna inicialmente dos diputados a cada provincia, con la excepción de Ceuta y Melilla, y distribuye los demás en proporción a la población. Para adjudicar escaños se aplica en cada circunscripción el sistema D'Hondt. No se tienen en cuenta las candidaturas que no alcancen al menos el 3 % de los votos válidos emitidos en la circunscripción.</w:t>
      </w:r>
    </w:p>
    <w:p>
      <w:pPr>
        <w:jc w:val="both"/>
      </w:pPr>
      <w:r>
        <w:rPr>
          <w:rFonts w:ascii="Arial" w:hAnsi="Arial" w:cs="Arial"/>
          <w:sz w:val="22"/>
        </w:rPr>
        <w:t>Conviene distinguir tres cifras:</w:t>
      </w:r>
    </w:p>
    <w:tbl>
      <w:tblPr>
        <w:tblStyle w:val="TableGrid"/>
        <w:tblW w:type="dxa" w:w="9026"/>
        <w:jc w:val="left"/>
        <w:tblLayout w:type="fixed"/>
        <w:tblLook w:firstColumn="1" w:firstRow="1" w:lastColumn="0" w:lastRow="0" w:noHBand="0" w:noVBand="1" w:val="04A0"/>
        <w:tblInd w:w="120" w:type="dxa"/>
      </w:tblPr>
      <w:tblGrid>
        <w:gridCol w:w="5641"/>
        <w:gridCol w:w="3385"/>
      </w:tblGrid>
      <w:tr>
        <w:trPr>
          <w:tblHeader w:val="true"/>
        </w:trPr>
        <w:tc>
          <w:tcPr>
            <w:tcW w:type="dxa" w:w="56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33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Cifra</w:t>
            </w:r>
          </w:p>
        </w:tc>
      </w:tr>
      <w:tr>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Mínimo constitucional</w:t>
            </w:r>
          </w:p>
        </w:tc>
        <w:tc>
          <w:tcPr>
            <w:tcW w:type="dxa" w:w="3385"/>
            <w:tcMar>
              <w:top w:w="80" w:type="dxa"/>
              <w:start w:w="120" w:type="dxa"/>
              <w:bottom w:w="80" w:type="dxa"/>
              <w:end w:w="120" w:type="dxa"/>
            </w:tcMar>
            <w:vAlign w:val="center"/>
          </w:tcPr>
          <w:p>
            <w:pPr>
              <w:spacing w:before="0" w:after="0" w:line="240" w:lineRule="auto"/>
              <w:jc w:val="center"/>
            </w:pPr>
            <w:r/>
            <w:r>
              <w:rPr>
                <w:rFonts w:ascii="Arial" w:hAnsi="Arial" w:cs="Arial"/>
                <w:sz w:val="18"/>
              </w:rPr>
              <w:t>300 diputados</w:t>
            </w:r>
          </w:p>
        </w:tc>
      </w:tr>
      <w:tr>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Máximo constitucional</w:t>
            </w:r>
          </w:p>
        </w:tc>
        <w:tc>
          <w:tcPr>
            <w:tcW w:type="dxa" w:w="3385"/>
            <w:tcMar>
              <w:top w:w="80" w:type="dxa"/>
              <w:start w:w="120" w:type="dxa"/>
              <w:bottom w:w="80" w:type="dxa"/>
              <w:end w:w="120" w:type="dxa"/>
            </w:tcMar>
            <w:vAlign w:val="center"/>
          </w:tcPr>
          <w:p>
            <w:pPr>
              <w:spacing w:before="0" w:after="0" w:line="240" w:lineRule="auto"/>
              <w:jc w:val="center"/>
            </w:pPr>
            <w:r/>
            <w:r>
              <w:rPr>
                <w:rFonts w:ascii="Arial" w:hAnsi="Arial" w:cs="Arial"/>
                <w:sz w:val="18"/>
              </w:rPr>
              <w:t>400 diputados</w:t>
            </w:r>
          </w:p>
        </w:tc>
      </w:tr>
      <w:tr>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Número legal vigente</w:t>
            </w:r>
          </w:p>
        </w:tc>
        <w:tc>
          <w:tcPr>
            <w:tcW w:type="dxa" w:w="3385"/>
            <w:tcMar>
              <w:top w:w="80" w:type="dxa"/>
              <w:start w:w="120" w:type="dxa"/>
              <w:bottom w:w="80" w:type="dxa"/>
              <w:end w:w="120" w:type="dxa"/>
            </w:tcMar>
            <w:vAlign w:val="center"/>
          </w:tcPr>
          <w:p>
            <w:pPr>
              <w:spacing w:before="0" w:after="0" w:line="240" w:lineRule="auto"/>
              <w:jc w:val="center"/>
            </w:pPr>
            <w:r/>
            <w:r>
              <w:rPr>
                <w:rFonts w:ascii="Arial" w:hAnsi="Arial" w:cs="Arial"/>
                <w:sz w:val="18"/>
              </w:rPr>
              <w:t>350 diputados</w:t>
            </w:r>
          </w:p>
        </w:tc>
      </w:tr>
    </w:tbl>
    <w:p>
      <w:pPr>
        <w:spacing w:after="40"/>
      </w:pPr>
    </w:p>
    <w:p>
      <w:pPr>
        <w:jc w:val="both"/>
      </w:pPr>
      <w:r>
        <w:rPr>
          <w:rFonts w:ascii="Arial" w:hAnsi="Arial" w:cs="Arial"/>
          <w:sz w:val="22"/>
        </w:rPr>
        <w:t>El Congreso es elegido por cuatro años. El mandato termina cuatro años después de la elección o el día de la disolución. Las elecciones deben celebrarse entre los treinta y los sesenta días siguientes a la terminación del mandato y el Congreso electo ha de ser convocado dentro de los veinticinco días siguientes a la celebración de las elecciones.</w:t>
      </w:r>
    </w:p>
    <w:p>
      <w:pPr>
        <w:pStyle w:val="Heading2"/>
        <w:keepNext/>
      </w:pPr>
      <w:r>
        <w:rPr>
          <w:rFonts w:ascii="Arial" w:hAnsi="Arial" w:cs="Arial"/>
          <w:sz w:val="25"/>
        </w:rPr>
        <w:t>2.2. El Senado</w:t>
      </w:r>
    </w:p>
    <w:p>
      <w:pPr>
        <w:jc w:val="both"/>
      </w:pPr>
      <w:r>
        <w:rPr>
          <w:rFonts w:ascii="Arial" w:hAnsi="Arial" w:cs="Arial"/>
          <w:sz w:val="22"/>
        </w:rPr>
        <w:t xml:space="preserve">El artículo 69.1 define al Senado como </w:t>
      </w:r>
      <w:r>
        <w:rPr>
          <w:rFonts w:ascii="Arial" w:hAnsi="Arial" w:cs="Arial"/>
          <w:b/>
          <w:sz w:val="22"/>
        </w:rPr>
        <w:t>Cámara de representación territorial</w:t>
      </w:r>
      <w:r>
        <w:rPr>
          <w:rFonts w:ascii="Arial" w:hAnsi="Arial" w:cs="Arial"/>
          <w:sz w:val="22"/>
        </w:rPr>
        <w:t>. Su composición combina senadores elegidos directamente y senadores designados por las Comunidades Autónomas.</w:t>
      </w:r>
    </w:p>
    <w:p>
      <w:pPr>
        <w:pStyle w:val="Heading3"/>
        <w:keepNext/>
      </w:pPr>
      <w:r>
        <w:rPr>
          <w:rFonts w:ascii="Arial" w:hAnsi="Arial" w:cs="Arial"/>
          <w:sz w:val="23"/>
        </w:rPr>
        <w:t>A) Senadores de elección directa</w:t>
      </w:r>
    </w:p>
    <w:p>
      <w:pPr>
        <w:jc w:val="both"/>
      </w:pPr>
      <w:r>
        <w:rPr>
          <w:rFonts w:ascii="Arial" w:hAnsi="Arial" w:cs="Arial"/>
          <w:sz w:val="22"/>
        </w:rPr>
        <w:t xml:space="preserve">La regla provincial general es de </w:t>
      </w:r>
      <w:r>
        <w:rPr>
          <w:rFonts w:ascii="Arial" w:hAnsi="Arial" w:cs="Arial"/>
          <w:b/>
          <w:sz w:val="22"/>
        </w:rPr>
        <w:t>cuatro senadores por provincia</w:t>
      </w:r>
      <w:r>
        <w:rPr>
          <w:rFonts w:ascii="Arial" w:hAnsi="Arial" w:cs="Arial"/>
          <w:sz w:val="22"/>
        </w:rPr>
        <w:t>, elegidos por sufragio universal, libre, igual, directo y secreto.</w:t>
      </w:r>
    </w:p>
    <w:p>
      <w:pPr>
        <w:jc w:val="both"/>
      </w:pPr>
      <w:r>
        <w:rPr>
          <w:rFonts w:ascii="Arial" w:hAnsi="Arial" w:cs="Arial"/>
          <w:sz w:val="22"/>
        </w:rPr>
        <w:t>Existen reglas especiales:</w:t>
      </w:r>
    </w:p>
    <w:p>
      <w:pPr>
        <w:pStyle w:val="ListBullet"/>
      </w:pPr>
      <w:r>
        <w:rPr>
          <w:rFonts w:ascii="Arial" w:hAnsi="Arial" w:cs="Arial"/>
          <w:sz w:val="22"/>
        </w:rPr>
        <w:t>Gran Canaria, Mallorca y Tenerife eligen tres senadores cada una;</w:t>
      </w:r>
    </w:p>
    <w:p>
      <w:pPr>
        <w:pStyle w:val="ListBullet"/>
      </w:pPr>
      <w:r>
        <w:rPr>
          <w:rFonts w:ascii="Arial" w:hAnsi="Arial" w:cs="Arial"/>
          <w:sz w:val="22"/>
        </w:rPr>
        <w:t>Ibiza, Formentera, Menorca, Fuerteventura, La Gomera, El Hierro, Lanzarote y La Palma eligen uno cada una;</w:t>
      </w:r>
    </w:p>
    <w:p>
      <w:pPr>
        <w:pStyle w:val="ListBullet"/>
      </w:pPr>
      <w:r>
        <w:rPr>
          <w:rFonts w:ascii="Arial" w:hAnsi="Arial" w:cs="Arial"/>
          <w:sz w:val="22"/>
        </w:rPr>
        <w:t>Ceuta y Melilla eligen dos senadores cada una.</w:t>
      </w:r>
    </w:p>
    <w:p>
      <w:pPr>
        <w:pStyle w:val="Heading3"/>
        <w:keepNext/>
      </w:pPr>
      <w:r>
        <w:rPr>
          <w:rFonts w:ascii="Arial" w:hAnsi="Arial" w:cs="Arial"/>
          <w:sz w:val="23"/>
        </w:rPr>
        <w:t>B) Senadores de designación autonómica</w:t>
      </w:r>
    </w:p>
    <w:p>
      <w:pPr>
        <w:jc w:val="both"/>
      </w:pPr>
      <w:r>
        <w:rPr>
          <w:rFonts w:ascii="Arial" w:hAnsi="Arial" w:cs="Arial"/>
          <w:sz w:val="22"/>
        </w:rPr>
        <w:t>Cada Comunidad Autónoma designa:</w:t>
      </w:r>
    </w:p>
    <w:p>
      <w:pPr>
        <w:pStyle w:val="ListBullet"/>
      </w:pPr>
      <w:r>
        <w:rPr>
          <w:rFonts w:ascii="Arial" w:hAnsi="Arial" w:cs="Arial"/>
          <w:sz w:val="22"/>
        </w:rPr>
        <w:t>un senador inicial;</w:t>
      </w:r>
    </w:p>
    <w:p>
      <w:pPr>
        <w:pStyle w:val="ListBullet"/>
      </w:pPr>
      <w:r>
        <w:rPr>
          <w:rFonts w:ascii="Arial" w:hAnsi="Arial" w:cs="Arial"/>
          <w:sz w:val="22"/>
        </w:rPr>
        <w:t>otro más por cada millón de habitantes de su territorio.</w:t>
      </w:r>
    </w:p>
    <w:p>
      <w:pPr>
        <w:jc w:val="both"/>
      </w:pPr>
      <w:r>
        <w:rPr>
          <w:rFonts w:ascii="Arial" w:hAnsi="Arial" w:cs="Arial"/>
          <w:sz w:val="22"/>
        </w:rPr>
        <w:t>La designación corresponde a la Asamblea legislativa autonómica o, si no existe, al órgano colegiado superior de la Comunidad, según los Estatutos. En todo caso debe asegurarse la adecuada representación proporcional.</w:t>
      </w:r>
    </w:p>
    <w:p>
      <w:pPr>
        <w:jc w:val="both"/>
      </w:pPr>
      <w:r>
        <w:rPr>
          <w:rFonts w:ascii="Arial" w:hAnsi="Arial" w:cs="Arial"/>
          <w:sz w:val="22"/>
        </w:rPr>
        <w:t>El Senado también tiene mandato de cuatro años y el mandato de sus miembros termina cuatro años después de la elección o el día de la disolución.</w:t>
      </w:r>
    </w:p>
    <w:p>
      <w:pPr>
        <w:pStyle w:val="Heading3"/>
        <w:keepNext/>
      </w:pPr>
      <w:r>
        <w:rPr>
          <w:rFonts w:ascii="Arial" w:hAnsi="Arial" w:cs="Arial"/>
          <w:sz w:val="23"/>
        </w:rPr>
        <w:t>C) Reforma constitucional de 2026: Ibiza y Formentera</w:t>
      </w:r>
    </w:p>
    <w:p>
      <w:pPr>
        <w:jc w:val="both"/>
      </w:pPr>
      <w:r>
        <w:rPr>
          <w:rFonts w:ascii="Arial" w:hAnsi="Arial" w:cs="Arial"/>
          <w:sz w:val="22"/>
        </w:rPr>
        <w:t xml:space="preserve">La </w:t>
      </w:r>
      <w:r>
        <w:rPr>
          <w:rFonts w:ascii="Arial" w:hAnsi="Arial" w:cs="Arial"/>
          <w:b/>
          <w:sz w:val="22"/>
        </w:rPr>
        <w:t>Reforma del apartado 3 del artículo 69 de la Constitución Española, a los efectos de que la isla de Formentera elija un senador propio, de 19 de mayo de 2026</w:t>
      </w:r>
      <w:r>
        <w:rPr>
          <w:rFonts w:ascii="Arial" w:hAnsi="Arial" w:cs="Arial"/>
          <w:sz w:val="22"/>
        </w:rPr>
        <w:t xml:space="preserve">, publicada y vigente desde el </w:t>
      </w:r>
      <w:r>
        <w:rPr>
          <w:rFonts w:ascii="Arial" w:hAnsi="Arial" w:cs="Arial"/>
          <w:b/>
          <w:sz w:val="22"/>
        </w:rPr>
        <w:t>20 de mayo de 2026</w:t>
      </w:r>
      <w:r>
        <w:rPr>
          <w:rFonts w:ascii="Arial" w:hAnsi="Arial" w:cs="Arial"/>
          <w:sz w:val="22"/>
        </w:rPr>
        <w:t>, sustituyó la antigua circunscripción conjunta de Ibiza-Formentera por dos circunscripciones distintas, con un senador cada una.</w:t>
      </w:r>
    </w:p>
    <w:p>
      <w:pPr>
        <w:jc w:val="both"/>
      </w:pPr>
      <w:r>
        <w:rPr>
          <w:rFonts w:ascii="Arial" w:hAnsi="Arial" w:cs="Arial"/>
          <w:sz w:val="22"/>
        </w:rPr>
        <w:t xml:space="preserve">La disposición transitoria única difiere la eficacia de la creación de ambas circunscripciones hasta la convocatoria de las primeras elecciones al Senado celebradas tras la entrada en vigor de la reforma. La </w:t>
      </w:r>
      <w:r>
        <w:rPr>
          <w:rFonts w:ascii="Arial" w:hAnsi="Arial" w:cs="Arial"/>
          <w:b/>
          <w:sz w:val="22"/>
        </w:rPr>
        <w:t>Ley Orgánica 2/2026, de 30 de junio, de modificación de la Ley Orgánica 5/1985, de 19 de junio, del Régimen Electoral General, para adaptarla a la reforma del apartado 3 del artículo 69 de la Constitución</w:t>
      </w:r>
      <w:r>
        <w:rPr>
          <w:rFonts w:ascii="Arial" w:hAnsi="Arial" w:cs="Arial"/>
          <w:sz w:val="22"/>
        </w:rPr>
        <w:t>, modificó los artículos 161.2 y 165.2 LOREG y entró en vigor el 3 de julio de 2026.</w:t>
      </w:r>
    </w:p>
    <w:p>
      <w:pPr>
        <w:jc w:val="both"/>
      </w:pPr>
      <w:r>
        <w:rPr>
          <w:rFonts w:ascii="Arial" w:hAnsi="Arial" w:cs="Arial"/>
          <w:sz w:val="22"/>
        </w:rPr>
        <w:t>Para el examen:</w:t>
      </w:r>
    </w:p>
    <w:p>
      <w:pPr>
        <w:pStyle w:val="ListBullet"/>
      </w:pPr>
      <w:r>
        <w:rPr>
          <w:rFonts w:ascii="Arial" w:hAnsi="Arial" w:cs="Arial"/>
          <w:b/>
          <w:sz w:val="22"/>
        </w:rPr>
        <w:t>texto constitucional actual</w:t>
      </w:r>
      <w:r>
        <w:rPr>
          <w:rFonts w:ascii="Arial" w:hAnsi="Arial" w:cs="Arial"/>
          <w:sz w:val="22"/>
        </w:rPr>
        <w:t>: Ibiza y Formentera aparecen separadas;</w:t>
      </w:r>
    </w:p>
    <w:p>
      <w:pPr>
        <w:pStyle w:val="ListBullet"/>
      </w:pPr>
      <w:r>
        <w:rPr>
          <w:rFonts w:ascii="Arial" w:hAnsi="Arial" w:cs="Arial"/>
          <w:b/>
          <w:sz w:val="22"/>
        </w:rPr>
        <w:t>eficacia electoral</w:t>
      </w:r>
      <w:r>
        <w:rPr>
          <w:rFonts w:ascii="Arial" w:hAnsi="Arial" w:cs="Arial"/>
          <w:sz w:val="22"/>
        </w:rPr>
        <w:t>: se aplica en las primeras elecciones al Senado convocadas después del 20 de mayo de 2026;</w:t>
      </w:r>
    </w:p>
    <w:p>
      <w:pPr>
        <w:pStyle w:val="ListBullet"/>
      </w:pPr>
      <w:r>
        <w:rPr>
          <w:rFonts w:ascii="Arial" w:hAnsi="Arial" w:cs="Arial"/>
          <w:b/>
          <w:sz w:val="22"/>
        </w:rPr>
        <w:t>norma de adaptación</w:t>
      </w:r>
      <w:r>
        <w:rPr>
          <w:rFonts w:ascii="Arial" w:hAnsi="Arial" w:cs="Arial"/>
          <w:sz w:val="22"/>
        </w:rPr>
        <w:t>: LO 2/2026;</w:t>
      </w:r>
    </w:p>
    <w:p>
      <w:pPr>
        <w:pStyle w:val="ListBullet"/>
      </w:pPr>
      <w:r>
        <w:rPr>
          <w:rFonts w:ascii="Arial" w:hAnsi="Arial" w:cs="Arial"/>
          <w:b/>
          <w:sz w:val="22"/>
        </w:rPr>
        <w:t>error que debe evitarse</w:t>
      </w:r>
      <w:r>
        <w:rPr>
          <w:rFonts w:ascii="Arial" w:hAnsi="Arial" w:cs="Arial"/>
          <w:sz w:val="22"/>
        </w:rPr>
        <w:t>: seguir diciendo que Ibiza-Formentera elige conjuntamente un senador.</w:t>
      </w:r>
    </w:p>
    <w:p>
      <w:pPr>
        <w:pStyle w:val="Heading2"/>
        <w:keepNext/>
      </w:pPr>
      <w:r>
        <w:rPr>
          <w:rFonts w:ascii="Arial" w:hAnsi="Arial" w:cs="Arial"/>
          <w:sz w:val="25"/>
        </w:rPr>
        <w:t>2.3. Electores, elegibles e inelegibilidades</w:t>
      </w:r>
    </w:p>
    <w:p>
      <w:pPr>
        <w:jc w:val="both"/>
      </w:pPr>
      <w:r>
        <w:rPr>
          <w:rFonts w:ascii="Arial" w:hAnsi="Arial" w:cs="Arial"/>
          <w:sz w:val="22"/>
        </w:rPr>
        <w:t>Son electores y elegibles los españoles que estén en pleno uso de sus derechos políticos. La ley debe reconocer y el Estado facilitar el sufragio de los españoles que se encuentren fuera de España.</w:t>
      </w:r>
    </w:p>
    <w:p>
      <w:pPr>
        <w:jc w:val="both"/>
      </w:pPr>
      <w:r>
        <w:rPr>
          <w:rFonts w:ascii="Arial" w:hAnsi="Arial" w:cs="Arial"/>
          <w:sz w:val="22"/>
        </w:rPr>
        <w:t>El artículo 70 remite a la ley electoral la determinación de las causas de inelegibilidad e incompatibilidad y exige que comprenda, al menos:</w:t>
      </w:r>
    </w:p>
    <w:p>
      <w:pPr>
        <w:pStyle w:val="ListBullet"/>
      </w:pPr>
      <w:r>
        <w:rPr>
          <w:rFonts w:ascii="Arial" w:hAnsi="Arial" w:cs="Arial"/>
          <w:sz w:val="22"/>
        </w:rPr>
        <w:t>componentes del Tribunal Constitucional;</w:t>
      </w:r>
    </w:p>
    <w:p>
      <w:pPr>
        <w:pStyle w:val="ListBullet"/>
      </w:pPr>
      <w:r>
        <w:rPr>
          <w:rFonts w:ascii="Arial" w:hAnsi="Arial" w:cs="Arial"/>
          <w:sz w:val="22"/>
        </w:rPr>
        <w:t>altos cargos de la Administración del Estado que determine la ley, salvo miembros del Gobierno;</w:t>
      </w:r>
    </w:p>
    <w:p>
      <w:pPr>
        <w:pStyle w:val="ListBullet"/>
      </w:pPr>
      <w:r>
        <w:rPr>
          <w:rFonts w:ascii="Arial" w:hAnsi="Arial" w:cs="Arial"/>
          <w:sz w:val="22"/>
        </w:rPr>
        <w:t>Defensor del Pueblo;</w:t>
      </w:r>
    </w:p>
    <w:p>
      <w:pPr>
        <w:pStyle w:val="ListBullet"/>
      </w:pPr>
      <w:r>
        <w:rPr>
          <w:rFonts w:ascii="Arial" w:hAnsi="Arial" w:cs="Arial"/>
          <w:sz w:val="22"/>
        </w:rPr>
        <w:t>magistrados, jueces y fiscales en activo;</w:t>
      </w:r>
    </w:p>
    <w:p>
      <w:pPr>
        <w:pStyle w:val="ListBullet"/>
      </w:pPr>
      <w:r>
        <w:rPr>
          <w:rFonts w:ascii="Arial" w:hAnsi="Arial" w:cs="Arial"/>
          <w:sz w:val="22"/>
        </w:rPr>
        <w:t>militares profesionales y miembros de las Fuerzas y Cuerpos de Seguridad y Policía en activo;</w:t>
      </w:r>
    </w:p>
    <w:p>
      <w:pPr>
        <w:pStyle w:val="ListBullet"/>
      </w:pPr>
      <w:r>
        <w:rPr>
          <w:rFonts w:ascii="Arial" w:hAnsi="Arial" w:cs="Arial"/>
          <w:sz w:val="22"/>
        </w:rPr>
        <w:t>miembros de las Juntas Electorales.</w:t>
      </w:r>
    </w:p>
    <w:p>
      <w:pPr>
        <w:jc w:val="both"/>
      </w:pPr>
      <w:r>
        <w:rPr>
          <w:rFonts w:ascii="Arial" w:hAnsi="Arial" w:cs="Arial"/>
          <w:sz w:val="22"/>
        </w:rPr>
        <w:t>La validez de las actas y credenciales queda sometida al control judicial en los términos de la legislación electoral.</w:t>
      </w:r>
    </w:p>
    <w:p>
      <w:pPr>
        <w:jc w:val="both"/>
      </w:pPr>
      <w:r>
        <w:rPr>
          <w:rFonts w:ascii="Arial" w:hAnsi="Arial" w:cs="Arial"/>
          <w:b/>
          <w:sz w:val="22"/>
        </w:rPr>
        <w:t>Inelegibilidad</w:t>
      </w:r>
      <w:r>
        <w:rPr>
          <w:rFonts w:ascii="Arial" w:hAnsi="Arial" w:cs="Arial"/>
          <w:sz w:val="22"/>
        </w:rPr>
        <w:t xml:space="preserve"> impide presentarse válidamente o ser elegido mientras concurre la causa. </w:t>
      </w:r>
      <w:r>
        <w:rPr>
          <w:rFonts w:ascii="Arial" w:hAnsi="Arial" w:cs="Arial"/>
          <w:b/>
          <w:sz w:val="22"/>
        </w:rPr>
        <w:t>Incompatibilidad</w:t>
      </w:r>
      <w:r>
        <w:rPr>
          <w:rFonts w:ascii="Arial" w:hAnsi="Arial" w:cs="Arial"/>
          <w:sz w:val="22"/>
        </w:rPr>
        <w:t xml:space="preserve"> impide conservar simultáneamente el escaño y otra situación o actividad. Aunque puedan coincidir en ciertos supuestos, no son conceptos idénticos.</w:t>
      </w:r>
    </w:p>
    <w:p>
      <w:pPr>
        <w:pStyle w:val="Heading1"/>
        <w:keepNext/>
      </w:pPr>
      <w:r>
        <w:rPr>
          <w:rFonts w:ascii="Arial" w:hAnsi="Arial" w:cs="Arial"/>
          <w:sz w:val="30"/>
        </w:rPr>
        <w:t>3. Estatuto de diputados y senadores</w:t>
      </w:r>
    </w:p>
    <w:p>
      <w:pPr>
        <w:pStyle w:val="Heading2"/>
        <w:keepNext/>
      </w:pPr>
      <w:r>
        <w:rPr>
          <w:rFonts w:ascii="Arial" w:hAnsi="Arial" w:cs="Arial"/>
          <w:sz w:val="25"/>
        </w:rPr>
        <w:t>3.1. Adquisición y pérdida de la condición</w:t>
      </w:r>
    </w:p>
    <w:p>
      <w:pPr>
        <w:jc w:val="both"/>
      </w:pPr>
      <w:r>
        <w:rPr>
          <w:rFonts w:ascii="Arial" w:hAnsi="Arial" w:cs="Arial"/>
          <w:sz w:val="22"/>
        </w:rPr>
        <w:t>En el Congreso, la persona proclamada electa adquiere la condición plena cuando cumple conjuntamente:</w:t>
      </w:r>
    </w:p>
    <w:p>
      <w:pPr>
        <w:spacing w:after="40"/>
        <w:ind w:left="369" w:hanging="227"/>
      </w:pPr>
      <w:r>
        <w:rPr>
          <w:rFonts w:ascii="Arial" w:hAnsi="Arial" w:cs="Arial"/>
          <w:sz w:val="22"/>
        </w:rPr>
        <w:t>1. presentar la credencial electoral en la Secretaría General;</w:t>
      </w:r>
    </w:p>
    <w:p>
      <w:pPr>
        <w:spacing w:after="40"/>
        <w:ind w:left="369" w:hanging="227"/>
      </w:pPr>
      <w:r>
        <w:rPr>
          <w:rFonts w:ascii="Arial" w:hAnsi="Arial" w:cs="Arial"/>
          <w:sz w:val="22"/>
        </w:rPr>
        <w:t>2. cumplimentar su declaración de actividades según la LOREG;</w:t>
      </w:r>
    </w:p>
    <w:p>
      <w:pPr>
        <w:spacing w:after="40"/>
        <w:ind w:left="369" w:hanging="227"/>
      </w:pPr>
      <w:r>
        <w:rPr>
          <w:rFonts w:ascii="Arial" w:hAnsi="Arial" w:cs="Arial"/>
          <w:sz w:val="22"/>
        </w:rPr>
        <w:t>3. prestar promesa o juramento de acatar la Constitución en la primera sesión plenaria a la que asista.</w:t>
      </w:r>
    </w:p>
    <w:p>
      <w:pPr>
        <w:jc w:val="both"/>
      </w:pPr>
      <w:r>
        <w:rPr>
          <w:rFonts w:ascii="Arial" w:hAnsi="Arial" w:cs="Arial"/>
          <w:sz w:val="22"/>
        </w:rPr>
        <w:t>Los derechos y prerrogativas son efectivos desde la proclamación. No obstante, si transcurren tres sesiones plenarias sin adquirir la condición plena, quedan suspendidos hasta cumplir los requisitos reglamentarios.</w:t>
      </w:r>
    </w:p>
    <w:p>
      <w:pPr>
        <w:jc w:val="both"/>
      </w:pPr>
      <w:r>
        <w:rPr>
          <w:rFonts w:ascii="Arial" w:hAnsi="Arial" w:cs="Arial"/>
          <w:sz w:val="22"/>
        </w:rPr>
        <w:t>El Reglamento del Congreso contempla como causas de pérdida: decisión judicial firme que anule la elección o proclamación; fallecimiento o incapacitación declarada judicialmente; extinción del mandato o disolución; y renuncia presentada ante la Mesa.</w:t>
      </w:r>
    </w:p>
    <w:p>
      <w:pPr>
        <w:pStyle w:val="Heading2"/>
        <w:keepNext/>
      </w:pPr>
      <w:r>
        <w:rPr>
          <w:rFonts w:ascii="Arial" w:hAnsi="Arial" w:cs="Arial"/>
          <w:sz w:val="25"/>
        </w:rPr>
        <w:t>3.2. Inviolabilidad</w:t>
      </w:r>
    </w:p>
    <w:p>
      <w:pPr>
        <w:jc w:val="both"/>
      </w:pPr>
      <w:r>
        <w:rPr>
          <w:rFonts w:ascii="Arial" w:hAnsi="Arial" w:cs="Arial"/>
          <w:sz w:val="22"/>
        </w:rPr>
        <w:t>Diputados y senadores gozan de inviolabilidad por las opiniones manifestadas en el ejercicio de sus funciones. Protege la libertad de palabra y voto en la actividad parlamentaria y subsiste respecto de esas opiniones aunque termine el mandato.</w:t>
      </w:r>
    </w:p>
    <w:p>
      <w:pPr>
        <w:jc w:val="both"/>
      </w:pPr>
      <w:r>
        <w:rPr>
          <w:rFonts w:ascii="Arial" w:hAnsi="Arial" w:cs="Arial"/>
          <w:sz w:val="22"/>
        </w:rPr>
        <w:t>No cubre cualquier declaración privada ni hechos ajenos a la función. Su fundamento no es el beneficio personal, sino la libertad e independencia de la Cámara.</w:t>
      </w:r>
    </w:p>
    <w:p>
      <w:pPr>
        <w:pStyle w:val="Heading2"/>
        <w:keepNext/>
      </w:pPr>
      <w:r>
        <w:rPr>
          <w:rFonts w:ascii="Arial" w:hAnsi="Arial" w:cs="Arial"/>
          <w:sz w:val="25"/>
        </w:rPr>
        <w:t>3.3. Inmunidad y suplicatorio</w:t>
      </w:r>
    </w:p>
    <w:p>
      <w:pPr>
        <w:jc w:val="both"/>
      </w:pPr>
      <w:r>
        <w:rPr>
          <w:rFonts w:ascii="Arial" w:hAnsi="Arial" w:cs="Arial"/>
          <w:sz w:val="22"/>
        </w:rPr>
        <w:t>Durante el mandato gozan de inmunidad:</w:t>
      </w:r>
    </w:p>
    <w:p>
      <w:pPr>
        <w:pStyle w:val="ListBullet"/>
      </w:pPr>
      <w:r>
        <w:rPr>
          <w:rFonts w:ascii="Arial" w:hAnsi="Arial" w:cs="Arial"/>
          <w:sz w:val="22"/>
        </w:rPr>
        <w:t>solo pueden ser detenidos en caso de flagrante delito;</w:t>
      </w:r>
    </w:p>
    <w:p>
      <w:pPr>
        <w:pStyle w:val="ListBullet"/>
      </w:pPr>
      <w:r>
        <w:rPr>
          <w:rFonts w:ascii="Arial" w:hAnsi="Arial" w:cs="Arial"/>
          <w:sz w:val="22"/>
        </w:rPr>
        <w:t>no pueden ser inculpados ni procesados sin autorización previa de la Cámara respectiva.</w:t>
      </w:r>
    </w:p>
    <w:p>
      <w:pPr>
        <w:jc w:val="both"/>
      </w:pPr>
      <w:r>
        <w:rPr>
          <w:rFonts w:ascii="Arial" w:hAnsi="Arial" w:cs="Arial"/>
          <w:sz w:val="22"/>
        </w:rPr>
        <w:t xml:space="preserve">La solicitud judicial de autorización se denomina </w:t>
      </w:r>
      <w:r>
        <w:rPr>
          <w:rFonts w:ascii="Arial" w:hAnsi="Arial" w:cs="Arial"/>
          <w:b/>
          <w:sz w:val="22"/>
        </w:rPr>
        <w:t>suplicatorio</w:t>
      </w:r>
      <w:r>
        <w:rPr>
          <w:rFonts w:ascii="Arial" w:hAnsi="Arial" w:cs="Arial"/>
          <w:sz w:val="22"/>
        </w:rPr>
        <w:t>. En el Congreso, la Comisión del Estatuto debe concluir su trabajo en un máximo de treinta días, después de oír al interesado. Si la Cámara no se pronuncia dentro de sesenta días naturales computados durante el período de sesiones desde el día siguiente a la recepción, el suplicatorio se entiende denegado.</w:t>
      </w:r>
    </w:p>
    <w:p>
      <w:pPr>
        <w:jc w:val="both"/>
      </w:pPr>
      <w:r>
        <w:rPr>
          <w:rFonts w:ascii="Arial" w:hAnsi="Arial" w:cs="Arial"/>
          <w:sz w:val="22"/>
        </w:rPr>
        <w:t>Inviolabilidad e inmunidad no son intercambiables:</w:t>
      </w:r>
    </w:p>
    <w:tbl>
      <w:tblPr>
        <w:tblStyle w:val="TableGrid"/>
        <w:tblW w:type="dxa" w:w="9026"/>
        <w:jc w:val="left"/>
        <w:tblLayout w:type="fixed"/>
        <w:tblLook w:firstColumn="1" w:firstRow="1" w:lastColumn="0" w:lastRow="0" w:noHBand="0" w:noVBand="1" w:val="04A0"/>
        <w:tblInd w:w="120" w:type="dxa"/>
      </w:tblPr>
      <w:tblGrid>
        <w:gridCol w:w="1469"/>
        <w:gridCol w:w="3149"/>
        <w:gridCol w:w="4408"/>
      </w:tblGrid>
      <w:tr>
        <w:trPr>
          <w:tblHeader w:val="true"/>
        </w:trPr>
        <w:tc>
          <w:tcPr>
            <w:tcW w:type="dxa" w:w="146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Prerrogativa</w:t>
            </w:r>
          </w:p>
        </w:tc>
        <w:tc>
          <w:tcPr>
            <w:tcW w:type="dxa" w:w="314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Qué protege</w:t>
            </w:r>
          </w:p>
        </w:tc>
        <w:tc>
          <w:tcPr>
            <w:tcW w:type="dxa" w:w="440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Ámbito temporal esencial</w:t>
            </w:r>
          </w:p>
        </w:tc>
      </w:tr>
      <w:tr>
        <w:tc>
          <w:tcPr>
            <w:tcW w:type="dxa" w:w="1469"/>
            <w:tcMar>
              <w:top w:w="80" w:type="dxa"/>
              <w:start w:w="120" w:type="dxa"/>
              <w:bottom w:w="80" w:type="dxa"/>
              <w:end w:w="120" w:type="dxa"/>
            </w:tcMar>
            <w:vAlign w:val="center"/>
          </w:tcPr>
          <w:p>
            <w:pPr>
              <w:spacing w:before="0" w:after="0" w:line="240" w:lineRule="auto"/>
              <w:jc w:val="left"/>
            </w:pPr>
            <w:r/>
            <w:r>
              <w:rPr>
                <w:rFonts w:ascii="Arial" w:hAnsi="Arial" w:cs="Arial"/>
                <w:sz w:val="18"/>
              </w:rPr>
              <w:t>Inviolabilidad</w:t>
            </w:r>
          </w:p>
        </w:tc>
        <w:tc>
          <w:tcPr>
            <w:tcW w:type="dxa" w:w="3149"/>
            <w:tcMar>
              <w:top w:w="80" w:type="dxa"/>
              <w:start w:w="120" w:type="dxa"/>
              <w:bottom w:w="80" w:type="dxa"/>
              <w:end w:w="120" w:type="dxa"/>
            </w:tcMar>
            <w:vAlign w:val="center"/>
          </w:tcPr>
          <w:p>
            <w:pPr>
              <w:spacing w:before="0" w:after="0" w:line="240" w:lineRule="auto"/>
              <w:jc w:val="left"/>
            </w:pPr>
            <w:r/>
            <w:r>
              <w:rPr>
                <w:rFonts w:ascii="Arial" w:hAnsi="Arial" w:cs="Arial"/>
                <w:sz w:val="18"/>
              </w:rPr>
              <w:t>Opiniones y votos funcionales</w:t>
            </w:r>
          </w:p>
        </w:tc>
        <w:tc>
          <w:tcPr>
            <w:tcW w:type="dxa" w:w="4408"/>
            <w:tcMar>
              <w:top w:w="80" w:type="dxa"/>
              <w:start w:w="120" w:type="dxa"/>
              <w:bottom w:w="80" w:type="dxa"/>
              <w:end w:w="120" w:type="dxa"/>
            </w:tcMar>
            <w:vAlign w:val="center"/>
          </w:tcPr>
          <w:p>
            <w:pPr>
              <w:spacing w:before="0" w:after="0" w:line="240" w:lineRule="auto"/>
              <w:jc w:val="left"/>
            </w:pPr>
            <w:r/>
            <w:r>
              <w:rPr>
                <w:rFonts w:ascii="Arial" w:hAnsi="Arial" w:cs="Arial"/>
                <w:sz w:val="18"/>
              </w:rPr>
              <w:t>Efectos permanentes respecto del acto protegido</w:t>
            </w:r>
          </w:p>
        </w:tc>
      </w:tr>
      <w:tr>
        <w:tc>
          <w:tcPr>
            <w:tcW w:type="dxa" w:w="1469"/>
            <w:tcMar>
              <w:top w:w="80" w:type="dxa"/>
              <w:start w:w="120" w:type="dxa"/>
              <w:bottom w:w="80" w:type="dxa"/>
              <w:end w:w="120" w:type="dxa"/>
            </w:tcMar>
            <w:vAlign w:val="center"/>
          </w:tcPr>
          <w:p>
            <w:pPr>
              <w:spacing w:before="0" w:after="0" w:line="240" w:lineRule="auto"/>
              <w:jc w:val="left"/>
            </w:pPr>
            <w:r/>
            <w:r>
              <w:rPr>
                <w:rFonts w:ascii="Arial" w:hAnsi="Arial" w:cs="Arial"/>
                <w:sz w:val="18"/>
              </w:rPr>
              <w:t>Inmunidad</w:t>
            </w:r>
          </w:p>
        </w:tc>
        <w:tc>
          <w:tcPr>
            <w:tcW w:type="dxa" w:w="3149"/>
            <w:tcMar>
              <w:top w:w="80" w:type="dxa"/>
              <w:start w:w="120" w:type="dxa"/>
              <w:bottom w:w="80" w:type="dxa"/>
              <w:end w:w="120" w:type="dxa"/>
            </w:tcMar>
            <w:vAlign w:val="center"/>
          </w:tcPr>
          <w:p>
            <w:pPr>
              <w:spacing w:before="0" w:after="0" w:line="240" w:lineRule="auto"/>
              <w:jc w:val="left"/>
            </w:pPr>
            <w:r/>
            <w:r>
              <w:rPr>
                <w:rFonts w:ascii="Arial" w:hAnsi="Arial" w:cs="Arial"/>
                <w:sz w:val="18"/>
              </w:rPr>
              <w:t>Libertad personal y procesamiento</w:t>
            </w:r>
          </w:p>
        </w:tc>
        <w:tc>
          <w:tcPr>
            <w:tcW w:type="dxa" w:w="4408"/>
            <w:tcMar>
              <w:top w:w="80" w:type="dxa"/>
              <w:start w:w="120" w:type="dxa"/>
              <w:bottom w:w="80" w:type="dxa"/>
              <w:end w:w="120" w:type="dxa"/>
            </w:tcMar>
            <w:vAlign w:val="center"/>
          </w:tcPr>
          <w:p>
            <w:pPr>
              <w:spacing w:before="0" w:after="0" w:line="240" w:lineRule="auto"/>
              <w:jc w:val="left"/>
            </w:pPr>
            <w:r/>
            <w:r>
              <w:rPr>
                <w:rFonts w:ascii="Arial" w:hAnsi="Arial" w:cs="Arial"/>
                <w:sz w:val="18"/>
              </w:rPr>
              <w:t>Durante el mandato</w:t>
            </w:r>
          </w:p>
        </w:tc>
      </w:tr>
    </w:tbl>
    <w:p>
      <w:pPr>
        <w:spacing w:after="40"/>
      </w:pPr>
    </w:p>
    <w:p>
      <w:pPr>
        <w:pStyle w:val="Heading2"/>
        <w:keepNext/>
      </w:pPr>
      <w:r>
        <w:rPr>
          <w:rFonts w:ascii="Arial" w:hAnsi="Arial" w:cs="Arial"/>
          <w:sz w:val="25"/>
        </w:rPr>
        <w:t>3.4. Aforamiento y asignación</w:t>
      </w:r>
    </w:p>
    <w:p>
      <w:pPr>
        <w:jc w:val="both"/>
      </w:pPr>
      <w:r>
        <w:rPr>
          <w:rFonts w:ascii="Arial" w:hAnsi="Arial" w:cs="Arial"/>
          <w:sz w:val="22"/>
        </w:rPr>
        <w:t xml:space="preserve">En las causas penales contra diputados y senadores es competente la </w:t>
      </w:r>
      <w:r>
        <w:rPr>
          <w:rFonts w:ascii="Arial" w:hAnsi="Arial" w:cs="Arial"/>
          <w:b/>
          <w:sz w:val="22"/>
        </w:rPr>
        <w:t>Sala de lo Penal del Tribunal Supremo</w:t>
      </w:r>
      <w:r>
        <w:rPr>
          <w:rFonts w:ascii="Arial" w:hAnsi="Arial" w:cs="Arial"/>
          <w:sz w:val="22"/>
        </w:rPr>
        <w:t>. Este aforamiento no convierte al Parlamento en tribunal: la Cámara solo decide, cuando procede, sobre el suplicatorio; la responsabilidad penal corresponde al órgano judicial.</w:t>
      </w:r>
    </w:p>
    <w:p>
      <w:pPr>
        <w:jc w:val="both"/>
      </w:pPr>
      <w:r>
        <w:rPr>
          <w:rFonts w:ascii="Arial" w:hAnsi="Arial" w:cs="Arial"/>
          <w:sz w:val="22"/>
        </w:rPr>
        <w:t>Diputados y senadores perciben una asignación fijada por la Cámara respectiva. Los Reglamentos desarrollan sus derechos económicos, de Seguridad Social, información, asistencia y participación.</w:t>
      </w:r>
    </w:p>
    <w:p>
      <w:pPr>
        <w:pStyle w:val="Heading2"/>
        <w:keepNext/>
      </w:pPr>
      <w:r>
        <w:rPr>
          <w:rFonts w:ascii="Arial" w:hAnsi="Arial" w:cs="Arial"/>
          <w:sz w:val="25"/>
        </w:rPr>
        <w:t>3.5. Derechos y deberes funcionales</w:t>
      </w:r>
    </w:p>
    <w:p>
      <w:pPr>
        <w:jc w:val="both"/>
      </w:pPr>
      <w:r>
        <w:rPr>
          <w:rFonts w:ascii="Arial" w:hAnsi="Arial" w:cs="Arial"/>
          <w:sz w:val="22"/>
        </w:rPr>
        <w:t>Los miembros del Congreso tienen derecho a asistir con voto al Pleno y a las Comisiones de las que formen parte, y pueden asistir sin voto a otras Comisiones. Tienen derecho a formar parte al menos de una Comisión y pueden utilizar cualquiera de las lenguas cooficiales en toda la actividad parlamentaria.</w:t>
      </w:r>
    </w:p>
    <w:p>
      <w:pPr>
        <w:jc w:val="both"/>
      </w:pPr>
      <w:r>
        <w:rPr>
          <w:rFonts w:ascii="Arial" w:hAnsi="Arial" w:cs="Arial"/>
          <w:sz w:val="22"/>
        </w:rPr>
        <w:t>También pueden solicitar a las Administraciones públicas, por conducto de la Presidencia, datos, informes o documentos. La Administración debe facilitar la documentación o exponer las razones jurídicas que impidan hacerlo, con carácter general en un máximo de treinta días.</w:t>
      </w:r>
    </w:p>
    <w:p>
      <w:pPr>
        <w:jc w:val="both"/>
      </w:pPr>
      <w:r>
        <w:rPr>
          <w:rFonts w:ascii="Arial" w:hAnsi="Arial" w:cs="Arial"/>
          <w:sz w:val="22"/>
        </w:rPr>
        <w:t>Entre sus deberes figuran asistir al Pleno y a las Comisiones de las que sean miembros, respetar el orden y la disciplina parlamentarios, no divulgar actuaciones secretas y formular las declaraciones de actividades y bienes exigidas.</w:t>
      </w:r>
    </w:p>
    <w:p>
      <w:pPr>
        <w:pStyle w:val="Heading1"/>
        <w:keepNext/>
      </w:pPr>
      <w:r>
        <w:rPr>
          <w:rFonts w:ascii="Arial" w:hAnsi="Arial" w:cs="Arial"/>
          <w:sz w:val="30"/>
        </w:rPr>
        <w:t>4. Autonomía y organización interna de las Cámaras</w:t>
      </w:r>
    </w:p>
    <w:p>
      <w:pPr>
        <w:pStyle w:val="Heading2"/>
        <w:keepNext/>
      </w:pPr>
      <w:r>
        <w:rPr>
          <w:rFonts w:ascii="Arial" w:hAnsi="Arial" w:cs="Arial"/>
          <w:sz w:val="25"/>
        </w:rPr>
        <w:t>4.1. Autonomía parlamentaria</w:t>
      </w:r>
    </w:p>
    <w:p>
      <w:pPr>
        <w:jc w:val="both"/>
      </w:pPr>
      <w:r>
        <w:rPr>
          <w:rFonts w:ascii="Arial" w:hAnsi="Arial" w:cs="Arial"/>
          <w:sz w:val="22"/>
        </w:rPr>
        <w:t>El artículo 72 reconoce a cada Cámara potestad para:</w:t>
      </w:r>
    </w:p>
    <w:p>
      <w:pPr>
        <w:pStyle w:val="ListBullet"/>
      </w:pPr>
      <w:r>
        <w:rPr>
          <w:rFonts w:ascii="Arial" w:hAnsi="Arial" w:cs="Arial"/>
          <w:sz w:val="22"/>
        </w:rPr>
        <w:t>aprobar su propio Reglamento;</w:t>
      </w:r>
    </w:p>
    <w:p>
      <w:pPr>
        <w:pStyle w:val="ListBullet"/>
      </w:pPr>
      <w:r>
        <w:rPr>
          <w:rFonts w:ascii="Arial" w:hAnsi="Arial" w:cs="Arial"/>
          <w:sz w:val="22"/>
        </w:rPr>
        <w:t>aprobar autónomamente su presupuesto;</w:t>
      </w:r>
    </w:p>
    <w:p>
      <w:pPr>
        <w:pStyle w:val="ListBullet"/>
      </w:pPr>
      <w:r>
        <w:rPr>
          <w:rFonts w:ascii="Arial" w:hAnsi="Arial" w:cs="Arial"/>
          <w:sz w:val="22"/>
        </w:rPr>
        <w:t>elegir a su Presidente y a los demás miembros de su Mesa;</w:t>
      </w:r>
    </w:p>
    <w:p>
      <w:pPr>
        <w:pStyle w:val="ListBullet"/>
      </w:pPr>
      <w:r>
        <w:rPr>
          <w:rFonts w:ascii="Arial" w:hAnsi="Arial" w:cs="Arial"/>
          <w:sz w:val="22"/>
        </w:rPr>
        <w:t>ejercer, por medio de su Presidente, los poderes administrativos y de policía en su sede.</w:t>
      </w:r>
    </w:p>
    <w:p>
      <w:pPr>
        <w:jc w:val="both"/>
      </w:pPr>
      <w:r>
        <w:rPr>
          <w:rFonts w:ascii="Arial" w:hAnsi="Arial" w:cs="Arial"/>
          <w:sz w:val="22"/>
        </w:rPr>
        <w:t xml:space="preserve">Los Reglamentos y sus reformas requieren una votación final sobre la totalidad por </w:t>
      </w:r>
      <w:r>
        <w:rPr>
          <w:rFonts w:ascii="Arial" w:hAnsi="Arial" w:cs="Arial"/>
          <w:b/>
          <w:sz w:val="22"/>
        </w:rPr>
        <w:t>mayoría absoluta</w:t>
      </w:r>
      <w:r>
        <w:rPr>
          <w:rFonts w:ascii="Arial" w:hAnsi="Arial" w:cs="Arial"/>
          <w:sz w:val="22"/>
        </w:rPr>
        <w:t>. Congreso y Senado regulan de común acuerdo el Estatuto del Personal de las Cortes Generales.</w:t>
      </w:r>
    </w:p>
    <w:p>
      <w:pPr>
        <w:jc w:val="both"/>
      </w:pPr>
      <w:r>
        <w:rPr>
          <w:rFonts w:ascii="Arial" w:hAnsi="Arial" w:cs="Arial"/>
          <w:sz w:val="22"/>
        </w:rPr>
        <w:t>Las sesiones conjuntas son presididas por la Presidencia del Congreso y se rigen por un Reglamento de las Cortes Generales aprobado por mayoría absoluta de cada Cámara. Estas sesiones conjuntas se reservan a las competencias no legislativas que el título II de la Constitución atribuye expresamente a las Cortes, como determinados actos relativos a la Corona.</w:t>
      </w:r>
    </w:p>
    <w:p>
      <w:pPr>
        <w:pStyle w:val="Heading2"/>
        <w:keepNext/>
      </w:pPr>
      <w:r>
        <w:rPr>
          <w:rFonts w:ascii="Arial" w:hAnsi="Arial" w:cs="Arial"/>
          <w:sz w:val="25"/>
        </w:rPr>
        <w:t>4.2. Sesión constitutiva y Presidencia</w:t>
      </w:r>
    </w:p>
    <w:p>
      <w:pPr>
        <w:jc w:val="both"/>
      </w:pPr>
      <w:r>
        <w:rPr>
          <w:rFonts w:ascii="Arial" w:hAnsi="Arial" w:cs="Arial"/>
          <w:sz w:val="22"/>
        </w:rPr>
        <w:t>Tras las elecciones, cada Cámara celebra su sesión constitutiva. En el Congreso la preside inicialmente el diputado o diputada electa de mayor edad presente, asistido por los dos más jóvenes como Secretarías. Se leen la convocatoria, la relación de electos y los recursos electorales; se elige la Mesa; los elegidos prestan juramento o promesa; y se declara constituida la Cámara.</w:t>
      </w:r>
    </w:p>
    <w:p>
      <w:pPr>
        <w:jc w:val="both"/>
      </w:pPr>
      <w:r>
        <w:rPr>
          <w:rFonts w:ascii="Arial" w:hAnsi="Arial" w:cs="Arial"/>
          <w:sz w:val="22"/>
        </w:rPr>
        <w:t>La Presidencia representa a la Cámara, asegura la buena marcha de los trabajos, dirige los debates, mantiene el orden y cumple y hace cumplir el Reglamento, que interpreta en caso de duda y suple en caso de omisión en los términos reglamentarios.</w:t>
      </w:r>
    </w:p>
    <w:p>
      <w:pPr>
        <w:pStyle w:val="Heading2"/>
        <w:keepNext/>
      </w:pPr>
      <w:r>
        <w:rPr>
          <w:rFonts w:ascii="Arial" w:hAnsi="Arial" w:cs="Arial"/>
          <w:sz w:val="25"/>
        </w:rPr>
        <w:t>4.3. La Mesa</w:t>
      </w:r>
    </w:p>
    <w:p>
      <w:pPr>
        <w:jc w:val="both"/>
      </w:pPr>
      <w:r>
        <w:rPr>
          <w:rFonts w:ascii="Arial" w:hAnsi="Arial" w:cs="Arial"/>
          <w:sz w:val="22"/>
        </w:rPr>
        <w:t>La Mesa es el órgano rector y representa colegiadamente a la Cámara. En el Congreso está compuesta por:</w:t>
      </w:r>
    </w:p>
    <w:p>
      <w:pPr>
        <w:pStyle w:val="ListBullet"/>
      </w:pPr>
      <w:r>
        <w:rPr>
          <w:rFonts w:ascii="Arial" w:hAnsi="Arial" w:cs="Arial"/>
          <w:sz w:val="22"/>
        </w:rPr>
        <w:t>la Presidencia;</w:t>
      </w:r>
    </w:p>
    <w:p>
      <w:pPr>
        <w:pStyle w:val="ListBullet"/>
      </w:pPr>
      <w:r>
        <w:rPr>
          <w:rFonts w:ascii="Arial" w:hAnsi="Arial" w:cs="Arial"/>
          <w:sz w:val="22"/>
        </w:rPr>
        <w:t>cuatro Vicepresidencias;</w:t>
      </w:r>
    </w:p>
    <w:p>
      <w:pPr>
        <w:pStyle w:val="ListBullet"/>
      </w:pPr>
      <w:r>
        <w:rPr>
          <w:rFonts w:ascii="Arial" w:hAnsi="Arial" w:cs="Arial"/>
          <w:sz w:val="22"/>
        </w:rPr>
        <w:t>cuatro Secretarías.</w:t>
      </w:r>
    </w:p>
    <w:p>
      <w:pPr>
        <w:jc w:val="both"/>
      </w:pPr>
      <w:r>
        <w:rPr>
          <w:rFonts w:ascii="Arial" w:hAnsi="Arial" w:cs="Arial"/>
          <w:sz w:val="22"/>
        </w:rPr>
        <w:t>Entre sus funciones se encuentran organizar el trabajo y el régimen interior, preparar y ejecutar el presupuesto, ordenar gastos, calificar los escritos parlamentarios, decidir su admisibilidad y tramitación, programar las líneas generales de actuación y coordinar los órganos.</w:t>
      </w:r>
    </w:p>
    <w:p>
      <w:pPr>
        <w:jc w:val="both"/>
      </w:pPr>
      <w:r>
        <w:rPr>
          <w:rFonts w:ascii="Arial" w:hAnsi="Arial" w:cs="Arial"/>
          <w:sz w:val="22"/>
        </w:rPr>
        <w:t>No debe confundirse la Mesa, órgano de dirección jurídico-organizativa, con la Junta de Portavoces, que expresa la pluralidad de los grupos y participa especialmente en la ordenación política de los trabajos.</w:t>
      </w:r>
    </w:p>
    <w:p>
      <w:pPr>
        <w:pStyle w:val="Heading2"/>
        <w:keepNext/>
      </w:pPr>
      <w:r>
        <w:rPr>
          <w:rFonts w:ascii="Arial" w:hAnsi="Arial" w:cs="Arial"/>
          <w:sz w:val="25"/>
        </w:rPr>
        <w:t>4.4. Junta de Portavoces</w:t>
      </w:r>
    </w:p>
    <w:p>
      <w:pPr>
        <w:jc w:val="both"/>
      </w:pPr>
      <w:r>
        <w:rPr>
          <w:rFonts w:ascii="Arial" w:hAnsi="Arial" w:cs="Arial"/>
          <w:sz w:val="22"/>
        </w:rPr>
        <w:t>En el Congreso la integran quienes ejercen la portavocía de cada grupo, bajo la Presidencia de la Cámara. Se reúne por iniciativa presidencial o a petición de dos grupos parlamentarios o de una quinta parte de los miembros del Congreso.</w:t>
      </w:r>
    </w:p>
    <w:p>
      <w:pPr>
        <w:jc w:val="both"/>
      </w:pPr>
      <w:r>
        <w:rPr>
          <w:rFonts w:ascii="Arial" w:hAnsi="Arial" w:cs="Arial"/>
          <w:sz w:val="22"/>
        </w:rPr>
        <w:t xml:space="preserve">Sus decisiones se adoptan por </w:t>
      </w:r>
      <w:r>
        <w:rPr>
          <w:rFonts w:ascii="Arial" w:hAnsi="Arial" w:cs="Arial"/>
          <w:b/>
          <w:sz w:val="22"/>
        </w:rPr>
        <w:t>voto ponderado</w:t>
      </w:r>
      <w:r>
        <w:rPr>
          <w:rFonts w:ascii="Arial" w:hAnsi="Arial" w:cs="Arial"/>
          <w:sz w:val="22"/>
        </w:rPr>
        <w:t>: el voto de cada portavoz tiene el peso numérico de su grupo. El Gobierno puede enviar una persona representante. Asisten además, al menos, una Vicepresidencia, una Secretaría y la Secretaría General.</w:t>
      </w:r>
    </w:p>
    <w:p>
      <w:pPr>
        <w:jc w:val="both"/>
      </w:pPr>
      <w:r>
        <w:rPr>
          <w:rFonts w:ascii="Arial" w:hAnsi="Arial" w:cs="Arial"/>
          <w:sz w:val="22"/>
        </w:rPr>
        <w:t>La Junta interviene, entre otras cuestiones, en la fijación del orden del día, la organización de debates y la programación parlamentaria.</w:t>
      </w:r>
    </w:p>
    <w:p>
      <w:pPr>
        <w:pStyle w:val="Heading2"/>
        <w:keepNext/>
      </w:pPr>
      <w:r>
        <w:rPr>
          <w:rFonts w:ascii="Arial" w:hAnsi="Arial" w:cs="Arial"/>
          <w:sz w:val="25"/>
        </w:rPr>
        <w:t>4.5. Grupos parlamentarios</w:t>
      </w:r>
    </w:p>
    <w:p>
      <w:pPr>
        <w:jc w:val="both"/>
      </w:pPr>
      <w:r>
        <w:rPr>
          <w:rFonts w:ascii="Arial" w:hAnsi="Arial" w:cs="Arial"/>
          <w:sz w:val="22"/>
        </w:rPr>
        <w:t>Los grupos ordenan la actividad política interna, distribuyen presencia en órganos, canalizan iniciativas y asignan tiempos de intervención.</w:t>
      </w:r>
    </w:p>
    <w:p>
      <w:pPr>
        <w:pStyle w:val="Heading3"/>
        <w:keepNext/>
      </w:pPr>
      <w:r>
        <w:rPr>
          <w:rFonts w:ascii="Arial" w:hAnsi="Arial" w:cs="Arial"/>
          <w:sz w:val="23"/>
        </w:rPr>
        <w:t>Régimen aplicable en la XV Legislatura</w:t>
      </w:r>
    </w:p>
    <w:p>
      <w:pPr>
        <w:jc w:val="both"/>
      </w:pPr>
      <w:r>
        <w:rPr>
          <w:rFonts w:ascii="Arial" w:hAnsi="Arial" w:cs="Arial"/>
          <w:sz w:val="22"/>
        </w:rPr>
        <w:t>A 30 de julio de 2026, el artículo 23 del Reglamento del Congreso permite formar grupo:</w:t>
      </w:r>
    </w:p>
    <w:p>
      <w:pPr>
        <w:pStyle w:val="ListBullet"/>
      </w:pPr>
      <w:r>
        <w:rPr>
          <w:rFonts w:ascii="Arial" w:hAnsi="Arial" w:cs="Arial"/>
          <w:sz w:val="22"/>
        </w:rPr>
        <w:t>con al menos quince diputados; o</w:t>
      </w:r>
    </w:p>
    <w:p>
      <w:pPr>
        <w:pStyle w:val="ListBullet"/>
      </w:pPr>
      <w:r>
        <w:rPr>
          <w:rFonts w:ascii="Arial" w:hAnsi="Arial" w:cs="Arial"/>
          <w:sz w:val="22"/>
        </w:rPr>
        <w:t xml:space="preserve">con al menos cinco escaños y, además, al menos el 15 % de los votos correspondientes a las circunscripciones en que se presentó candidatura </w:t>
      </w:r>
      <w:r>
        <w:rPr>
          <w:rFonts w:ascii="Arial" w:hAnsi="Arial" w:cs="Arial"/>
          <w:b/>
          <w:sz w:val="22"/>
        </w:rPr>
        <w:t>o</w:t>
      </w:r>
      <w:r>
        <w:rPr>
          <w:rFonts w:ascii="Arial" w:hAnsi="Arial" w:cs="Arial"/>
          <w:sz w:val="22"/>
        </w:rPr>
        <w:t xml:space="preserve"> el 5 % de los votos emitidos en el conjunto de la Nación.</w:t>
      </w:r>
    </w:p>
    <w:p>
      <w:pPr>
        <w:jc w:val="both"/>
      </w:pPr>
      <w:r>
        <w:rPr>
          <w:rFonts w:ascii="Arial" w:hAnsi="Arial" w:cs="Arial"/>
          <w:sz w:val="22"/>
        </w:rPr>
        <w:t>No pueden constituir grupo separado quienes pertenezcan al mismo partido ni quienes, en el momento de las elecciones, pertenecieran a formaciones que no se hubieran enfrentado ante el electorado.</w:t>
      </w:r>
    </w:p>
    <w:p>
      <w:pPr>
        <w:jc w:val="both"/>
      </w:pPr>
      <w:r>
        <w:rPr>
          <w:rFonts w:ascii="Arial" w:hAnsi="Arial" w:cs="Arial"/>
          <w:sz w:val="22"/>
        </w:rPr>
        <w:t>La constitución se formaliza dentro de los cinco días siguientes a la sesión constitutiva mediante escrito dirigido a la Mesa. Quienes no queden integrados en otro grupo pasan al Grupo Mixto. Nadie puede pertenecer a más de un grupo.</w:t>
      </w:r>
    </w:p>
    <w:p>
      <w:pPr>
        <w:pStyle w:val="Heading3"/>
        <w:keepNext/>
      </w:pPr>
      <w:r>
        <w:rPr>
          <w:rFonts w:ascii="Arial" w:hAnsi="Arial" w:cs="Arial"/>
          <w:sz w:val="23"/>
        </w:rPr>
        <w:t>Reforma publicada el 28 de julio de 2026: futura XVI Legislatura</w:t>
      </w:r>
    </w:p>
    <w:p>
      <w:pPr>
        <w:jc w:val="both"/>
      </w:pPr>
      <w:r>
        <w:rPr>
          <w:rFonts w:ascii="Arial" w:hAnsi="Arial" w:cs="Arial"/>
          <w:sz w:val="22"/>
        </w:rPr>
        <w:t>La reforma aprobada el 23 y publicada el 28 de julio de 2026 mantiene el mínimo general de quince, pero cambia la vía alternativa:</w:t>
      </w:r>
    </w:p>
    <w:p>
      <w:pPr>
        <w:pStyle w:val="ListBullet"/>
      </w:pPr>
      <w:r>
        <w:rPr>
          <w:rFonts w:ascii="Arial" w:hAnsi="Arial" w:cs="Arial"/>
          <w:sz w:val="22"/>
        </w:rPr>
        <w:t>al menos cinco escaños;</w:t>
      </w:r>
    </w:p>
    <w:p>
      <w:pPr>
        <w:pStyle w:val="ListBullet"/>
      </w:pPr>
      <w:r>
        <w:rPr>
          <w:rFonts w:ascii="Arial" w:hAnsi="Arial" w:cs="Arial"/>
          <w:sz w:val="22"/>
        </w:rPr>
        <w:t xml:space="preserve">y una media mínima del 10 % de los votos válidos en el conjunto de las circunscripciones donde se hubiera obtenido representación, </w:t>
      </w:r>
      <w:r>
        <w:rPr>
          <w:rFonts w:ascii="Arial" w:hAnsi="Arial" w:cs="Arial"/>
          <w:b/>
          <w:sz w:val="22"/>
        </w:rPr>
        <w:t>o</w:t>
      </w:r>
      <w:r>
        <w:rPr>
          <w:rFonts w:ascii="Arial" w:hAnsi="Arial" w:cs="Arial"/>
          <w:sz w:val="22"/>
        </w:rPr>
        <w:t xml:space="preserve"> el 3 % de los votos válidos en el conjunto nacional.</w:t>
      </w:r>
    </w:p>
    <w:p>
      <w:pPr>
        <w:jc w:val="both"/>
      </w:pPr>
      <w:r>
        <w:rPr>
          <w:rFonts w:ascii="Arial" w:hAnsi="Arial" w:cs="Arial"/>
          <w:sz w:val="22"/>
        </w:rPr>
        <w:t xml:space="preserve">La disposición final es inequívoca: entra en vigor en la </w:t>
      </w:r>
      <w:r>
        <w:rPr>
          <w:rFonts w:ascii="Arial" w:hAnsi="Arial" w:cs="Arial"/>
          <w:b/>
          <w:sz w:val="22"/>
        </w:rPr>
        <w:t>XVI Legislatura</w:t>
      </w:r>
      <w:r>
        <w:rPr>
          <w:rFonts w:ascii="Arial" w:hAnsi="Arial" w:cs="Arial"/>
          <w:sz w:val="22"/>
        </w:rPr>
        <w:t>. Por eso no debe emplearse todavía para resolver preguntas referidas a la XV.</w:t>
      </w:r>
    </w:p>
    <w:tbl>
      <w:tblPr>
        <w:tblStyle w:val="TableGrid"/>
        <w:tblW w:type="dxa" w:w="9026"/>
        <w:jc w:val="left"/>
        <w:tblLayout w:type="fixed"/>
        <w:tblLook w:firstColumn="1" w:firstRow="1" w:lastColumn="0" w:lastRow="0" w:noHBand="0" w:noVBand="1" w:val="04A0"/>
        <w:tblInd w:w="120" w:type="dxa"/>
      </w:tblPr>
      <w:tblGrid>
        <w:gridCol w:w="1864"/>
        <w:gridCol w:w="1275"/>
        <w:gridCol w:w="5887"/>
      </w:tblGrid>
      <w:tr>
        <w:trPr>
          <w:tblHeader w:val="true"/>
        </w:trPr>
        <w:tc>
          <w:tcPr>
            <w:tcW w:type="dxa" w:w="18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Momento</w:t>
            </w:r>
          </w:p>
        </w:tc>
        <w:tc>
          <w:tcPr>
            <w:tcW w:type="dxa" w:w="127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Mínimo general</w:t>
            </w:r>
          </w:p>
        </w:tc>
        <w:tc>
          <w:tcPr>
            <w:tcW w:type="dxa" w:w="588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Vía alternativa con 5 escaños</w:t>
            </w:r>
          </w:p>
        </w:tc>
      </w:tr>
      <w:tr>
        <w:tc>
          <w:tcPr>
            <w:tcW w:type="dxa" w:w="1864"/>
            <w:tcMar>
              <w:top w:w="80" w:type="dxa"/>
              <w:start w:w="120" w:type="dxa"/>
              <w:bottom w:w="80" w:type="dxa"/>
              <w:end w:w="120" w:type="dxa"/>
            </w:tcMar>
            <w:vAlign w:val="center"/>
          </w:tcPr>
          <w:p>
            <w:pPr>
              <w:spacing w:before="0" w:after="0" w:line="240" w:lineRule="auto"/>
              <w:jc w:val="left"/>
            </w:pPr>
            <w:r/>
            <w:r>
              <w:rPr>
                <w:rFonts w:ascii="Arial" w:hAnsi="Arial" w:cs="Arial"/>
                <w:sz w:val="18"/>
              </w:rPr>
              <w:t>XV Legislatura</w:t>
            </w:r>
          </w:p>
        </w:tc>
        <w:tc>
          <w:tcPr>
            <w:tcW w:type="dxa" w:w="1275"/>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5887"/>
            <w:tcMar>
              <w:top w:w="80" w:type="dxa"/>
              <w:start w:w="120" w:type="dxa"/>
              <w:bottom w:w="80" w:type="dxa"/>
              <w:end w:w="120" w:type="dxa"/>
            </w:tcMar>
            <w:vAlign w:val="center"/>
          </w:tcPr>
          <w:p>
            <w:pPr>
              <w:spacing w:before="0" w:after="0" w:line="240" w:lineRule="auto"/>
              <w:jc w:val="left"/>
            </w:pPr>
            <w:r/>
            <w:r>
              <w:rPr>
                <w:rFonts w:ascii="Arial" w:hAnsi="Arial" w:cs="Arial"/>
                <w:sz w:val="18"/>
              </w:rPr>
              <w:t>15 % en circunscripciones donde presentó candidatura o 5 % nacional</w:t>
            </w:r>
          </w:p>
        </w:tc>
      </w:tr>
      <w:tr>
        <w:tc>
          <w:tcPr>
            <w:tcW w:type="dxa" w:w="1864"/>
            <w:tcMar>
              <w:top w:w="80" w:type="dxa"/>
              <w:start w:w="120" w:type="dxa"/>
              <w:bottom w:w="80" w:type="dxa"/>
              <w:end w:w="120" w:type="dxa"/>
            </w:tcMar>
            <w:vAlign w:val="center"/>
          </w:tcPr>
          <w:p>
            <w:pPr>
              <w:spacing w:before="0" w:after="0" w:line="240" w:lineRule="auto"/>
              <w:jc w:val="left"/>
            </w:pPr>
            <w:r/>
            <w:r>
              <w:rPr>
                <w:rFonts w:ascii="Arial" w:hAnsi="Arial" w:cs="Arial"/>
                <w:sz w:val="18"/>
              </w:rPr>
              <w:t>Desde XVI Legislatura</w:t>
            </w:r>
          </w:p>
        </w:tc>
        <w:tc>
          <w:tcPr>
            <w:tcW w:type="dxa" w:w="1275"/>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5887"/>
            <w:tcMar>
              <w:top w:w="80" w:type="dxa"/>
              <w:start w:w="120" w:type="dxa"/>
              <w:bottom w:w="80" w:type="dxa"/>
              <w:end w:w="120" w:type="dxa"/>
            </w:tcMar>
            <w:vAlign w:val="center"/>
          </w:tcPr>
          <w:p>
            <w:pPr>
              <w:spacing w:before="0" w:after="0" w:line="240" w:lineRule="auto"/>
              <w:jc w:val="left"/>
            </w:pPr>
            <w:r/>
            <w:r>
              <w:rPr>
                <w:rFonts w:ascii="Arial" w:hAnsi="Arial" w:cs="Arial"/>
                <w:sz w:val="18"/>
              </w:rPr>
              <w:t>media del 10 % en circunscripciones donde obtuvo representación o 3 % nacional</w:t>
            </w:r>
          </w:p>
        </w:tc>
      </w:tr>
    </w:tbl>
    <w:p>
      <w:pPr>
        <w:spacing w:after="40"/>
      </w:pPr>
    </w:p>
    <w:p>
      <w:pPr>
        <w:jc w:val="both"/>
      </w:pPr>
      <w:r>
        <w:rPr>
          <w:rFonts w:ascii="Arial" w:hAnsi="Arial" w:cs="Arial"/>
          <w:sz w:val="22"/>
        </w:rPr>
        <w:t xml:space="preserve">En el Senado cada grupo se compone, como regla, de al menos </w:t>
      </w:r>
      <w:r>
        <w:rPr>
          <w:rFonts w:ascii="Arial" w:hAnsi="Arial" w:cs="Arial"/>
          <w:b/>
          <w:sz w:val="22"/>
        </w:rPr>
        <w:t>diez senadores</w:t>
      </w:r>
      <w:r>
        <w:rPr>
          <w:rFonts w:ascii="Arial" w:hAnsi="Arial" w:cs="Arial"/>
          <w:sz w:val="22"/>
        </w:rPr>
        <w:t>. Si durante la legislatura baja de seis, queda disuelto al final del período de sesiones en que se produzca esa reducción.</w:t>
      </w:r>
    </w:p>
    <w:p>
      <w:pPr>
        <w:pStyle w:val="Heading2"/>
        <w:keepNext/>
      </w:pPr>
      <w:r>
        <w:rPr>
          <w:rFonts w:ascii="Arial" w:hAnsi="Arial" w:cs="Arial"/>
          <w:sz w:val="25"/>
        </w:rPr>
        <w:t>4.6. Pleno, Comisiones y Ponencias</w:t>
      </w:r>
    </w:p>
    <w:p>
      <w:pPr>
        <w:jc w:val="both"/>
      </w:pPr>
      <w:r>
        <w:rPr>
          <w:rFonts w:ascii="Arial" w:hAnsi="Arial" w:cs="Arial"/>
          <w:sz w:val="22"/>
        </w:rPr>
        <w:t>Las Cámaras funcionan en Pleno y por Comisiones.</w:t>
      </w:r>
    </w:p>
    <w:p>
      <w:pPr>
        <w:jc w:val="both"/>
      </w:pPr>
      <w:r>
        <w:rPr>
          <w:rFonts w:ascii="Arial" w:hAnsi="Arial" w:cs="Arial"/>
          <w:sz w:val="22"/>
        </w:rPr>
        <w:t xml:space="preserve">El </w:t>
      </w:r>
      <w:r>
        <w:rPr>
          <w:rFonts w:ascii="Arial" w:hAnsi="Arial" w:cs="Arial"/>
          <w:b/>
          <w:sz w:val="22"/>
        </w:rPr>
        <w:t>Pleno</w:t>
      </w:r>
      <w:r>
        <w:rPr>
          <w:rFonts w:ascii="Arial" w:hAnsi="Arial" w:cs="Arial"/>
          <w:sz w:val="22"/>
        </w:rPr>
        <w:t xml:space="preserve"> reúne a todos los miembros y decide las cuestiones de mayor relevancia política y las reservadas constitucional o reglamentariamente.</w:t>
      </w:r>
    </w:p>
    <w:p>
      <w:pPr>
        <w:jc w:val="both"/>
      </w:pPr>
      <w:r>
        <w:rPr>
          <w:rFonts w:ascii="Arial" w:hAnsi="Arial" w:cs="Arial"/>
          <w:sz w:val="22"/>
        </w:rPr>
        <w:t xml:space="preserve">Las </w:t>
      </w:r>
      <w:r>
        <w:rPr>
          <w:rFonts w:ascii="Arial" w:hAnsi="Arial" w:cs="Arial"/>
          <w:b/>
          <w:sz w:val="22"/>
        </w:rPr>
        <w:t>Comisiones</w:t>
      </w:r>
      <w:r>
        <w:rPr>
          <w:rFonts w:ascii="Arial" w:hAnsi="Arial" w:cs="Arial"/>
          <w:sz w:val="22"/>
        </w:rPr>
        <w:t xml:space="preserve"> preparan los trabajos y pueden ser permanentes o no permanentes, legislativas o no legislativas. Su composición reproduce proporcionalmente la importancia numérica de los grupos. Las legislativas permanentes pueden recibir delegación para aprobar proyectos o proposiciones de ley.</w:t>
      </w:r>
    </w:p>
    <w:p>
      <w:pPr>
        <w:jc w:val="both"/>
      </w:pPr>
      <w:r>
        <w:rPr>
          <w:rFonts w:ascii="Arial" w:hAnsi="Arial" w:cs="Arial"/>
          <w:sz w:val="22"/>
        </w:rPr>
        <w:t>El Pleno puede recabar en cualquier momento el debate y votación de una iniciativa delegada. Nunca cabe delegar en Comisión:</w:t>
      </w:r>
    </w:p>
    <w:p>
      <w:pPr>
        <w:pStyle w:val="ListBullet"/>
      </w:pPr>
      <w:r>
        <w:rPr>
          <w:rFonts w:ascii="Arial" w:hAnsi="Arial" w:cs="Arial"/>
          <w:sz w:val="22"/>
        </w:rPr>
        <w:t>reforma constitucional;</w:t>
      </w:r>
    </w:p>
    <w:p>
      <w:pPr>
        <w:pStyle w:val="ListBullet"/>
      </w:pPr>
      <w:r>
        <w:rPr>
          <w:rFonts w:ascii="Arial" w:hAnsi="Arial" w:cs="Arial"/>
          <w:sz w:val="22"/>
        </w:rPr>
        <w:t>cuestiones internacionales;</w:t>
      </w:r>
    </w:p>
    <w:p>
      <w:pPr>
        <w:pStyle w:val="ListBullet"/>
      </w:pPr>
      <w:r>
        <w:rPr>
          <w:rFonts w:ascii="Arial" w:hAnsi="Arial" w:cs="Arial"/>
          <w:sz w:val="22"/>
        </w:rPr>
        <w:t>leyes orgánicas;</w:t>
      </w:r>
    </w:p>
    <w:p>
      <w:pPr>
        <w:pStyle w:val="ListBullet"/>
      </w:pPr>
      <w:r>
        <w:rPr>
          <w:rFonts w:ascii="Arial" w:hAnsi="Arial" w:cs="Arial"/>
          <w:sz w:val="22"/>
        </w:rPr>
        <w:t>leyes de bases;</w:t>
      </w:r>
    </w:p>
    <w:p>
      <w:pPr>
        <w:pStyle w:val="ListBullet"/>
      </w:pPr>
      <w:r>
        <w:rPr>
          <w:rFonts w:ascii="Arial" w:hAnsi="Arial" w:cs="Arial"/>
          <w:sz w:val="22"/>
        </w:rPr>
        <w:t>Presupuestos Generales del Estado.</w:t>
      </w:r>
    </w:p>
    <w:p>
      <w:pPr>
        <w:jc w:val="both"/>
      </w:pPr>
      <w:r>
        <w:rPr>
          <w:rFonts w:ascii="Arial" w:hAnsi="Arial" w:cs="Arial"/>
          <w:sz w:val="22"/>
        </w:rPr>
        <w:t xml:space="preserve">Las </w:t>
      </w:r>
      <w:r>
        <w:rPr>
          <w:rFonts w:ascii="Arial" w:hAnsi="Arial" w:cs="Arial"/>
          <w:b/>
          <w:sz w:val="22"/>
        </w:rPr>
        <w:t>Ponencias</w:t>
      </w:r>
      <w:r>
        <w:rPr>
          <w:rFonts w:ascii="Arial" w:hAnsi="Arial" w:cs="Arial"/>
          <w:sz w:val="22"/>
        </w:rPr>
        <w:t xml:space="preserve"> son grupos reducidos constituidos normalmente dentro de una Comisión para estudiar una iniciativa y elaborar un informe.</w:t>
      </w:r>
    </w:p>
    <w:p>
      <w:pPr>
        <w:jc w:val="both"/>
      </w:pPr>
      <w:r>
        <w:rPr>
          <w:rFonts w:ascii="Arial" w:hAnsi="Arial" w:cs="Arial"/>
          <w:sz w:val="22"/>
        </w:rPr>
        <w:t>Las Cámaras pueden crear Comisiones de investigación sobre cualquier asunto de interés público. Sus conclusiones:</w:t>
      </w:r>
    </w:p>
    <w:p>
      <w:pPr>
        <w:pStyle w:val="ListBullet"/>
      </w:pPr>
      <w:r>
        <w:rPr>
          <w:rFonts w:ascii="Arial" w:hAnsi="Arial" w:cs="Arial"/>
          <w:sz w:val="22"/>
        </w:rPr>
        <w:t>no vinculan a los tribunales;</w:t>
      </w:r>
    </w:p>
    <w:p>
      <w:pPr>
        <w:pStyle w:val="ListBullet"/>
      </w:pPr>
      <w:r>
        <w:rPr>
          <w:rFonts w:ascii="Arial" w:hAnsi="Arial" w:cs="Arial"/>
          <w:sz w:val="22"/>
        </w:rPr>
        <w:t>no afectan por sí mismas a resoluciones judiciales;</w:t>
      </w:r>
    </w:p>
    <w:p>
      <w:pPr>
        <w:pStyle w:val="ListBullet"/>
      </w:pPr>
      <w:r>
        <w:rPr>
          <w:rFonts w:ascii="Arial" w:hAnsi="Arial" w:cs="Arial"/>
          <w:sz w:val="22"/>
        </w:rPr>
        <w:t>pueden comunicarse al Ministerio Fiscal para el ejercicio de acciones;</w:t>
      </w:r>
    </w:p>
    <w:p>
      <w:pPr>
        <w:pStyle w:val="ListBullet"/>
      </w:pPr>
      <w:r>
        <w:rPr>
          <w:rFonts w:ascii="Arial" w:hAnsi="Arial" w:cs="Arial"/>
          <w:sz w:val="22"/>
        </w:rPr>
        <w:t>no excluyen que el resultado político sea debatido por la Cámara.</w:t>
      </w:r>
    </w:p>
    <w:p>
      <w:pPr>
        <w:jc w:val="both"/>
      </w:pPr>
      <w:r>
        <w:rPr>
          <w:rFonts w:ascii="Arial" w:hAnsi="Arial" w:cs="Arial"/>
          <w:sz w:val="22"/>
        </w:rPr>
        <w:t>Comparecer ante una Comisión de investigación cuando se sea requerido es obligatorio; la ley regula las sanciones por incumplimiento.</w:t>
      </w:r>
    </w:p>
    <w:p>
      <w:pPr>
        <w:pStyle w:val="Heading2"/>
        <w:keepNext/>
      </w:pPr>
      <w:r>
        <w:rPr>
          <w:rFonts w:ascii="Arial" w:hAnsi="Arial" w:cs="Arial"/>
          <w:sz w:val="25"/>
        </w:rPr>
        <w:t>4.7. Diputación Permanente</w:t>
      </w:r>
    </w:p>
    <w:p>
      <w:pPr>
        <w:jc w:val="both"/>
      </w:pPr>
      <w:r>
        <w:rPr>
          <w:rFonts w:ascii="Arial" w:hAnsi="Arial" w:cs="Arial"/>
          <w:sz w:val="22"/>
        </w:rPr>
        <w:t xml:space="preserve">En cada Cámara existe una Diputación Permanente, presidida por la Presidencia respectiva y compuesta por un mínimo de </w:t>
      </w:r>
      <w:r>
        <w:rPr>
          <w:rFonts w:ascii="Arial" w:hAnsi="Arial" w:cs="Arial"/>
          <w:b/>
          <w:sz w:val="22"/>
        </w:rPr>
        <w:t>veintiún miembros</w:t>
      </w:r>
      <w:r>
        <w:rPr>
          <w:rFonts w:ascii="Arial" w:hAnsi="Arial" w:cs="Arial"/>
          <w:sz w:val="22"/>
        </w:rPr>
        <w:t>, que representan proporcionalmente a los grupos.</w:t>
      </w:r>
    </w:p>
    <w:p>
      <w:pPr>
        <w:jc w:val="both"/>
      </w:pPr>
      <w:r>
        <w:rPr>
          <w:rFonts w:ascii="Arial" w:hAnsi="Arial" w:cs="Arial"/>
          <w:sz w:val="22"/>
        </w:rPr>
        <w:t>Sus funciones constitucionales son:</w:t>
      </w:r>
    </w:p>
    <w:p>
      <w:pPr>
        <w:spacing w:after="40"/>
        <w:ind w:left="369" w:hanging="227"/>
      </w:pPr>
      <w:r>
        <w:rPr>
          <w:rFonts w:ascii="Arial" w:hAnsi="Arial" w:cs="Arial"/>
          <w:sz w:val="22"/>
        </w:rPr>
        <w:t>1. solicitar sesiones extraordinarias;</w:t>
      </w:r>
    </w:p>
    <w:p>
      <w:pPr>
        <w:spacing w:after="40"/>
        <w:ind w:left="369" w:hanging="227"/>
      </w:pPr>
      <w:r>
        <w:rPr>
          <w:rFonts w:ascii="Arial" w:hAnsi="Arial" w:cs="Arial"/>
          <w:sz w:val="22"/>
        </w:rPr>
        <w:t>2. velar por los poderes de la Cámara cuando no esté reunida;</w:t>
      </w:r>
    </w:p>
    <w:p>
      <w:pPr>
        <w:spacing w:after="40"/>
        <w:ind w:left="369" w:hanging="227"/>
      </w:pPr>
      <w:r>
        <w:rPr>
          <w:rFonts w:ascii="Arial" w:hAnsi="Arial" w:cs="Arial"/>
          <w:sz w:val="22"/>
        </w:rPr>
        <w:t>3. si las Cámaras han sido disueltas o ha expirado su mandato, asumir las facultades que correspondan conforme a los artículos 86 y 116, relativos a decretos-leyes y estados excepcionales;</w:t>
      </w:r>
    </w:p>
    <w:p>
      <w:pPr>
        <w:spacing w:after="40"/>
        <w:ind w:left="369" w:hanging="227"/>
      </w:pPr>
      <w:r>
        <w:rPr>
          <w:rFonts w:ascii="Arial" w:hAnsi="Arial" w:cs="Arial"/>
          <w:sz w:val="22"/>
        </w:rPr>
        <w:t>4. continuar en funciones hasta la constitución de las nuevas Cortes;</w:t>
      </w:r>
    </w:p>
    <w:p>
      <w:pPr>
        <w:spacing w:after="40"/>
        <w:ind w:left="369" w:hanging="227"/>
      </w:pPr>
      <w:r>
        <w:rPr>
          <w:rFonts w:ascii="Arial" w:hAnsi="Arial" w:cs="Arial"/>
          <w:sz w:val="22"/>
        </w:rPr>
        <w:t>5. dar cuenta a la Cámara reunida de los asuntos tratados y decisiones adoptadas.</w:t>
      </w:r>
    </w:p>
    <w:p>
      <w:pPr>
        <w:jc w:val="both"/>
      </w:pPr>
      <w:r>
        <w:rPr>
          <w:rFonts w:ascii="Arial" w:hAnsi="Arial" w:cs="Arial"/>
          <w:sz w:val="22"/>
        </w:rPr>
        <w:t>La Diputación Permanente garantiza continuidad, pero no sustituye generalmente al Pleno ni conserva todas sus competencias.</w:t>
      </w:r>
    </w:p>
    <w:p>
      <w:pPr>
        <w:pStyle w:val="Heading1"/>
        <w:keepNext/>
      </w:pPr>
      <w:r>
        <w:rPr>
          <w:rFonts w:ascii="Arial" w:hAnsi="Arial" w:cs="Arial"/>
          <w:sz w:val="30"/>
        </w:rPr>
        <w:t>5. Funcionamiento de las Cámaras</w:t>
      </w:r>
    </w:p>
    <w:p>
      <w:pPr>
        <w:pStyle w:val="Heading2"/>
        <w:keepNext/>
      </w:pPr>
      <w:r>
        <w:rPr>
          <w:rFonts w:ascii="Arial" w:hAnsi="Arial" w:cs="Arial"/>
          <w:sz w:val="25"/>
        </w:rPr>
        <w:t>5.1. Períodos ordinarios y sesiones extraordinarias</w:t>
      </w:r>
    </w:p>
    <w:p>
      <w:pPr>
        <w:jc w:val="both"/>
      </w:pPr>
      <w:r>
        <w:rPr>
          <w:rFonts w:ascii="Arial" w:hAnsi="Arial" w:cs="Arial"/>
          <w:sz w:val="22"/>
        </w:rPr>
        <w:t>Las Cámaras se reúnen cada año en dos períodos ordinarios:</w:t>
      </w:r>
    </w:p>
    <w:p>
      <w:pPr>
        <w:pStyle w:val="ListBullet"/>
      </w:pPr>
      <w:r>
        <w:rPr>
          <w:rFonts w:ascii="Arial" w:hAnsi="Arial" w:cs="Arial"/>
          <w:sz w:val="22"/>
        </w:rPr>
        <w:t>de septiembre a diciembre;</w:t>
      </w:r>
    </w:p>
    <w:p>
      <w:pPr>
        <w:pStyle w:val="ListBullet"/>
      </w:pPr>
      <w:r>
        <w:rPr>
          <w:rFonts w:ascii="Arial" w:hAnsi="Arial" w:cs="Arial"/>
          <w:sz w:val="22"/>
        </w:rPr>
        <w:t>de febrero a junio.</w:t>
      </w:r>
    </w:p>
    <w:p>
      <w:pPr>
        <w:jc w:val="both"/>
      </w:pPr>
      <w:r>
        <w:rPr>
          <w:rFonts w:ascii="Arial" w:hAnsi="Arial" w:cs="Arial"/>
          <w:sz w:val="22"/>
        </w:rPr>
        <w:t>Fuera de ellos pueden reunirse en sesión extraordinaria a petición:</w:t>
      </w:r>
    </w:p>
    <w:p>
      <w:pPr>
        <w:pStyle w:val="ListBullet"/>
      </w:pPr>
      <w:r>
        <w:rPr>
          <w:rFonts w:ascii="Arial" w:hAnsi="Arial" w:cs="Arial"/>
          <w:sz w:val="22"/>
        </w:rPr>
        <w:t>del Gobierno;</w:t>
      </w:r>
    </w:p>
    <w:p>
      <w:pPr>
        <w:pStyle w:val="ListBullet"/>
      </w:pPr>
      <w:r>
        <w:rPr>
          <w:rFonts w:ascii="Arial" w:hAnsi="Arial" w:cs="Arial"/>
          <w:sz w:val="22"/>
        </w:rPr>
        <w:t>de la Diputación Permanente;</w:t>
      </w:r>
    </w:p>
    <w:p>
      <w:pPr>
        <w:pStyle w:val="ListBullet"/>
      </w:pPr>
      <w:r>
        <w:rPr>
          <w:rFonts w:ascii="Arial" w:hAnsi="Arial" w:cs="Arial"/>
          <w:sz w:val="22"/>
        </w:rPr>
        <w:t>de la mayoría absoluta de los miembros de cualquiera de las Cámaras.</w:t>
      </w:r>
    </w:p>
    <w:p>
      <w:pPr>
        <w:jc w:val="both"/>
      </w:pPr>
      <w:r>
        <w:rPr>
          <w:rFonts w:ascii="Arial" w:hAnsi="Arial" w:cs="Arial"/>
          <w:sz w:val="22"/>
        </w:rPr>
        <w:t xml:space="preserve">La sesión extraordinaria debe convocarse con un orden del día determinado y se clausura al agotarlo. No debe confundirse </w:t>
      </w:r>
      <w:r>
        <w:rPr>
          <w:rFonts w:ascii="Arial" w:hAnsi="Arial" w:cs="Arial"/>
          <w:b/>
          <w:sz w:val="22"/>
        </w:rPr>
        <w:t>período de sesiones</w:t>
      </w:r>
      <w:r>
        <w:rPr>
          <w:rFonts w:ascii="Arial" w:hAnsi="Arial" w:cs="Arial"/>
          <w:sz w:val="22"/>
        </w:rPr>
        <w:t xml:space="preserve"> con </w:t>
      </w:r>
      <w:r>
        <w:rPr>
          <w:rFonts w:ascii="Arial" w:hAnsi="Arial" w:cs="Arial"/>
          <w:b/>
          <w:sz w:val="22"/>
        </w:rPr>
        <w:t>legislatura</w:t>
      </w:r>
      <w:r>
        <w:rPr>
          <w:rFonts w:ascii="Arial" w:hAnsi="Arial" w:cs="Arial"/>
          <w:sz w:val="22"/>
        </w:rPr>
        <w:t>: la legislatura es el ciclo de mandato, normalmente de cuatro años; cada año parlamentario contiene dos períodos ordinarios.</w:t>
      </w:r>
    </w:p>
    <w:p>
      <w:pPr>
        <w:pStyle w:val="Heading2"/>
        <w:keepNext/>
      </w:pPr>
      <w:r>
        <w:rPr>
          <w:rFonts w:ascii="Arial" w:hAnsi="Arial" w:cs="Arial"/>
          <w:sz w:val="25"/>
        </w:rPr>
        <w:t>5.2. Convocatoria, orden del día y debates</w:t>
      </w:r>
    </w:p>
    <w:p>
      <w:pPr>
        <w:jc w:val="both"/>
      </w:pPr>
      <w:r>
        <w:rPr>
          <w:rFonts w:ascii="Arial" w:hAnsi="Arial" w:cs="Arial"/>
          <w:sz w:val="22"/>
        </w:rPr>
        <w:t>Los Reglamentos atribuyen a las Presidencias la convocatoria y dirección de las sesiones. El orden del día se fija conforme a los procedimientos internos, con intervención de la Mesa y la Junta de Portavoces.</w:t>
      </w:r>
    </w:p>
    <w:p>
      <w:pPr>
        <w:jc w:val="both"/>
      </w:pPr>
      <w:r>
        <w:rPr>
          <w:rFonts w:ascii="Arial" w:hAnsi="Arial" w:cs="Arial"/>
          <w:sz w:val="22"/>
        </w:rPr>
        <w:t>Los debates se organizan mediante turnos a favor y en contra, intervenciones de grupos, réplicas y llamamientos al orden. El uso de la palabra exige autorización de la Presidencia. Las reglas procuran combinar deliberación, pluralismo y eficacia.</w:t>
      </w:r>
    </w:p>
    <w:p>
      <w:pPr>
        <w:jc w:val="both"/>
      </w:pPr>
      <w:r>
        <w:rPr>
          <w:rFonts w:ascii="Arial" w:hAnsi="Arial" w:cs="Arial"/>
          <w:sz w:val="22"/>
        </w:rPr>
        <w:t>Las sesiones plenarias son públicas, salvo acuerdo en contrario de la Cámara adoptado por mayoría absoluta o conforme al Reglamento. La publicidad se materializa mediante asistencia autorizada, diarios de sesiones, retransmisiones y publicaciones parlamentarias.</w:t>
      </w:r>
    </w:p>
    <w:p>
      <w:pPr>
        <w:pStyle w:val="Heading2"/>
        <w:keepNext/>
      </w:pPr>
      <w:r>
        <w:rPr>
          <w:rFonts w:ascii="Arial" w:hAnsi="Arial" w:cs="Arial"/>
          <w:sz w:val="25"/>
        </w:rPr>
        <w:t>5.3. Quórum y mayorías</w:t>
      </w:r>
    </w:p>
    <w:p>
      <w:pPr>
        <w:jc w:val="both"/>
      </w:pPr>
      <w:r>
        <w:rPr>
          <w:rFonts w:ascii="Arial" w:hAnsi="Arial" w:cs="Arial"/>
          <w:sz w:val="22"/>
        </w:rPr>
        <w:t xml:space="preserve">Para adoptar acuerdos, la Cámara ha de estar reunida reglamentariamente y con asistencia de la mayoría de sus miembros. Ese es el </w:t>
      </w:r>
      <w:r>
        <w:rPr>
          <w:rFonts w:ascii="Arial" w:hAnsi="Arial" w:cs="Arial"/>
          <w:b/>
          <w:sz w:val="22"/>
        </w:rPr>
        <w:t>quórum de presencia</w:t>
      </w:r>
      <w:r>
        <w:rPr>
          <w:rFonts w:ascii="Arial" w:hAnsi="Arial" w:cs="Arial"/>
          <w:sz w:val="22"/>
        </w:rPr>
        <w:t>.</w:t>
      </w:r>
    </w:p>
    <w:p>
      <w:pPr>
        <w:jc w:val="both"/>
      </w:pPr>
      <w:r>
        <w:rPr>
          <w:rFonts w:ascii="Arial" w:hAnsi="Arial" w:cs="Arial"/>
          <w:sz w:val="22"/>
        </w:rPr>
        <w:t>Como regla, el acuerdo se aprueba por mayoría de los miembros presentes. Existen mayorías especiales establecidas por la Constitución, leyes orgánicas o, para elegir personas, Reglamentos.</w:t>
      </w:r>
    </w:p>
    <w:p>
      <w:pPr>
        <w:jc w:val="both"/>
      </w:pPr>
      <w:r>
        <w:rPr>
          <w:rFonts w:ascii="Arial" w:hAnsi="Arial" w:cs="Arial"/>
          <w:sz w:val="22"/>
        </w:rPr>
        <w:t>Ejemplos frecuentes:</w:t>
      </w:r>
    </w:p>
    <w:tbl>
      <w:tblPr>
        <w:tblStyle w:val="TableGrid"/>
        <w:tblW w:type="dxa" w:w="9026"/>
        <w:jc w:val="left"/>
        <w:tblLayout w:type="fixed"/>
        <w:tblLook w:firstColumn="1" w:firstRow="1" w:lastColumn="0" w:lastRow="0" w:noHBand="0" w:noVBand="1" w:val="04A0"/>
        <w:tblInd w:w="120" w:type="dxa"/>
      </w:tblPr>
      <w:tblGrid>
        <w:gridCol w:w="4282"/>
        <w:gridCol w:w="4744"/>
      </w:tblGrid>
      <w:tr>
        <w:trPr>
          <w:tblHeader w:val="true"/>
        </w:trPr>
        <w:tc>
          <w:tcPr>
            <w:tcW w:type="dxa" w:w="42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Decisión</w:t>
            </w:r>
          </w:p>
        </w:tc>
        <w:tc>
          <w:tcPr>
            <w:tcW w:type="dxa" w:w="474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Mayoría</w:t>
            </w:r>
          </w:p>
        </w:tc>
      </w:tr>
      <w:tr>
        <w:tc>
          <w:tcPr>
            <w:tcW w:type="dxa" w:w="4282"/>
            <w:tcMar>
              <w:top w:w="80" w:type="dxa"/>
              <w:start w:w="120" w:type="dxa"/>
              <w:bottom w:w="80" w:type="dxa"/>
              <w:end w:w="120" w:type="dxa"/>
            </w:tcMar>
            <w:vAlign w:val="center"/>
          </w:tcPr>
          <w:p>
            <w:pPr>
              <w:spacing w:before="0" w:after="0" w:line="240" w:lineRule="auto"/>
              <w:jc w:val="left"/>
            </w:pPr>
            <w:r/>
            <w:r>
              <w:rPr>
                <w:rFonts w:ascii="Arial" w:hAnsi="Arial" w:cs="Arial"/>
                <w:sz w:val="18"/>
              </w:rPr>
              <w:t>Acuerdo ordinario</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Mayoría de presentes</w:t>
            </w:r>
          </w:p>
        </w:tc>
      </w:tr>
      <w:tr>
        <w:tc>
          <w:tcPr>
            <w:tcW w:type="dxa" w:w="4282"/>
            <w:tcMar>
              <w:top w:w="80" w:type="dxa"/>
              <w:start w:w="120" w:type="dxa"/>
              <w:bottom w:w="80" w:type="dxa"/>
              <w:end w:w="120" w:type="dxa"/>
            </w:tcMar>
            <w:vAlign w:val="center"/>
          </w:tcPr>
          <w:p>
            <w:pPr>
              <w:spacing w:before="0" w:after="0" w:line="240" w:lineRule="auto"/>
              <w:jc w:val="left"/>
            </w:pPr>
            <w:r/>
            <w:r>
              <w:rPr>
                <w:rFonts w:ascii="Arial" w:hAnsi="Arial" w:cs="Arial"/>
                <w:sz w:val="18"/>
              </w:rPr>
              <w:t>Ley orgánica, votación final de conjunto</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Mayoría absoluta del Congreso</w:t>
            </w:r>
          </w:p>
        </w:tc>
      </w:tr>
      <w:tr>
        <w:tc>
          <w:tcPr>
            <w:tcW w:type="dxa" w:w="4282"/>
            <w:tcMar>
              <w:top w:w="80" w:type="dxa"/>
              <w:start w:w="120" w:type="dxa"/>
              <w:bottom w:w="80" w:type="dxa"/>
              <w:end w:w="120" w:type="dxa"/>
            </w:tcMar>
            <w:vAlign w:val="center"/>
          </w:tcPr>
          <w:p>
            <w:pPr>
              <w:spacing w:before="0" w:after="0" w:line="240" w:lineRule="auto"/>
              <w:jc w:val="left"/>
            </w:pPr>
            <w:r/>
            <w:r>
              <w:rPr>
                <w:rFonts w:ascii="Arial" w:hAnsi="Arial" w:cs="Arial"/>
                <w:sz w:val="18"/>
              </w:rPr>
              <w:t>Reglamento de una Cámara y su reforma</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Mayoría absoluta en votación final de totalidad</w:t>
            </w:r>
          </w:p>
        </w:tc>
      </w:tr>
      <w:tr>
        <w:tc>
          <w:tcPr>
            <w:tcW w:type="dxa" w:w="4282"/>
            <w:tcMar>
              <w:top w:w="80" w:type="dxa"/>
              <w:start w:w="120" w:type="dxa"/>
              <w:bottom w:w="80" w:type="dxa"/>
              <w:end w:w="120" w:type="dxa"/>
            </w:tcMar>
            <w:vAlign w:val="center"/>
          </w:tcPr>
          <w:p>
            <w:pPr>
              <w:spacing w:before="0" w:after="0" w:line="240" w:lineRule="auto"/>
              <w:jc w:val="left"/>
            </w:pPr>
            <w:r/>
            <w:r>
              <w:rPr>
                <w:rFonts w:ascii="Arial" w:hAnsi="Arial" w:cs="Arial"/>
                <w:sz w:val="18"/>
              </w:rPr>
              <w:t>Veto del Senado</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Mayoría absoluta del Senado</w:t>
            </w:r>
          </w:p>
        </w:tc>
      </w:tr>
      <w:tr>
        <w:tc>
          <w:tcPr>
            <w:tcW w:type="dxa" w:w="4282"/>
            <w:tcMar>
              <w:top w:w="80" w:type="dxa"/>
              <w:start w:w="120" w:type="dxa"/>
              <w:bottom w:w="80" w:type="dxa"/>
              <w:end w:w="120" w:type="dxa"/>
            </w:tcMar>
            <w:vAlign w:val="center"/>
          </w:tcPr>
          <w:p>
            <w:pPr>
              <w:spacing w:before="0" w:after="0" w:line="240" w:lineRule="auto"/>
              <w:jc w:val="left"/>
            </w:pPr>
            <w:r/>
            <w:r>
              <w:rPr>
                <w:rFonts w:ascii="Arial" w:hAnsi="Arial" w:cs="Arial"/>
                <w:sz w:val="18"/>
              </w:rPr>
              <w:t>Elección de vocales del CGPJ por cada Cámara</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Tres quintos de sus miembros</w:t>
            </w:r>
          </w:p>
        </w:tc>
      </w:tr>
    </w:tbl>
    <w:p>
      <w:pPr>
        <w:spacing w:after="40"/>
      </w:pPr>
    </w:p>
    <w:p>
      <w:pPr>
        <w:jc w:val="both"/>
      </w:pPr>
      <w:r>
        <w:rPr>
          <w:rFonts w:ascii="Arial" w:hAnsi="Arial" w:cs="Arial"/>
          <w:sz w:val="22"/>
        </w:rPr>
        <w:t>El voto de diputados y senadores es personal e indelegable. El voto telemático no es una delegación: sigue siendo emitido por el parlamentario.</w:t>
      </w:r>
    </w:p>
    <w:p>
      <w:pPr>
        <w:pStyle w:val="Heading2"/>
        <w:keepNext/>
      </w:pPr>
      <w:r>
        <w:rPr>
          <w:rFonts w:ascii="Arial" w:hAnsi="Arial" w:cs="Arial"/>
          <w:sz w:val="25"/>
        </w:rPr>
        <w:t>5.4. Votación y participación telemática</w:t>
      </w:r>
    </w:p>
    <w:p>
      <w:pPr>
        <w:jc w:val="both"/>
      </w:pPr>
      <w:r>
        <w:rPr>
          <w:rFonts w:ascii="Arial" w:hAnsi="Arial" w:cs="Arial"/>
          <w:sz w:val="22"/>
        </w:rPr>
        <w:t>La reforma del Reglamento del Congreso de 22 de julio de 2025 amplió y sistematizó el voto telemático. La Mesa puede autorizarlo, entre otros supuestos, por embarazo, maternidad o paternidad; adopción, guarda o acogimiento; reproducción asistida; enfermedad o accidente propio o de familiares hasta segundo grado o dependientes; cuidados; fallecimiento familiar; y ciertos compromisos institucionales autorizados.</w:t>
      </w:r>
    </w:p>
    <w:p>
      <w:pPr>
        <w:jc w:val="both"/>
      </w:pPr>
      <w:r>
        <w:rPr>
          <w:rFonts w:ascii="Arial" w:hAnsi="Arial" w:cs="Arial"/>
          <w:sz w:val="22"/>
        </w:rPr>
        <w:t>La reforma también permite, en supuestos reglados, participación telemática en reuniones de Mesas. Debe retenerse la idea jurídica: la excepcionalidad se autoriza por el órgano competente y no altera que el voto sea personal.</w:t>
      </w:r>
    </w:p>
    <w:p>
      <w:pPr>
        <w:jc w:val="both"/>
      </w:pPr>
      <w:r>
        <w:rPr>
          <w:rFonts w:ascii="Arial" w:hAnsi="Arial" w:cs="Arial"/>
          <w:sz w:val="22"/>
        </w:rPr>
        <w:t>Otra reforma de la misma fecha actualizó ampliamente la terminología del Reglamento del Congreso y garantizó el uso de lenguas cooficiales en la actividad parlamentaria. Ambas fueron publicadas el 31 de julio de 2025 y están incorporadas al régimen vigente.</w:t>
      </w:r>
    </w:p>
    <w:p>
      <w:pPr>
        <w:pStyle w:val="Heading2"/>
        <w:keepNext/>
      </w:pPr>
      <w:r>
        <w:rPr>
          <w:rFonts w:ascii="Arial" w:hAnsi="Arial" w:cs="Arial"/>
          <w:sz w:val="25"/>
        </w:rPr>
        <w:t>5.5. Peticiones ciudadanas</w:t>
      </w:r>
    </w:p>
    <w:p>
      <w:pPr>
        <w:jc w:val="both"/>
      </w:pPr>
      <w:r>
        <w:rPr>
          <w:rFonts w:ascii="Arial" w:hAnsi="Arial" w:cs="Arial"/>
          <w:sz w:val="22"/>
        </w:rPr>
        <w:t>Las Cámaras pueden recibir peticiones individuales y colectivas, siempre por escrito. Se prohíbe su presentación directa mediante manifestaciones ciudadanas. Pueden remitirlas al Gobierno, que deberá explicarse sobre su contenido si la Cámara lo exige.</w:t>
      </w:r>
    </w:p>
    <w:p>
      <w:pPr>
        <w:jc w:val="both"/>
      </w:pPr>
      <w:r>
        <w:rPr>
          <w:rFonts w:ascii="Arial" w:hAnsi="Arial" w:cs="Arial"/>
          <w:sz w:val="22"/>
        </w:rPr>
        <w:t>Este derecho no equivale a iniciativa legislativa popular: la petición solicita o expone; la iniciativa popular pretende iniciar un procedimiento legislativo y exige los requisitos del artículo 87.3.</w:t>
      </w:r>
    </w:p>
    <w:p>
      <w:pPr>
        <w:pStyle w:val="Heading1"/>
        <w:keepNext/>
      </w:pPr>
      <w:r>
        <w:rPr>
          <w:rFonts w:ascii="Arial" w:hAnsi="Arial" w:cs="Arial"/>
          <w:sz w:val="30"/>
        </w:rPr>
        <w:t>6. Atribuciones de las Cortes Generales</w:t>
      </w:r>
    </w:p>
    <w:p>
      <w:pPr>
        <w:pStyle w:val="Heading2"/>
        <w:keepNext/>
      </w:pPr>
      <w:r>
        <w:rPr>
          <w:rFonts w:ascii="Arial" w:hAnsi="Arial" w:cs="Arial"/>
          <w:sz w:val="25"/>
        </w:rPr>
        <w:t>6.1. Potestad legislativa</w:t>
      </w:r>
    </w:p>
    <w:p>
      <w:pPr>
        <w:jc w:val="both"/>
      </w:pPr>
      <w:r>
        <w:rPr>
          <w:rFonts w:ascii="Arial" w:hAnsi="Arial" w:cs="Arial"/>
          <w:sz w:val="22"/>
        </w:rPr>
        <w:t xml:space="preserve">La función legislativa permite aprobar normas con rango de ley. Deben distinguirse </w:t>
      </w:r>
      <w:r>
        <w:rPr>
          <w:rFonts w:ascii="Arial" w:hAnsi="Arial" w:cs="Arial"/>
          <w:b/>
          <w:sz w:val="22"/>
        </w:rPr>
        <w:t>proyecto de ley</w:t>
      </w:r>
      <w:r>
        <w:rPr>
          <w:rFonts w:ascii="Arial" w:hAnsi="Arial" w:cs="Arial"/>
          <w:sz w:val="22"/>
        </w:rPr>
        <w:t xml:space="preserve"> y </w:t>
      </w:r>
      <w:r>
        <w:rPr>
          <w:rFonts w:ascii="Arial" w:hAnsi="Arial" w:cs="Arial"/>
          <w:b/>
          <w:sz w:val="22"/>
        </w:rPr>
        <w:t>proposición de ley</w:t>
      </w:r>
      <w:r>
        <w:rPr>
          <w:rFonts w:ascii="Arial" w:hAnsi="Arial" w:cs="Arial"/>
          <w:sz w:val="22"/>
        </w:rPr>
        <w:t>:</w:t>
      </w:r>
    </w:p>
    <w:p>
      <w:pPr>
        <w:pStyle w:val="ListBullet"/>
      </w:pPr>
      <w:r>
        <w:rPr>
          <w:rFonts w:ascii="Arial" w:hAnsi="Arial" w:cs="Arial"/>
          <w:sz w:val="22"/>
        </w:rPr>
        <w:t>el proyecto procede del Gobierno, es aprobado por el Consejo de Ministros y se remite al Congreso con exposición de motivos y antecedentes;</w:t>
      </w:r>
    </w:p>
    <w:p>
      <w:pPr>
        <w:pStyle w:val="ListBullet"/>
      </w:pPr>
      <w:r>
        <w:rPr>
          <w:rFonts w:ascii="Arial" w:hAnsi="Arial" w:cs="Arial"/>
          <w:sz w:val="22"/>
        </w:rPr>
        <w:t>la proposición puede proceder del Congreso, del Senado, de las Asambleas autonómicas o de la iniciativa legislativa popular.</w:t>
      </w:r>
    </w:p>
    <w:p>
      <w:pPr>
        <w:jc w:val="both"/>
      </w:pPr>
      <w:r>
        <w:rPr>
          <w:rFonts w:ascii="Arial" w:hAnsi="Arial" w:cs="Arial"/>
          <w:sz w:val="22"/>
        </w:rPr>
        <w:t>La iniciativa corresponde, según el artículo 87:</w:t>
      </w:r>
    </w:p>
    <w:p>
      <w:pPr>
        <w:pStyle w:val="ListBullet"/>
      </w:pPr>
      <w:r>
        <w:rPr>
          <w:rFonts w:ascii="Arial" w:hAnsi="Arial" w:cs="Arial"/>
          <w:sz w:val="22"/>
        </w:rPr>
        <w:t>al Gobierno;</w:t>
      </w:r>
    </w:p>
    <w:p>
      <w:pPr>
        <w:pStyle w:val="ListBullet"/>
      </w:pPr>
      <w:r>
        <w:rPr>
          <w:rFonts w:ascii="Arial" w:hAnsi="Arial" w:cs="Arial"/>
          <w:sz w:val="22"/>
        </w:rPr>
        <w:t>al Congreso;</w:t>
      </w:r>
    </w:p>
    <w:p>
      <w:pPr>
        <w:pStyle w:val="ListBullet"/>
      </w:pPr>
      <w:r>
        <w:rPr>
          <w:rFonts w:ascii="Arial" w:hAnsi="Arial" w:cs="Arial"/>
          <w:sz w:val="22"/>
        </w:rPr>
        <w:t>al Senado;</w:t>
      </w:r>
    </w:p>
    <w:p>
      <w:pPr>
        <w:pStyle w:val="ListBullet"/>
      </w:pPr>
      <w:r>
        <w:rPr>
          <w:rFonts w:ascii="Arial" w:hAnsi="Arial" w:cs="Arial"/>
          <w:sz w:val="22"/>
        </w:rPr>
        <w:t>a las Asambleas de las Comunidades Autónomas, que pueden solicitar un proyecto al Gobierno o remitir una proposición al Congreso y delegar hasta tres miembros para defenderla;</w:t>
      </w:r>
    </w:p>
    <w:p>
      <w:pPr>
        <w:pStyle w:val="ListBullet"/>
      </w:pPr>
      <w:r>
        <w:rPr>
          <w:rFonts w:ascii="Arial" w:hAnsi="Arial" w:cs="Arial"/>
          <w:sz w:val="22"/>
        </w:rPr>
        <w:t>a la ciudadanía mediante iniciativa popular.</w:t>
      </w:r>
    </w:p>
    <w:p>
      <w:pPr>
        <w:jc w:val="both"/>
      </w:pPr>
      <w:r>
        <w:rPr>
          <w:rFonts w:ascii="Arial" w:hAnsi="Arial" w:cs="Arial"/>
          <w:sz w:val="22"/>
        </w:rPr>
        <w:t xml:space="preserve">La iniciativa legislativa popular requiere no menos de </w:t>
      </w:r>
      <w:r>
        <w:rPr>
          <w:rFonts w:ascii="Arial" w:hAnsi="Arial" w:cs="Arial"/>
          <w:b/>
          <w:sz w:val="22"/>
        </w:rPr>
        <w:t>500.000 firmas acreditadas</w:t>
      </w:r>
      <w:r>
        <w:rPr>
          <w:rFonts w:ascii="Arial" w:hAnsi="Arial" w:cs="Arial"/>
          <w:sz w:val="22"/>
        </w:rPr>
        <w:t xml:space="preserve"> y no procede en materias propias de ley orgánica, tributarias, internacionales ni relativas a la prerrogativa de gracia.</w:t>
      </w:r>
    </w:p>
    <w:p>
      <w:pPr>
        <w:pStyle w:val="Heading3"/>
        <w:keepNext/>
      </w:pPr>
      <w:r>
        <w:rPr>
          <w:rFonts w:ascii="Arial" w:hAnsi="Arial" w:cs="Arial"/>
          <w:sz w:val="23"/>
        </w:rPr>
        <w:t>Procedimiento legislativo ordinario</w:t>
      </w:r>
    </w:p>
    <w:p>
      <w:pPr>
        <w:jc w:val="both"/>
      </w:pPr>
      <w:r>
        <w:rPr>
          <w:rFonts w:ascii="Arial" w:hAnsi="Arial" w:cs="Arial"/>
          <w:sz w:val="22"/>
        </w:rPr>
        <w:t>Su esquema básico es:</w:t>
      </w:r>
    </w:p>
    <w:p>
      <w:pPr>
        <w:spacing w:after="40"/>
        <w:ind w:left="369" w:hanging="227"/>
      </w:pPr>
      <w:r>
        <w:rPr>
          <w:rFonts w:ascii="Arial" w:hAnsi="Arial" w:cs="Arial"/>
          <w:sz w:val="22"/>
        </w:rPr>
        <w:t>1. iniciativa;</w:t>
      </w:r>
    </w:p>
    <w:p>
      <w:pPr>
        <w:spacing w:after="40"/>
        <w:ind w:left="369" w:hanging="227"/>
      </w:pPr>
      <w:r>
        <w:rPr>
          <w:rFonts w:ascii="Arial" w:hAnsi="Arial" w:cs="Arial"/>
          <w:sz w:val="22"/>
        </w:rPr>
        <w:t>2. publicación y apertura del plazo de enmiendas;</w:t>
      </w:r>
    </w:p>
    <w:p>
      <w:pPr>
        <w:spacing w:after="40"/>
        <w:ind w:left="369" w:hanging="227"/>
      </w:pPr>
      <w:r>
        <w:rPr>
          <w:rFonts w:ascii="Arial" w:hAnsi="Arial" w:cs="Arial"/>
          <w:sz w:val="22"/>
        </w:rPr>
        <w:t>3. posible debate de totalidad;</w:t>
      </w:r>
    </w:p>
    <w:p>
      <w:pPr>
        <w:spacing w:after="40"/>
        <w:ind w:left="369" w:hanging="227"/>
      </w:pPr>
      <w:r>
        <w:rPr>
          <w:rFonts w:ascii="Arial" w:hAnsi="Arial" w:cs="Arial"/>
          <w:sz w:val="22"/>
        </w:rPr>
        <w:t>4. informe de Ponencia;</w:t>
      </w:r>
    </w:p>
    <w:p>
      <w:pPr>
        <w:spacing w:after="40"/>
        <w:ind w:left="369" w:hanging="227"/>
      </w:pPr>
      <w:r>
        <w:rPr>
          <w:rFonts w:ascii="Arial" w:hAnsi="Arial" w:cs="Arial"/>
          <w:sz w:val="22"/>
        </w:rPr>
        <w:t>5. dictamen de Comisión;</w:t>
      </w:r>
    </w:p>
    <w:p>
      <w:pPr>
        <w:spacing w:after="40"/>
        <w:ind w:left="369" w:hanging="227"/>
      </w:pPr>
      <w:r>
        <w:rPr>
          <w:rFonts w:ascii="Arial" w:hAnsi="Arial" w:cs="Arial"/>
          <w:sz w:val="22"/>
        </w:rPr>
        <w:t>6. debate y aprobación por el Pleno, salvo competencia legislativa plena de Comisión;</w:t>
      </w:r>
    </w:p>
    <w:p>
      <w:pPr>
        <w:spacing w:after="40"/>
        <w:ind w:left="369" w:hanging="227"/>
      </w:pPr>
      <w:r>
        <w:rPr>
          <w:rFonts w:ascii="Arial" w:hAnsi="Arial" w:cs="Arial"/>
          <w:sz w:val="22"/>
        </w:rPr>
        <w:t>7. remisión al Senado;</w:t>
      </w:r>
    </w:p>
    <w:p>
      <w:pPr>
        <w:spacing w:after="40"/>
        <w:ind w:left="369" w:hanging="227"/>
      </w:pPr>
      <w:r>
        <w:rPr>
          <w:rFonts w:ascii="Arial" w:hAnsi="Arial" w:cs="Arial"/>
          <w:sz w:val="22"/>
        </w:rPr>
        <w:t>8. veto o enmiendas senatoriales, o aprobación sin cambios;</w:t>
      </w:r>
    </w:p>
    <w:p>
      <w:pPr>
        <w:spacing w:after="40"/>
        <w:ind w:left="369" w:hanging="227"/>
      </w:pPr>
      <w:r>
        <w:rPr>
          <w:rFonts w:ascii="Arial" w:hAnsi="Arial" w:cs="Arial"/>
          <w:sz w:val="22"/>
        </w:rPr>
        <w:t>9. decisión final del Congreso;</w:t>
      </w:r>
    </w:p>
    <w:p>
      <w:pPr>
        <w:spacing w:after="40"/>
        <w:ind w:left="369" w:hanging="227"/>
      </w:pPr>
      <w:r>
        <w:rPr>
          <w:rFonts w:ascii="Arial" w:hAnsi="Arial" w:cs="Arial"/>
          <w:sz w:val="22"/>
        </w:rPr>
        <w:t>10. sanción, promulgación y publicación.</w:t>
      </w:r>
    </w:p>
    <w:p>
      <w:pPr>
        <w:jc w:val="both"/>
      </w:pPr>
      <w:r>
        <w:rPr>
          <w:rFonts w:ascii="Arial" w:hAnsi="Arial" w:cs="Arial"/>
          <w:sz w:val="22"/>
        </w:rPr>
        <w:t xml:space="preserve">El Senado dispone ordinariamente de </w:t>
      </w:r>
      <w:r>
        <w:rPr>
          <w:rFonts w:ascii="Arial" w:hAnsi="Arial" w:cs="Arial"/>
          <w:b/>
          <w:sz w:val="22"/>
        </w:rPr>
        <w:t>dos meses</w:t>
      </w:r>
      <w:r>
        <w:rPr>
          <w:rFonts w:ascii="Arial" w:hAnsi="Arial" w:cs="Arial"/>
          <w:sz w:val="22"/>
        </w:rPr>
        <w:t xml:space="preserve"> desde la recepción. Puede formular veto motivado o enmiendas. El veto requiere mayoría absoluta.</w:t>
      </w:r>
    </w:p>
    <w:p>
      <w:pPr>
        <w:jc w:val="both"/>
      </w:pPr>
      <w:r>
        <w:rPr>
          <w:rFonts w:ascii="Arial" w:hAnsi="Arial" w:cs="Arial"/>
          <w:sz w:val="22"/>
        </w:rPr>
        <w:t>El Congreso puede levantar el veto:</w:t>
      </w:r>
    </w:p>
    <w:p>
      <w:pPr>
        <w:pStyle w:val="ListBullet"/>
      </w:pPr>
      <w:r>
        <w:rPr>
          <w:rFonts w:ascii="Arial" w:hAnsi="Arial" w:cs="Arial"/>
          <w:sz w:val="22"/>
        </w:rPr>
        <w:t>inmediatamente por mayoría absoluta; o</w:t>
      </w:r>
    </w:p>
    <w:p>
      <w:pPr>
        <w:pStyle w:val="ListBullet"/>
      </w:pPr>
      <w:r>
        <w:rPr>
          <w:rFonts w:ascii="Arial" w:hAnsi="Arial" w:cs="Arial"/>
          <w:sz w:val="22"/>
        </w:rPr>
        <w:t>transcurridos dos meses desde su interposición, por mayoría simple.</w:t>
      </w:r>
    </w:p>
    <w:p>
      <w:pPr>
        <w:jc w:val="both"/>
      </w:pPr>
      <w:r>
        <w:rPr>
          <w:rFonts w:ascii="Arial" w:hAnsi="Arial" w:cs="Arial"/>
          <w:sz w:val="22"/>
        </w:rPr>
        <w:t xml:space="preserve">Las enmiendas del Senado se aceptan o rechazan por mayoría simple. En los proyectos declarados urgentes, el plazo senatorial se reduce a </w:t>
      </w:r>
      <w:r>
        <w:rPr>
          <w:rFonts w:ascii="Arial" w:hAnsi="Arial" w:cs="Arial"/>
          <w:b/>
          <w:sz w:val="22"/>
        </w:rPr>
        <w:t>veinte días naturales</w:t>
      </w:r>
      <w:r>
        <w:rPr>
          <w:rFonts w:ascii="Arial" w:hAnsi="Arial" w:cs="Arial"/>
          <w:sz w:val="22"/>
        </w:rPr>
        <w:t>.</w:t>
      </w:r>
    </w:p>
    <w:p>
      <w:pPr>
        <w:jc w:val="both"/>
      </w:pPr>
      <w:r>
        <w:rPr>
          <w:rFonts w:ascii="Arial" w:hAnsi="Arial" w:cs="Arial"/>
          <w:sz w:val="22"/>
        </w:rPr>
        <w:t>El Rey sanciona las leyes aprobadas por las Cortes en el plazo de quince días, las promulga y ordena su inmediata publicación.</w:t>
      </w:r>
    </w:p>
    <w:p>
      <w:pPr>
        <w:pStyle w:val="Heading3"/>
        <w:keepNext/>
      </w:pPr>
      <w:r>
        <w:rPr>
          <w:rFonts w:ascii="Arial" w:hAnsi="Arial" w:cs="Arial"/>
          <w:sz w:val="23"/>
        </w:rPr>
        <w:t>Leyes orgánicas</w:t>
      </w:r>
    </w:p>
    <w:p>
      <w:pPr>
        <w:jc w:val="both"/>
      </w:pPr>
      <w:r>
        <w:rPr>
          <w:rFonts w:ascii="Arial" w:hAnsi="Arial" w:cs="Arial"/>
          <w:sz w:val="22"/>
        </w:rPr>
        <w:t>Son orgánicas las relativas al desarrollo de los derechos fundamentales y libertades públicas, las que aprueban Estatutos de Autonomía y el régimen electoral general y las demás previstas por la Constitución. Su aprobación, modificación o derogación exige mayoría absoluta del Congreso en votación final sobre el conjunto.</w:t>
      </w:r>
    </w:p>
    <w:p>
      <w:pPr>
        <w:jc w:val="both"/>
      </w:pPr>
      <w:r>
        <w:rPr>
          <w:rFonts w:ascii="Arial" w:hAnsi="Arial" w:cs="Arial"/>
          <w:sz w:val="22"/>
        </w:rPr>
        <w:t>No toda materia relevante requiere ley orgánica. La reserva es tasada y la mayoría especial corresponde al Congreso, no a una votación final equivalente del Senado.</w:t>
      </w:r>
    </w:p>
    <w:p>
      <w:pPr>
        <w:pStyle w:val="Heading3"/>
        <w:keepNext/>
      </w:pPr>
      <w:r>
        <w:rPr>
          <w:rFonts w:ascii="Arial" w:hAnsi="Arial" w:cs="Arial"/>
          <w:sz w:val="23"/>
        </w:rPr>
        <w:t>Delegación legislativa</w:t>
      </w:r>
    </w:p>
    <w:p>
      <w:pPr>
        <w:jc w:val="both"/>
      </w:pPr>
      <w:r>
        <w:rPr>
          <w:rFonts w:ascii="Arial" w:hAnsi="Arial" w:cs="Arial"/>
          <w:sz w:val="22"/>
        </w:rPr>
        <w:t>Las Cortes pueden delegar en el Gobierno la facultad de dictar normas con rango de ley sobre materias no reservadas a ley orgánica:</w:t>
      </w:r>
    </w:p>
    <w:p>
      <w:pPr>
        <w:pStyle w:val="ListBullet"/>
      </w:pPr>
      <w:r>
        <w:rPr>
          <w:rFonts w:ascii="Arial" w:hAnsi="Arial" w:cs="Arial"/>
          <w:sz w:val="22"/>
        </w:rPr>
        <w:t>mediante ley de bases para formar textos articulados;</w:t>
      </w:r>
    </w:p>
    <w:p>
      <w:pPr>
        <w:pStyle w:val="ListBullet"/>
      </w:pPr>
      <w:r>
        <w:rPr>
          <w:rFonts w:ascii="Arial" w:hAnsi="Arial" w:cs="Arial"/>
          <w:sz w:val="22"/>
        </w:rPr>
        <w:t>mediante ley ordinaria para refundir textos legales.</w:t>
      </w:r>
    </w:p>
    <w:p>
      <w:pPr>
        <w:jc w:val="both"/>
      </w:pPr>
      <w:r>
        <w:rPr>
          <w:rFonts w:ascii="Arial" w:hAnsi="Arial" w:cs="Arial"/>
          <w:sz w:val="22"/>
        </w:rPr>
        <w:t xml:space="preserve">La delegación ha de ser expresa, para materia concreta y con plazo. Se agota con su ejercicio y no puede entenderse concedida implícitamente ni por tiempo indeterminado. Las disposiciones resultantes son </w:t>
      </w:r>
      <w:r>
        <w:rPr>
          <w:rFonts w:ascii="Arial" w:hAnsi="Arial" w:cs="Arial"/>
          <w:b/>
          <w:sz w:val="22"/>
        </w:rPr>
        <w:t>decretos legislativos</w:t>
      </w:r>
      <w:r>
        <w:rPr>
          <w:rFonts w:ascii="Arial" w:hAnsi="Arial" w:cs="Arial"/>
          <w:sz w:val="22"/>
        </w:rPr>
        <w:t>.</w:t>
      </w:r>
    </w:p>
    <w:p>
      <w:pPr>
        <w:pStyle w:val="Heading3"/>
        <w:keepNext/>
      </w:pPr>
      <w:r>
        <w:rPr>
          <w:rFonts w:ascii="Arial" w:hAnsi="Arial" w:cs="Arial"/>
          <w:sz w:val="23"/>
        </w:rPr>
        <w:t>Decretos-leyes</w:t>
      </w:r>
    </w:p>
    <w:p>
      <w:pPr>
        <w:jc w:val="both"/>
      </w:pPr>
      <w:r>
        <w:rPr>
          <w:rFonts w:ascii="Arial" w:hAnsi="Arial" w:cs="Arial"/>
          <w:sz w:val="22"/>
        </w:rPr>
        <w:t>En caso de extraordinaria y urgente necesidad, el Gobierno puede aprobar decretos-leyes. Son disposiciones legislativas provisionales y no pueden afectar a las instituciones básicas del Estado, los derechos, deberes y libertades del título I, el régimen autonómico ni el Derecho electoral general.</w:t>
      </w:r>
    </w:p>
    <w:p>
      <w:pPr>
        <w:jc w:val="both"/>
      </w:pPr>
      <w:r>
        <w:rPr>
          <w:rFonts w:ascii="Arial" w:hAnsi="Arial" w:cs="Arial"/>
          <w:sz w:val="22"/>
        </w:rPr>
        <w:t xml:space="preserve">El Congreso debe debatir y votar su convalidación o derogación dentro de los </w:t>
      </w:r>
      <w:r>
        <w:rPr>
          <w:rFonts w:ascii="Arial" w:hAnsi="Arial" w:cs="Arial"/>
          <w:b/>
          <w:sz w:val="22"/>
        </w:rPr>
        <w:t>treinta días</w:t>
      </w:r>
      <w:r>
        <w:rPr>
          <w:rFonts w:ascii="Arial" w:hAnsi="Arial" w:cs="Arial"/>
          <w:sz w:val="22"/>
        </w:rPr>
        <w:t xml:space="preserve"> siguientes a su promulgación. Durante ese plazo puede acordar tramitarlo como proyecto de ley por urgencia. El Senado no participa en la convalidación.</w:t>
      </w:r>
    </w:p>
    <w:p>
      <w:pPr>
        <w:pStyle w:val="Heading2"/>
        <w:keepNext/>
      </w:pPr>
      <w:r>
        <w:rPr>
          <w:rFonts w:ascii="Arial" w:hAnsi="Arial" w:cs="Arial"/>
          <w:sz w:val="25"/>
        </w:rPr>
        <w:t>6.2. Función presupuestaria</w:t>
      </w:r>
    </w:p>
    <w:p>
      <w:pPr>
        <w:jc w:val="both"/>
      </w:pPr>
      <w:r>
        <w:rPr>
          <w:rFonts w:ascii="Arial" w:hAnsi="Arial" w:cs="Arial"/>
          <w:sz w:val="22"/>
        </w:rPr>
        <w:t>Corresponde al Gobierno elaborar los Presupuestos Generales del Estado y a las Cortes examinarlos, enmendarlos y aprobarlos.</w:t>
      </w:r>
    </w:p>
    <w:p>
      <w:pPr>
        <w:jc w:val="both"/>
      </w:pPr>
      <w:r>
        <w:rPr>
          <w:rFonts w:ascii="Arial" w:hAnsi="Arial" w:cs="Arial"/>
          <w:sz w:val="22"/>
        </w:rPr>
        <w:t>El Gobierno debe presentar el proyecto al Congreso al menos tres meses antes de expirar los del año anterior. Si la ley presupuestaria no se aprueba antes del primer día del ejercicio, los Presupuestos anteriores se prorrogan automáticamente hasta la aprobación de los nuevos.</w:t>
      </w:r>
    </w:p>
    <w:p>
      <w:pPr>
        <w:jc w:val="both"/>
      </w:pPr>
      <w:r>
        <w:rPr>
          <w:rFonts w:ascii="Arial" w:hAnsi="Arial" w:cs="Arial"/>
          <w:sz w:val="22"/>
        </w:rPr>
        <w:t>Una vez aprobados los Presupuestos, el Gobierno puede presentar proyectos que aumenten gasto o disminuyan ingresos. Toda proposición o enmienda que suponga aumento de créditos o disminución de ingresos presupuestarios requiere conformidad del Gobierno para tramitarse.</w:t>
      </w:r>
    </w:p>
    <w:p>
      <w:pPr>
        <w:jc w:val="both"/>
      </w:pPr>
      <w:r>
        <w:rPr>
          <w:rFonts w:ascii="Arial" w:hAnsi="Arial" w:cs="Arial"/>
          <w:sz w:val="22"/>
        </w:rPr>
        <w:t>La Ley de Presupuestos no puede crear tributos, aunque puede modificarlos cuando una ley tributaria sustantiva lo prevea.</w:t>
      </w:r>
    </w:p>
    <w:p>
      <w:pPr>
        <w:pStyle w:val="Heading2"/>
        <w:keepNext/>
      </w:pPr>
      <w:r>
        <w:rPr>
          <w:rFonts w:ascii="Arial" w:hAnsi="Arial" w:cs="Arial"/>
          <w:sz w:val="25"/>
        </w:rPr>
        <w:t>6.3. Control del Gobierno</w:t>
      </w:r>
    </w:p>
    <w:p>
      <w:pPr>
        <w:jc w:val="both"/>
      </w:pPr>
      <w:r>
        <w:rPr>
          <w:rFonts w:ascii="Arial" w:hAnsi="Arial" w:cs="Arial"/>
          <w:sz w:val="22"/>
        </w:rPr>
        <w:t>Las Cortes, y especialmente el Congreso, controlan la acción del Gobierno mediante:</w:t>
      </w:r>
    </w:p>
    <w:p>
      <w:pPr>
        <w:pStyle w:val="ListBullet"/>
      </w:pPr>
      <w:r>
        <w:rPr>
          <w:rFonts w:ascii="Arial" w:hAnsi="Arial" w:cs="Arial"/>
          <w:sz w:val="22"/>
        </w:rPr>
        <w:t>preguntas;</w:t>
      </w:r>
    </w:p>
    <w:p>
      <w:pPr>
        <w:pStyle w:val="ListBullet"/>
      </w:pPr>
      <w:r>
        <w:rPr>
          <w:rFonts w:ascii="Arial" w:hAnsi="Arial" w:cs="Arial"/>
          <w:sz w:val="22"/>
        </w:rPr>
        <w:t>interpelaciones;</w:t>
      </w:r>
    </w:p>
    <w:p>
      <w:pPr>
        <w:pStyle w:val="ListBullet"/>
      </w:pPr>
      <w:r>
        <w:rPr>
          <w:rFonts w:ascii="Arial" w:hAnsi="Arial" w:cs="Arial"/>
          <w:sz w:val="22"/>
        </w:rPr>
        <w:t>comparecencias;</w:t>
      </w:r>
    </w:p>
    <w:p>
      <w:pPr>
        <w:pStyle w:val="ListBullet"/>
      </w:pPr>
      <w:r>
        <w:rPr>
          <w:rFonts w:ascii="Arial" w:hAnsi="Arial" w:cs="Arial"/>
          <w:sz w:val="22"/>
        </w:rPr>
        <w:t>solicitudes de información;</w:t>
      </w:r>
    </w:p>
    <w:p>
      <w:pPr>
        <w:pStyle w:val="ListBullet"/>
      </w:pPr>
      <w:r>
        <w:rPr>
          <w:rFonts w:ascii="Arial" w:hAnsi="Arial" w:cs="Arial"/>
          <w:sz w:val="22"/>
        </w:rPr>
        <w:t>Comisiones de investigación;</w:t>
      </w:r>
    </w:p>
    <w:p>
      <w:pPr>
        <w:pStyle w:val="ListBullet"/>
      </w:pPr>
      <w:r>
        <w:rPr>
          <w:rFonts w:ascii="Arial" w:hAnsi="Arial" w:cs="Arial"/>
          <w:sz w:val="22"/>
        </w:rPr>
        <w:t>mociones y proposiciones no de ley;</w:t>
      </w:r>
    </w:p>
    <w:p>
      <w:pPr>
        <w:pStyle w:val="ListBullet"/>
      </w:pPr>
      <w:r>
        <w:rPr>
          <w:rFonts w:ascii="Arial" w:hAnsi="Arial" w:cs="Arial"/>
          <w:sz w:val="22"/>
        </w:rPr>
        <w:t>debate y examen de programas y actuaciones;</w:t>
      </w:r>
    </w:p>
    <w:p>
      <w:pPr>
        <w:pStyle w:val="ListBullet"/>
      </w:pPr>
      <w:r>
        <w:rPr>
          <w:rFonts w:ascii="Arial" w:hAnsi="Arial" w:cs="Arial"/>
          <w:sz w:val="22"/>
        </w:rPr>
        <w:t>cuestión de confianza;</w:t>
      </w:r>
    </w:p>
    <w:p>
      <w:pPr>
        <w:pStyle w:val="ListBullet"/>
      </w:pPr>
      <w:r>
        <w:rPr>
          <w:rFonts w:ascii="Arial" w:hAnsi="Arial" w:cs="Arial"/>
          <w:sz w:val="22"/>
        </w:rPr>
        <w:t>moción de censura.</w:t>
      </w:r>
    </w:p>
    <w:p>
      <w:pPr>
        <w:jc w:val="both"/>
      </w:pPr>
      <w:r>
        <w:rPr>
          <w:rFonts w:ascii="Arial" w:hAnsi="Arial" w:cs="Arial"/>
          <w:sz w:val="22"/>
        </w:rPr>
        <w:t>El Gobierno responde solidariamente de su gestión ante el Congreso. Las Cámaras y sus Comisiones pueden reclamar la presencia de miembros del Gobierno, y estos pueden asistir y hacerse oír.</w:t>
      </w:r>
    </w:p>
    <w:p>
      <w:pPr>
        <w:jc w:val="both"/>
      </w:pPr>
      <w:r>
        <w:rPr>
          <w:rFonts w:ascii="Arial" w:hAnsi="Arial" w:cs="Arial"/>
          <w:sz w:val="22"/>
        </w:rPr>
        <w:t xml:space="preserve">La </w:t>
      </w:r>
      <w:r>
        <w:rPr>
          <w:rFonts w:ascii="Arial" w:hAnsi="Arial" w:cs="Arial"/>
          <w:b/>
          <w:sz w:val="22"/>
        </w:rPr>
        <w:t>cuestión de confianza</w:t>
      </w:r>
      <w:r>
        <w:rPr>
          <w:rFonts w:ascii="Arial" w:hAnsi="Arial" w:cs="Arial"/>
          <w:sz w:val="22"/>
        </w:rPr>
        <w:t xml:space="preserve"> la plantea el Presidente del Gobierno, previa deliberación del Consejo de Ministros, ante el Congreso. Se entiende otorgada por mayoría simple.</w:t>
      </w:r>
    </w:p>
    <w:p>
      <w:pPr>
        <w:jc w:val="both"/>
      </w:pPr>
      <w:r>
        <w:rPr>
          <w:rFonts w:ascii="Arial" w:hAnsi="Arial" w:cs="Arial"/>
          <w:sz w:val="22"/>
        </w:rPr>
        <w:t xml:space="preserve">La </w:t>
      </w:r>
      <w:r>
        <w:rPr>
          <w:rFonts w:ascii="Arial" w:hAnsi="Arial" w:cs="Arial"/>
          <w:b/>
          <w:sz w:val="22"/>
        </w:rPr>
        <w:t>moción de censura</w:t>
      </w:r>
      <w:r>
        <w:rPr>
          <w:rFonts w:ascii="Arial" w:hAnsi="Arial" w:cs="Arial"/>
          <w:sz w:val="22"/>
        </w:rPr>
        <w:t xml:space="preserve"> debe ser propuesta al menos por una décima parte de los diputados, incluir candidato alternativo y aprobarse por mayoría absoluta. Es constructiva: censura y nueva investidura forman una sola decisión.</w:t>
      </w:r>
    </w:p>
    <w:p>
      <w:pPr>
        <w:pStyle w:val="Heading2"/>
        <w:keepNext/>
      </w:pPr>
      <w:r>
        <w:rPr>
          <w:rFonts w:ascii="Arial" w:hAnsi="Arial" w:cs="Arial"/>
          <w:sz w:val="25"/>
        </w:rPr>
        <w:t>6.4. Otras atribuciones constitucionales</w:t>
      </w:r>
    </w:p>
    <w:p>
      <w:pPr>
        <w:jc w:val="both"/>
      </w:pPr>
      <w:r>
        <w:rPr>
          <w:rFonts w:ascii="Arial" w:hAnsi="Arial" w:cs="Arial"/>
          <w:sz w:val="22"/>
        </w:rPr>
        <w:t>Las Cortes intervienen también en:</w:t>
      </w:r>
    </w:p>
    <w:p>
      <w:pPr>
        <w:pStyle w:val="ListBullet"/>
      </w:pPr>
      <w:r>
        <w:rPr>
          <w:rFonts w:ascii="Arial" w:hAnsi="Arial" w:cs="Arial"/>
          <w:sz w:val="22"/>
        </w:rPr>
        <w:t>reforma constitucional;</w:t>
      </w:r>
    </w:p>
    <w:p>
      <w:pPr>
        <w:pStyle w:val="ListBullet"/>
      </w:pPr>
      <w:r>
        <w:rPr>
          <w:rFonts w:ascii="Arial" w:hAnsi="Arial" w:cs="Arial"/>
          <w:sz w:val="22"/>
        </w:rPr>
        <w:t>autorización de determinados tratados y convenios internacionales;</w:t>
      </w:r>
    </w:p>
    <w:p>
      <w:pPr>
        <w:pStyle w:val="ListBullet"/>
      </w:pPr>
      <w:r>
        <w:rPr>
          <w:rFonts w:ascii="Arial" w:hAnsi="Arial" w:cs="Arial"/>
          <w:sz w:val="22"/>
        </w:rPr>
        <w:t>autorización mediante ley orgánica para atribuir a organizaciones internacionales el ejercicio de competencias derivadas de la Constitución;</w:t>
      </w:r>
    </w:p>
    <w:p>
      <w:pPr>
        <w:pStyle w:val="ListBullet"/>
      </w:pPr>
      <w:r>
        <w:rPr>
          <w:rFonts w:ascii="Arial" w:hAnsi="Arial" w:cs="Arial"/>
          <w:sz w:val="22"/>
        </w:rPr>
        <w:t>actos relativos a la Corona;</w:t>
      </w:r>
    </w:p>
    <w:p>
      <w:pPr>
        <w:pStyle w:val="ListBullet"/>
      </w:pPr>
      <w:r>
        <w:rPr>
          <w:rFonts w:ascii="Arial" w:hAnsi="Arial" w:cs="Arial"/>
          <w:sz w:val="22"/>
        </w:rPr>
        <w:t>autorización del estado de sitio y actuaciones sobre alarma y excepción;</w:t>
      </w:r>
    </w:p>
    <w:p>
      <w:pPr>
        <w:pStyle w:val="ListBullet"/>
      </w:pPr>
      <w:r>
        <w:rPr>
          <w:rFonts w:ascii="Arial" w:hAnsi="Arial" w:cs="Arial"/>
          <w:sz w:val="22"/>
        </w:rPr>
        <w:t>designación de miembros de órganos constitucionales;</w:t>
      </w:r>
    </w:p>
    <w:p>
      <w:pPr>
        <w:pStyle w:val="ListBullet"/>
      </w:pPr>
      <w:r>
        <w:rPr>
          <w:rFonts w:ascii="Arial" w:hAnsi="Arial" w:cs="Arial"/>
          <w:sz w:val="22"/>
        </w:rPr>
        <w:t>autorización senatorial del artículo 155;</w:t>
      </w:r>
    </w:p>
    <w:p>
      <w:pPr>
        <w:pStyle w:val="ListBullet"/>
      </w:pPr>
      <w:r>
        <w:rPr>
          <w:rFonts w:ascii="Arial" w:hAnsi="Arial" w:cs="Arial"/>
          <w:sz w:val="22"/>
        </w:rPr>
        <w:t>distribución del Fondo de Compensación Interterritorial;</w:t>
      </w:r>
    </w:p>
    <w:p>
      <w:pPr>
        <w:pStyle w:val="ListBullet"/>
      </w:pPr>
      <w:r>
        <w:rPr>
          <w:rFonts w:ascii="Arial" w:hAnsi="Arial" w:cs="Arial"/>
          <w:sz w:val="22"/>
        </w:rPr>
        <w:t>autorización de acuerdos de cooperación entre Comunidades Autónomas cuando proceda.</w:t>
      </w:r>
    </w:p>
    <w:p>
      <w:pPr>
        <w:jc w:val="both"/>
      </w:pPr>
      <w:r>
        <w:rPr>
          <w:rFonts w:ascii="Arial" w:hAnsi="Arial" w:cs="Arial"/>
          <w:sz w:val="22"/>
        </w:rPr>
        <w:t>En los asuntos de los artículos 94.1, 145.2 y 158.2, la decisión exige mayoría de cada Cámara. Si no hay acuerdo, se intenta mediante Comisión Mixta paritaria; si su texto tampoco se aprueba, decide el Congreso por mayoría absoluta. El procedimiento se inicia por el Congreso en el caso del artículo 94.1 y por el Senado en los otros dos.</w:t>
      </w:r>
    </w:p>
    <w:p>
      <w:pPr>
        <w:pStyle w:val="Heading1"/>
        <w:keepNext/>
      </w:pPr>
      <w:r>
        <w:rPr>
          <w:rFonts w:ascii="Arial" w:hAnsi="Arial" w:cs="Arial"/>
          <w:sz w:val="30"/>
        </w:rPr>
        <w:t>7. El Defensor del Pueblo</w:t>
      </w:r>
    </w:p>
    <w:p>
      <w:pPr>
        <w:pStyle w:val="Heading2"/>
        <w:keepNext/>
      </w:pPr>
      <w:r>
        <w:rPr>
          <w:rFonts w:ascii="Arial" w:hAnsi="Arial" w:cs="Arial"/>
          <w:sz w:val="25"/>
        </w:rPr>
        <w:t>7.1. Naturaleza y fundamento</w:t>
      </w:r>
    </w:p>
    <w:p>
      <w:pPr>
        <w:jc w:val="both"/>
      </w:pPr>
      <w:r>
        <w:rPr>
          <w:rFonts w:ascii="Arial" w:hAnsi="Arial" w:cs="Arial"/>
          <w:sz w:val="22"/>
        </w:rPr>
        <w:t xml:space="preserve">El artículo 54 de la Constitución dispone que una ley orgánica regulará la institución como </w:t>
      </w:r>
      <w:r>
        <w:rPr>
          <w:rFonts w:ascii="Arial" w:hAnsi="Arial" w:cs="Arial"/>
          <w:b/>
          <w:sz w:val="22"/>
        </w:rPr>
        <w:t>alto comisionado de las Cortes Generales</w:t>
      </w:r>
      <w:r>
        <w:rPr>
          <w:rFonts w:ascii="Arial" w:hAnsi="Arial" w:cs="Arial"/>
          <w:sz w:val="22"/>
        </w:rPr>
        <w:t>, designado por estas para defender los derechos del título I. Puede supervisar la actividad de la Administración y da cuenta a las Cortes.</w:t>
      </w:r>
    </w:p>
    <w:p>
      <w:pPr>
        <w:jc w:val="both"/>
      </w:pPr>
      <w:r>
        <w:rPr>
          <w:rFonts w:ascii="Arial" w:hAnsi="Arial" w:cs="Arial"/>
          <w:sz w:val="22"/>
        </w:rPr>
        <w:t xml:space="preserve">Su norma principal es la </w:t>
      </w:r>
      <w:r>
        <w:rPr>
          <w:rFonts w:ascii="Arial" w:hAnsi="Arial" w:cs="Arial"/>
          <w:b/>
          <w:sz w:val="22"/>
        </w:rPr>
        <w:t>Ley Orgánica 3/1981, de 6 de abril, del Defensor del Pueblo</w:t>
      </w:r>
      <w:r>
        <w:rPr>
          <w:rFonts w:ascii="Arial" w:hAnsi="Arial" w:cs="Arial"/>
          <w:sz w:val="22"/>
        </w:rPr>
        <w:t>. No es un órgano del Gobierno, un tribunal ni una autoridad administrativa con potestad para anular actos. Actúa con autonomía, investiga, recomienda, advierte, informa y, en determinados casos, recurre ante el Tribunal Constitucional.</w:t>
      </w:r>
    </w:p>
    <w:p>
      <w:pPr>
        <w:pStyle w:val="Heading2"/>
        <w:keepNext/>
      </w:pPr>
      <w:r>
        <w:rPr>
          <w:rFonts w:ascii="Arial" w:hAnsi="Arial" w:cs="Arial"/>
          <w:sz w:val="25"/>
        </w:rPr>
        <w:t>7.2. Elección, mandato y requisitos</w:t>
      </w:r>
    </w:p>
    <w:p>
      <w:pPr>
        <w:jc w:val="both"/>
      </w:pPr>
      <w:r>
        <w:rPr>
          <w:rFonts w:ascii="Arial" w:hAnsi="Arial" w:cs="Arial"/>
          <w:sz w:val="22"/>
        </w:rPr>
        <w:t xml:space="preserve">El Defensor es elegido por las Cortes para </w:t>
      </w:r>
      <w:r>
        <w:rPr>
          <w:rFonts w:ascii="Arial" w:hAnsi="Arial" w:cs="Arial"/>
          <w:b/>
          <w:sz w:val="22"/>
        </w:rPr>
        <w:t>cinco años</w:t>
      </w:r>
      <w:r>
        <w:rPr>
          <w:rFonts w:ascii="Arial" w:hAnsi="Arial" w:cs="Arial"/>
          <w:sz w:val="22"/>
        </w:rPr>
        <w:t>. Una Comisión Mixta Congreso-Senado se relaciona con la institución y propone candidato o candidatos. Sus acuerdos se adoptan por mayoría simple.</w:t>
      </w:r>
    </w:p>
    <w:p>
      <w:pPr>
        <w:jc w:val="both"/>
      </w:pPr>
      <w:r>
        <w:rPr>
          <w:rFonts w:ascii="Arial" w:hAnsi="Arial" w:cs="Arial"/>
          <w:sz w:val="22"/>
        </w:rPr>
        <w:t>La elección ordinaria exige:</w:t>
      </w:r>
    </w:p>
    <w:p>
      <w:pPr>
        <w:spacing w:after="40"/>
        <w:ind w:left="369" w:hanging="227"/>
      </w:pPr>
      <w:r>
        <w:rPr>
          <w:rFonts w:ascii="Arial" w:hAnsi="Arial" w:cs="Arial"/>
          <w:sz w:val="22"/>
        </w:rPr>
        <w:t>1. votación favorable de tres quintos de los miembros del Congreso;</w:t>
      </w:r>
    </w:p>
    <w:p>
      <w:pPr>
        <w:spacing w:after="40"/>
        <w:ind w:left="369" w:hanging="227"/>
      </w:pPr>
      <w:r>
        <w:rPr>
          <w:rFonts w:ascii="Arial" w:hAnsi="Arial" w:cs="Arial"/>
          <w:sz w:val="22"/>
        </w:rPr>
        <w:t>2. ratificación, en un máximo de veinte días, por tres quintos del Senado.</w:t>
      </w:r>
    </w:p>
    <w:p>
      <w:pPr>
        <w:jc w:val="both"/>
      </w:pPr>
      <w:r>
        <w:rPr>
          <w:rFonts w:ascii="Arial" w:hAnsi="Arial" w:cs="Arial"/>
          <w:sz w:val="22"/>
        </w:rPr>
        <w:t>Si no se alcanzan esas mayorías, la Comisión formula sucesivas propuestas en un máximo de un mes. En esta fase, una vez alcanzados los tres quintos en el Congreso, basta mayoría absoluta del Senado.</w:t>
      </w:r>
    </w:p>
    <w:p>
      <w:pPr>
        <w:jc w:val="both"/>
      </w:pPr>
      <w:r>
        <w:rPr>
          <w:rFonts w:ascii="Arial" w:hAnsi="Arial" w:cs="Arial"/>
          <w:sz w:val="22"/>
        </w:rPr>
        <w:t>Puede ser elegido cualquier español mayor de edad que esté en pleno disfrute de sus derechos civiles y políticos. Los Presidentes del Congreso y del Senado acreditan conjuntamente el nombramiento, que se publica en el BOE. Toma posesión ante las Mesas de ambas Cámaras reunidas conjuntamente, prestando juramento o promesa.</w:t>
      </w:r>
    </w:p>
    <w:p>
      <w:pPr>
        <w:pStyle w:val="Heading2"/>
        <w:keepNext/>
      </w:pPr>
      <w:r>
        <w:rPr>
          <w:rFonts w:ascii="Arial" w:hAnsi="Arial" w:cs="Arial"/>
          <w:sz w:val="25"/>
        </w:rPr>
        <w:t>7.3. Cese y sustitución</w:t>
      </w:r>
    </w:p>
    <w:p>
      <w:pPr>
        <w:jc w:val="both"/>
      </w:pPr>
      <w:r>
        <w:rPr>
          <w:rFonts w:ascii="Arial" w:hAnsi="Arial" w:cs="Arial"/>
          <w:sz w:val="22"/>
        </w:rPr>
        <w:t>Cesa por:</w:t>
      </w:r>
    </w:p>
    <w:p>
      <w:pPr>
        <w:pStyle w:val="ListBullet"/>
      </w:pPr>
      <w:r>
        <w:rPr>
          <w:rFonts w:ascii="Arial" w:hAnsi="Arial" w:cs="Arial"/>
          <w:sz w:val="22"/>
        </w:rPr>
        <w:t>renuncia;</w:t>
      </w:r>
    </w:p>
    <w:p>
      <w:pPr>
        <w:pStyle w:val="ListBullet"/>
      </w:pPr>
      <w:r>
        <w:rPr>
          <w:rFonts w:ascii="Arial" w:hAnsi="Arial" w:cs="Arial"/>
          <w:sz w:val="22"/>
        </w:rPr>
        <w:t>expiración del mandato;</w:t>
      </w:r>
    </w:p>
    <w:p>
      <w:pPr>
        <w:pStyle w:val="ListBullet"/>
      </w:pPr>
      <w:r>
        <w:rPr>
          <w:rFonts w:ascii="Arial" w:hAnsi="Arial" w:cs="Arial"/>
          <w:sz w:val="22"/>
        </w:rPr>
        <w:t>muerte o incapacidad sobrevenida;</w:t>
      </w:r>
    </w:p>
    <w:p>
      <w:pPr>
        <w:pStyle w:val="ListBullet"/>
      </w:pPr>
      <w:r>
        <w:rPr>
          <w:rFonts w:ascii="Arial" w:hAnsi="Arial" w:cs="Arial"/>
          <w:sz w:val="22"/>
        </w:rPr>
        <w:t>notoria negligencia en sus obligaciones;</w:t>
      </w:r>
    </w:p>
    <w:p>
      <w:pPr>
        <w:pStyle w:val="ListBullet"/>
      </w:pPr>
      <w:r>
        <w:rPr>
          <w:rFonts w:ascii="Arial" w:hAnsi="Arial" w:cs="Arial"/>
          <w:sz w:val="22"/>
        </w:rPr>
        <w:t>condena firme por delito doloso.</w:t>
      </w:r>
    </w:p>
    <w:p>
      <w:pPr>
        <w:jc w:val="both"/>
      </w:pPr>
      <w:r>
        <w:rPr>
          <w:rFonts w:ascii="Arial" w:hAnsi="Arial" w:cs="Arial"/>
          <w:sz w:val="22"/>
        </w:rPr>
        <w:t>La vacante la declara la Presidencia del Congreso en caso de muerte, renuncia o expiración del mandato. En los demás casos —incluida la incapacidad sobrevenida, además de la notoria negligencia y la condena firme por delito doloso— deciden ambas Cámaras por tres quintos, previo debate y audiencia del interesado. Producida la vacante, el procedimiento para nombrar nuevo Defensor debe iniciarse en un máximo de un mes.</w:t>
      </w:r>
    </w:p>
    <w:p>
      <w:pPr>
        <w:jc w:val="both"/>
      </w:pPr>
      <w:r>
        <w:rPr>
          <w:rFonts w:ascii="Arial" w:hAnsi="Arial" w:cs="Arial"/>
          <w:sz w:val="22"/>
        </w:rPr>
        <w:t>Mientras se cubre la vacante, o en caso de incapacidad temporal o definitiva, ejercen interinamente las funciones los Adjuntos por su orden.</w:t>
      </w:r>
    </w:p>
    <w:p>
      <w:pPr>
        <w:pStyle w:val="Heading2"/>
        <w:keepNext/>
      </w:pPr>
      <w:r>
        <w:rPr>
          <w:rFonts w:ascii="Arial" w:hAnsi="Arial" w:cs="Arial"/>
          <w:sz w:val="25"/>
        </w:rPr>
        <w:t>7.4. Independencia, prerrogativas e incompatibilidades</w:t>
      </w:r>
    </w:p>
    <w:p>
      <w:pPr>
        <w:jc w:val="both"/>
      </w:pPr>
      <w:r>
        <w:rPr>
          <w:rFonts w:ascii="Arial" w:hAnsi="Arial" w:cs="Arial"/>
          <w:sz w:val="22"/>
        </w:rPr>
        <w:t>El Defensor:</w:t>
      </w:r>
    </w:p>
    <w:p>
      <w:pPr>
        <w:pStyle w:val="ListBullet"/>
      </w:pPr>
      <w:r>
        <w:rPr>
          <w:rFonts w:ascii="Arial" w:hAnsi="Arial" w:cs="Arial"/>
          <w:sz w:val="22"/>
        </w:rPr>
        <w:t>no está sujeto a mandato imperativo;</w:t>
      </w:r>
    </w:p>
    <w:p>
      <w:pPr>
        <w:pStyle w:val="ListBullet"/>
      </w:pPr>
      <w:r>
        <w:rPr>
          <w:rFonts w:ascii="Arial" w:hAnsi="Arial" w:cs="Arial"/>
          <w:sz w:val="22"/>
        </w:rPr>
        <w:t>no recibe instrucciones de ninguna autoridad;</w:t>
      </w:r>
    </w:p>
    <w:p>
      <w:pPr>
        <w:pStyle w:val="ListBullet"/>
      </w:pPr>
      <w:r>
        <w:rPr>
          <w:rFonts w:ascii="Arial" w:hAnsi="Arial" w:cs="Arial"/>
          <w:sz w:val="22"/>
        </w:rPr>
        <w:t>actúa con autonomía y según su criterio;</w:t>
      </w:r>
    </w:p>
    <w:p>
      <w:pPr>
        <w:pStyle w:val="ListBullet"/>
      </w:pPr>
      <w:r>
        <w:rPr>
          <w:rFonts w:ascii="Arial" w:hAnsi="Arial" w:cs="Arial"/>
          <w:sz w:val="22"/>
        </w:rPr>
        <w:t>goza de inviolabilidad por opiniones y actos realizados en sus competencias;</w:t>
      </w:r>
    </w:p>
    <w:p>
      <w:pPr>
        <w:pStyle w:val="ListBullet"/>
      </w:pPr>
      <w:r>
        <w:rPr>
          <w:rFonts w:ascii="Arial" w:hAnsi="Arial" w:cs="Arial"/>
          <w:sz w:val="22"/>
        </w:rPr>
        <w:t>fuera de esos casos, solo puede ser detenido o retenido por delito flagrante;</w:t>
      </w:r>
    </w:p>
    <w:p>
      <w:pPr>
        <w:pStyle w:val="ListBullet"/>
      </w:pPr>
      <w:r>
        <w:rPr>
          <w:rFonts w:ascii="Arial" w:hAnsi="Arial" w:cs="Arial"/>
          <w:sz w:val="22"/>
        </w:rPr>
        <w:t>está aforado ante la Sala de lo Penal del Tribunal Supremo.</w:t>
      </w:r>
    </w:p>
    <w:p>
      <w:pPr>
        <w:jc w:val="both"/>
      </w:pPr>
      <w:r>
        <w:rPr>
          <w:rFonts w:ascii="Arial" w:hAnsi="Arial" w:cs="Arial"/>
          <w:sz w:val="22"/>
        </w:rPr>
        <w:t>El cargo es incompatible, entre otros, con mandato representativo; cargo o propaganda política; servicio activo en una Administración; afiliación o funciones directivas en partido o sindicato; carrera judicial o fiscal; y actividad profesional, mercantil o laboral.</w:t>
      </w:r>
    </w:p>
    <w:p>
      <w:pPr>
        <w:jc w:val="both"/>
      </w:pPr>
      <w:r>
        <w:rPr>
          <w:rFonts w:ascii="Arial" w:hAnsi="Arial" w:cs="Arial"/>
          <w:sz w:val="22"/>
        </w:rPr>
        <w:t>Debe cesar en la incompatibilidad dentro de los diez días siguientes al nombramiento y antes de tomar posesión. Si la incompatibilidad surge después, se entiende que renuncia desde que se produce.</w:t>
      </w:r>
    </w:p>
    <w:p>
      <w:pPr>
        <w:pStyle w:val="Heading2"/>
        <w:keepNext/>
      </w:pPr>
      <w:r>
        <w:rPr>
          <w:rFonts w:ascii="Arial" w:hAnsi="Arial" w:cs="Arial"/>
          <w:sz w:val="25"/>
        </w:rPr>
        <w:t>7.5. Adjuntos</w:t>
      </w:r>
    </w:p>
    <w:p>
      <w:pPr>
        <w:jc w:val="both"/>
      </w:pPr>
      <w:r>
        <w:rPr>
          <w:rFonts w:ascii="Arial" w:hAnsi="Arial" w:cs="Arial"/>
          <w:sz w:val="22"/>
        </w:rPr>
        <w:t xml:space="preserve">Le auxilian un </w:t>
      </w:r>
      <w:r>
        <w:rPr>
          <w:rFonts w:ascii="Arial" w:hAnsi="Arial" w:cs="Arial"/>
          <w:b/>
          <w:sz w:val="22"/>
        </w:rPr>
        <w:t>Adjunto Primero</w:t>
      </w:r>
      <w:r>
        <w:rPr>
          <w:rFonts w:ascii="Arial" w:hAnsi="Arial" w:cs="Arial"/>
          <w:sz w:val="22"/>
        </w:rPr>
        <w:t xml:space="preserve"> y un </w:t>
      </w:r>
      <w:r>
        <w:rPr>
          <w:rFonts w:ascii="Arial" w:hAnsi="Arial" w:cs="Arial"/>
          <w:b/>
          <w:sz w:val="22"/>
        </w:rPr>
        <w:t>Adjunto Segundo</w:t>
      </w:r>
      <w:r>
        <w:rPr>
          <w:rFonts w:ascii="Arial" w:hAnsi="Arial" w:cs="Arial"/>
          <w:sz w:val="22"/>
        </w:rPr>
        <w:t>. Puede delegarles funciones y le sustituyen por ese orden. El Defensor los nombra y separa con conformidad previa de las Cámaras en la forma reglamentaria. Se les aplican los requisitos personales, prerrogativas e incompatibilidades del titular.</w:t>
      </w:r>
    </w:p>
    <w:p>
      <w:pPr>
        <w:pStyle w:val="Heading2"/>
        <w:keepNext/>
      </w:pPr>
      <w:r>
        <w:rPr>
          <w:rFonts w:ascii="Arial" w:hAnsi="Arial" w:cs="Arial"/>
          <w:sz w:val="25"/>
        </w:rPr>
        <w:t>7.6. Ámbito de supervisión</w:t>
      </w:r>
    </w:p>
    <w:p>
      <w:pPr>
        <w:jc w:val="both"/>
      </w:pPr>
      <w:r>
        <w:rPr>
          <w:rFonts w:ascii="Arial" w:hAnsi="Arial" w:cs="Arial"/>
          <w:sz w:val="22"/>
        </w:rPr>
        <w:t>Puede iniciar y continuar, de oficio o a petición de parte, investigaciones sobre actos y resoluciones de la Administración pública y sus agentes en relación con la ciudadanía, atendiendo al artículo 103.1 CE y a los derechos del título I.</w:t>
      </w:r>
    </w:p>
    <w:p>
      <w:pPr>
        <w:jc w:val="both"/>
      </w:pPr>
      <w:r>
        <w:rPr>
          <w:rFonts w:ascii="Arial" w:hAnsi="Arial" w:cs="Arial"/>
          <w:sz w:val="22"/>
        </w:rPr>
        <w:t>Sus atribuciones alcanzan a ministros, autoridades administrativas, funcionarios y cualquier persona al servicio de las Administraciones. Puede supervisar actividad autonómica y coordinarse con instituciones análogas de las Comunidades Autónomas.</w:t>
      </w:r>
    </w:p>
    <w:p>
      <w:pPr>
        <w:jc w:val="both"/>
      </w:pPr>
      <w:r>
        <w:rPr>
          <w:rFonts w:ascii="Arial" w:hAnsi="Arial" w:cs="Arial"/>
          <w:sz w:val="22"/>
        </w:rPr>
        <w:t>Las quejas sobre el funcionamiento de la Administración de Justicia se remiten al Ministerio Fiscal para investigación o traslado al CGPJ según su naturaleza, sin perjuicio de reflejarlas en el informe general. En la Administración militar vela por los derechos del título I sin interferir en el mando de la Defensa Nacional.</w:t>
      </w:r>
    </w:p>
    <w:p>
      <w:pPr>
        <w:jc w:val="both"/>
      </w:pPr>
      <w:r>
        <w:rPr>
          <w:rFonts w:ascii="Arial" w:hAnsi="Arial" w:cs="Arial"/>
          <w:sz w:val="22"/>
        </w:rPr>
        <w:t>Su actividad no se interrumpe porque las Cortes no estén reunidas, hayan sido disueltas o haya expirado su mandato; en esos casos se dirige a las Diputaciones Permanentes. Tampoco la interrumpen los estados de excepción o sitio ni desaparece el derecho de acceso ciudadano.</w:t>
      </w:r>
    </w:p>
    <w:p>
      <w:pPr>
        <w:pStyle w:val="Heading2"/>
        <w:keepNext/>
      </w:pPr>
      <w:r>
        <w:rPr>
          <w:rFonts w:ascii="Arial" w:hAnsi="Arial" w:cs="Arial"/>
          <w:sz w:val="25"/>
        </w:rPr>
        <w:t>7.7. Quién puede presentar queja</w:t>
      </w:r>
    </w:p>
    <w:p>
      <w:pPr>
        <w:jc w:val="both"/>
      </w:pPr>
      <w:r>
        <w:rPr>
          <w:rFonts w:ascii="Arial" w:hAnsi="Arial" w:cs="Arial"/>
          <w:sz w:val="22"/>
        </w:rPr>
        <w:t>Puede dirigirse toda persona natural o jurídica que invoque interés legítimo, sin que sean obstáculo nacionalidad, residencia, sexo, minoría de edad, incapacidad legal, internamiento penitenciario ni una relación especial de sujeción.</w:t>
      </w:r>
    </w:p>
    <w:p>
      <w:pPr>
        <w:jc w:val="both"/>
      </w:pPr>
      <w:r>
        <w:rPr>
          <w:rFonts w:ascii="Arial" w:hAnsi="Arial" w:cs="Arial"/>
          <w:sz w:val="22"/>
        </w:rPr>
        <w:t>También pueden solicitar su intervención diputados y senadores individualmente, Comisiones de investigación o relacionadas con la defensa de derechos y la Comisión Mixta, en materias de su competencia. Ninguna autoridad administrativa puede presentar quejas sobre asuntos de su competencia.</w:t>
      </w:r>
    </w:p>
    <w:p>
      <w:pPr>
        <w:jc w:val="both"/>
      </w:pPr>
      <w:r>
        <w:rPr>
          <w:rFonts w:ascii="Arial" w:hAnsi="Arial" w:cs="Arial"/>
          <w:sz w:val="22"/>
        </w:rPr>
        <w:t>La queja:</w:t>
      </w:r>
    </w:p>
    <w:p>
      <w:pPr>
        <w:pStyle w:val="ListBullet"/>
      </w:pPr>
      <w:r>
        <w:rPr>
          <w:rFonts w:ascii="Arial" w:hAnsi="Arial" w:cs="Arial"/>
          <w:sz w:val="22"/>
        </w:rPr>
        <w:t>debe estar firmada e identificar nombre, apellidos y domicilio;</w:t>
      </w:r>
    </w:p>
    <w:p>
      <w:pPr>
        <w:pStyle w:val="ListBullet"/>
      </w:pPr>
      <w:r>
        <w:rPr>
          <w:rFonts w:ascii="Arial" w:hAnsi="Arial" w:cs="Arial"/>
          <w:sz w:val="22"/>
        </w:rPr>
        <w:t>debe formularse razonadamente;</w:t>
      </w:r>
    </w:p>
    <w:p>
      <w:pPr>
        <w:pStyle w:val="ListBullet"/>
      </w:pPr>
      <w:r>
        <w:rPr>
          <w:rFonts w:ascii="Arial" w:hAnsi="Arial" w:cs="Arial"/>
          <w:sz w:val="22"/>
        </w:rPr>
        <w:t>se presenta en un máximo de un año desde el conocimiento de los hechos;</w:t>
      </w:r>
    </w:p>
    <w:p>
      <w:pPr>
        <w:pStyle w:val="ListBullet"/>
      </w:pPr>
      <w:r>
        <w:rPr>
          <w:rFonts w:ascii="Arial" w:hAnsi="Arial" w:cs="Arial"/>
          <w:sz w:val="22"/>
        </w:rPr>
        <w:t>es gratuita;</w:t>
      </w:r>
    </w:p>
    <w:p>
      <w:pPr>
        <w:pStyle w:val="ListBullet"/>
      </w:pPr>
      <w:r>
        <w:rPr>
          <w:rFonts w:ascii="Arial" w:hAnsi="Arial" w:cs="Arial"/>
          <w:sz w:val="22"/>
        </w:rPr>
        <w:t>no requiere abogado ni procurador.</w:t>
      </w:r>
    </w:p>
    <w:p>
      <w:pPr>
        <w:jc w:val="both"/>
      </w:pPr>
      <w:r>
        <w:rPr>
          <w:rFonts w:ascii="Arial" w:hAnsi="Arial" w:cs="Arial"/>
          <w:sz w:val="22"/>
        </w:rPr>
        <w:t>La correspondencia remitida desde centros de detención, internamiento o custodia no puede ser censurada, ni pueden escucharse o interferirse conversaciones con el Defensor o sus delegados.</w:t>
      </w:r>
    </w:p>
    <w:p>
      <w:pPr>
        <w:pStyle w:val="Heading2"/>
        <w:keepNext/>
      </w:pPr>
      <w:r>
        <w:rPr>
          <w:rFonts w:ascii="Arial" w:hAnsi="Arial" w:cs="Arial"/>
          <w:sz w:val="25"/>
        </w:rPr>
        <w:t>7.8. Admisión e investigación</w:t>
      </w:r>
    </w:p>
    <w:p>
      <w:pPr>
        <w:jc w:val="both"/>
      </w:pPr>
      <w:r>
        <w:rPr>
          <w:rFonts w:ascii="Arial" w:hAnsi="Arial" w:cs="Arial"/>
          <w:sz w:val="22"/>
        </w:rPr>
        <w:t>El Defensor registra y acusa recibo. Si rechaza la queja, debe motivarlo y puede indicar vías más adecuadas. Rechaza las anónimas y puede rechazar las formuladas con mala fe, sin fundamento o pretensión, o que perjudiquen derechos legítimos de terceros. La decisión no es recurrible.</w:t>
      </w:r>
    </w:p>
    <w:p>
      <w:pPr>
        <w:jc w:val="both"/>
      </w:pPr>
      <w:r>
        <w:rPr>
          <w:rFonts w:ascii="Arial" w:hAnsi="Arial" w:cs="Arial"/>
          <w:sz w:val="22"/>
        </w:rPr>
        <w:t>No examina individualmente quejas pendientes de resolución judicial y suspende su actuación si se interpone demanda o recurso ante tribunales ordinarios o el Tribunal Constitucional. Sí puede investigar los problemas generales revelados por ellas.</w:t>
      </w:r>
    </w:p>
    <w:p>
      <w:pPr>
        <w:jc w:val="both"/>
      </w:pPr>
      <w:r>
        <w:rPr>
          <w:rFonts w:ascii="Arial" w:hAnsi="Arial" w:cs="Arial"/>
          <w:sz w:val="22"/>
        </w:rPr>
        <w:t xml:space="preserve">Admitida la queja, promueve una investigación </w:t>
      </w:r>
      <w:r>
        <w:rPr>
          <w:rFonts w:ascii="Arial" w:hAnsi="Arial" w:cs="Arial"/>
          <w:b/>
          <w:sz w:val="22"/>
        </w:rPr>
        <w:t>sumaria e informal</w:t>
      </w:r>
      <w:r>
        <w:rPr>
          <w:rFonts w:ascii="Arial" w:hAnsi="Arial" w:cs="Arial"/>
          <w:sz w:val="22"/>
        </w:rPr>
        <w:t>. Comunica su contenido sustancial al organismo para que su responsable remita informe escrito en un máximo de quince días, ampliable. Todos los poderes públicos deben auxiliarle con carácter preferente y urgente.</w:t>
      </w:r>
    </w:p>
    <w:p>
      <w:pPr>
        <w:jc w:val="both"/>
      </w:pPr>
      <w:r>
        <w:rPr>
          <w:rFonts w:ascii="Arial" w:hAnsi="Arial" w:cs="Arial"/>
          <w:sz w:val="22"/>
        </w:rPr>
        <w:t>Puede personarse en centros administrativos, entrevistar, estudiar expedientes y solicitar documentos, incluso secretos. La negativa a remitir un documento secreto debe acordarla el Consejo de Ministros y certificarse; si afecta decisivamente a la investigación, lo comunica a la Comisión Mixta.</w:t>
      </w:r>
    </w:p>
    <w:p>
      <w:pPr>
        <w:pStyle w:val="Heading2"/>
        <w:keepNext/>
      </w:pPr>
      <w:r>
        <w:rPr>
          <w:rFonts w:ascii="Arial" w:hAnsi="Arial" w:cs="Arial"/>
          <w:sz w:val="25"/>
        </w:rPr>
        <w:t>7.9. Resoluciones y límites</w:t>
      </w:r>
    </w:p>
    <w:p>
      <w:pPr>
        <w:jc w:val="both"/>
      </w:pPr>
      <w:r>
        <w:rPr>
          <w:rFonts w:ascii="Arial" w:hAnsi="Arial" w:cs="Arial"/>
          <w:sz w:val="22"/>
        </w:rPr>
        <w:t>El Defensor no puede modificar ni anular actos administrativos ni sustituir a la Administración o a los jueces. Puede:</w:t>
      </w:r>
    </w:p>
    <w:p>
      <w:pPr>
        <w:pStyle w:val="ListBullet"/>
      </w:pPr>
      <w:r>
        <w:rPr>
          <w:rFonts w:ascii="Arial" w:hAnsi="Arial" w:cs="Arial"/>
          <w:sz w:val="22"/>
        </w:rPr>
        <w:t>formular advertencias;</w:t>
      </w:r>
    </w:p>
    <w:p>
      <w:pPr>
        <w:pStyle w:val="ListBullet"/>
      </w:pPr>
      <w:r>
        <w:rPr>
          <w:rFonts w:ascii="Arial" w:hAnsi="Arial" w:cs="Arial"/>
          <w:sz w:val="22"/>
        </w:rPr>
        <w:t>formular recomendaciones;</w:t>
      </w:r>
    </w:p>
    <w:p>
      <w:pPr>
        <w:pStyle w:val="ListBullet"/>
      </w:pPr>
      <w:r>
        <w:rPr>
          <w:rFonts w:ascii="Arial" w:hAnsi="Arial" w:cs="Arial"/>
          <w:sz w:val="22"/>
        </w:rPr>
        <w:t>recordar deberes legales;</w:t>
      </w:r>
    </w:p>
    <w:p>
      <w:pPr>
        <w:pStyle w:val="ListBullet"/>
      </w:pPr>
      <w:r>
        <w:rPr>
          <w:rFonts w:ascii="Arial" w:hAnsi="Arial" w:cs="Arial"/>
          <w:sz w:val="22"/>
        </w:rPr>
        <w:t>realizar sugerencias para nuevas medidas;</w:t>
      </w:r>
    </w:p>
    <w:p>
      <w:pPr>
        <w:pStyle w:val="ListBullet"/>
      </w:pPr>
      <w:r>
        <w:rPr>
          <w:rFonts w:ascii="Arial" w:hAnsi="Arial" w:cs="Arial"/>
          <w:sz w:val="22"/>
        </w:rPr>
        <w:t>sugerir cambios de criterio o de normas;</w:t>
      </w:r>
    </w:p>
    <w:p>
      <w:pPr>
        <w:pStyle w:val="ListBullet"/>
      </w:pPr>
      <w:r>
        <w:rPr>
          <w:rFonts w:ascii="Arial" w:hAnsi="Arial" w:cs="Arial"/>
          <w:sz w:val="22"/>
        </w:rPr>
        <w:t>instar potestades administrativas de inspección y sanción;</w:t>
      </w:r>
    </w:p>
    <w:p>
      <w:pPr>
        <w:pStyle w:val="ListBullet"/>
      </w:pPr>
      <w:r>
        <w:rPr>
          <w:rFonts w:ascii="Arial" w:hAnsi="Arial" w:cs="Arial"/>
          <w:sz w:val="22"/>
        </w:rPr>
        <w:t>poner hechos presuntamente delictivos en conocimiento del Fiscal General del Estado;</w:t>
      </w:r>
    </w:p>
    <w:p>
      <w:pPr>
        <w:pStyle w:val="ListBullet"/>
      </w:pPr>
      <w:r>
        <w:rPr>
          <w:rFonts w:ascii="Arial" w:hAnsi="Arial" w:cs="Arial"/>
          <w:sz w:val="22"/>
        </w:rPr>
        <w:t>ejercer, de oficio, la acción de responsabilidad en los términos legales.</w:t>
      </w:r>
    </w:p>
    <w:p>
      <w:pPr>
        <w:jc w:val="both"/>
      </w:pPr>
      <w:r>
        <w:rPr>
          <w:rFonts w:ascii="Arial" w:hAnsi="Arial" w:cs="Arial"/>
          <w:sz w:val="22"/>
        </w:rPr>
        <w:t xml:space="preserve">Las autoridades y funcionarios deben responder por escrito a advertencias, recomendaciones, recordatorios y sugerencias en un máximo de </w:t>
      </w:r>
      <w:r>
        <w:rPr>
          <w:rFonts w:ascii="Arial" w:hAnsi="Arial" w:cs="Arial"/>
          <w:b/>
          <w:sz w:val="22"/>
        </w:rPr>
        <w:t>un mes</w:t>
      </w:r>
      <w:r>
        <w:rPr>
          <w:rFonts w:ascii="Arial" w:hAnsi="Arial" w:cs="Arial"/>
          <w:sz w:val="22"/>
        </w:rPr>
        <w:t>. La falta injustificada de colaboración puede hacerse pública e incluirse en informes.</w:t>
      </w:r>
    </w:p>
    <w:p>
      <w:pPr>
        <w:jc w:val="both"/>
      </w:pPr>
      <w:r>
        <w:rPr>
          <w:rFonts w:ascii="Arial" w:hAnsi="Arial" w:cs="Arial"/>
          <w:sz w:val="22"/>
        </w:rPr>
        <w:t>Además, está legitimado para interponer:</w:t>
      </w:r>
    </w:p>
    <w:p>
      <w:pPr>
        <w:pStyle w:val="ListBullet"/>
      </w:pPr>
      <w:r>
        <w:rPr>
          <w:rFonts w:ascii="Arial" w:hAnsi="Arial" w:cs="Arial"/>
          <w:sz w:val="22"/>
        </w:rPr>
        <w:t>recurso de inconstitucionalidad;</w:t>
      </w:r>
    </w:p>
    <w:p>
      <w:pPr>
        <w:pStyle w:val="ListBullet"/>
      </w:pPr>
      <w:r>
        <w:rPr>
          <w:rFonts w:ascii="Arial" w:hAnsi="Arial" w:cs="Arial"/>
          <w:sz w:val="22"/>
        </w:rPr>
        <w:t>recurso de amparo.</w:t>
      </w:r>
    </w:p>
    <w:p>
      <w:pPr>
        <w:pStyle w:val="Heading2"/>
        <w:keepNext/>
      </w:pPr>
      <w:r>
        <w:rPr>
          <w:rFonts w:ascii="Arial" w:hAnsi="Arial" w:cs="Arial"/>
          <w:sz w:val="25"/>
        </w:rPr>
        <w:t>7.10. Informes y Mecanismo Nacional de Prevención</w:t>
      </w:r>
    </w:p>
    <w:p>
      <w:pPr>
        <w:jc w:val="both"/>
      </w:pPr>
      <w:r>
        <w:rPr>
          <w:rFonts w:ascii="Arial" w:hAnsi="Arial" w:cs="Arial"/>
          <w:sz w:val="22"/>
        </w:rPr>
        <w:t>Da cuenta anualmente a las Cortes mediante informe presentado en período ordinario. Si la gravedad o urgencia lo aconsejan, puede presentar informe extraordinario; si las Cámaras no están reunidas, lo dirige a sus Diputaciones Permanentes. Los informes se publican y su resumen se expone oralmente ante los Plenos.</w:t>
      </w:r>
    </w:p>
    <w:p>
      <w:pPr>
        <w:jc w:val="both"/>
      </w:pPr>
      <w:r>
        <w:rPr>
          <w:rFonts w:ascii="Arial" w:hAnsi="Arial" w:cs="Arial"/>
          <w:sz w:val="22"/>
        </w:rPr>
        <w:t xml:space="preserve">Desde la LO 1/2009, el Defensor ejerce las funciones de </w:t>
      </w:r>
      <w:r>
        <w:rPr>
          <w:rFonts w:ascii="Arial" w:hAnsi="Arial" w:cs="Arial"/>
          <w:b/>
          <w:sz w:val="22"/>
        </w:rPr>
        <w:t>Mecanismo Nacional de Prevención de la Tortura</w:t>
      </w:r>
      <w:r>
        <w:rPr>
          <w:rFonts w:ascii="Arial" w:hAnsi="Arial" w:cs="Arial"/>
          <w:sz w:val="22"/>
        </w:rPr>
        <w:t>. Cuenta con un Consejo Asesor de cooperación técnica y jurídica presidido por el Adjunto en quien se deleguen esas funciones.</w:t>
      </w:r>
    </w:p>
    <w:p>
      <w:pPr>
        <w:pStyle w:val="Heading1"/>
        <w:keepNext/>
      </w:pPr>
      <w:r>
        <w:rPr>
          <w:rFonts w:ascii="Arial" w:hAnsi="Arial" w:cs="Arial"/>
          <w:sz w:val="30"/>
        </w:rPr>
        <w:t>8. Reformas parlamentarias que deben estudiarse como vigentes</w:t>
      </w:r>
    </w:p>
    <w:tbl>
      <w:tblPr>
        <w:tblStyle w:val="TableGrid"/>
        <w:tblW w:type="dxa" w:w="9026"/>
        <w:jc w:val="left"/>
        <w:tblLayout w:type="fixed"/>
        <w:tblLook w:firstColumn="1" w:firstRow="1" w:lastColumn="0" w:lastRow="0" w:noHBand="0" w:noVBand="1" w:val="04A0"/>
        <w:tblInd w:w="120" w:type="dxa"/>
      </w:tblPr>
      <w:tblGrid>
        <w:gridCol w:w="3529"/>
        <w:gridCol w:w="1425"/>
        <w:gridCol w:w="4072"/>
      </w:tblGrid>
      <w:tr>
        <w:trPr>
          <w:tblHeader w:val="true"/>
        </w:trPr>
        <w:tc>
          <w:tcPr>
            <w:tcW w:type="dxa" w:w="352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Reforma</w:t>
            </w:r>
          </w:p>
        </w:tc>
        <w:tc>
          <w:tcPr>
            <w:tcW w:type="dxa" w:w="14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 a 29-7-2026</w:t>
            </w:r>
          </w:p>
        </w:tc>
        <w:tc>
          <w:tcPr>
            <w:tcW w:type="dxa" w:w="407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Punto examinable</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Reforma constitucional art. 69.3, 19-5-2026</w:t>
            </w:r>
          </w:p>
        </w:tc>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Vigente desde 20-5-2026</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Ibiza y Formentera, una circunscripción y un senador cada una; eficacia en primeras elecciones posteriores</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LO 2/2026, 30 de junio</w:t>
            </w:r>
          </w:p>
        </w:tc>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Vigente desde 3-7-2026</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Adapta arts. 161.2 y 165.2 LOREG</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Reforma Reglamento Congreso, 22-7-2025, voto telemático</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Vigente</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Amplía supuestos de voto y participación telemáticos</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Reforma Reglamento Congreso, 22-7-2025, actualización general</w:t>
            </w:r>
          </w:p>
        </w:tc>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Vigente desde 31-7-2025</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Terminología y múltiples preceptos organizativos</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Reforma Reglamento Senado, 19-6-2025</w:t>
            </w:r>
          </w:p>
        </w:tc>
        <w:tc>
          <w:tcPr>
            <w:tcW w:type="dxa" w:w="1425"/>
            <w:tcMar>
              <w:top w:w="80" w:type="dxa"/>
              <w:start w:w="120" w:type="dxa"/>
              <w:bottom w:w="80" w:type="dxa"/>
              <w:end w:w="120" w:type="dxa"/>
            </w:tcMar>
            <w:vAlign w:val="center"/>
          </w:tcPr>
          <w:p>
            <w:pPr>
              <w:spacing w:before="0" w:after="0" w:line="240" w:lineRule="auto"/>
              <w:jc w:val="center"/>
            </w:pPr>
            <w:r/>
            <w:r>
              <w:rPr>
                <w:rFonts w:ascii="Arial" w:hAnsi="Arial" w:cs="Arial"/>
                <w:sz w:val="18"/>
              </w:rPr>
              <w:t>Vigente</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Urgencia legislativa y control mediante preguntas/interpelaciones</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Reforma amplia Reglamento Senado, 12-11-2025</w:t>
            </w:r>
          </w:p>
        </w:tc>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Vigente desde 15-11-2025</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Integra y actualiza organización y procedimientos</w:t>
            </w:r>
          </w:p>
        </w:tc>
      </w:tr>
      <w:tr>
        <w:tc>
          <w:tcPr>
            <w:tcW w:type="dxa" w:w="3529"/>
            <w:tcMar>
              <w:top w:w="80" w:type="dxa"/>
              <w:start w:w="120" w:type="dxa"/>
              <w:bottom w:w="80" w:type="dxa"/>
              <w:end w:w="120" w:type="dxa"/>
            </w:tcMar>
            <w:vAlign w:val="center"/>
          </w:tcPr>
          <w:p>
            <w:pPr>
              <w:spacing w:before="0" w:after="0" w:line="240" w:lineRule="auto"/>
              <w:jc w:val="left"/>
            </w:pPr>
            <w:r/>
            <w:r>
              <w:rPr>
                <w:rFonts w:ascii="Arial" w:hAnsi="Arial" w:cs="Arial"/>
                <w:sz w:val="18"/>
              </w:rPr>
              <w:t>Reforma art. 23 Reglamento Congreso, 23-7-2026</w:t>
            </w:r>
          </w:p>
        </w:tc>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Publicada, pero diferida</w:t>
            </w:r>
          </w:p>
        </w:tc>
        <w:tc>
          <w:tcPr>
            <w:tcW w:type="dxa" w:w="4072"/>
            <w:tcMar>
              <w:top w:w="80" w:type="dxa"/>
              <w:start w:w="120" w:type="dxa"/>
              <w:bottom w:w="80" w:type="dxa"/>
              <w:end w:w="120" w:type="dxa"/>
            </w:tcMar>
            <w:vAlign w:val="center"/>
          </w:tcPr>
          <w:p>
            <w:pPr>
              <w:spacing w:before="0" w:after="0" w:line="240" w:lineRule="auto"/>
              <w:jc w:val="left"/>
            </w:pPr>
            <w:r/>
            <w:r>
              <w:rPr>
                <w:rFonts w:ascii="Arial" w:hAnsi="Arial" w:cs="Arial"/>
                <w:sz w:val="18"/>
              </w:rPr>
              <w:t>Solo entra en vigor en la XVI Legislatura</w:t>
            </w:r>
          </w:p>
        </w:tc>
      </w:tr>
    </w:tbl>
    <w:p>
      <w:pPr>
        <w:spacing w:after="40"/>
      </w:pPr>
    </w:p>
    <w:p>
      <w:pPr>
        <w:jc w:val="both"/>
      </w:pPr>
      <w:r>
        <w:rPr>
          <w:rFonts w:ascii="Arial" w:hAnsi="Arial" w:cs="Arial"/>
          <w:sz w:val="22"/>
        </w:rPr>
        <w:t>La mera publicación no siempre equivale a aplicabilidad inmediata. En preguntas de vigencia hay que leer la disposición final o transitoria.</w:t>
      </w:r>
    </w:p>
    <w:p>
      <w:pPr>
        <w:pStyle w:val="Heading1"/>
        <w:keepNext/>
      </w:pPr>
      <w:r>
        <w:rPr>
          <w:rFonts w:ascii="Arial" w:hAnsi="Arial" w:cs="Arial"/>
          <w:sz w:val="30"/>
        </w:rPr>
        <w:t>9. Errores frecuentes de examen</w:t>
      </w:r>
    </w:p>
    <w:p>
      <w:pPr>
        <w:spacing w:after="40"/>
        <w:ind w:left="369" w:hanging="227"/>
      </w:pPr>
      <w:r>
        <w:rPr>
          <w:rFonts w:ascii="Arial" w:hAnsi="Arial" w:cs="Arial"/>
          <w:sz w:val="22"/>
        </w:rPr>
        <w:t xml:space="preserve">1. </w:t>
      </w:r>
      <w:r>
        <w:rPr>
          <w:rFonts w:ascii="Arial" w:hAnsi="Arial" w:cs="Arial"/>
          <w:b/>
          <w:sz w:val="22"/>
        </w:rPr>
        <w:t>Decir que el Congreso tiene constitucionalmente 350 miembros.</w:t>
      </w:r>
      <w:r>
        <w:rPr>
          <w:rFonts w:ascii="Arial" w:hAnsi="Arial" w:cs="Arial"/>
          <w:sz w:val="22"/>
        </w:rPr>
        <w:t xml:space="preserve"> La Constitución permite entre 300 y 400; 350 lo fija la LOREG.</w:t>
      </w:r>
    </w:p>
    <w:p>
      <w:pPr>
        <w:spacing w:after="40"/>
        <w:ind w:left="369" w:hanging="227"/>
      </w:pPr>
      <w:r>
        <w:rPr>
          <w:rFonts w:ascii="Arial" w:hAnsi="Arial" w:cs="Arial"/>
          <w:sz w:val="22"/>
        </w:rPr>
        <w:t xml:space="preserve">2. </w:t>
      </w:r>
      <w:r>
        <w:rPr>
          <w:rFonts w:ascii="Arial" w:hAnsi="Arial" w:cs="Arial"/>
          <w:b/>
          <w:sz w:val="22"/>
        </w:rPr>
        <w:t>Afirmar que el Senado se integra solo por elección directa.</w:t>
      </w:r>
      <w:r>
        <w:rPr>
          <w:rFonts w:ascii="Arial" w:hAnsi="Arial" w:cs="Arial"/>
          <w:sz w:val="22"/>
        </w:rPr>
        <w:t xml:space="preserve"> También hay senadores designados por las Comunidades Autónomas.</w:t>
      </w:r>
    </w:p>
    <w:p>
      <w:pPr>
        <w:spacing w:after="40"/>
        <w:ind w:left="369" w:hanging="227"/>
      </w:pPr>
      <w:r>
        <w:rPr>
          <w:rFonts w:ascii="Arial" w:hAnsi="Arial" w:cs="Arial"/>
          <w:sz w:val="22"/>
        </w:rPr>
        <w:t xml:space="preserve">3. </w:t>
      </w:r>
      <w:r>
        <w:rPr>
          <w:rFonts w:ascii="Arial" w:hAnsi="Arial" w:cs="Arial"/>
          <w:b/>
          <w:sz w:val="22"/>
        </w:rPr>
        <w:t>Mantener Ibiza-Formentera como una única circunscripción.</w:t>
      </w:r>
      <w:r>
        <w:rPr>
          <w:rFonts w:ascii="Arial" w:hAnsi="Arial" w:cs="Arial"/>
          <w:sz w:val="22"/>
        </w:rPr>
        <w:t xml:space="preserve"> El artículo 69.3 vigente las separa.</w:t>
      </w:r>
    </w:p>
    <w:p>
      <w:pPr>
        <w:spacing w:after="40"/>
        <w:ind w:left="369" w:hanging="227"/>
      </w:pPr>
      <w:r>
        <w:rPr>
          <w:rFonts w:ascii="Arial" w:hAnsi="Arial" w:cs="Arial"/>
          <w:sz w:val="22"/>
        </w:rPr>
        <w:t xml:space="preserve">4. </w:t>
      </w:r>
      <w:r>
        <w:rPr>
          <w:rFonts w:ascii="Arial" w:hAnsi="Arial" w:cs="Arial"/>
          <w:b/>
          <w:sz w:val="22"/>
        </w:rPr>
        <w:t>Aplicar ya el 10 %/3 % para grupos del Congreso.</w:t>
      </w:r>
      <w:r>
        <w:rPr>
          <w:rFonts w:ascii="Arial" w:hAnsi="Arial" w:cs="Arial"/>
          <w:sz w:val="22"/>
        </w:rPr>
        <w:t xml:space="preserve"> Esa reforma comienza en la XVI Legislatura.</w:t>
      </w:r>
    </w:p>
    <w:p>
      <w:pPr>
        <w:spacing w:after="40"/>
        <w:ind w:left="369" w:hanging="227"/>
      </w:pPr>
      <w:r>
        <w:rPr>
          <w:rFonts w:ascii="Arial" w:hAnsi="Arial" w:cs="Arial"/>
          <w:sz w:val="22"/>
        </w:rPr>
        <w:t xml:space="preserve">5. </w:t>
      </w:r>
      <w:r>
        <w:rPr>
          <w:rFonts w:ascii="Arial" w:hAnsi="Arial" w:cs="Arial"/>
          <w:b/>
          <w:sz w:val="22"/>
        </w:rPr>
        <w:t>Confundir inviolabilidad con inmunidad.</w:t>
      </w:r>
      <w:r>
        <w:rPr>
          <w:rFonts w:ascii="Arial" w:hAnsi="Arial" w:cs="Arial"/>
          <w:sz w:val="22"/>
        </w:rPr>
        <w:t xml:space="preserve"> La primera protege opiniones funcionales; la segunda limita detención y procesamiento durante el mandato.</w:t>
      </w:r>
    </w:p>
    <w:p>
      <w:pPr>
        <w:spacing w:after="40"/>
        <w:ind w:left="369" w:hanging="227"/>
      </w:pPr>
      <w:r>
        <w:rPr>
          <w:rFonts w:ascii="Arial" w:hAnsi="Arial" w:cs="Arial"/>
          <w:sz w:val="22"/>
        </w:rPr>
        <w:t xml:space="preserve">6. </w:t>
      </w:r>
      <w:r>
        <w:rPr>
          <w:rFonts w:ascii="Arial" w:hAnsi="Arial" w:cs="Arial"/>
          <w:b/>
          <w:sz w:val="22"/>
        </w:rPr>
        <w:t>Afirmar que el Senado puede bloquear definitivamente una ley.</w:t>
      </w:r>
      <w:r>
        <w:rPr>
          <w:rFonts w:ascii="Arial" w:hAnsi="Arial" w:cs="Arial"/>
          <w:sz w:val="22"/>
        </w:rPr>
        <w:t xml:space="preserve"> El Congreso puede levantar el veto.</w:t>
      </w:r>
    </w:p>
    <w:p>
      <w:pPr>
        <w:spacing w:after="40"/>
        <w:ind w:left="369" w:hanging="227"/>
      </w:pPr>
      <w:r>
        <w:rPr>
          <w:rFonts w:ascii="Arial" w:hAnsi="Arial" w:cs="Arial"/>
          <w:sz w:val="22"/>
        </w:rPr>
        <w:t xml:space="preserve">7. </w:t>
      </w:r>
      <w:r>
        <w:rPr>
          <w:rFonts w:ascii="Arial" w:hAnsi="Arial" w:cs="Arial"/>
          <w:b/>
          <w:sz w:val="22"/>
        </w:rPr>
        <w:t>Decir que toda ley se aprueba por mayoría absoluta.</w:t>
      </w:r>
      <w:r>
        <w:rPr>
          <w:rFonts w:ascii="Arial" w:hAnsi="Arial" w:cs="Arial"/>
          <w:sz w:val="22"/>
        </w:rPr>
        <w:t xml:space="preserve"> La regla es mayoría de presentes; la absoluta se exige en casos tasados.</w:t>
      </w:r>
    </w:p>
    <w:p>
      <w:pPr>
        <w:spacing w:after="40"/>
        <w:ind w:left="369" w:hanging="227"/>
      </w:pPr>
      <w:r>
        <w:rPr>
          <w:rFonts w:ascii="Arial" w:hAnsi="Arial" w:cs="Arial"/>
          <w:sz w:val="22"/>
        </w:rPr>
        <w:t xml:space="preserve">8. </w:t>
      </w:r>
      <w:r>
        <w:rPr>
          <w:rFonts w:ascii="Arial" w:hAnsi="Arial" w:cs="Arial"/>
          <w:b/>
          <w:sz w:val="22"/>
        </w:rPr>
        <w:t>Atribuir al Senado la convalidación de decretos-leyes.</w:t>
      </w:r>
      <w:r>
        <w:rPr>
          <w:rFonts w:ascii="Arial" w:hAnsi="Arial" w:cs="Arial"/>
          <w:sz w:val="22"/>
        </w:rPr>
        <w:t xml:space="preserve"> Corresponde exclusivamente al Congreso.</w:t>
      </w:r>
    </w:p>
    <w:p>
      <w:pPr>
        <w:spacing w:after="40"/>
        <w:ind w:left="369" w:hanging="227"/>
      </w:pPr>
      <w:r>
        <w:rPr>
          <w:rFonts w:ascii="Arial" w:hAnsi="Arial" w:cs="Arial"/>
          <w:sz w:val="22"/>
        </w:rPr>
        <w:t xml:space="preserve">9. </w:t>
      </w:r>
      <w:r>
        <w:rPr>
          <w:rFonts w:ascii="Arial" w:hAnsi="Arial" w:cs="Arial"/>
          <w:b/>
          <w:sz w:val="22"/>
        </w:rPr>
        <w:t>Confundir Diputación Permanente con una Cámara reducida de competencia general.</w:t>
      </w:r>
      <w:r>
        <w:rPr>
          <w:rFonts w:ascii="Arial" w:hAnsi="Arial" w:cs="Arial"/>
          <w:sz w:val="22"/>
        </w:rPr>
        <w:t xml:space="preserve"> Sus funciones son tasadas.</w:t>
      </w:r>
    </w:p>
    <w:p>
      <w:pPr>
        <w:spacing w:after="40"/>
        <w:ind w:left="369" w:hanging="227"/>
      </w:pPr>
      <w:r>
        <w:rPr>
          <w:rFonts w:ascii="Arial" w:hAnsi="Arial" w:cs="Arial"/>
          <w:sz w:val="22"/>
        </w:rPr>
        <w:t xml:space="preserve">10. </w:t>
      </w:r>
      <w:r>
        <w:rPr>
          <w:rFonts w:ascii="Arial" w:hAnsi="Arial" w:cs="Arial"/>
          <w:b/>
          <w:sz w:val="22"/>
        </w:rPr>
        <w:t>Afirmar que el Defensor anula actos administrativos.</w:t>
      </w:r>
      <w:r>
        <w:rPr>
          <w:rFonts w:ascii="Arial" w:hAnsi="Arial" w:cs="Arial"/>
          <w:sz w:val="22"/>
        </w:rPr>
        <w:t xml:space="preserve"> Formula resoluciones no ejecutivas y puede recurrir ante el TC, pero no anula.</w:t>
      </w:r>
    </w:p>
    <w:p>
      <w:pPr>
        <w:spacing w:after="40"/>
        <w:ind w:left="369" w:hanging="227"/>
      </w:pPr>
      <w:r>
        <w:rPr>
          <w:rFonts w:ascii="Arial" w:hAnsi="Arial" w:cs="Arial"/>
          <w:sz w:val="22"/>
        </w:rPr>
        <w:t xml:space="preserve">11. </w:t>
      </w:r>
      <w:r>
        <w:rPr>
          <w:rFonts w:ascii="Arial" w:hAnsi="Arial" w:cs="Arial"/>
          <w:b/>
          <w:sz w:val="22"/>
        </w:rPr>
        <w:t>Exigir nacionalidad española para presentar queja.</w:t>
      </w:r>
      <w:r>
        <w:rPr>
          <w:rFonts w:ascii="Arial" w:hAnsi="Arial" w:cs="Arial"/>
          <w:sz w:val="22"/>
        </w:rPr>
        <w:t xml:space="preserve"> No es requisito; basta interés legítimo.</w:t>
      </w:r>
    </w:p>
    <w:p>
      <w:pPr>
        <w:spacing w:after="40"/>
        <w:ind w:left="369" w:hanging="227"/>
      </w:pPr>
      <w:r>
        <w:rPr>
          <w:rFonts w:ascii="Arial" w:hAnsi="Arial" w:cs="Arial"/>
          <w:sz w:val="22"/>
        </w:rPr>
        <w:t xml:space="preserve">12. </w:t>
      </w:r>
      <w:r>
        <w:rPr>
          <w:rFonts w:ascii="Arial" w:hAnsi="Arial" w:cs="Arial"/>
          <w:b/>
          <w:sz w:val="22"/>
        </w:rPr>
        <w:t>Olvidar que una queja es gratuita y no requiere abogado ni procurador.</w:t>
      </w:r>
    </w:p>
    <w:p>
      <w:pPr>
        <w:pStyle w:val="Heading1"/>
        <w:keepNext/>
      </w:pPr>
      <w:r>
        <w:rPr>
          <w:rFonts w:ascii="Arial" w:hAnsi="Arial" w:cs="Arial"/>
          <w:sz w:val="30"/>
        </w:rPr>
        <w:t>10. Esquema final de repaso</w:t>
      </w:r>
    </w:p>
    <w:p>
      <w:pPr>
        <w:jc w:val="both"/>
      </w:pPr>
      <w:r>
        <w:rPr>
          <w:rFonts w:ascii="Arial" w:hAnsi="Arial" w:cs="Arial"/>
          <w:sz w:val="22"/>
        </w:rPr>
        <w:t>text CORTES GENERALES (art. 66 CE) ├── Congreso de los Diputados │   ├── 300-400 CE; 350 LOREG │   ├── provincia; Ceuta y Melilla: 1 diputado │   ├── representación proporcional │   └── predominio: investidura, responsabilidad, decreto-ley, cierre legislativo ├── Senado │   ├── cámara de representación territorial │   ├── 4 por provincia │   ├── islas mayores: 3 │   ├── otras islas, incluida Formentera: 1 │   ├── Ceuta y Melilla: 2 │   └── CCAA: 1 + 1 por millón ├── Organización │   ├── Presidencia y Mesa │   ├── Junta de Portavoces │   ├── grupos │   ├── Pleno y Comisiones │   └── Diputación Permanente: mínimo 21 ├── Funcionamiento │   ├── períodos: sep-dic / feb-jun │   ├── quórum: mayoría de miembros │   ├── regla de decisión: mayoría de presentes │   └── voto personal e indelegable └── Funciones ├── legislar ├── aprobar Presupuestos ├── controlar al Gobierno └── restantes competencias constitucionales</w:t>
      </w:r>
    </w:p>
    <w:p>
      <w:pPr>
        <w:jc w:val="both"/>
      </w:pPr>
      <w:r>
        <w:rPr>
          <w:rFonts w:ascii="Arial" w:hAnsi="Arial" w:cs="Arial"/>
          <w:sz w:val="22"/>
        </w:rPr>
        <w:t xml:space="preserve">DEFENSOR DEL PUEBLO ├── alto comisionado de las Cortes ├── mandato: 5 años ├── elección ordinaria: 3/5 Congreso + 3/5 Senado ├── queja: interés legítimo, 1 año, gratuita, sin abogado ├── investigación de oficio o a instancia ├── no anula actos ├── recomendaciones, advertencias, recordatorios y sugerencias ├── recurso de inconstitucionalidad y amparo └── Mecanismo Nacional de Prevención de la Tortura </w:t>
      </w:r>
    </w:p>
    <w:p>
      <w:pPr>
        <w:pStyle w:val="Heading1"/>
        <w:keepNext/>
      </w:pPr>
      <w:r>
        <w:rPr>
          <w:rFonts w:ascii="Arial" w:hAnsi="Arial" w:cs="Arial"/>
          <w:sz w:val="30"/>
        </w:rPr>
        <w:t>11. Datos especialmente preguntables</w:t>
      </w:r>
    </w:p>
    <w:p>
      <w:pPr>
        <w:pStyle w:val="ListBullet"/>
      </w:pPr>
      <w:r>
        <w:rPr>
          <w:rFonts w:ascii="Arial" w:hAnsi="Arial" w:cs="Arial"/>
          <w:sz w:val="22"/>
        </w:rPr>
        <w:t xml:space="preserve">Artículos constitucionales básicos: </w:t>
      </w:r>
      <w:r>
        <w:rPr>
          <w:rFonts w:ascii="Arial" w:hAnsi="Arial" w:cs="Arial"/>
          <w:b/>
          <w:sz w:val="22"/>
        </w:rPr>
        <w:t>66 a 96</w:t>
      </w:r>
      <w:r>
        <w:rPr>
          <w:rFonts w:ascii="Arial" w:hAnsi="Arial" w:cs="Arial"/>
          <w:sz w:val="22"/>
        </w:rPr>
        <w:t xml:space="preserve">; Defensor, </w:t>
      </w:r>
      <w:r>
        <w:rPr>
          <w:rFonts w:ascii="Arial" w:hAnsi="Arial" w:cs="Arial"/>
          <w:b/>
          <w:sz w:val="22"/>
        </w:rPr>
        <w:t>54</w:t>
      </w:r>
      <w:r>
        <w:rPr>
          <w:rFonts w:ascii="Arial" w:hAnsi="Arial" w:cs="Arial"/>
          <w:sz w:val="22"/>
        </w:rPr>
        <w:t>.</w:t>
      </w:r>
    </w:p>
    <w:p>
      <w:pPr>
        <w:pStyle w:val="ListBullet"/>
      </w:pPr>
      <w:r>
        <w:rPr>
          <w:rFonts w:ascii="Arial" w:hAnsi="Arial" w:cs="Arial"/>
          <w:sz w:val="22"/>
        </w:rPr>
        <w:t xml:space="preserve">Congreso: entre </w:t>
      </w:r>
      <w:r>
        <w:rPr>
          <w:rFonts w:ascii="Arial" w:hAnsi="Arial" w:cs="Arial"/>
          <w:b/>
          <w:sz w:val="22"/>
        </w:rPr>
        <w:t>300 y 400</w:t>
      </w:r>
      <w:r>
        <w:rPr>
          <w:rFonts w:ascii="Arial" w:hAnsi="Arial" w:cs="Arial"/>
          <w:sz w:val="22"/>
        </w:rPr>
        <w:t xml:space="preserve">; legalmente </w:t>
      </w:r>
      <w:r>
        <w:rPr>
          <w:rFonts w:ascii="Arial" w:hAnsi="Arial" w:cs="Arial"/>
          <w:b/>
          <w:sz w:val="22"/>
        </w:rPr>
        <w:t>350</w:t>
      </w:r>
      <w:r>
        <w:rPr>
          <w:rFonts w:ascii="Arial" w:hAnsi="Arial" w:cs="Arial"/>
          <w:sz w:val="22"/>
        </w:rPr>
        <w:t>.</w:t>
      </w:r>
    </w:p>
    <w:p>
      <w:pPr>
        <w:pStyle w:val="ListBullet"/>
      </w:pPr>
      <w:r>
        <w:rPr>
          <w:rFonts w:ascii="Arial" w:hAnsi="Arial" w:cs="Arial"/>
          <w:sz w:val="22"/>
        </w:rPr>
        <w:t xml:space="preserve">Mandato de ambas Cámaras: </w:t>
      </w:r>
      <w:r>
        <w:rPr>
          <w:rFonts w:ascii="Arial" w:hAnsi="Arial" w:cs="Arial"/>
          <w:b/>
          <w:sz w:val="22"/>
        </w:rPr>
        <w:t>cuatro años</w:t>
      </w:r>
      <w:r>
        <w:rPr>
          <w:rFonts w:ascii="Arial" w:hAnsi="Arial" w:cs="Arial"/>
          <w:sz w:val="22"/>
        </w:rPr>
        <w:t>.</w:t>
      </w:r>
    </w:p>
    <w:p>
      <w:pPr>
        <w:pStyle w:val="ListBullet"/>
      </w:pPr>
      <w:r>
        <w:rPr>
          <w:rFonts w:ascii="Arial" w:hAnsi="Arial" w:cs="Arial"/>
          <w:sz w:val="22"/>
        </w:rPr>
        <w:t xml:space="preserve">Elecciones al Congreso: entre </w:t>
      </w:r>
      <w:r>
        <w:rPr>
          <w:rFonts w:ascii="Arial" w:hAnsi="Arial" w:cs="Arial"/>
          <w:b/>
          <w:sz w:val="22"/>
        </w:rPr>
        <w:t>30 y 60 días</w:t>
      </w:r>
      <w:r>
        <w:rPr>
          <w:rFonts w:ascii="Arial" w:hAnsi="Arial" w:cs="Arial"/>
          <w:sz w:val="22"/>
        </w:rPr>
        <w:t xml:space="preserve"> tras terminar el mandato.</w:t>
      </w:r>
    </w:p>
    <w:p>
      <w:pPr>
        <w:pStyle w:val="ListBullet"/>
      </w:pPr>
      <w:r>
        <w:rPr>
          <w:rFonts w:ascii="Arial" w:hAnsi="Arial" w:cs="Arial"/>
          <w:sz w:val="22"/>
        </w:rPr>
        <w:t xml:space="preserve">Convocatoria del Congreso electo: dentro de </w:t>
      </w:r>
      <w:r>
        <w:rPr>
          <w:rFonts w:ascii="Arial" w:hAnsi="Arial" w:cs="Arial"/>
          <w:b/>
          <w:sz w:val="22"/>
        </w:rPr>
        <w:t>25 días</w:t>
      </w:r>
      <w:r>
        <w:rPr>
          <w:rFonts w:ascii="Arial" w:hAnsi="Arial" w:cs="Arial"/>
          <w:sz w:val="22"/>
        </w:rPr>
        <w:t xml:space="preserve"> desde las elecciones.</w:t>
      </w:r>
    </w:p>
    <w:p>
      <w:pPr>
        <w:pStyle w:val="ListBullet"/>
      </w:pPr>
      <w:r>
        <w:rPr>
          <w:rFonts w:ascii="Arial" w:hAnsi="Arial" w:cs="Arial"/>
          <w:sz w:val="22"/>
        </w:rPr>
        <w:t xml:space="preserve">Diputación Permanente: mínimo </w:t>
      </w:r>
      <w:r>
        <w:rPr>
          <w:rFonts w:ascii="Arial" w:hAnsi="Arial" w:cs="Arial"/>
          <w:b/>
          <w:sz w:val="22"/>
        </w:rPr>
        <w:t>21</w:t>
      </w:r>
      <w:r>
        <w:rPr>
          <w:rFonts w:ascii="Arial" w:hAnsi="Arial" w:cs="Arial"/>
          <w:sz w:val="22"/>
        </w:rPr>
        <w:t xml:space="preserve"> miembros.</w:t>
      </w:r>
    </w:p>
    <w:p>
      <w:pPr>
        <w:pStyle w:val="ListBullet"/>
      </w:pPr>
      <w:r>
        <w:rPr>
          <w:rFonts w:ascii="Arial" w:hAnsi="Arial" w:cs="Arial"/>
          <w:sz w:val="22"/>
        </w:rPr>
        <w:t xml:space="preserve">Períodos ordinarios: </w:t>
      </w:r>
      <w:r>
        <w:rPr>
          <w:rFonts w:ascii="Arial" w:hAnsi="Arial" w:cs="Arial"/>
          <w:b/>
          <w:sz w:val="22"/>
        </w:rPr>
        <w:t>septiembre-diciembre</w:t>
      </w:r>
      <w:r>
        <w:rPr>
          <w:rFonts w:ascii="Arial" w:hAnsi="Arial" w:cs="Arial"/>
          <w:sz w:val="22"/>
        </w:rPr>
        <w:t xml:space="preserve"> y </w:t>
      </w:r>
      <w:r>
        <w:rPr>
          <w:rFonts w:ascii="Arial" w:hAnsi="Arial" w:cs="Arial"/>
          <w:b/>
          <w:sz w:val="22"/>
        </w:rPr>
        <w:t>febrero-junio</w:t>
      </w:r>
      <w:r>
        <w:rPr>
          <w:rFonts w:ascii="Arial" w:hAnsi="Arial" w:cs="Arial"/>
          <w:sz w:val="22"/>
        </w:rPr>
        <w:t>.</w:t>
      </w:r>
    </w:p>
    <w:p>
      <w:pPr>
        <w:pStyle w:val="ListBullet"/>
      </w:pPr>
      <w:r>
        <w:rPr>
          <w:rFonts w:ascii="Arial" w:hAnsi="Arial" w:cs="Arial"/>
          <w:sz w:val="22"/>
        </w:rPr>
        <w:t xml:space="preserve">Iniciativa popular: </w:t>
      </w:r>
      <w:r>
        <w:rPr>
          <w:rFonts w:ascii="Arial" w:hAnsi="Arial" w:cs="Arial"/>
          <w:b/>
          <w:sz w:val="22"/>
        </w:rPr>
        <w:t>500.000 firmas</w:t>
      </w:r>
      <w:r>
        <w:rPr>
          <w:rFonts w:ascii="Arial" w:hAnsi="Arial" w:cs="Arial"/>
          <w:sz w:val="22"/>
        </w:rPr>
        <w:t>.</w:t>
      </w:r>
    </w:p>
    <w:p>
      <w:pPr>
        <w:pStyle w:val="ListBullet"/>
      </w:pPr>
      <w:r>
        <w:rPr>
          <w:rFonts w:ascii="Arial" w:hAnsi="Arial" w:cs="Arial"/>
          <w:sz w:val="22"/>
        </w:rPr>
        <w:t xml:space="preserve">Plazo ordinario del Senado sobre proyectos: </w:t>
      </w:r>
      <w:r>
        <w:rPr>
          <w:rFonts w:ascii="Arial" w:hAnsi="Arial" w:cs="Arial"/>
          <w:b/>
          <w:sz w:val="22"/>
        </w:rPr>
        <w:t>dos meses</w:t>
      </w:r>
      <w:r>
        <w:rPr>
          <w:rFonts w:ascii="Arial" w:hAnsi="Arial" w:cs="Arial"/>
          <w:sz w:val="22"/>
        </w:rPr>
        <w:t>.</w:t>
      </w:r>
    </w:p>
    <w:p>
      <w:pPr>
        <w:pStyle w:val="ListBullet"/>
      </w:pPr>
      <w:r>
        <w:rPr>
          <w:rFonts w:ascii="Arial" w:hAnsi="Arial" w:cs="Arial"/>
          <w:sz w:val="22"/>
        </w:rPr>
        <w:t xml:space="preserve">Procedimiento urgente del Senado: </w:t>
      </w:r>
      <w:r>
        <w:rPr>
          <w:rFonts w:ascii="Arial" w:hAnsi="Arial" w:cs="Arial"/>
          <w:b/>
          <w:sz w:val="22"/>
        </w:rPr>
        <w:t>20 días naturales</w:t>
      </w:r>
      <w:r>
        <w:rPr>
          <w:rFonts w:ascii="Arial" w:hAnsi="Arial" w:cs="Arial"/>
          <w:sz w:val="22"/>
        </w:rPr>
        <w:t>.</w:t>
      </w:r>
    </w:p>
    <w:p>
      <w:pPr>
        <w:pStyle w:val="ListBullet"/>
      </w:pPr>
      <w:r>
        <w:rPr>
          <w:rFonts w:ascii="Arial" w:hAnsi="Arial" w:cs="Arial"/>
          <w:sz w:val="22"/>
        </w:rPr>
        <w:t xml:space="preserve">Convalidación del decreto-ley: </w:t>
      </w:r>
      <w:r>
        <w:rPr>
          <w:rFonts w:ascii="Arial" w:hAnsi="Arial" w:cs="Arial"/>
          <w:b/>
          <w:sz w:val="22"/>
        </w:rPr>
        <w:t>30 días</w:t>
      </w:r>
      <w:r>
        <w:rPr>
          <w:rFonts w:ascii="Arial" w:hAnsi="Arial" w:cs="Arial"/>
          <w:sz w:val="22"/>
        </w:rPr>
        <w:t xml:space="preserve"> por el Congreso.</w:t>
      </w:r>
    </w:p>
    <w:p>
      <w:pPr>
        <w:pStyle w:val="ListBullet"/>
      </w:pPr>
      <w:r>
        <w:rPr>
          <w:rFonts w:ascii="Arial" w:hAnsi="Arial" w:cs="Arial"/>
          <w:sz w:val="22"/>
        </w:rPr>
        <w:t xml:space="preserve">Sanción real: </w:t>
      </w:r>
      <w:r>
        <w:rPr>
          <w:rFonts w:ascii="Arial" w:hAnsi="Arial" w:cs="Arial"/>
          <w:b/>
          <w:sz w:val="22"/>
        </w:rPr>
        <w:t>15 días</w:t>
      </w:r>
      <w:r>
        <w:rPr>
          <w:rFonts w:ascii="Arial" w:hAnsi="Arial" w:cs="Arial"/>
          <w:sz w:val="22"/>
        </w:rPr>
        <w:t>.</w:t>
      </w:r>
    </w:p>
    <w:p>
      <w:pPr>
        <w:pStyle w:val="ListBullet"/>
      </w:pPr>
      <w:r>
        <w:rPr>
          <w:rFonts w:ascii="Arial" w:hAnsi="Arial" w:cs="Arial"/>
          <w:sz w:val="22"/>
        </w:rPr>
        <w:t xml:space="preserve">Defensor: mandato de </w:t>
      </w:r>
      <w:r>
        <w:rPr>
          <w:rFonts w:ascii="Arial" w:hAnsi="Arial" w:cs="Arial"/>
          <w:b/>
          <w:sz w:val="22"/>
        </w:rPr>
        <w:t>cinco años</w:t>
      </w:r>
      <w:r>
        <w:rPr>
          <w:rFonts w:ascii="Arial" w:hAnsi="Arial" w:cs="Arial"/>
          <w:sz w:val="22"/>
        </w:rPr>
        <w:t>.</w:t>
      </w:r>
    </w:p>
    <w:p>
      <w:pPr>
        <w:pStyle w:val="ListBullet"/>
      </w:pPr>
      <w:r>
        <w:rPr>
          <w:rFonts w:ascii="Arial" w:hAnsi="Arial" w:cs="Arial"/>
          <w:sz w:val="22"/>
        </w:rPr>
        <w:t xml:space="preserve">Elección ordinaria: </w:t>
      </w:r>
      <w:r>
        <w:rPr>
          <w:rFonts w:ascii="Arial" w:hAnsi="Arial" w:cs="Arial"/>
          <w:b/>
          <w:sz w:val="22"/>
        </w:rPr>
        <w:t>tres quintos</w:t>
      </w:r>
      <w:r>
        <w:rPr>
          <w:rFonts w:ascii="Arial" w:hAnsi="Arial" w:cs="Arial"/>
          <w:sz w:val="22"/>
        </w:rPr>
        <w:t xml:space="preserve"> de Congreso y Senado.</w:t>
      </w:r>
    </w:p>
    <w:p>
      <w:pPr>
        <w:pStyle w:val="ListBullet"/>
      </w:pPr>
      <w:r>
        <w:rPr>
          <w:rFonts w:ascii="Arial" w:hAnsi="Arial" w:cs="Arial"/>
          <w:sz w:val="22"/>
        </w:rPr>
        <w:t xml:space="preserve">Queja: máximo de </w:t>
      </w:r>
      <w:r>
        <w:rPr>
          <w:rFonts w:ascii="Arial" w:hAnsi="Arial" w:cs="Arial"/>
          <w:b/>
          <w:sz w:val="22"/>
        </w:rPr>
        <w:t>un año</w:t>
      </w:r>
      <w:r>
        <w:rPr>
          <w:rFonts w:ascii="Arial" w:hAnsi="Arial" w:cs="Arial"/>
          <w:sz w:val="22"/>
        </w:rPr>
        <w:t xml:space="preserve"> desde conocimiento.</w:t>
      </w:r>
    </w:p>
    <w:p>
      <w:pPr>
        <w:pStyle w:val="ListBullet"/>
      </w:pPr>
      <w:r>
        <w:rPr>
          <w:rFonts w:ascii="Arial" w:hAnsi="Arial" w:cs="Arial"/>
          <w:sz w:val="22"/>
        </w:rPr>
        <w:t xml:space="preserve">Informe administrativo inicial al Defensor: </w:t>
      </w:r>
      <w:r>
        <w:rPr>
          <w:rFonts w:ascii="Arial" w:hAnsi="Arial" w:cs="Arial"/>
          <w:b/>
          <w:sz w:val="22"/>
        </w:rPr>
        <w:t>15 días</w:t>
      </w:r>
      <w:r>
        <w:rPr>
          <w:rFonts w:ascii="Arial" w:hAnsi="Arial" w:cs="Arial"/>
          <w:sz w:val="22"/>
        </w:rPr>
        <w:t>, ampliable.</w:t>
      </w:r>
    </w:p>
    <w:p>
      <w:pPr>
        <w:pStyle w:val="ListBullet"/>
      </w:pPr>
      <w:r>
        <w:rPr>
          <w:rFonts w:ascii="Arial" w:hAnsi="Arial" w:cs="Arial"/>
          <w:sz w:val="22"/>
        </w:rPr>
        <w:t xml:space="preserve">Respuesta a recomendaciones y similares: máximo de </w:t>
      </w:r>
      <w:r>
        <w:rPr>
          <w:rFonts w:ascii="Arial" w:hAnsi="Arial" w:cs="Arial"/>
          <w:b/>
          <w:sz w:val="22"/>
        </w:rPr>
        <w:t>un mes</w:t>
      </w:r>
      <w:r>
        <w:rPr>
          <w:rFonts w:ascii="Arial" w:hAnsi="Arial" w:cs="Arial"/>
          <w:sz w:val="22"/>
        </w:rPr>
        <w:t>.</w:t>
      </w:r>
    </w:p>
    <w:p>
      <w:pPr>
        <w:pStyle w:val="ListBullet"/>
      </w:pPr>
      <w:r>
        <w:rPr>
          <w:rFonts w:ascii="Arial" w:hAnsi="Arial" w:cs="Arial"/>
          <w:sz w:val="22"/>
        </w:rPr>
        <w:t xml:space="preserve">Grupos del Congreso en XV Legislatura: </w:t>
      </w:r>
      <w:r>
        <w:rPr>
          <w:rFonts w:ascii="Arial" w:hAnsi="Arial" w:cs="Arial"/>
          <w:b/>
          <w:sz w:val="22"/>
        </w:rPr>
        <w:t>15</w:t>
      </w:r>
      <w:r>
        <w:rPr>
          <w:rFonts w:ascii="Arial" w:hAnsi="Arial" w:cs="Arial"/>
          <w:sz w:val="22"/>
        </w:rPr>
        <w:t xml:space="preserve">, o </w:t>
      </w:r>
      <w:r>
        <w:rPr>
          <w:rFonts w:ascii="Arial" w:hAnsi="Arial" w:cs="Arial"/>
          <w:b/>
          <w:sz w:val="22"/>
        </w:rPr>
        <w:t>5 + 15 % / 5 %</w:t>
      </w:r>
      <w:r>
        <w:rPr>
          <w:rFonts w:ascii="Arial" w:hAnsi="Arial" w:cs="Arial"/>
          <w:sz w:val="22"/>
        </w:rPr>
        <w:t>.</w:t>
      </w:r>
    </w:p>
    <w:p>
      <w:pPr>
        <w:pStyle w:val="ListBullet"/>
      </w:pPr>
      <w:r>
        <w:rPr>
          <w:rFonts w:ascii="Arial" w:hAnsi="Arial" w:cs="Arial"/>
          <w:sz w:val="22"/>
        </w:rPr>
        <w:t xml:space="preserve">Desde XVI Legislatura: </w:t>
      </w:r>
      <w:r>
        <w:rPr>
          <w:rFonts w:ascii="Arial" w:hAnsi="Arial" w:cs="Arial"/>
          <w:b/>
          <w:sz w:val="22"/>
        </w:rPr>
        <w:t>15</w:t>
      </w:r>
      <w:r>
        <w:rPr>
          <w:rFonts w:ascii="Arial" w:hAnsi="Arial" w:cs="Arial"/>
          <w:sz w:val="22"/>
        </w:rPr>
        <w:t xml:space="preserve">, o </w:t>
      </w:r>
      <w:r>
        <w:rPr>
          <w:rFonts w:ascii="Arial" w:hAnsi="Arial" w:cs="Arial"/>
          <w:b/>
          <w:sz w:val="22"/>
        </w:rPr>
        <w:t>5 + media 10 % / 3 %</w:t>
      </w:r>
      <w:r>
        <w:rPr>
          <w:rFonts w:ascii="Arial" w:hAnsi="Arial" w:cs="Arial"/>
          <w:sz w:val="22"/>
        </w:rPr>
        <w:t>.</w:t>
      </w:r>
    </w:p>
    <w:p>
      <w:pPr>
        <w:pStyle w:val="ListBullet"/>
      </w:pPr>
      <w:r>
        <w:rPr>
          <w:rFonts w:ascii="Arial" w:hAnsi="Arial" w:cs="Arial"/>
          <w:sz w:val="22"/>
        </w:rPr>
        <w:t xml:space="preserve">Grupos del Senado: mínimo </w:t>
      </w:r>
      <w:r>
        <w:rPr>
          <w:rFonts w:ascii="Arial" w:hAnsi="Arial" w:cs="Arial"/>
          <w:b/>
          <w:sz w:val="22"/>
        </w:rPr>
        <w:t>10</w:t>
      </w:r>
      <w:r>
        <w:rPr>
          <w:rFonts w:ascii="Arial" w:hAnsi="Arial" w:cs="Arial"/>
          <w:sz w:val="22"/>
        </w:rPr>
        <w:t xml:space="preserve">; disolución si bajan de </w:t>
      </w:r>
      <w:r>
        <w:rPr>
          <w:rFonts w:ascii="Arial" w:hAnsi="Arial" w:cs="Arial"/>
          <w:b/>
          <w:sz w:val="22"/>
        </w:rPr>
        <w:t>6</w:t>
      </w:r>
      <w:r>
        <w:rPr>
          <w:rFonts w:ascii="Arial" w:hAnsi="Arial" w:cs="Arial"/>
          <w:sz w:val="22"/>
        </w:rPr>
        <w:t xml:space="preserve"> al final del período.</w:t>
      </w:r>
    </w:p>
    <w:p>
      <w:pPr>
        <w:pStyle w:val="Heading1"/>
        <w:keepNext/>
      </w:pPr>
      <w:r>
        <w:rPr>
          <w:rFonts w:ascii="Arial" w:hAnsi="Arial" w:cs="Arial"/>
          <w:sz w:val="30"/>
        </w:rPr>
        <w:t>12. Fuentes oficiales</w:t>
      </w:r>
    </w:p>
    <w:p>
      <w:pPr>
        <w:pStyle w:val="ListBullet"/>
      </w:pPr>
      <w:r>
        <w:rPr>
          <w:rFonts w:ascii="Arial" w:hAnsi="Arial" w:cs="Arial"/>
          <w:sz w:val="22"/>
        </w:rPr>
        <w:t>Constitución Española, especialmente artículos 1.2, 54 y 66 a 96: BOE, texto consolidado (https://www.boe.es/buscar/act.php?id=BOE-A-1978-31229).</w:t>
      </w:r>
    </w:p>
    <w:p>
      <w:pPr>
        <w:pStyle w:val="ListBullet"/>
      </w:pPr>
      <w:r>
        <w:rPr>
          <w:rFonts w:ascii="Arial" w:hAnsi="Arial" w:cs="Arial"/>
          <w:sz w:val="22"/>
        </w:rPr>
        <w:t>Reforma del artículo 69.3 de la Constitución, de 19 de mayo de 2026: BOE-A-2026-10881 (https://www.boe.es/buscar/doc.php?id=BOE-A-2026-10881).</w:t>
      </w:r>
    </w:p>
    <w:p>
      <w:pPr>
        <w:pStyle w:val="ListBullet"/>
      </w:pPr>
      <w:r>
        <w:rPr>
          <w:rFonts w:ascii="Arial" w:hAnsi="Arial" w:cs="Arial"/>
          <w:sz w:val="22"/>
        </w:rPr>
        <w:t>Ley Orgánica 5/1985, de Régimen Electoral General: BOE, texto consolidado (https://www.boe.es/buscar/act.php?id=BOE-A-1985-11672).</w:t>
      </w:r>
    </w:p>
    <w:p>
      <w:pPr>
        <w:pStyle w:val="ListBullet"/>
      </w:pPr>
      <w:r>
        <w:rPr>
          <w:rFonts w:ascii="Arial" w:hAnsi="Arial" w:cs="Arial"/>
          <w:sz w:val="22"/>
        </w:rPr>
        <w:t>Ley Orgánica 2/2026, adaptación electoral de Ibiza y Formentera: BOE-A-2026-14329 (https://www.boe.es/buscar/doc.php?id=BOE-A-2026-14329).</w:t>
      </w:r>
    </w:p>
    <w:p>
      <w:pPr>
        <w:pStyle w:val="ListBullet"/>
      </w:pPr>
      <w:r>
        <w:rPr>
          <w:rFonts w:ascii="Arial" w:hAnsi="Arial" w:cs="Arial"/>
          <w:sz w:val="22"/>
        </w:rPr>
        <w:t>Reglamento del Congreso de 10 de febrero de 1982: BOE, texto consolidado (https://www.boe.es/buscar/act.php?id=BOE-A-1982-5196).</w:t>
      </w:r>
    </w:p>
    <w:p>
      <w:pPr>
        <w:pStyle w:val="ListBullet"/>
      </w:pPr>
      <w:r>
        <w:rPr>
          <w:rFonts w:ascii="Arial" w:hAnsi="Arial" w:cs="Arial"/>
          <w:sz w:val="22"/>
        </w:rPr>
        <w:t>Reforma futura del artículo 23 del Reglamento del Congreso: BOE-A-2026-16353 (https://www.boe.es/diario_boe/txt.php?id=BOE-A-2026-16353).</w:t>
      </w:r>
    </w:p>
    <w:p>
      <w:pPr>
        <w:pStyle w:val="ListBullet"/>
      </w:pPr>
      <w:r>
        <w:rPr>
          <w:rFonts w:ascii="Arial" w:hAnsi="Arial" w:cs="Arial"/>
          <w:sz w:val="22"/>
        </w:rPr>
        <w:t>Reglamento del Senado: BOE, texto consolidado (https://www.boe.es/buscar/act.php?id=BOE-A-1994-10830).</w:t>
      </w:r>
    </w:p>
    <w:p>
      <w:pPr>
        <w:pStyle w:val="ListBullet"/>
      </w:pPr>
      <w:r>
        <w:rPr>
          <w:rFonts w:ascii="Arial" w:hAnsi="Arial" w:cs="Arial"/>
          <w:sz w:val="22"/>
        </w:rPr>
        <w:t>Ley Orgánica 3/1981, del Defensor del Pueblo: BOE, texto consolidado (https://www.boe.es/buscar/act.php?id=BOE-A-1981-10325).</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4,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(6).</w:t>
      </w:r>
    </w:p>
    <w:p>
      <w:pPr>
        <w:jc w:val="both"/>
      </w:pPr>
      <w:r>
        <w:rPr>
          <w:rFonts w:ascii="Arial" w:hAnsi="Arial" w:cs="Arial"/>
          <w:b/>
          <w:sz w:val="22"/>
        </w:rPr>
        <w:t>Artículos o preceptos más repetidos:</w:t>
      </w:r>
      <w:r>
        <w:rPr>
          <w:rFonts w:ascii="Arial" w:hAnsi="Arial" w:cs="Arial"/>
          <w:sz w:val="22"/>
        </w:rPr>
        <w:t xml:space="preserve"> 68 (2); 75 (1); 54 (1); 88 (1); 73 (1).</w:t>
      </w:r>
    </w:p>
    <w:p>
      <w:pPr>
        <w:jc w:val="both"/>
      </w:pPr>
      <w:r>
        <w:rPr>
          <w:rFonts w:ascii="Arial" w:hAnsi="Arial" w:cs="Arial"/>
          <w:b/>
          <w:sz w:val="22"/>
        </w:rPr>
        <w:t>Formas de pregunta predominantes:</w:t>
      </w:r>
      <w:r>
        <w:rPr>
          <w:rFonts w:ascii="Arial" w:hAnsi="Arial" w:cs="Arial"/>
          <w:sz w:val="22"/>
        </w:rPr>
        <w:t xml:space="preserve"> Artículos literales (6); Procedimientos (1).</w:t>
      </w:r>
    </w:p>
    <w:p>
      <w:pPr>
        <w:pStyle w:val="Heading2"/>
        <w:keepNext/>
      </w:pPr>
      <w:r>
        <w:rPr>
          <w:rFonts w:ascii="Arial" w:hAnsi="Arial" w:cs="Arial"/>
          <w:sz w:val="25"/>
        </w:rPr>
        <w:t>Patrones observados</w:t>
      </w:r>
    </w:p>
    <w:p>
      <w:pPr>
        <w:pStyle w:val="ListBullet"/>
      </w:pPr>
      <w:r>
        <w:rPr>
          <w:rFonts w:ascii="Arial" w:hAnsi="Arial" w:cs="Arial"/>
          <w:b/>
          <w:sz w:val="22"/>
        </w:rPr>
        <w:t>2024, teoría 5:</w:t>
      </w:r>
      <w:r>
        <w:rPr>
          <w:rFonts w:ascii="Arial" w:hAnsi="Arial" w:cs="Arial"/>
          <w:sz w:val="22"/>
        </w:rPr>
        <w:t xml:space="preserve"> De acuerdo con el afticulo 79 de la Constitución Española, el Congreso de los Diputados y el Senado adoptarán acuerdos:</w:t>
      </w:r>
    </w:p>
    <w:p>
      <w:pPr>
        <w:pStyle w:val="ListBullet"/>
      </w:pPr>
      <w:r>
        <w:rPr>
          <w:rFonts w:ascii="Arial" w:hAnsi="Arial" w:cs="Arial"/>
          <w:b/>
          <w:sz w:val="22"/>
        </w:rPr>
        <w:t>2025, teoría 5:</w:t>
      </w:r>
      <w:r>
        <w:rPr>
          <w:rFonts w:ascii="Arial" w:hAnsi="Arial" w:cs="Arial"/>
          <w:sz w:val="22"/>
        </w:rPr>
        <w:t xml:space="preserve"> El artículo 75, apartado 2, de la Constitución indica que “las Cámaras podrán delegar en las Comisiones Legislativas Permanentes la aprobación de proyectos o proposiciones de ley”. Indique cuál de las…</w:t>
      </w:r>
    </w:p>
    <w:p>
      <w:pPr>
        <w:pStyle w:val="ListBullet"/>
      </w:pPr>
      <w:r>
        <w:rPr>
          <w:rFonts w:ascii="Arial" w:hAnsi="Arial" w:cs="Arial"/>
          <w:b/>
          <w:sz w:val="22"/>
        </w:rPr>
        <w:t>2025, teoría 5:</w:t>
      </w:r>
      <w:r>
        <w:rPr>
          <w:rFonts w:ascii="Arial" w:hAnsi="Arial" w:cs="Arial"/>
          <w:sz w:val="22"/>
        </w:rPr>
        <w:t xml:space="preserve"> De acuerdo con 10 establecido en eI artículo 68 de la Constitución Española, el Congreso se compone de:</w:t>
      </w:r>
    </w:p>
    <w:p>
      <w:pPr>
        <w:pStyle w:val="ListBullet"/>
      </w:pPr>
      <w:r>
        <w:rPr>
          <w:rFonts w:ascii="Arial" w:hAnsi="Arial" w:cs="Arial"/>
          <w:b/>
          <w:sz w:val="22"/>
        </w:rPr>
        <w:t>2025, teoría 5:</w:t>
      </w:r>
      <w:r>
        <w:rPr>
          <w:rFonts w:ascii="Arial" w:hAnsi="Arial" w:cs="Arial"/>
          <w:sz w:val="22"/>
        </w:rPr>
        <w:t xml:space="preserve"> De acuerdo con lo establecido en el artículo 54 de la Constitución Española, ¿mediante qué tipo de norma se regulará la Institución del Defensor del Pueblo?:</w:t>
      </w:r>
    </w:p>
    <w:p>
      <w:pPr>
        <w:pStyle w:val="ListBullet"/>
      </w:pPr>
      <w:r>
        <w:rPr>
          <w:rFonts w:ascii="Arial" w:hAnsi="Arial" w:cs="Arial"/>
          <w:b/>
          <w:sz w:val="22"/>
        </w:rPr>
        <w:t>2025, teoría 14:</w:t>
      </w:r>
      <w:r>
        <w:rPr>
          <w:rFonts w:ascii="Arial" w:hAnsi="Arial" w:cs="Arial"/>
          <w:sz w:val="22"/>
        </w:rPr>
        <w:t xml:space="preserve"> Según el artículo 88 de la Constitución Española, s eñale la respuesta correcta respecto a cómo debe ser el trámite de los proyectos de ley:</w:t>
      </w:r>
    </w:p>
    <w:p>
      <w:pPr>
        <w:pStyle w:val="ListBullet"/>
      </w:pPr>
      <w:r>
        <w:rPr>
          <w:rFonts w:ascii="Arial" w:hAnsi="Arial" w:cs="Arial"/>
          <w:b/>
          <w:sz w:val="22"/>
        </w:rPr>
        <w:t>2026, teoría 7:</w:t>
      </w:r>
      <w:r>
        <w:rPr>
          <w:rFonts w:ascii="Arial" w:hAnsi="Arial" w:cs="Arial"/>
          <w:sz w:val="22"/>
        </w:rPr>
        <w:t xml:space="preserve"> EI artículo 68 de la Constitución Española establece que las poblaciones de Ceuta y Melilla estarán representadas en eI Congreso:</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G05 · Tema 5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5. El poder legislativo. Las Cortes Generales - Composición, atribuciones y funcionamiento. El Defensor del Pueblo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