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6</w:t>
      </w:r>
    </w:p>
    <w:p>
      <w:pPr>
        <w:keepNext/>
        <w:spacing w:before="0" w:after="280"/>
        <w:pBdr>
          <w:bottom w:val="single" w:sz="12" w:space="1" w:color="2F75B5"/>
        </w:pBdr>
      </w:pPr>
      <w:r>
        <w:rPr>
          <w:rFonts w:ascii="Arial" w:hAnsi="Arial" w:cs="Arial"/>
          <w:b/>
          <w:color w:val="17365D"/>
          <w:sz w:val="40"/>
        </w:rPr>
        <w:t>El Poder Judicial. El principio de unidad jurisdiccional. El Consejo General del Poder Judicial. La organización judicial española.</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b/>
          <w:sz w:val="22"/>
        </w:rPr>
        <w:t>Actualización normativa: 30 de julio de 2026.</w:t>
      </w:r>
    </w:p>
    <w:p>
      <w:pPr>
        <w:jc w:val="both"/>
      </w:pPr>
      <w:r>
        <w:rPr>
          <w:rFonts w:ascii="Arial" w:hAnsi="Arial" w:cs="Arial"/>
          <w:sz w:val="22"/>
        </w:rPr>
        <w:t>El Poder Judicial es el poder del Estado que ejerce la potestad jurisdiccional: juzga y hace ejecutar lo juzgado mediante jueces, juezas y tribunales independientes, inamovibles, responsables y sometidos únicamente a la Constitución y al imperio de la ley. Su regulación constitucional básica está en el título VI de la Constitución, artículos 117 a 127, y su desarrollo principal en la Ley Orgánica 6/1985, de 1 de julio, del Poder Judicial —LOPJ—.</w:t>
      </w:r>
    </w:p>
    <w:p>
      <w:pPr>
        <w:spacing w:after="100"/>
        <w:ind w:left="340" w:right="227"/>
        <w:shd w:fill="EAF2F8"/>
      </w:pPr>
      <w:r>
        <w:rPr>
          <w:rFonts w:ascii="Arial" w:hAnsi="Arial" w:cs="Arial"/>
          <w:b/>
          <w:sz w:val="20"/>
        </w:rPr>
        <w:t>Alerta normativa esencial.</w:t>
      </w:r>
      <w:r>
        <w:rPr>
          <w:rFonts w:ascii="Arial" w:hAnsi="Arial" w:cs="Arial"/>
          <w:sz w:val="20"/>
        </w:rPr>
        <w:t xml:space="preserve"> La </w:t>
      </w:r>
      <w:r>
        <w:rPr>
          <w:rFonts w:ascii="Arial" w:hAnsi="Arial" w:cs="Arial"/>
          <w:b/>
          <w:sz w:val="20"/>
        </w:rPr>
        <w:t>Ley Orgánica 1/2025, de 2 de enero, de medidas en materia de eficiencia del Servicio Público de Justicia</w:t>
      </w:r>
      <w:r>
        <w:rPr>
          <w:rFonts w:ascii="Arial" w:hAnsi="Arial" w:cs="Arial"/>
          <w:sz w:val="20"/>
        </w:rPr>
        <w:t xml:space="preserve"> transformó la planta de juzgados unipersonales en </w:t>
      </w:r>
      <w:r>
        <w:rPr>
          <w:rFonts w:ascii="Arial" w:hAnsi="Arial" w:cs="Arial"/>
          <w:b/>
          <w:sz w:val="20"/>
        </w:rPr>
        <w:t>Tribunales de Instancia</w:t>
      </w:r>
      <w:r>
        <w:rPr>
          <w:rFonts w:ascii="Arial" w:hAnsi="Arial" w:cs="Arial"/>
          <w:sz w:val="20"/>
        </w:rPr>
        <w:t xml:space="preserve"> y creó el </w:t>
      </w:r>
      <w:r>
        <w:rPr>
          <w:rFonts w:ascii="Arial" w:hAnsi="Arial" w:cs="Arial"/>
          <w:b/>
          <w:sz w:val="20"/>
        </w:rPr>
        <w:t>Tribunal Central de Instancia</w:t>
      </w:r>
      <w:r>
        <w:rPr>
          <w:rFonts w:ascii="Arial" w:hAnsi="Arial" w:cs="Arial"/>
          <w:sz w:val="20"/>
        </w:rPr>
        <w:t>. La implantación escalonada terminó el 31 de diciembre de 2025. Por tanto, a 30 de julio de 2026 ya no es correcto presentar como planta vigente general los antiguos Juzgados de Primera Instancia, Instrucción, Penal, Social o Contencioso-Administrativo: sus plazas se integran en Secciones de los Tribunales de Instancia.</w:t>
      </w:r>
    </w:p>
    <w:p>
      <w:pPr>
        <w:pStyle w:val="Heading1"/>
        <w:keepNext/>
      </w:pPr>
      <w:r>
        <w:rPr>
          <w:rFonts w:ascii="Arial" w:hAnsi="Arial" w:cs="Arial"/>
          <w:sz w:val="30"/>
        </w:rPr>
        <w:t>1. El Poder Judicial en la Constitución</w:t>
      </w:r>
    </w:p>
    <w:p>
      <w:pPr>
        <w:pStyle w:val="Heading2"/>
        <w:keepNext/>
      </w:pPr>
      <w:r>
        <w:rPr>
          <w:rFonts w:ascii="Arial" w:hAnsi="Arial" w:cs="Arial"/>
          <w:sz w:val="25"/>
        </w:rPr>
        <w:t>1.1. La potestad jurisdiccional</w:t>
      </w:r>
    </w:p>
    <w:p>
      <w:pPr>
        <w:jc w:val="both"/>
      </w:pPr>
      <w:r>
        <w:rPr>
          <w:rFonts w:ascii="Arial" w:hAnsi="Arial" w:cs="Arial"/>
          <w:sz w:val="22"/>
        </w:rPr>
        <w:t>El artículo 117.1 dispone que la justicia:</w:t>
      </w:r>
    </w:p>
    <w:p>
      <w:pPr>
        <w:pStyle w:val="ListBullet"/>
      </w:pPr>
      <w:r>
        <w:rPr>
          <w:rFonts w:ascii="Arial" w:hAnsi="Arial" w:cs="Arial"/>
          <w:sz w:val="22"/>
        </w:rPr>
        <w:t>emana del pueblo;</w:t>
      </w:r>
    </w:p>
    <w:p>
      <w:pPr>
        <w:pStyle w:val="ListBullet"/>
      </w:pPr>
      <w:r>
        <w:rPr>
          <w:rFonts w:ascii="Arial" w:hAnsi="Arial" w:cs="Arial"/>
          <w:sz w:val="22"/>
        </w:rPr>
        <w:t>se administra en nombre del Rey;</w:t>
      </w:r>
    </w:p>
    <w:p>
      <w:pPr>
        <w:pStyle w:val="ListBullet"/>
      </w:pPr>
      <w:r>
        <w:rPr>
          <w:rFonts w:ascii="Arial" w:hAnsi="Arial" w:cs="Arial"/>
          <w:sz w:val="22"/>
        </w:rPr>
        <w:t>se ejerce por jueces y magistrados integrantes del Poder Judicial;</w:t>
      </w:r>
    </w:p>
    <w:p>
      <w:pPr>
        <w:pStyle w:val="ListBullet"/>
      </w:pPr>
      <w:r>
        <w:rPr>
          <w:rFonts w:ascii="Arial" w:hAnsi="Arial" w:cs="Arial"/>
          <w:sz w:val="22"/>
        </w:rPr>
        <w:t>corresponde a quienes son independientes, inamovibles y responsables;</w:t>
      </w:r>
    </w:p>
    <w:p>
      <w:pPr>
        <w:pStyle w:val="ListBullet"/>
      </w:pPr>
      <w:r>
        <w:rPr>
          <w:rFonts w:ascii="Arial" w:hAnsi="Arial" w:cs="Arial"/>
          <w:sz w:val="22"/>
        </w:rPr>
        <w:t>se somete únicamente al imperio de la ley.</w:t>
      </w:r>
    </w:p>
    <w:p>
      <w:pPr>
        <w:jc w:val="both"/>
      </w:pPr>
      <w:r>
        <w:rPr>
          <w:rFonts w:ascii="Arial" w:hAnsi="Arial" w:cs="Arial"/>
          <w:sz w:val="22"/>
        </w:rPr>
        <w:t xml:space="preserve">Que la justicia </w:t>
      </w:r>
      <w:r>
        <w:rPr>
          <w:rFonts w:ascii="Arial" w:hAnsi="Arial" w:cs="Arial"/>
          <w:b/>
          <w:sz w:val="22"/>
        </w:rPr>
        <w:t>emane del pueblo</w:t>
      </w:r>
      <w:r>
        <w:rPr>
          <w:rFonts w:ascii="Arial" w:hAnsi="Arial" w:cs="Arial"/>
          <w:sz w:val="22"/>
        </w:rPr>
        <w:t xml:space="preserve"> conecta la jurisdicción con la soberanía popular. Que se administre </w:t>
      </w:r>
      <w:r>
        <w:rPr>
          <w:rFonts w:ascii="Arial" w:hAnsi="Arial" w:cs="Arial"/>
          <w:b/>
          <w:sz w:val="22"/>
        </w:rPr>
        <w:t>en nombre del Rey</w:t>
      </w:r>
      <w:r>
        <w:rPr>
          <w:rFonts w:ascii="Arial" w:hAnsi="Arial" w:cs="Arial"/>
          <w:sz w:val="22"/>
        </w:rPr>
        <w:t xml:space="preserve"> es una fórmula constitucional y simbólica: el Rey no juzga, no revisa sentencias ni dirige a los tribunales. La potestad la ejercen los órganos jurisdiccionales.</w:t>
      </w:r>
    </w:p>
    <w:p>
      <w:pPr>
        <w:jc w:val="both"/>
      </w:pPr>
      <w:r>
        <w:rPr>
          <w:rFonts w:ascii="Arial" w:hAnsi="Arial" w:cs="Arial"/>
          <w:sz w:val="22"/>
        </w:rPr>
        <w:t xml:space="preserve">La potestad jurisdiccional consiste en </w:t>
      </w:r>
      <w:r>
        <w:rPr>
          <w:rFonts w:ascii="Arial" w:hAnsi="Arial" w:cs="Arial"/>
          <w:b/>
          <w:sz w:val="22"/>
        </w:rPr>
        <w:t>juzgar y hacer ejecutar lo juzgado</w:t>
      </w:r>
      <w:r>
        <w:rPr>
          <w:rFonts w:ascii="Arial" w:hAnsi="Arial" w:cs="Arial"/>
          <w:sz w:val="22"/>
        </w:rPr>
        <w:t>. Comprende decidir controversias mediante el Derecho y asegurar el cumplimiento de las resoluciones. No basta dictar una sentencia: la tutela judicial incluye su ejecución.</w:t>
      </w:r>
    </w:p>
    <w:p>
      <w:pPr>
        <w:jc w:val="both"/>
      </w:pPr>
      <w:r>
        <w:rPr>
          <w:rFonts w:ascii="Arial" w:hAnsi="Arial" w:cs="Arial"/>
          <w:sz w:val="22"/>
        </w:rPr>
        <w:t>El artículo 117.3 atribuye esta potestad exclusivamente a los órganos determinados por las leyes, conforme a las normas de competencia y procedimiento. La LOPJ, tras la LO 1/2025, formula que corresponde a los jueces, juezas y tribunales previstos en leyes y tratados internacionales.</w:t>
      </w:r>
    </w:p>
    <w:p>
      <w:pPr>
        <w:pStyle w:val="Heading2"/>
        <w:keepNext/>
      </w:pPr>
      <w:r>
        <w:rPr>
          <w:rFonts w:ascii="Arial" w:hAnsi="Arial" w:cs="Arial"/>
          <w:sz w:val="25"/>
        </w:rPr>
        <w:t>1.2. Poder Judicial y Administración de Justicia</w:t>
      </w:r>
    </w:p>
    <w:p>
      <w:pPr>
        <w:jc w:val="both"/>
      </w:pPr>
      <w:r>
        <w:rPr>
          <w:rFonts w:ascii="Arial" w:hAnsi="Arial" w:cs="Arial"/>
          <w:sz w:val="22"/>
        </w:rPr>
        <w:t>No deben confundirse:</w:t>
      </w:r>
    </w:p>
    <w:p>
      <w:pPr>
        <w:pStyle w:val="ListBullet"/>
      </w:pPr>
      <w:r>
        <w:rPr>
          <w:rFonts w:ascii="Arial" w:hAnsi="Arial" w:cs="Arial"/>
          <w:sz w:val="22"/>
        </w:rPr>
        <w:t xml:space="preserve">el </w:t>
      </w:r>
      <w:r>
        <w:rPr>
          <w:rFonts w:ascii="Arial" w:hAnsi="Arial" w:cs="Arial"/>
          <w:b/>
          <w:sz w:val="22"/>
        </w:rPr>
        <w:t>Poder Judicial</w:t>
      </w:r>
      <w:r>
        <w:rPr>
          <w:rFonts w:ascii="Arial" w:hAnsi="Arial" w:cs="Arial"/>
          <w:sz w:val="22"/>
        </w:rPr>
        <w:t>, integrado por jueces y magistrados que ejercen jurisdicción;</w:t>
      </w:r>
    </w:p>
    <w:p>
      <w:pPr>
        <w:pStyle w:val="ListBullet"/>
      </w:pPr>
      <w:r>
        <w:rPr>
          <w:rFonts w:ascii="Arial" w:hAnsi="Arial" w:cs="Arial"/>
          <w:sz w:val="22"/>
        </w:rPr>
        <w:t xml:space="preserve">la </w:t>
      </w:r>
      <w:r>
        <w:rPr>
          <w:rFonts w:ascii="Arial" w:hAnsi="Arial" w:cs="Arial"/>
          <w:b/>
          <w:sz w:val="22"/>
        </w:rPr>
        <w:t>Administración de Justicia</w:t>
      </w:r>
      <w:r>
        <w:rPr>
          <w:rFonts w:ascii="Arial" w:hAnsi="Arial" w:cs="Arial"/>
          <w:sz w:val="22"/>
        </w:rPr>
        <w:t>, que incluye la organización, medios personales y materiales necesarios para prestar el servicio;</w:t>
      </w:r>
    </w:p>
    <w:p>
      <w:pPr>
        <w:pStyle w:val="ListBullet"/>
      </w:pPr>
      <w:r>
        <w:rPr>
          <w:rFonts w:ascii="Arial" w:hAnsi="Arial" w:cs="Arial"/>
          <w:sz w:val="22"/>
        </w:rPr>
        <w:t xml:space="preserve">el </w:t>
      </w:r>
      <w:r>
        <w:rPr>
          <w:rFonts w:ascii="Arial" w:hAnsi="Arial" w:cs="Arial"/>
          <w:b/>
          <w:sz w:val="22"/>
        </w:rPr>
        <w:t>Consejo General del Poder Judicial</w:t>
      </w:r>
      <w:r>
        <w:rPr>
          <w:rFonts w:ascii="Arial" w:hAnsi="Arial" w:cs="Arial"/>
          <w:sz w:val="22"/>
        </w:rPr>
        <w:t>, órgano de gobierno del Poder Judicial, pero no órgano jurisdiccional;</w:t>
      </w:r>
    </w:p>
    <w:p>
      <w:pPr>
        <w:pStyle w:val="ListBullet"/>
      </w:pPr>
      <w:r>
        <w:rPr>
          <w:rFonts w:ascii="Arial" w:hAnsi="Arial" w:cs="Arial"/>
          <w:sz w:val="22"/>
        </w:rPr>
        <w:t xml:space="preserve">el </w:t>
      </w:r>
      <w:r>
        <w:rPr>
          <w:rFonts w:ascii="Arial" w:hAnsi="Arial" w:cs="Arial"/>
          <w:b/>
          <w:sz w:val="22"/>
        </w:rPr>
        <w:t>Ministerio de Justicia</w:t>
      </w:r>
      <w:r>
        <w:rPr>
          <w:rFonts w:ascii="Arial" w:hAnsi="Arial" w:cs="Arial"/>
          <w:sz w:val="22"/>
        </w:rPr>
        <w:t xml:space="preserve"> y las Comunidades Autónomas con competencias, responsables de medios y gestión en sus ámbitos, pero sin potestad para decir a un juez cómo resolver.</w:t>
      </w:r>
    </w:p>
    <w:p>
      <w:pPr>
        <w:jc w:val="both"/>
      </w:pPr>
      <w:r>
        <w:rPr>
          <w:rFonts w:ascii="Arial" w:hAnsi="Arial" w:cs="Arial"/>
          <w:sz w:val="22"/>
        </w:rPr>
        <w:t>Un letrado de la Administración de Justicia, un gestor procesal o el Ministerio de Justicia participan en el servicio público, pero no son por ello integrantes del Poder Judicial en el sentido del artículo 117. La potestad jurisdiccional se reserva a jueces, juezas y tribunales.</w:t>
      </w:r>
    </w:p>
    <w:p>
      <w:pPr>
        <w:pStyle w:val="Heading2"/>
        <w:keepNext/>
      </w:pPr>
      <w:r>
        <w:rPr>
          <w:rFonts w:ascii="Arial" w:hAnsi="Arial" w:cs="Arial"/>
          <w:sz w:val="25"/>
        </w:rPr>
        <w:t>1.3. Rasgos del Poder Judicial</w:t>
      </w:r>
    </w:p>
    <w:p>
      <w:pPr>
        <w:jc w:val="both"/>
      </w:pPr>
      <w:r>
        <w:rPr>
          <w:rFonts w:ascii="Arial" w:hAnsi="Arial" w:cs="Arial"/>
          <w:sz w:val="22"/>
        </w:rPr>
        <w:t>El Poder Judicial es:</w:t>
      </w:r>
    </w:p>
    <w:p>
      <w:pPr>
        <w:pStyle w:val="ListBullet"/>
      </w:pPr>
      <w:r>
        <w:rPr>
          <w:rFonts w:ascii="Arial" w:hAnsi="Arial" w:cs="Arial"/>
          <w:b/>
          <w:sz w:val="22"/>
        </w:rPr>
        <w:t>independiente</w:t>
      </w:r>
      <w:r>
        <w:rPr>
          <w:rFonts w:ascii="Arial" w:hAnsi="Arial" w:cs="Arial"/>
          <w:sz w:val="22"/>
        </w:rPr>
        <w:t>, tanto frente a otros poderes como dentro de la propia estructura judicial;</w:t>
      </w:r>
    </w:p>
    <w:p>
      <w:pPr>
        <w:pStyle w:val="ListBullet"/>
      </w:pPr>
      <w:r>
        <w:rPr>
          <w:rFonts w:ascii="Arial" w:hAnsi="Arial" w:cs="Arial"/>
          <w:b/>
          <w:sz w:val="22"/>
        </w:rPr>
        <w:t>único</w:t>
      </w:r>
      <w:r>
        <w:rPr>
          <w:rFonts w:ascii="Arial" w:hAnsi="Arial" w:cs="Arial"/>
          <w:sz w:val="22"/>
        </w:rPr>
        <w:t xml:space="preserve"> para todo el Estado;</w:t>
      </w:r>
    </w:p>
    <w:p>
      <w:pPr>
        <w:pStyle w:val="ListBullet"/>
      </w:pPr>
      <w:r>
        <w:rPr>
          <w:rFonts w:ascii="Arial" w:hAnsi="Arial" w:cs="Arial"/>
          <w:b/>
          <w:sz w:val="22"/>
        </w:rPr>
        <w:t>exclusivo</w:t>
      </w:r>
      <w:r>
        <w:rPr>
          <w:rFonts w:ascii="Arial" w:hAnsi="Arial" w:cs="Arial"/>
          <w:sz w:val="22"/>
        </w:rPr>
        <w:t xml:space="preserve"> en el ejercicio de la jurisdicción;</w:t>
      </w:r>
    </w:p>
    <w:p>
      <w:pPr>
        <w:pStyle w:val="ListBullet"/>
      </w:pPr>
      <w:r>
        <w:rPr>
          <w:rFonts w:ascii="Arial" w:hAnsi="Arial" w:cs="Arial"/>
          <w:b/>
          <w:sz w:val="22"/>
        </w:rPr>
        <w:t>sometido al Derecho</w:t>
      </w:r>
      <w:r>
        <w:rPr>
          <w:rFonts w:ascii="Arial" w:hAnsi="Arial" w:cs="Arial"/>
          <w:sz w:val="22"/>
        </w:rPr>
        <w:t>, no a instrucciones políticas;</w:t>
      </w:r>
    </w:p>
    <w:p>
      <w:pPr>
        <w:pStyle w:val="ListBullet"/>
      </w:pPr>
      <w:r>
        <w:rPr>
          <w:rFonts w:ascii="Arial" w:hAnsi="Arial" w:cs="Arial"/>
          <w:b/>
          <w:sz w:val="22"/>
        </w:rPr>
        <w:t>responsable</w:t>
      </w:r>
      <w:r>
        <w:rPr>
          <w:rFonts w:ascii="Arial" w:hAnsi="Arial" w:cs="Arial"/>
          <w:sz w:val="22"/>
        </w:rPr>
        <w:t>, pues independencia no significa impunidad;</w:t>
      </w:r>
    </w:p>
    <w:p>
      <w:pPr>
        <w:pStyle w:val="ListBullet"/>
      </w:pPr>
      <w:r>
        <w:rPr>
          <w:rFonts w:ascii="Arial" w:hAnsi="Arial" w:cs="Arial"/>
          <w:b/>
          <w:sz w:val="22"/>
        </w:rPr>
        <w:t>difuso o plural en sus órganos</w:t>
      </w:r>
      <w:r>
        <w:rPr>
          <w:rFonts w:ascii="Arial" w:hAnsi="Arial" w:cs="Arial"/>
          <w:sz w:val="22"/>
        </w:rPr>
        <w:t>, porque la jurisdicción se ejerce por numerosos jueces y tribunales, no por un único centro de decisión;</w:t>
      </w:r>
    </w:p>
    <w:p>
      <w:pPr>
        <w:pStyle w:val="ListBullet"/>
      </w:pPr>
      <w:r>
        <w:rPr>
          <w:rFonts w:ascii="Arial" w:hAnsi="Arial" w:cs="Arial"/>
          <w:b/>
          <w:sz w:val="22"/>
        </w:rPr>
        <w:t>permanente</w:t>
      </w:r>
      <w:r>
        <w:rPr>
          <w:rFonts w:ascii="Arial" w:hAnsi="Arial" w:cs="Arial"/>
          <w:sz w:val="22"/>
        </w:rPr>
        <w:t>, al no depender de una legislatura.</w:t>
      </w:r>
    </w:p>
    <w:p>
      <w:pPr>
        <w:jc w:val="both"/>
      </w:pPr>
      <w:r>
        <w:rPr>
          <w:rFonts w:ascii="Arial" w:hAnsi="Arial" w:cs="Arial"/>
          <w:sz w:val="22"/>
        </w:rPr>
        <w:t>La unidad no significa que todos los asuntos los resuelva el mismo tribunal ni que no existan órdenes jurisdiccionales, especializaciones o instancias. Significa que todos pertenecen a un único Poder Judicial estatal y se integran en un sistema regido por la Constitución y la LOPJ.</w:t>
      </w:r>
    </w:p>
    <w:p>
      <w:pPr>
        <w:pStyle w:val="Heading1"/>
        <w:keepNext/>
      </w:pPr>
      <w:r>
        <w:rPr>
          <w:rFonts w:ascii="Arial" w:hAnsi="Arial" w:cs="Arial"/>
          <w:sz w:val="30"/>
        </w:rPr>
        <w:t>2. Principios constitucionales de la jurisdicción</w:t>
      </w:r>
    </w:p>
    <w:p>
      <w:pPr>
        <w:pStyle w:val="Heading2"/>
        <w:keepNext/>
      </w:pPr>
      <w:r>
        <w:rPr>
          <w:rFonts w:ascii="Arial" w:hAnsi="Arial" w:cs="Arial"/>
          <w:sz w:val="25"/>
        </w:rPr>
        <w:t>2.1. Independencia judicial</w:t>
      </w:r>
    </w:p>
    <w:p>
      <w:pPr>
        <w:jc w:val="both"/>
      </w:pPr>
      <w:r>
        <w:rPr>
          <w:rFonts w:ascii="Arial" w:hAnsi="Arial" w:cs="Arial"/>
          <w:sz w:val="22"/>
        </w:rPr>
        <w:t>Los jueces son independientes respecto:</w:t>
      </w:r>
    </w:p>
    <w:p>
      <w:pPr>
        <w:pStyle w:val="ListBullet"/>
      </w:pPr>
      <w:r>
        <w:rPr>
          <w:rFonts w:ascii="Arial" w:hAnsi="Arial" w:cs="Arial"/>
          <w:sz w:val="22"/>
        </w:rPr>
        <w:t>del Gobierno y la Administración;</w:t>
      </w:r>
    </w:p>
    <w:p>
      <w:pPr>
        <w:pStyle w:val="ListBullet"/>
      </w:pPr>
      <w:r>
        <w:rPr>
          <w:rFonts w:ascii="Arial" w:hAnsi="Arial" w:cs="Arial"/>
          <w:sz w:val="22"/>
        </w:rPr>
        <w:t>de las Cortes;</w:t>
      </w:r>
    </w:p>
    <w:p>
      <w:pPr>
        <w:pStyle w:val="ListBullet"/>
      </w:pPr>
      <w:r>
        <w:rPr>
          <w:rFonts w:ascii="Arial" w:hAnsi="Arial" w:cs="Arial"/>
          <w:sz w:val="22"/>
        </w:rPr>
        <w:t>de partidos, grupos económicos y medios;</w:t>
      </w:r>
    </w:p>
    <w:p>
      <w:pPr>
        <w:pStyle w:val="ListBullet"/>
      </w:pPr>
      <w:r>
        <w:rPr>
          <w:rFonts w:ascii="Arial" w:hAnsi="Arial" w:cs="Arial"/>
          <w:sz w:val="22"/>
        </w:rPr>
        <w:t>de las partes;</w:t>
      </w:r>
    </w:p>
    <w:p>
      <w:pPr>
        <w:pStyle w:val="ListBullet"/>
      </w:pPr>
      <w:r>
        <w:rPr>
          <w:rFonts w:ascii="Arial" w:hAnsi="Arial" w:cs="Arial"/>
          <w:sz w:val="22"/>
        </w:rPr>
        <w:t>de otros jueces y órganos de gobierno judicial en lo estrictamente jurisdiccional.</w:t>
      </w:r>
    </w:p>
    <w:p>
      <w:pPr>
        <w:jc w:val="both"/>
      </w:pPr>
      <w:r>
        <w:rPr>
          <w:rFonts w:ascii="Arial" w:hAnsi="Arial" w:cs="Arial"/>
          <w:sz w:val="22"/>
        </w:rPr>
        <w:t>Los órganos superiores pueden corregir una resolución solo mediante los recursos legalmente previstos. No pueden dirigir instrucciones generales o particulares sobre cómo interpretar o aplicar el Derecho en un proceso concreto.</w:t>
      </w:r>
    </w:p>
    <w:p>
      <w:pPr>
        <w:jc w:val="both"/>
      </w:pPr>
      <w:r>
        <w:rPr>
          <w:rFonts w:ascii="Arial" w:hAnsi="Arial" w:cs="Arial"/>
          <w:sz w:val="22"/>
        </w:rPr>
        <w:t>La LOPJ prohíbe a los órganos de gobierno dictar instrucciones de carácter general o particular dirigidas a sus inferiores sobre la aplicación o interpretación del ordenamiento en el ejercicio jurisdiccional. Las funciones gubernativas —reparto, inspección, organización— no autorizan a condicionar una sentencia.</w:t>
      </w:r>
    </w:p>
    <w:p>
      <w:pPr>
        <w:jc w:val="both"/>
      </w:pPr>
      <w:r>
        <w:rPr>
          <w:rFonts w:ascii="Arial" w:hAnsi="Arial" w:cs="Arial"/>
          <w:sz w:val="22"/>
        </w:rPr>
        <w:t>La independencia se protege mediante:</w:t>
      </w:r>
    </w:p>
    <w:p>
      <w:pPr>
        <w:pStyle w:val="ListBullet"/>
      </w:pPr>
      <w:r>
        <w:rPr>
          <w:rFonts w:ascii="Arial" w:hAnsi="Arial" w:cs="Arial"/>
          <w:sz w:val="22"/>
        </w:rPr>
        <w:t>reserva de ley orgánica del estatuto judicial;</w:t>
      </w:r>
    </w:p>
    <w:p>
      <w:pPr>
        <w:pStyle w:val="ListBullet"/>
      </w:pPr>
      <w:r>
        <w:rPr>
          <w:rFonts w:ascii="Arial" w:hAnsi="Arial" w:cs="Arial"/>
          <w:sz w:val="22"/>
        </w:rPr>
        <w:t>inamovilidad;</w:t>
      </w:r>
    </w:p>
    <w:p>
      <w:pPr>
        <w:pStyle w:val="ListBullet"/>
      </w:pPr>
      <w:r>
        <w:rPr>
          <w:rFonts w:ascii="Arial" w:hAnsi="Arial" w:cs="Arial"/>
          <w:sz w:val="22"/>
        </w:rPr>
        <w:t>régimen de incompatibilidades;</w:t>
      </w:r>
    </w:p>
    <w:p>
      <w:pPr>
        <w:pStyle w:val="ListBullet"/>
      </w:pPr>
      <w:r>
        <w:rPr>
          <w:rFonts w:ascii="Arial" w:hAnsi="Arial" w:cs="Arial"/>
          <w:sz w:val="22"/>
        </w:rPr>
        <w:t>prohibición de instrucciones;</w:t>
      </w:r>
    </w:p>
    <w:p>
      <w:pPr>
        <w:pStyle w:val="ListBullet"/>
      </w:pPr>
      <w:r>
        <w:rPr>
          <w:rFonts w:ascii="Arial" w:hAnsi="Arial" w:cs="Arial"/>
          <w:sz w:val="22"/>
        </w:rPr>
        <w:t>predeterminación legal del órgano competente;</w:t>
      </w:r>
    </w:p>
    <w:p>
      <w:pPr>
        <w:pStyle w:val="ListBullet"/>
      </w:pPr>
      <w:r>
        <w:rPr>
          <w:rFonts w:ascii="Arial" w:hAnsi="Arial" w:cs="Arial"/>
          <w:sz w:val="22"/>
        </w:rPr>
        <w:t>selección y carrera conforme a mérito y capacidad;</w:t>
      </w:r>
    </w:p>
    <w:p>
      <w:pPr>
        <w:pStyle w:val="ListBullet"/>
      </w:pPr>
      <w:r>
        <w:rPr>
          <w:rFonts w:ascii="Arial" w:hAnsi="Arial" w:cs="Arial"/>
          <w:sz w:val="22"/>
        </w:rPr>
        <w:t>gobierno judicial por el CGPJ;</w:t>
      </w:r>
    </w:p>
    <w:p>
      <w:pPr>
        <w:pStyle w:val="ListBullet"/>
      </w:pPr>
      <w:r>
        <w:rPr>
          <w:rFonts w:ascii="Arial" w:hAnsi="Arial" w:cs="Arial"/>
          <w:sz w:val="22"/>
        </w:rPr>
        <w:t>responsabilidad con procedimientos y garantías.</w:t>
      </w:r>
    </w:p>
    <w:p>
      <w:pPr>
        <w:pStyle w:val="Heading2"/>
        <w:keepNext/>
      </w:pPr>
      <w:r>
        <w:rPr>
          <w:rFonts w:ascii="Arial" w:hAnsi="Arial" w:cs="Arial"/>
          <w:sz w:val="25"/>
        </w:rPr>
        <w:t>2.2. Inamovilidad</w:t>
      </w:r>
    </w:p>
    <w:p>
      <w:pPr>
        <w:jc w:val="both"/>
      </w:pPr>
      <w:r>
        <w:rPr>
          <w:rFonts w:ascii="Arial" w:hAnsi="Arial" w:cs="Arial"/>
          <w:sz w:val="22"/>
        </w:rPr>
        <w:t>Jueces y magistrados no pueden ser separados, suspendidos, trasladados ni jubilados salvo por las causas y con las garantías previstas en la ley.</w:t>
      </w:r>
    </w:p>
    <w:p>
      <w:pPr>
        <w:jc w:val="both"/>
      </w:pPr>
      <w:r>
        <w:rPr>
          <w:rFonts w:ascii="Arial" w:hAnsi="Arial" w:cs="Arial"/>
          <w:sz w:val="22"/>
        </w:rPr>
        <w:t>La inamovilidad no significa permanencia absoluta en cualquier destino ni imposibilidad de sanción. Impide apartar arbitrariamente a un juez por el contenido de sus decisiones y exige causa legal y procedimiento.</w:t>
      </w:r>
    </w:p>
    <w:p>
      <w:pPr>
        <w:pStyle w:val="Heading2"/>
        <w:keepNext/>
      </w:pPr>
      <w:r>
        <w:rPr>
          <w:rFonts w:ascii="Arial" w:hAnsi="Arial" w:cs="Arial"/>
          <w:sz w:val="25"/>
        </w:rPr>
        <w:t>2.3. Responsabilidad</w:t>
      </w:r>
    </w:p>
    <w:p>
      <w:pPr>
        <w:jc w:val="both"/>
      </w:pPr>
      <w:r>
        <w:rPr>
          <w:rFonts w:ascii="Arial" w:hAnsi="Arial" w:cs="Arial"/>
          <w:sz w:val="22"/>
        </w:rPr>
        <w:t>La Constitución califica a los jueces como responsables. Su responsabilidad puede ser:</w:t>
      </w:r>
    </w:p>
    <w:p>
      <w:pPr>
        <w:pStyle w:val="ListBullet"/>
      </w:pPr>
      <w:r>
        <w:rPr>
          <w:rFonts w:ascii="Arial" w:hAnsi="Arial" w:cs="Arial"/>
          <w:b/>
          <w:sz w:val="22"/>
        </w:rPr>
        <w:t>penal</w:t>
      </w:r>
      <w:r>
        <w:rPr>
          <w:rFonts w:ascii="Arial" w:hAnsi="Arial" w:cs="Arial"/>
          <w:sz w:val="22"/>
        </w:rPr>
        <w:t>, por delitos cometidos;</w:t>
      </w:r>
    </w:p>
    <w:p>
      <w:pPr>
        <w:pStyle w:val="ListBullet"/>
      </w:pPr>
      <w:r>
        <w:rPr>
          <w:rFonts w:ascii="Arial" w:hAnsi="Arial" w:cs="Arial"/>
          <w:b/>
          <w:sz w:val="22"/>
        </w:rPr>
        <w:t>disciplinaria</w:t>
      </w:r>
      <w:r>
        <w:rPr>
          <w:rFonts w:ascii="Arial" w:hAnsi="Arial" w:cs="Arial"/>
          <w:sz w:val="22"/>
        </w:rPr>
        <w:t>, por infracciones del estatuto judicial;</w:t>
      </w:r>
    </w:p>
    <w:p>
      <w:pPr>
        <w:pStyle w:val="ListBullet"/>
      </w:pPr>
      <w:r>
        <w:rPr>
          <w:rFonts w:ascii="Arial" w:hAnsi="Arial" w:cs="Arial"/>
          <w:sz w:val="22"/>
        </w:rPr>
        <w:t>patrimonial del Estado por error judicial o funcionamiento anormal, sin perjuicio de los mecanismos legales de repetición cuando procedan.</w:t>
      </w:r>
    </w:p>
    <w:p>
      <w:pPr>
        <w:jc w:val="both"/>
      </w:pPr>
      <w:r>
        <w:rPr>
          <w:rFonts w:ascii="Arial" w:hAnsi="Arial" w:cs="Arial"/>
          <w:sz w:val="22"/>
        </w:rPr>
        <w:t>El artículo 121 establece que los daños por error judicial y funcionamiento anormal de la Administración de Justicia dan derecho a indemnización a cargo del Estado conforme a la ley.</w:t>
      </w:r>
    </w:p>
    <w:p>
      <w:pPr>
        <w:jc w:val="both"/>
      </w:pPr>
      <w:r>
        <w:rPr>
          <w:rFonts w:ascii="Arial" w:hAnsi="Arial" w:cs="Arial"/>
          <w:sz w:val="22"/>
        </w:rPr>
        <w:t>Responsabilidad judicial no equivale a revisar una sentencia fuera del sistema de recursos ni permite sancionar a un juez simplemente porque una resolución sea revocada.</w:t>
      </w:r>
    </w:p>
    <w:p>
      <w:pPr>
        <w:pStyle w:val="Heading2"/>
        <w:keepNext/>
      </w:pPr>
      <w:r>
        <w:rPr>
          <w:rFonts w:ascii="Arial" w:hAnsi="Arial" w:cs="Arial"/>
          <w:sz w:val="25"/>
        </w:rPr>
        <w:t>2.4. Sometimiento a la Constitución y a la ley</w:t>
      </w:r>
    </w:p>
    <w:p>
      <w:pPr>
        <w:jc w:val="both"/>
      </w:pPr>
      <w:r>
        <w:rPr>
          <w:rFonts w:ascii="Arial" w:hAnsi="Arial" w:cs="Arial"/>
          <w:sz w:val="22"/>
        </w:rPr>
        <w:t>La LOPJ precisa que los jueces están sometidos a la Constitución y al imperio de la ley. La Constitución es la norma suprema y vincula a todos los órganos judiciales. Estos interpretan las leyes y reglamentos conforme a sus preceptos y a la interpretación del Tribunal Constitucional.</w:t>
      </w:r>
    </w:p>
    <w:p>
      <w:pPr>
        <w:jc w:val="both"/>
      </w:pPr>
      <w:r>
        <w:rPr>
          <w:rFonts w:ascii="Arial" w:hAnsi="Arial" w:cs="Arial"/>
          <w:sz w:val="22"/>
        </w:rPr>
        <w:t>Si un órgano considera que una ley aplicable y decisiva puede ser inconstitucional y no es posible interpretarla conforme a la Constitución, plantea cuestión de inconstitucionalidad. No puede dejar de aplicar por sí mismo una ley vigente como si fuera un reglamento.</w:t>
      </w:r>
    </w:p>
    <w:p>
      <w:pPr>
        <w:jc w:val="both"/>
      </w:pPr>
      <w:r>
        <w:rPr>
          <w:rFonts w:ascii="Arial" w:hAnsi="Arial" w:cs="Arial"/>
          <w:sz w:val="22"/>
        </w:rPr>
        <w:t>En cambio, jueces y tribunales no aplicarán reglamentos u otras disposiciones contrarios a la Constitución, la ley o la jerarquía normativa. También aplican el Derecho de la Unión conforme a la jurisprudencia del Tribunal de Justicia de la Unión Europea y pueden o deben plantear cuestión prejudicial en los términos correspondientes.</w:t>
      </w:r>
    </w:p>
    <w:p>
      <w:pPr>
        <w:pStyle w:val="Heading2"/>
        <w:keepNext/>
      </w:pPr>
      <w:r>
        <w:rPr>
          <w:rFonts w:ascii="Arial" w:hAnsi="Arial" w:cs="Arial"/>
          <w:sz w:val="25"/>
        </w:rPr>
        <w:t>2.5. Exclusividad jurisdiccional</w:t>
      </w:r>
    </w:p>
    <w:p>
      <w:pPr>
        <w:jc w:val="both"/>
      </w:pPr>
      <w:r>
        <w:rPr>
          <w:rFonts w:ascii="Arial" w:hAnsi="Arial" w:cs="Arial"/>
          <w:sz w:val="22"/>
        </w:rPr>
        <w:t>La exclusividad tiene dos dimensiones:</w:t>
      </w:r>
    </w:p>
    <w:p>
      <w:pPr>
        <w:spacing w:after="40"/>
        <w:ind w:left="369" w:hanging="227"/>
      </w:pPr>
      <w:r>
        <w:rPr>
          <w:rFonts w:ascii="Arial" w:hAnsi="Arial" w:cs="Arial"/>
          <w:sz w:val="22"/>
        </w:rPr>
        <w:t xml:space="preserve">1. </w:t>
      </w:r>
      <w:r>
        <w:rPr>
          <w:rFonts w:ascii="Arial" w:hAnsi="Arial" w:cs="Arial"/>
          <w:b/>
          <w:sz w:val="22"/>
        </w:rPr>
        <w:t>positiva</w:t>
      </w:r>
      <w:r>
        <w:rPr>
          <w:rFonts w:ascii="Arial" w:hAnsi="Arial" w:cs="Arial"/>
          <w:sz w:val="22"/>
        </w:rPr>
        <w:t>: solo los órganos judiciales juzgan y hacen ejecutar lo juzgado;</w:t>
      </w:r>
    </w:p>
    <w:p>
      <w:pPr>
        <w:spacing w:after="40"/>
        <w:ind w:left="369" w:hanging="227"/>
      </w:pPr>
      <w:r>
        <w:rPr>
          <w:rFonts w:ascii="Arial" w:hAnsi="Arial" w:cs="Arial"/>
          <w:sz w:val="22"/>
        </w:rPr>
        <w:t xml:space="preserve">2. </w:t>
      </w:r>
      <w:r>
        <w:rPr>
          <w:rFonts w:ascii="Arial" w:hAnsi="Arial" w:cs="Arial"/>
          <w:b/>
          <w:sz w:val="22"/>
        </w:rPr>
        <w:t>negativa</w:t>
      </w:r>
      <w:r>
        <w:rPr>
          <w:rFonts w:ascii="Arial" w:hAnsi="Arial" w:cs="Arial"/>
          <w:sz w:val="22"/>
        </w:rPr>
        <w:t>: los órganos judiciales no ejercen más funciones que las jurisdiccionales y las que la ley les atribuya expresamente en garantía de derechos.</w:t>
      </w:r>
    </w:p>
    <w:p>
      <w:pPr>
        <w:jc w:val="both"/>
      </w:pPr>
      <w:r>
        <w:rPr>
          <w:rFonts w:ascii="Arial" w:hAnsi="Arial" w:cs="Arial"/>
          <w:sz w:val="22"/>
        </w:rPr>
        <w:t>Una Administración puede sancionar, resolver reclamaciones o ejecutar sus actos, pero sus decisiones están sometidas a control judicial. No ejerce por ello la potestad jurisdiccional del artículo 117.3.</w:t>
      </w:r>
    </w:p>
    <w:p>
      <w:pPr>
        <w:jc w:val="both"/>
      </w:pPr>
      <w:r>
        <w:rPr>
          <w:rFonts w:ascii="Arial" w:hAnsi="Arial" w:cs="Arial"/>
          <w:sz w:val="22"/>
        </w:rPr>
        <w:t>La atribución excepcional de otras funciones a jueces debe estar prevista por ley y conectada con la garantía de derechos. La fórmula evita que el Poder Judicial se convierta en Administración general.</w:t>
      </w:r>
    </w:p>
    <w:p>
      <w:pPr>
        <w:pStyle w:val="Heading2"/>
        <w:keepNext/>
      </w:pPr>
      <w:r>
        <w:rPr>
          <w:rFonts w:ascii="Arial" w:hAnsi="Arial" w:cs="Arial"/>
          <w:sz w:val="25"/>
        </w:rPr>
        <w:t>2.6. Juez ordinario predeterminado por la ley</w:t>
      </w:r>
    </w:p>
    <w:p>
      <w:pPr>
        <w:jc w:val="both"/>
      </w:pPr>
      <w:r>
        <w:rPr>
          <w:rFonts w:ascii="Arial" w:hAnsi="Arial" w:cs="Arial"/>
          <w:sz w:val="22"/>
        </w:rPr>
        <w:t>El artículo 24.2 reconoce el derecho al juez ordinario predeterminado por la ley. Exige que el órgano, su competencia y las reglas fundamentales de reparto estén establecidos con anterioridad y mediante normas objetivas. Se opone a crear un tribunal específico para juzgar un caso ya surgido.</w:t>
      </w:r>
    </w:p>
    <w:p>
      <w:pPr>
        <w:jc w:val="both"/>
      </w:pPr>
      <w:r>
        <w:rPr>
          <w:rFonts w:ascii="Arial" w:hAnsi="Arial" w:cs="Arial"/>
          <w:sz w:val="22"/>
        </w:rPr>
        <w:t>Este principio se relaciona con la prohibición constitucional de los tribunales de excepción. La especialización previa por materia —mercantil, violencia sobre la mujer, menores— no es un tribunal de excepción cuando se crea por ley y con competencia general y objetiva.</w:t>
      </w:r>
    </w:p>
    <w:p>
      <w:pPr>
        <w:pStyle w:val="Heading2"/>
        <w:keepNext/>
      </w:pPr>
      <w:r>
        <w:rPr>
          <w:rFonts w:ascii="Arial" w:hAnsi="Arial" w:cs="Arial"/>
          <w:sz w:val="25"/>
        </w:rPr>
        <w:t>2.7. Colaboración y cumplimiento</w:t>
      </w:r>
    </w:p>
    <w:p>
      <w:pPr>
        <w:jc w:val="both"/>
      </w:pPr>
      <w:r>
        <w:rPr>
          <w:rFonts w:ascii="Arial" w:hAnsi="Arial" w:cs="Arial"/>
          <w:sz w:val="22"/>
        </w:rPr>
        <w:t>El artículo 118 obliga:</w:t>
      </w:r>
    </w:p>
    <w:p>
      <w:pPr>
        <w:pStyle w:val="ListBullet"/>
      </w:pPr>
      <w:r>
        <w:rPr>
          <w:rFonts w:ascii="Arial" w:hAnsi="Arial" w:cs="Arial"/>
          <w:sz w:val="22"/>
        </w:rPr>
        <w:t>a cumplir las sentencias y demás resoluciones firmes;</w:t>
      </w:r>
    </w:p>
    <w:p>
      <w:pPr>
        <w:pStyle w:val="ListBullet"/>
      </w:pPr>
      <w:r>
        <w:rPr>
          <w:rFonts w:ascii="Arial" w:hAnsi="Arial" w:cs="Arial"/>
          <w:sz w:val="22"/>
        </w:rPr>
        <w:t>a prestar la colaboración requerida por jueces y tribunales durante el proceso y en la ejecución.</w:t>
      </w:r>
    </w:p>
    <w:p>
      <w:pPr>
        <w:jc w:val="both"/>
      </w:pPr>
      <w:r>
        <w:rPr>
          <w:rFonts w:ascii="Arial" w:hAnsi="Arial" w:cs="Arial"/>
          <w:sz w:val="22"/>
        </w:rPr>
        <w:t>La obligación alcanza a particulares y poderes públicos. La Administración no puede desobedecer una sentencia firme por discrepar de ella.</w:t>
      </w:r>
    </w:p>
    <w:p>
      <w:pPr>
        <w:pStyle w:val="Heading2"/>
        <w:keepNext/>
      </w:pPr>
      <w:r>
        <w:rPr>
          <w:rFonts w:ascii="Arial" w:hAnsi="Arial" w:cs="Arial"/>
          <w:sz w:val="25"/>
        </w:rPr>
        <w:t>2.8. Gratuidad</w:t>
      </w:r>
    </w:p>
    <w:p>
      <w:pPr>
        <w:jc w:val="both"/>
      </w:pPr>
      <w:r>
        <w:rPr>
          <w:rFonts w:ascii="Arial" w:hAnsi="Arial" w:cs="Arial"/>
          <w:sz w:val="22"/>
        </w:rPr>
        <w:t>La justicia es gratuita cuando la ley lo disponga y, en todo caso, para quienes acrediten insuficiencia de recursos para litigar. La Constitución no declara que todo proceso sea siempre gratuito para toda persona.</w:t>
      </w:r>
    </w:p>
    <w:p>
      <w:pPr>
        <w:jc w:val="both"/>
      </w:pPr>
      <w:r>
        <w:rPr>
          <w:rFonts w:ascii="Arial" w:hAnsi="Arial" w:cs="Arial"/>
          <w:sz w:val="22"/>
        </w:rPr>
        <w:t>La asistencia jurídica gratuita se desarrolla legalmente e incluye, cuando se reconocen sus requisitos, prestaciones como asesoramiento, defensa y representación.</w:t>
      </w:r>
    </w:p>
    <w:p>
      <w:pPr>
        <w:pStyle w:val="Heading2"/>
        <w:keepNext/>
      </w:pPr>
      <w:r>
        <w:rPr>
          <w:rFonts w:ascii="Arial" w:hAnsi="Arial" w:cs="Arial"/>
          <w:sz w:val="25"/>
        </w:rPr>
        <w:t>2.9. Publicidad, oralidad y motivación</w:t>
      </w:r>
    </w:p>
    <w:p>
      <w:pPr>
        <w:jc w:val="both"/>
      </w:pPr>
      <w:r>
        <w:rPr>
          <w:rFonts w:ascii="Arial" w:hAnsi="Arial" w:cs="Arial"/>
          <w:sz w:val="22"/>
        </w:rPr>
        <w:t>Según el artículo 120:</w:t>
      </w:r>
    </w:p>
    <w:p>
      <w:pPr>
        <w:pStyle w:val="ListBullet"/>
      </w:pPr>
      <w:r>
        <w:rPr>
          <w:rFonts w:ascii="Arial" w:hAnsi="Arial" w:cs="Arial"/>
          <w:sz w:val="22"/>
        </w:rPr>
        <w:t>las actuaciones judiciales son públicas, con las excepciones previstas en las leyes procesales;</w:t>
      </w:r>
    </w:p>
    <w:p>
      <w:pPr>
        <w:pStyle w:val="ListBullet"/>
      </w:pPr>
      <w:r>
        <w:rPr>
          <w:rFonts w:ascii="Arial" w:hAnsi="Arial" w:cs="Arial"/>
          <w:sz w:val="22"/>
        </w:rPr>
        <w:t>el procedimiento es predominantemente oral, especialmente en materia criminal;</w:t>
      </w:r>
    </w:p>
    <w:p>
      <w:pPr>
        <w:pStyle w:val="ListBullet"/>
      </w:pPr>
      <w:r>
        <w:rPr>
          <w:rFonts w:ascii="Arial" w:hAnsi="Arial" w:cs="Arial"/>
          <w:sz w:val="22"/>
        </w:rPr>
        <w:t>las sentencias son siempre motivadas;</w:t>
      </w:r>
    </w:p>
    <w:p>
      <w:pPr>
        <w:pStyle w:val="ListBullet"/>
      </w:pPr>
      <w:r>
        <w:rPr>
          <w:rFonts w:ascii="Arial" w:hAnsi="Arial" w:cs="Arial"/>
          <w:sz w:val="22"/>
        </w:rPr>
        <w:t>las sentencias se pronuncian en audiencia pública.</w:t>
      </w:r>
    </w:p>
    <w:p>
      <w:pPr>
        <w:jc w:val="both"/>
      </w:pPr>
      <w:r>
        <w:rPr>
          <w:rFonts w:ascii="Arial" w:hAnsi="Arial" w:cs="Arial"/>
          <w:sz w:val="22"/>
        </w:rPr>
        <w:t>La publicidad facilita el control social de la justicia, pero puede limitarse para proteger derechos y bienes constitucionales. La oralidad es predominante, no absoluta. La motivación permite conocer la razón jurídica de la decisión y controlar que no sea arbitraria.</w:t>
      </w:r>
    </w:p>
    <w:p>
      <w:pPr>
        <w:pStyle w:val="Heading2"/>
        <w:keepNext/>
      </w:pPr>
      <w:r>
        <w:rPr>
          <w:rFonts w:ascii="Arial" w:hAnsi="Arial" w:cs="Arial"/>
          <w:sz w:val="25"/>
        </w:rPr>
        <w:t>2.10. Participación ciudadana</w:t>
      </w:r>
    </w:p>
    <w:p>
      <w:pPr>
        <w:jc w:val="both"/>
      </w:pPr>
      <w:r>
        <w:rPr>
          <w:rFonts w:ascii="Arial" w:hAnsi="Arial" w:cs="Arial"/>
          <w:sz w:val="22"/>
        </w:rPr>
        <w:t>El artículo 125 permite que la ciudadanía:</w:t>
      </w:r>
    </w:p>
    <w:p>
      <w:pPr>
        <w:pStyle w:val="ListBullet"/>
      </w:pPr>
      <w:r>
        <w:rPr>
          <w:rFonts w:ascii="Arial" w:hAnsi="Arial" w:cs="Arial"/>
          <w:sz w:val="22"/>
        </w:rPr>
        <w:t>ejerza la acción popular;</w:t>
      </w:r>
    </w:p>
    <w:p>
      <w:pPr>
        <w:pStyle w:val="ListBullet"/>
      </w:pPr>
      <w:r>
        <w:rPr>
          <w:rFonts w:ascii="Arial" w:hAnsi="Arial" w:cs="Arial"/>
          <w:sz w:val="22"/>
        </w:rPr>
        <w:t>participe en la Administración de Justicia mediante el jurado, en los procesos penales que la ley determine;</w:t>
      </w:r>
    </w:p>
    <w:p>
      <w:pPr>
        <w:pStyle w:val="ListBullet"/>
      </w:pPr>
      <w:r>
        <w:rPr>
          <w:rFonts w:ascii="Arial" w:hAnsi="Arial" w:cs="Arial"/>
          <w:sz w:val="22"/>
        </w:rPr>
        <w:t>participe en tribunales consuetudinarios y tradicionales.</w:t>
      </w:r>
    </w:p>
    <w:p>
      <w:pPr>
        <w:jc w:val="both"/>
      </w:pPr>
      <w:r>
        <w:rPr>
          <w:rFonts w:ascii="Arial" w:hAnsi="Arial" w:cs="Arial"/>
          <w:sz w:val="22"/>
        </w:rPr>
        <w:t>No significa que cualquier proceso deba ser decidido por jurado. La ley determina su ámbito. Son ejemplos constitucionalmente reconocidos de tribunales tradicionales el Tribunal de las Aguas de la Vega Valenciana y el Consejo de Hombres Buenos de Murcia.</w:t>
      </w:r>
    </w:p>
    <w:p>
      <w:pPr>
        <w:pStyle w:val="Heading2"/>
        <w:keepNext/>
      </w:pPr>
      <w:r>
        <w:rPr>
          <w:rFonts w:ascii="Arial" w:hAnsi="Arial" w:cs="Arial"/>
          <w:sz w:val="25"/>
        </w:rPr>
        <w:t>2.11. Policía judicial</w:t>
      </w:r>
    </w:p>
    <w:p>
      <w:pPr>
        <w:jc w:val="both"/>
      </w:pPr>
      <w:r>
        <w:rPr>
          <w:rFonts w:ascii="Arial" w:hAnsi="Arial" w:cs="Arial"/>
          <w:sz w:val="22"/>
        </w:rPr>
        <w:t>La policía judicial depende de jueces, tribunales y Ministerio Fiscal en sus funciones de averiguación del delito y descubrimiento y aseguramiento del delincuente, en los términos legales.</w:t>
      </w:r>
    </w:p>
    <w:p>
      <w:pPr>
        <w:jc w:val="both"/>
      </w:pPr>
      <w:r>
        <w:rPr>
          <w:rFonts w:ascii="Arial" w:hAnsi="Arial" w:cs="Arial"/>
          <w:sz w:val="22"/>
        </w:rPr>
        <w:t>Se trata de dependencia funcional para la investigación, compatible con la dependencia orgánica de los cuerpos policiales respecto de sus Administraciones.</w:t>
      </w:r>
    </w:p>
    <w:p>
      <w:pPr>
        <w:pStyle w:val="Heading2"/>
        <w:keepNext/>
      </w:pPr>
      <w:r>
        <w:rPr>
          <w:rFonts w:ascii="Arial" w:hAnsi="Arial" w:cs="Arial"/>
          <w:sz w:val="25"/>
        </w:rPr>
        <w:t>2.12. Incompatibilidades y asociaciones judiciales</w:t>
      </w:r>
    </w:p>
    <w:p>
      <w:pPr>
        <w:jc w:val="both"/>
      </w:pPr>
      <w:r>
        <w:rPr>
          <w:rFonts w:ascii="Arial" w:hAnsi="Arial" w:cs="Arial"/>
          <w:sz w:val="22"/>
        </w:rPr>
        <w:t>Jueces, magistrados y fiscales en activo no pueden:</w:t>
      </w:r>
    </w:p>
    <w:p>
      <w:pPr>
        <w:pStyle w:val="ListBullet"/>
      </w:pPr>
      <w:r>
        <w:rPr>
          <w:rFonts w:ascii="Arial" w:hAnsi="Arial" w:cs="Arial"/>
          <w:sz w:val="22"/>
        </w:rPr>
        <w:t>desempeñar otros cargos públicos;</w:t>
      </w:r>
    </w:p>
    <w:p>
      <w:pPr>
        <w:pStyle w:val="ListBullet"/>
      </w:pPr>
      <w:r>
        <w:rPr>
          <w:rFonts w:ascii="Arial" w:hAnsi="Arial" w:cs="Arial"/>
          <w:sz w:val="22"/>
        </w:rPr>
        <w:t>pertenecer a partidos políticos o sindicatos.</w:t>
      </w:r>
    </w:p>
    <w:p>
      <w:pPr>
        <w:jc w:val="both"/>
      </w:pPr>
      <w:r>
        <w:rPr>
          <w:rFonts w:ascii="Arial" w:hAnsi="Arial" w:cs="Arial"/>
          <w:sz w:val="22"/>
        </w:rPr>
        <w:t>La ley establece el sistema y modalidades de asociación profesional de jueces, magistrados y fiscales. Las asociaciones judiciales no son sindicatos ni partidos.</w:t>
      </w:r>
    </w:p>
    <w:p>
      <w:pPr>
        <w:pStyle w:val="Heading1"/>
        <w:keepNext/>
      </w:pPr>
      <w:r>
        <w:rPr>
          <w:rFonts w:ascii="Arial" w:hAnsi="Arial" w:cs="Arial"/>
          <w:sz w:val="30"/>
        </w:rPr>
        <w:t>3. El principio de unidad jurisdiccional</w:t>
      </w:r>
    </w:p>
    <w:p>
      <w:pPr>
        <w:pStyle w:val="Heading2"/>
        <w:keepNext/>
      </w:pPr>
      <w:r>
        <w:rPr>
          <w:rFonts w:ascii="Arial" w:hAnsi="Arial" w:cs="Arial"/>
          <w:sz w:val="25"/>
        </w:rPr>
        <w:t>3.1. Contenido constitucional</w:t>
      </w:r>
    </w:p>
    <w:p>
      <w:pPr>
        <w:jc w:val="both"/>
      </w:pPr>
      <w:r>
        <w:rPr>
          <w:rFonts w:ascii="Arial" w:hAnsi="Arial" w:cs="Arial"/>
          <w:sz w:val="22"/>
        </w:rPr>
        <w:t xml:space="preserve">El artículo 117.5 afirma: </w:t>
      </w:r>
      <w:r>
        <w:rPr>
          <w:rFonts w:ascii="Arial" w:hAnsi="Arial" w:cs="Arial"/>
          <w:b/>
          <w:sz w:val="22"/>
        </w:rPr>
        <w:t>el principio de unidad jurisdiccional es la base de la organización y funcionamiento de los tribunales</w:t>
      </w:r>
      <w:r>
        <w:rPr>
          <w:rFonts w:ascii="Arial" w:hAnsi="Arial" w:cs="Arial"/>
          <w:sz w:val="22"/>
        </w:rPr>
        <w:t>.</w:t>
      </w:r>
    </w:p>
    <w:p>
      <w:pPr>
        <w:jc w:val="both"/>
      </w:pPr>
      <w:r>
        <w:rPr>
          <w:rFonts w:ascii="Arial" w:hAnsi="Arial" w:cs="Arial"/>
          <w:sz w:val="22"/>
        </w:rPr>
        <w:t>La LOPJ lo desarrolla al declarar que la jurisdicción es única y se ejerce por los jueces, juezas y tribunales previstos en ella, sin perjuicio de potestades jurisdiccionales que la Constitución reconozca a otros órganos.</w:t>
      </w:r>
    </w:p>
    <w:p>
      <w:pPr>
        <w:jc w:val="both"/>
      </w:pPr>
      <w:r>
        <w:rPr>
          <w:rFonts w:ascii="Arial" w:hAnsi="Arial" w:cs="Arial"/>
          <w:sz w:val="22"/>
        </w:rPr>
        <w:t>La jurisdicción se extiende a:</w:t>
      </w:r>
    </w:p>
    <w:p>
      <w:pPr>
        <w:pStyle w:val="ListBullet"/>
      </w:pPr>
      <w:r>
        <w:rPr>
          <w:rFonts w:ascii="Arial" w:hAnsi="Arial" w:cs="Arial"/>
          <w:sz w:val="22"/>
        </w:rPr>
        <w:t>todas las personas;</w:t>
      </w:r>
    </w:p>
    <w:p>
      <w:pPr>
        <w:pStyle w:val="ListBullet"/>
      </w:pPr>
      <w:r>
        <w:rPr>
          <w:rFonts w:ascii="Arial" w:hAnsi="Arial" w:cs="Arial"/>
          <w:sz w:val="22"/>
        </w:rPr>
        <w:t>todas las materias;</w:t>
      </w:r>
    </w:p>
    <w:p>
      <w:pPr>
        <w:pStyle w:val="ListBullet"/>
      </w:pPr>
      <w:r>
        <w:rPr>
          <w:rFonts w:ascii="Arial" w:hAnsi="Arial" w:cs="Arial"/>
          <w:sz w:val="22"/>
        </w:rPr>
        <w:t>todo el territorio español;</w:t>
      </w:r>
    </w:p>
    <w:p>
      <w:pPr>
        <w:jc w:val="both"/>
      </w:pPr>
      <w:r>
        <w:rPr>
          <w:rFonts w:ascii="Arial" w:hAnsi="Arial" w:cs="Arial"/>
          <w:sz w:val="22"/>
        </w:rPr>
        <w:t>en la forma establecida por la Constitución y las leyes.</w:t>
      </w:r>
    </w:p>
    <w:p>
      <w:pPr>
        <w:pStyle w:val="Heading2"/>
        <w:keepNext/>
      </w:pPr>
      <w:r>
        <w:rPr>
          <w:rFonts w:ascii="Arial" w:hAnsi="Arial" w:cs="Arial"/>
          <w:sz w:val="25"/>
        </w:rPr>
        <w:t>3.2. Manifestaciones de la unidad</w:t>
      </w:r>
    </w:p>
    <w:p>
      <w:pPr>
        <w:jc w:val="both"/>
      </w:pPr>
      <w:r>
        <w:rPr>
          <w:rFonts w:ascii="Arial" w:hAnsi="Arial" w:cs="Arial"/>
          <w:sz w:val="22"/>
        </w:rPr>
        <w:t>La unidad supone:</w:t>
      </w:r>
    </w:p>
    <w:p>
      <w:pPr>
        <w:spacing w:after="40"/>
        <w:ind w:left="369" w:hanging="227"/>
      </w:pPr>
      <w:r>
        <w:rPr>
          <w:rFonts w:ascii="Arial" w:hAnsi="Arial" w:cs="Arial"/>
          <w:sz w:val="22"/>
        </w:rPr>
        <w:t>1. un único Poder Judicial estatal;</w:t>
      </w:r>
    </w:p>
    <w:p>
      <w:pPr>
        <w:spacing w:after="40"/>
        <w:ind w:left="369" w:hanging="227"/>
      </w:pPr>
      <w:r>
        <w:rPr>
          <w:rFonts w:ascii="Arial" w:hAnsi="Arial" w:cs="Arial"/>
          <w:sz w:val="22"/>
        </w:rPr>
        <w:t>2. un cuerpo único de jueces y magistrados de carrera;</w:t>
      </w:r>
    </w:p>
    <w:p>
      <w:pPr>
        <w:spacing w:after="40"/>
        <w:ind w:left="369" w:hanging="227"/>
      </w:pPr>
      <w:r>
        <w:rPr>
          <w:rFonts w:ascii="Arial" w:hAnsi="Arial" w:cs="Arial"/>
          <w:sz w:val="22"/>
        </w:rPr>
        <w:t>3. una ley orgánica común para estatuto, organización y gobierno;</w:t>
      </w:r>
    </w:p>
    <w:p>
      <w:pPr>
        <w:spacing w:after="40"/>
        <w:ind w:left="369" w:hanging="227"/>
      </w:pPr>
      <w:r>
        <w:rPr>
          <w:rFonts w:ascii="Arial" w:hAnsi="Arial" w:cs="Arial"/>
          <w:sz w:val="22"/>
        </w:rPr>
        <w:t>4. un órgano de gobierno general, el CGPJ;</w:t>
      </w:r>
    </w:p>
    <w:p>
      <w:pPr>
        <w:spacing w:after="40"/>
        <w:ind w:left="369" w:hanging="227"/>
      </w:pPr>
      <w:r>
        <w:rPr>
          <w:rFonts w:ascii="Arial" w:hAnsi="Arial" w:cs="Arial"/>
          <w:sz w:val="22"/>
        </w:rPr>
        <w:t>5. un Tribunal Supremo con jurisdicción en toda España, superior en todos los órdenes salvo garantías constitucionales;</w:t>
      </w:r>
    </w:p>
    <w:p>
      <w:pPr>
        <w:spacing w:after="40"/>
        <w:ind w:left="369" w:hanging="227"/>
      </w:pPr>
      <w:r>
        <w:rPr>
          <w:rFonts w:ascii="Arial" w:hAnsi="Arial" w:cs="Arial"/>
          <w:sz w:val="22"/>
        </w:rPr>
        <w:t>6. prohibición de tribunales de excepción;</w:t>
      </w:r>
    </w:p>
    <w:p>
      <w:pPr>
        <w:spacing w:after="40"/>
        <w:ind w:left="369" w:hanging="227"/>
      </w:pPr>
      <w:r>
        <w:rPr>
          <w:rFonts w:ascii="Arial" w:hAnsi="Arial" w:cs="Arial"/>
          <w:sz w:val="22"/>
        </w:rPr>
        <w:t>7. integración de la jurisdicción militar en el Poder Judicial del Estado.</w:t>
      </w:r>
    </w:p>
    <w:p>
      <w:pPr>
        <w:jc w:val="both"/>
      </w:pPr>
      <w:r>
        <w:rPr>
          <w:rFonts w:ascii="Arial" w:hAnsi="Arial" w:cs="Arial"/>
          <w:sz w:val="22"/>
        </w:rPr>
        <w:t xml:space="preserve">Las Comunidades Autónomas no poseen un poder judicial propio equivalente al legislativo o ejecutivo autonómico. Los Tribunales Superiores de Justicia culminan la organización judicial </w:t>
      </w:r>
      <w:r>
        <w:rPr>
          <w:rFonts w:ascii="Arial" w:hAnsi="Arial" w:cs="Arial"/>
          <w:b/>
          <w:sz w:val="22"/>
        </w:rPr>
        <w:t>en el territorio</w:t>
      </w:r>
      <w:r>
        <w:rPr>
          <w:rFonts w:ascii="Arial" w:hAnsi="Arial" w:cs="Arial"/>
          <w:sz w:val="22"/>
        </w:rPr>
        <w:t xml:space="preserve"> autonómico, pero forman parte del Poder Judicial único. El Tribunal Supremo mantiene la jurisdicción estatal que le corresponde.</w:t>
      </w:r>
    </w:p>
    <w:p>
      <w:pPr>
        <w:pStyle w:val="Heading2"/>
        <w:keepNext/>
      </w:pPr>
      <w:r>
        <w:rPr>
          <w:rFonts w:ascii="Arial" w:hAnsi="Arial" w:cs="Arial"/>
          <w:sz w:val="25"/>
        </w:rPr>
        <w:t>3.3. Unidad y órdenes jurisdiccionales</w:t>
      </w:r>
    </w:p>
    <w:p>
      <w:pPr>
        <w:jc w:val="both"/>
      </w:pPr>
      <w:r>
        <w:rPr>
          <w:rFonts w:ascii="Arial" w:hAnsi="Arial" w:cs="Arial"/>
          <w:sz w:val="22"/>
        </w:rPr>
        <w:t>Unidad no equivale a ausencia de especialización. La jurisdicción ordinaria se organiza principalmente en cuatro órdenes:</w:t>
      </w:r>
    </w:p>
    <w:tbl>
      <w:tblPr>
        <w:tblStyle w:val="TableGrid"/>
        <w:tblW w:type="dxa" w:w="9026"/>
        <w:jc w:val="left"/>
        <w:tblLayout w:type="fixed"/>
        <w:tblLook w:firstColumn="1" w:firstRow="1" w:lastColumn="0" w:lastRow="0" w:noHBand="0" w:noVBand="1" w:val="04A0"/>
        <w:tblInd w:w="120" w:type="dxa"/>
      </w:tblPr>
      <w:tblGrid>
        <w:gridCol w:w="2655"/>
        <w:gridCol w:w="6371"/>
      </w:tblGrid>
      <w:tr>
        <w:trPr>
          <w:tblHeader w:val="true"/>
        </w:trPr>
        <w:tc>
          <w:tcPr>
            <w:tcW w:type="dxa" w:w="265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Orden</w:t>
            </w:r>
          </w:p>
        </w:tc>
        <w:tc>
          <w:tcPr>
            <w:tcW w:type="dxa" w:w="637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Materias generales</w:t>
            </w:r>
          </w:p>
        </w:tc>
      </w:tr>
      <w:tr>
        <w:tc>
          <w:tcPr>
            <w:tcW w:type="dxa" w:w="2655"/>
            <w:tcMar>
              <w:top w:w="80" w:type="dxa"/>
              <w:start w:w="120" w:type="dxa"/>
              <w:bottom w:w="80" w:type="dxa"/>
              <w:end w:w="120" w:type="dxa"/>
            </w:tcMar>
            <w:vAlign w:val="center"/>
          </w:tcPr>
          <w:p>
            <w:pPr>
              <w:spacing w:before="0" w:after="0" w:line="240" w:lineRule="auto"/>
              <w:jc w:val="left"/>
            </w:pPr>
            <w:r/>
            <w:r>
              <w:rPr>
                <w:rFonts w:ascii="Arial" w:hAnsi="Arial" w:cs="Arial"/>
                <w:sz w:val="18"/>
              </w:rPr>
              <w:t>Civil</w:t>
            </w:r>
          </w:p>
        </w:tc>
        <w:tc>
          <w:tcPr>
            <w:tcW w:type="dxa" w:w="6371"/>
            <w:tcMar>
              <w:top w:w="80" w:type="dxa"/>
              <w:start w:w="120" w:type="dxa"/>
              <w:bottom w:w="80" w:type="dxa"/>
              <w:end w:w="120" w:type="dxa"/>
            </w:tcMar>
            <w:vAlign w:val="center"/>
          </w:tcPr>
          <w:p>
            <w:pPr>
              <w:spacing w:before="0" w:after="0" w:line="240" w:lineRule="auto"/>
              <w:jc w:val="left"/>
            </w:pPr>
            <w:r/>
            <w:r>
              <w:rPr>
                <w:rFonts w:ascii="Arial" w:hAnsi="Arial" w:cs="Arial"/>
                <w:sz w:val="18"/>
              </w:rPr>
              <w:t>Relaciones privadas y materias no atribuidas a otro orden; incluye especialidades mercantiles</w:t>
            </w:r>
          </w:p>
        </w:tc>
      </w:tr>
      <w:tr>
        <w:tc>
          <w:tcPr>
            <w:tcW w:type="dxa" w:w="2655"/>
            <w:tcMar>
              <w:top w:w="80" w:type="dxa"/>
              <w:start w:w="120" w:type="dxa"/>
              <w:bottom w:w="80" w:type="dxa"/>
              <w:end w:w="120" w:type="dxa"/>
            </w:tcMar>
            <w:vAlign w:val="center"/>
          </w:tcPr>
          <w:p>
            <w:pPr>
              <w:spacing w:before="0" w:after="0" w:line="240" w:lineRule="auto"/>
              <w:jc w:val="left"/>
            </w:pPr>
            <w:r/>
            <w:r>
              <w:rPr>
                <w:rFonts w:ascii="Arial" w:hAnsi="Arial" w:cs="Arial"/>
                <w:sz w:val="18"/>
              </w:rPr>
              <w:t>Penal</w:t>
            </w:r>
          </w:p>
        </w:tc>
        <w:tc>
          <w:tcPr>
            <w:tcW w:type="dxa" w:w="6371"/>
            <w:tcMar>
              <w:top w:w="80" w:type="dxa"/>
              <w:start w:w="120" w:type="dxa"/>
              <w:bottom w:w="80" w:type="dxa"/>
              <w:end w:w="120" w:type="dxa"/>
            </w:tcMar>
            <w:vAlign w:val="center"/>
          </w:tcPr>
          <w:p>
            <w:pPr>
              <w:spacing w:before="0" w:after="0" w:line="240" w:lineRule="auto"/>
              <w:jc w:val="left"/>
            </w:pPr>
            <w:r/>
            <w:r>
              <w:rPr>
                <w:rFonts w:ascii="Arial" w:hAnsi="Arial" w:cs="Arial"/>
                <w:sz w:val="18"/>
              </w:rPr>
              <w:t>Enjuiciamiento de delitos y ejecución penal en los términos legales</w:t>
            </w:r>
          </w:p>
        </w:tc>
      </w:tr>
      <w:tr>
        <w:tc>
          <w:tcPr>
            <w:tcW w:type="dxa" w:w="2655"/>
            <w:tcMar>
              <w:top w:w="80" w:type="dxa"/>
              <w:start w:w="120" w:type="dxa"/>
              <w:bottom w:w="80" w:type="dxa"/>
              <w:end w:w="120" w:type="dxa"/>
            </w:tcMar>
            <w:vAlign w:val="center"/>
          </w:tcPr>
          <w:p>
            <w:pPr>
              <w:spacing w:before="0" w:after="0" w:line="240" w:lineRule="auto"/>
              <w:jc w:val="left"/>
            </w:pPr>
            <w:r/>
            <w:r>
              <w:rPr>
                <w:rFonts w:ascii="Arial" w:hAnsi="Arial" w:cs="Arial"/>
                <w:sz w:val="18"/>
              </w:rPr>
              <w:t>Contencioso-administrativo</w:t>
            </w:r>
          </w:p>
        </w:tc>
        <w:tc>
          <w:tcPr>
            <w:tcW w:type="dxa" w:w="6371"/>
            <w:tcMar>
              <w:top w:w="80" w:type="dxa"/>
              <w:start w:w="120" w:type="dxa"/>
              <w:bottom w:w="80" w:type="dxa"/>
              <w:end w:w="120" w:type="dxa"/>
            </w:tcMar>
            <w:vAlign w:val="center"/>
          </w:tcPr>
          <w:p>
            <w:pPr>
              <w:spacing w:before="0" w:after="0" w:line="240" w:lineRule="auto"/>
              <w:jc w:val="left"/>
            </w:pPr>
            <w:r/>
            <w:r>
              <w:rPr>
                <w:rFonts w:ascii="Arial" w:hAnsi="Arial" w:cs="Arial"/>
                <w:sz w:val="18"/>
              </w:rPr>
              <w:t>Control de la actuación administrativa sujeta al Derecho administrativo y disposiciones generales inferiores a ley</w:t>
            </w:r>
          </w:p>
        </w:tc>
      </w:tr>
      <w:tr>
        <w:tc>
          <w:tcPr>
            <w:tcW w:type="dxa" w:w="2655"/>
            <w:tcMar>
              <w:top w:w="80" w:type="dxa"/>
              <w:start w:w="120" w:type="dxa"/>
              <w:bottom w:w="80" w:type="dxa"/>
              <w:end w:w="120" w:type="dxa"/>
            </w:tcMar>
            <w:vAlign w:val="center"/>
          </w:tcPr>
          <w:p>
            <w:pPr>
              <w:spacing w:before="0" w:after="0" w:line="240" w:lineRule="auto"/>
              <w:jc w:val="left"/>
            </w:pPr>
            <w:r/>
            <w:r>
              <w:rPr>
                <w:rFonts w:ascii="Arial" w:hAnsi="Arial" w:cs="Arial"/>
                <w:sz w:val="18"/>
              </w:rPr>
              <w:t>Social</w:t>
            </w:r>
          </w:p>
        </w:tc>
        <w:tc>
          <w:tcPr>
            <w:tcW w:type="dxa" w:w="6371"/>
            <w:tcMar>
              <w:top w:w="80" w:type="dxa"/>
              <w:start w:w="120" w:type="dxa"/>
              <w:bottom w:w="80" w:type="dxa"/>
              <w:end w:w="120" w:type="dxa"/>
            </w:tcMar>
            <w:vAlign w:val="center"/>
          </w:tcPr>
          <w:p>
            <w:pPr>
              <w:spacing w:before="0" w:after="0" w:line="240" w:lineRule="auto"/>
              <w:jc w:val="left"/>
            </w:pPr>
            <w:r/>
            <w:r>
              <w:rPr>
                <w:rFonts w:ascii="Arial" w:hAnsi="Arial" w:cs="Arial"/>
                <w:sz w:val="18"/>
              </w:rPr>
              <w:t>Relaciones laborales y Seguridad Social en los términos legales</w:t>
            </w:r>
          </w:p>
        </w:tc>
      </w:tr>
    </w:tbl>
    <w:p>
      <w:pPr>
        <w:spacing w:after="40"/>
      </w:pPr>
    </w:p>
    <w:p>
      <w:pPr>
        <w:jc w:val="both"/>
      </w:pPr>
      <w:r>
        <w:rPr>
          <w:rFonts w:ascii="Arial" w:hAnsi="Arial" w:cs="Arial"/>
          <w:sz w:val="22"/>
        </w:rPr>
        <w:t>Existe además la Sala de lo Militar del Tribunal Supremo y órganos de la jurisdicción militar conforme a su legislación específica. La división en órdenes distribuye competencias dentro de una jurisdicción única.</w:t>
      </w:r>
    </w:p>
    <w:p>
      <w:pPr>
        <w:pStyle w:val="Heading2"/>
        <w:keepNext/>
      </w:pPr>
      <w:r>
        <w:rPr>
          <w:rFonts w:ascii="Arial" w:hAnsi="Arial" w:cs="Arial"/>
          <w:sz w:val="25"/>
        </w:rPr>
        <w:t>3.4. Jurisdicción militar</w:t>
      </w:r>
    </w:p>
    <w:p>
      <w:pPr>
        <w:jc w:val="both"/>
      </w:pPr>
      <w:r>
        <w:rPr>
          <w:rFonts w:ascii="Arial" w:hAnsi="Arial" w:cs="Arial"/>
          <w:sz w:val="22"/>
        </w:rPr>
        <w:t>La Constitución admite jurisdicción militar:</w:t>
      </w:r>
    </w:p>
    <w:p>
      <w:pPr>
        <w:pStyle w:val="ListBullet"/>
      </w:pPr>
      <w:r>
        <w:rPr>
          <w:rFonts w:ascii="Arial" w:hAnsi="Arial" w:cs="Arial"/>
          <w:sz w:val="22"/>
        </w:rPr>
        <w:t>en el ámbito estrictamente castrense;</w:t>
      </w:r>
    </w:p>
    <w:p>
      <w:pPr>
        <w:pStyle w:val="ListBullet"/>
      </w:pPr>
      <w:r>
        <w:rPr>
          <w:rFonts w:ascii="Arial" w:hAnsi="Arial" w:cs="Arial"/>
          <w:sz w:val="22"/>
        </w:rPr>
        <w:t>en los supuestos de estado de sitio;</w:t>
      </w:r>
    </w:p>
    <w:p>
      <w:pPr>
        <w:pStyle w:val="ListBullet"/>
      </w:pPr>
      <w:r>
        <w:rPr>
          <w:rFonts w:ascii="Arial" w:hAnsi="Arial" w:cs="Arial"/>
          <w:sz w:val="22"/>
        </w:rPr>
        <w:t>de acuerdo con los principios constitucionales.</w:t>
      </w:r>
    </w:p>
    <w:p>
      <w:pPr>
        <w:jc w:val="both"/>
      </w:pPr>
      <w:r>
        <w:rPr>
          <w:rFonts w:ascii="Arial" w:hAnsi="Arial" w:cs="Arial"/>
          <w:sz w:val="22"/>
        </w:rPr>
        <w:t>La LOPJ la califica como integrante del Poder Judicial del Estado y sometida también a la unidad jurisdiccional. No es una jurisdicción general alternativa a la ordinaria.</w:t>
      </w:r>
    </w:p>
    <w:p>
      <w:pPr>
        <w:pStyle w:val="Heading2"/>
        <w:keepNext/>
      </w:pPr>
      <w:r>
        <w:rPr>
          <w:rFonts w:ascii="Arial" w:hAnsi="Arial" w:cs="Arial"/>
          <w:sz w:val="25"/>
        </w:rPr>
        <w:t>3.5. Otros órganos con funciones jurisdiccionales o de control</w:t>
      </w:r>
    </w:p>
    <w:p>
      <w:pPr>
        <w:jc w:val="both"/>
      </w:pPr>
      <w:r>
        <w:rPr>
          <w:rFonts w:ascii="Arial" w:hAnsi="Arial" w:cs="Arial"/>
          <w:sz w:val="22"/>
        </w:rPr>
        <w:t>No forman parte del Poder Judicial:</w:t>
      </w:r>
    </w:p>
    <w:p>
      <w:pPr>
        <w:pStyle w:val="ListBullet"/>
      </w:pPr>
      <w:r>
        <w:rPr>
          <w:rFonts w:ascii="Arial" w:hAnsi="Arial" w:cs="Arial"/>
          <w:sz w:val="22"/>
        </w:rPr>
        <w:t>el Tribunal Constitucional;</w:t>
      </w:r>
    </w:p>
    <w:p>
      <w:pPr>
        <w:pStyle w:val="ListBullet"/>
      </w:pPr>
      <w:r>
        <w:rPr>
          <w:rFonts w:ascii="Arial" w:hAnsi="Arial" w:cs="Arial"/>
          <w:sz w:val="22"/>
        </w:rPr>
        <w:t>el Tribunal de Cuentas, aunque ejerza jurisdicción contable;</w:t>
      </w:r>
    </w:p>
    <w:p>
      <w:pPr>
        <w:pStyle w:val="ListBullet"/>
      </w:pPr>
      <w:r>
        <w:rPr>
          <w:rFonts w:ascii="Arial" w:hAnsi="Arial" w:cs="Arial"/>
          <w:sz w:val="22"/>
        </w:rPr>
        <w:t>los tribunales internacionales y de la Unión Europea;</w:t>
      </w:r>
    </w:p>
    <w:p>
      <w:pPr>
        <w:pStyle w:val="ListBullet"/>
      </w:pPr>
      <w:r>
        <w:rPr>
          <w:rFonts w:ascii="Arial" w:hAnsi="Arial" w:cs="Arial"/>
          <w:sz w:val="22"/>
        </w:rPr>
        <w:t>los tribunales arbitrales.</w:t>
      </w:r>
    </w:p>
    <w:p>
      <w:pPr>
        <w:jc w:val="both"/>
      </w:pPr>
      <w:r>
        <w:rPr>
          <w:rFonts w:ascii="Arial" w:hAnsi="Arial" w:cs="Arial"/>
          <w:sz w:val="22"/>
        </w:rPr>
        <w:t xml:space="preserve">El Tribunal Constitucional es un órgano constitucional independiente, intérprete supremo de la Constitución. Por eso el Tribunal Supremo es superior en todos los órdenes </w:t>
      </w:r>
      <w:r>
        <w:rPr>
          <w:rFonts w:ascii="Arial" w:hAnsi="Arial" w:cs="Arial"/>
          <w:b/>
          <w:sz w:val="22"/>
        </w:rPr>
        <w:t>salvo lo dispuesto en materia de garantías constitucionales</w:t>
      </w:r>
      <w:r>
        <w:rPr>
          <w:rFonts w:ascii="Arial" w:hAnsi="Arial" w:cs="Arial"/>
          <w:sz w:val="22"/>
        </w:rPr>
        <w:t>.</w:t>
      </w:r>
    </w:p>
    <w:p>
      <w:pPr>
        <w:jc w:val="both"/>
      </w:pPr>
      <w:r>
        <w:rPr>
          <w:rFonts w:ascii="Arial" w:hAnsi="Arial" w:cs="Arial"/>
          <w:sz w:val="22"/>
        </w:rPr>
        <w:t>El reconocimiento constitucional de potestades a otros órganos no destruye la unidad del Poder Judicial ordinario: son supuestos específicos previstos por la propia Constitución.</w:t>
      </w:r>
    </w:p>
    <w:p>
      <w:pPr>
        <w:pStyle w:val="Heading2"/>
        <w:keepNext/>
      </w:pPr>
      <w:r>
        <w:rPr>
          <w:rFonts w:ascii="Arial" w:hAnsi="Arial" w:cs="Arial"/>
          <w:sz w:val="25"/>
        </w:rPr>
        <w:t>3.6. Unidad frente a tribunales de excepción</w:t>
      </w:r>
    </w:p>
    <w:p>
      <w:pPr>
        <w:jc w:val="both"/>
      </w:pPr>
      <w:r>
        <w:rPr>
          <w:rFonts w:ascii="Arial" w:hAnsi="Arial" w:cs="Arial"/>
          <w:sz w:val="22"/>
        </w:rPr>
        <w:t>El artículo 117.6 prohíbe los tribunales de excepción. Se caracterizarían por ser creados para una persona, grupo o hecho concreto al margen de las reglas generales.</w:t>
      </w:r>
    </w:p>
    <w:p>
      <w:pPr>
        <w:jc w:val="both"/>
      </w:pPr>
      <w:r>
        <w:rPr>
          <w:rFonts w:ascii="Arial" w:hAnsi="Arial" w:cs="Arial"/>
          <w:sz w:val="22"/>
        </w:rPr>
        <w:t>No son tribunales de excepción:</w:t>
      </w:r>
    </w:p>
    <w:p>
      <w:pPr>
        <w:pStyle w:val="ListBullet"/>
      </w:pPr>
      <w:r>
        <w:rPr>
          <w:rFonts w:ascii="Arial" w:hAnsi="Arial" w:cs="Arial"/>
          <w:sz w:val="22"/>
        </w:rPr>
        <w:t>la Audiencia Nacional;</w:t>
      </w:r>
    </w:p>
    <w:p>
      <w:pPr>
        <w:pStyle w:val="ListBullet"/>
      </w:pPr>
      <w:r>
        <w:rPr>
          <w:rFonts w:ascii="Arial" w:hAnsi="Arial" w:cs="Arial"/>
          <w:sz w:val="22"/>
        </w:rPr>
        <w:t>las Secciones de Violencia sobre la Mujer;</w:t>
      </w:r>
    </w:p>
    <w:p>
      <w:pPr>
        <w:pStyle w:val="ListBullet"/>
      </w:pPr>
      <w:r>
        <w:rPr>
          <w:rFonts w:ascii="Arial" w:hAnsi="Arial" w:cs="Arial"/>
          <w:sz w:val="22"/>
        </w:rPr>
        <w:t>las Secciones de Violencia contra la Infancia y la Adolescencia;</w:t>
      </w:r>
    </w:p>
    <w:p>
      <w:pPr>
        <w:pStyle w:val="ListBullet"/>
      </w:pPr>
      <w:r>
        <w:rPr>
          <w:rFonts w:ascii="Arial" w:hAnsi="Arial" w:cs="Arial"/>
          <w:sz w:val="22"/>
        </w:rPr>
        <w:t>las Secciones de lo Mercantil;</w:t>
      </w:r>
    </w:p>
    <w:p>
      <w:pPr>
        <w:pStyle w:val="ListBullet"/>
      </w:pPr>
      <w:r>
        <w:rPr>
          <w:rFonts w:ascii="Arial" w:hAnsi="Arial" w:cs="Arial"/>
          <w:sz w:val="22"/>
        </w:rPr>
        <w:t>los tribunales militares dentro de su ámbito constitucional;</w:t>
      </w:r>
    </w:p>
    <w:p>
      <w:pPr>
        <w:jc w:val="both"/>
      </w:pPr>
      <w:r>
        <w:rPr>
          <w:rFonts w:ascii="Arial" w:hAnsi="Arial" w:cs="Arial"/>
          <w:sz w:val="22"/>
        </w:rPr>
        <w:t>porque su existencia y competencia están fijadas previamente con criterios generales por la ley.</w:t>
      </w:r>
    </w:p>
    <w:p>
      <w:pPr>
        <w:pStyle w:val="Heading1"/>
        <w:keepNext/>
      </w:pPr>
      <w:r>
        <w:rPr>
          <w:rFonts w:ascii="Arial" w:hAnsi="Arial" w:cs="Arial"/>
          <w:sz w:val="30"/>
        </w:rPr>
        <w:t>4. El Consejo General del Poder Judicial</w:t>
      </w:r>
    </w:p>
    <w:p>
      <w:pPr>
        <w:pStyle w:val="Heading2"/>
        <w:keepNext/>
      </w:pPr>
      <w:r>
        <w:rPr>
          <w:rFonts w:ascii="Arial" w:hAnsi="Arial" w:cs="Arial"/>
          <w:sz w:val="25"/>
        </w:rPr>
        <w:t>4.1. Naturaleza</w:t>
      </w:r>
    </w:p>
    <w:p>
      <w:pPr>
        <w:jc w:val="both"/>
      </w:pPr>
      <w:r>
        <w:rPr>
          <w:rFonts w:ascii="Arial" w:hAnsi="Arial" w:cs="Arial"/>
          <w:sz w:val="22"/>
        </w:rPr>
        <w:t xml:space="preserve">El artículo 122.2 define al CGPJ como </w:t>
      </w:r>
      <w:r>
        <w:rPr>
          <w:rFonts w:ascii="Arial" w:hAnsi="Arial" w:cs="Arial"/>
          <w:b/>
          <w:sz w:val="22"/>
        </w:rPr>
        <w:t>órgano de gobierno del Poder Judicial</w:t>
      </w:r>
      <w:r>
        <w:rPr>
          <w:rFonts w:ascii="Arial" w:hAnsi="Arial" w:cs="Arial"/>
          <w:sz w:val="22"/>
        </w:rPr>
        <w:t>. Su regulación se contiene en la LOPJ. Tiene sede en Madrid y ejerce sus competencias en todo el territorio nacional.</w:t>
      </w:r>
    </w:p>
    <w:p>
      <w:pPr>
        <w:jc w:val="both"/>
      </w:pPr>
      <w:r>
        <w:rPr>
          <w:rFonts w:ascii="Arial" w:hAnsi="Arial" w:cs="Arial"/>
          <w:sz w:val="22"/>
        </w:rPr>
        <w:t>No es:</w:t>
      </w:r>
    </w:p>
    <w:p>
      <w:pPr>
        <w:pStyle w:val="ListBullet"/>
      </w:pPr>
      <w:r>
        <w:rPr>
          <w:rFonts w:ascii="Arial" w:hAnsi="Arial" w:cs="Arial"/>
          <w:sz w:val="22"/>
        </w:rPr>
        <w:t>el Poder Judicial entero;</w:t>
      </w:r>
    </w:p>
    <w:p>
      <w:pPr>
        <w:pStyle w:val="ListBullet"/>
      </w:pPr>
      <w:r>
        <w:rPr>
          <w:rFonts w:ascii="Arial" w:hAnsi="Arial" w:cs="Arial"/>
          <w:sz w:val="22"/>
        </w:rPr>
        <w:t>un tribunal;</w:t>
      </w:r>
    </w:p>
    <w:p>
      <w:pPr>
        <w:pStyle w:val="ListBullet"/>
      </w:pPr>
      <w:r>
        <w:rPr>
          <w:rFonts w:ascii="Arial" w:hAnsi="Arial" w:cs="Arial"/>
          <w:sz w:val="22"/>
        </w:rPr>
        <w:t>una instancia que revise sentencias;</w:t>
      </w:r>
    </w:p>
    <w:p>
      <w:pPr>
        <w:pStyle w:val="ListBullet"/>
      </w:pPr>
      <w:r>
        <w:rPr>
          <w:rFonts w:ascii="Arial" w:hAnsi="Arial" w:cs="Arial"/>
          <w:sz w:val="22"/>
        </w:rPr>
        <w:t>el superior jerárquico jurisdiccional de todos los jueces.</w:t>
      </w:r>
    </w:p>
    <w:p>
      <w:pPr>
        <w:jc w:val="both"/>
      </w:pPr>
      <w:r>
        <w:rPr>
          <w:rFonts w:ascii="Arial" w:hAnsi="Arial" w:cs="Arial"/>
          <w:sz w:val="22"/>
        </w:rPr>
        <w:t>Gobierna la carrera y la organización judicial en materias como nombramientos, ascensos, inspección y disciplina, pero no puede ordenar el contenido de resoluciones.</w:t>
      </w:r>
    </w:p>
    <w:p>
      <w:pPr>
        <w:pStyle w:val="Heading2"/>
        <w:keepNext/>
      </w:pPr>
      <w:r>
        <w:rPr>
          <w:rFonts w:ascii="Arial" w:hAnsi="Arial" w:cs="Arial"/>
          <w:sz w:val="25"/>
        </w:rPr>
        <w:t>4.2. Composición</w:t>
      </w:r>
    </w:p>
    <w:p>
      <w:pPr>
        <w:jc w:val="both"/>
      </w:pPr>
      <w:r>
        <w:rPr>
          <w:rFonts w:ascii="Arial" w:hAnsi="Arial" w:cs="Arial"/>
          <w:sz w:val="22"/>
        </w:rPr>
        <w:t>Está integrado por:</w:t>
      </w:r>
    </w:p>
    <w:p>
      <w:pPr>
        <w:pStyle w:val="ListBullet"/>
      </w:pPr>
      <w:r>
        <w:rPr>
          <w:rFonts w:ascii="Arial" w:hAnsi="Arial" w:cs="Arial"/>
          <w:sz w:val="22"/>
        </w:rPr>
        <w:t>el Presidente del Tribunal Supremo, que también preside el Consejo;</w:t>
      </w:r>
    </w:p>
    <w:p>
      <w:pPr>
        <w:pStyle w:val="ListBullet"/>
      </w:pPr>
      <w:r>
        <w:rPr>
          <w:rFonts w:ascii="Arial" w:hAnsi="Arial" w:cs="Arial"/>
          <w:sz w:val="22"/>
        </w:rPr>
        <w:t>veinte vocales.</w:t>
      </w:r>
    </w:p>
    <w:p>
      <w:pPr>
        <w:jc w:val="both"/>
      </w:pPr>
      <w:r>
        <w:rPr>
          <w:rFonts w:ascii="Arial" w:hAnsi="Arial" w:cs="Arial"/>
          <w:sz w:val="22"/>
        </w:rPr>
        <w:t>De los veinte vocales:</w:t>
      </w:r>
    </w:p>
    <w:p>
      <w:pPr>
        <w:pStyle w:val="ListBullet"/>
      </w:pPr>
      <w:r>
        <w:rPr>
          <w:rFonts w:ascii="Arial" w:hAnsi="Arial" w:cs="Arial"/>
          <w:sz w:val="22"/>
        </w:rPr>
        <w:t>doce proceden del turno judicial: jueces o magistrados en servicio activo;</w:t>
      </w:r>
    </w:p>
    <w:p>
      <w:pPr>
        <w:pStyle w:val="ListBullet"/>
      </w:pPr>
      <w:r>
        <w:rPr>
          <w:rFonts w:ascii="Arial" w:hAnsi="Arial" w:cs="Arial"/>
          <w:sz w:val="22"/>
        </w:rPr>
        <w:t>ocho son juristas de reconocida competencia.</w:t>
      </w:r>
    </w:p>
    <w:p>
      <w:pPr>
        <w:jc w:val="both"/>
      </w:pPr>
      <w:r>
        <w:rPr>
          <w:rFonts w:ascii="Arial" w:hAnsi="Arial" w:cs="Arial"/>
          <w:sz w:val="22"/>
        </w:rPr>
        <w:t xml:space="preserve">El mandato es de </w:t>
      </w:r>
      <w:r>
        <w:rPr>
          <w:rFonts w:ascii="Arial" w:hAnsi="Arial" w:cs="Arial"/>
          <w:b/>
          <w:sz w:val="22"/>
        </w:rPr>
        <w:t>cinco años</w:t>
      </w:r>
      <w:r>
        <w:rPr>
          <w:rFonts w:ascii="Arial" w:hAnsi="Arial" w:cs="Arial"/>
          <w:sz w:val="22"/>
        </w:rPr>
        <w:t>. Los vocales son nombrados por el Rey mediante real decreto y prestan juramento o promesa ante él.</w:t>
      </w:r>
    </w:p>
    <w:p>
      <w:pPr>
        <w:pStyle w:val="Heading2"/>
        <w:keepNext/>
      </w:pPr>
      <w:r>
        <w:rPr>
          <w:rFonts w:ascii="Arial" w:hAnsi="Arial" w:cs="Arial"/>
          <w:sz w:val="25"/>
        </w:rPr>
        <w:t>4.3. Elección por las Cortes</w:t>
      </w:r>
    </w:p>
    <w:p>
      <w:pPr>
        <w:jc w:val="both"/>
      </w:pPr>
      <w:r>
        <w:rPr>
          <w:rFonts w:ascii="Arial" w:hAnsi="Arial" w:cs="Arial"/>
          <w:sz w:val="22"/>
        </w:rPr>
        <w:t xml:space="preserve">Cada Cámara elige diez vocales por mayoría de </w:t>
      </w:r>
      <w:r>
        <w:rPr>
          <w:rFonts w:ascii="Arial" w:hAnsi="Arial" w:cs="Arial"/>
          <w:b/>
          <w:sz w:val="22"/>
        </w:rPr>
        <w:t>tres quintos</w:t>
      </w:r>
      <w:r>
        <w:rPr>
          <w:rFonts w:ascii="Arial" w:hAnsi="Arial" w:cs="Arial"/>
          <w:sz w:val="22"/>
        </w:rPr>
        <w:t>:</w:t>
      </w:r>
    </w:p>
    <w:p>
      <w:pPr>
        <w:pStyle w:val="ListBullet"/>
      </w:pPr>
      <w:r>
        <w:rPr>
          <w:rFonts w:ascii="Arial" w:hAnsi="Arial" w:cs="Arial"/>
          <w:sz w:val="22"/>
        </w:rPr>
        <w:t>seis del turno judicial;</w:t>
      </w:r>
    </w:p>
    <w:p>
      <w:pPr>
        <w:pStyle w:val="ListBullet"/>
      </w:pPr>
      <w:r>
        <w:rPr>
          <w:rFonts w:ascii="Arial" w:hAnsi="Arial" w:cs="Arial"/>
          <w:sz w:val="22"/>
        </w:rPr>
        <w:t>cuatro del turno de juristas.</w:t>
      </w:r>
    </w:p>
    <w:p>
      <w:pPr>
        <w:jc w:val="both"/>
      </w:pPr>
      <w:r>
        <w:rPr>
          <w:rFonts w:ascii="Arial" w:hAnsi="Arial" w:cs="Arial"/>
          <w:sz w:val="22"/>
        </w:rPr>
        <w:t>Por tanto:</w:t>
      </w:r>
    </w:p>
    <w:tbl>
      <w:tblPr>
        <w:tblStyle w:val="TableGrid"/>
        <w:tblW w:type="dxa" w:w="9026"/>
        <w:jc w:val="left"/>
        <w:tblLayout w:type="fixed"/>
        <w:tblLook w:firstColumn="1" w:firstRow="1" w:lastColumn="0" w:lastRow="0" w:noHBand="0" w:noVBand="1" w:val="04A0"/>
        <w:tblInd w:w="120" w:type="dxa"/>
      </w:tblPr>
      <w:tblGrid>
        <w:gridCol w:w="1952"/>
        <w:gridCol w:w="3171"/>
        <w:gridCol w:w="1952"/>
        <w:gridCol w:w="1951"/>
      </w:tblGrid>
      <w:tr>
        <w:trPr>
          <w:tblHeader w:val="true"/>
        </w:trPr>
        <w:tc>
          <w:tcPr>
            <w:tcW w:type="dxa" w:w="195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Cámara</w:t>
            </w:r>
          </w:p>
        </w:tc>
        <w:tc>
          <w:tcPr>
            <w:tcW w:type="dxa" w:w="317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Turno judicial</w:t>
            </w:r>
          </w:p>
        </w:tc>
        <w:tc>
          <w:tcPr>
            <w:tcW w:type="dxa" w:w="195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Juristas</w:t>
            </w:r>
          </w:p>
        </w:tc>
        <w:tc>
          <w:tcPr>
            <w:tcW w:type="dxa" w:w="195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Total</w:t>
            </w:r>
          </w:p>
        </w:tc>
      </w:tr>
      <w:tr>
        <w:tc>
          <w:tcPr>
            <w:tcW w:type="dxa" w:w="1952"/>
            <w:tcMar>
              <w:top w:w="80" w:type="dxa"/>
              <w:start w:w="120" w:type="dxa"/>
              <w:bottom w:w="80" w:type="dxa"/>
              <w:end w:w="120" w:type="dxa"/>
            </w:tcMar>
            <w:vAlign w:val="center"/>
          </w:tcPr>
          <w:p>
            <w:pPr>
              <w:spacing w:before="0" w:after="0" w:line="240" w:lineRule="auto"/>
              <w:jc w:val="left"/>
            </w:pPr>
            <w:r/>
            <w:r>
              <w:rPr>
                <w:rFonts w:ascii="Arial" w:hAnsi="Arial" w:cs="Arial"/>
                <w:sz w:val="18"/>
              </w:rPr>
              <w:t>Congreso</w:t>
            </w:r>
          </w:p>
        </w:tc>
        <w:tc>
          <w:tcPr>
            <w:tcW w:type="dxa" w:w="3171"/>
            <w:tcMar>
              <w:top w:w="80" w:type="dxa"/>
              <w:start w:w="120" w:type="dxa"/>
              <w:bottom w:w="80" w:type="dxa"/>
              <w:end w:w="120" w:type="dxa"/>
            </w:tcMar>
            <w:vAlign w:val="center"/>
          </w:tcPr>
          <w:p>
            <w:pPr>
              <w:spacing w:before="0" w:after="0" w:line="240" w:lineRule="auto"/>
              <w:jc w:val="center"/>
            </w:pPr>
            <w:r/>
            <w:r>
              <w:rPr>
                <w:rFonts w:ascii="Arial" w:hAnsi="Arial" w:cs="Arial"/>
                <w:sz w:val="18"/>
              </w:rPr>
              <w:t>6</w:t>
            </w:r>
          </w:p>
        </w:tc>
        <w:tc>
          <w:tcPr>
            <w:tcW w:type="dxa" w:w="1952"/>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c>
          <w:tcPr>
            <w:tcW w:type="dxa" w:w="1951"/>
            <w:tcMar>
              <w:top w:w="80" w:type="dxa"/>
              <w:start w:w="120" w:type="dxa"/>
              <w:bottom w:w="80" w:type="dxa"/>
              <w:end w:w="120" w:type="dxa"/>
            </w:tcMar>
            <w:vAlign w:val="center"/>
          </w:tcPr>
          <w:p>
            <w:pPr>
              <w:spacing w:before="0" w:after="0" w:line="240" w:lineRule="auto"/>
              <w:jc w:val="center"/>
            </w:pPr>
            <w:r/>
            <w:r>
              <w:rPr>
                <w:rFonts w:ascii="Arial" w:hAnsi="Arial" w:cs="Arial"/>
                <w:sz w:val="18"/>
              </w:rPr>
              <w:t>10</w:t>
            </w:r>
          </w:p>
        </w:tc>
      </w:tr>
      <w:tr>
        <w:tc>
          <w:tcPr>
            <w:tcW w:type="dxa" w:w="1952"/>
            <w:tcMar>
              <w:top w:w="80" w:type="dxa"/>
              <w:start w:w="120" w:type="dxa"/>
              <w:bottom w:w="80" w:type="dxa"/>
              <w:end w:w="120" w:type="dxa"/>
            </w:tcMar>
            <w:vAlign w:val="center"/>
          </w:tcPr>
          <w:p>
            <w:pPr>
              <w:spacing w:before="0" w:after="0" w:line="240" w:lineRule="auto"/>
              <w:jc w:val="left"/>
            </w:pPr>
            <w:r/>
            <w:r>
              <w:rPr>
                <w:rFonts w:ascii="Arial" w:hAnsi="Arial" w:cs="Arial"/>
                <w:sz w:val="18"/>
              </w:rPr>
              <w:t>Senado</w:t>
            </w:r>
          </w:p>
        </w:tc>
        <w:tc>
          <w:tcPr>
            <w:tcW w:type="dxa" w:w="3171"/>
            <w:tcMar>
              <w:top w:w="80" w:type="dxa"/>
              <w:start w:w="120" w:type="dxa"/>
              <w:bottom w:w="80" w:type="dxa"/>
              <w:end w:w="120" w:type="dxa"/>
            </w:tcMar>
            <w:vAlign w:val="center"/>
          </w:tcPr>
          <w:p>
            <w:pPr>
              <w:spacing w:before="0" w:after="0" w:line="240" w:lineRule="auto"/>
              <w:jc w:val="center"/>
            </w:pPr>
            <w:r/>
            <w:r>
              <w:rPr>
                <w:rFonts w:ascii="Arial" w:hAnsi="Arial" w:cs="Arial"/>
                <w:sz w:val="18"/>
              </w:rPr>
              <w:t>6</w:t>
            </w:r>
          </w:p>
        </w:tc>
        <w:tc>
          <w:tcPr>
            <w:tcW w:type="dxa" w:w="1952"/>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c>
          <w:tcPr>
            <w:tcW w:type="dxa" w:w="1951"/>
            <w:tcMar>
              <w:top w:w="80" w:type="dxa"/>
              <w:start w:w="120" w:type="dxa"/>
              <w:bottom w:w="80" w:type="dxa"/>
              <w:end w:w="120" w:type="dxa"/>
            </w:tcMar>
            <w:vAlign w:val="center"/>
          </w:tcPr>
          <w:p>
            <w:pPr>
              <w:spacing w:before="0" w:after="0" w:line="240" w:lineRule="auto"/>
              <w:jc w:val="center"/>
            </w:pPr>
            <w:r/>
            <w:r>
              <w:rPr>
                <w:rFonts w:ascii="Arial" w:hAnsi="Arial" w:cs="Arial"/>
                <w:sz w:val="18"/>
              </w:rPr>
              <w:t>10</w:t>
            </w:r>
          </w:p>
        </w:tc>
      </w:tr>
      <w:tr>
        <w:tc>
          <w:tcPr>
            <w:tcW w:type="dxa" w:w="1952"/>
            <w:tcMar>
              <w:top w:w="80" w:type="dxa"/>
              <w:start w:w="120" w:type="dxa"/>
              <w:bottom w:w="80" w:type="dxa"/>
              <w:end w:w="120" w:type="dxa"/>
            </w:tcMar>
            <w:vAlign w:val="center"/>
          </w:tcPr>
          <w:p>
            <w:pPr>
              <w:spacing w:before="0" w:after="0" w:line="240" w:lineRule="auto"/>
              <w:jc w:val="left"/>
            </w:pPr>
            <w:r/>
            <w:r>
              <w:rPr>
                <w:rFonts w:ascii="Arial" w:hAnsi="Arial" w:cs="Arial"/>
                <w:sz w:val="18"/>
              </w:rPr>
              <w:t>Total</w:t>
            </w:r>
          </w:p>
        </w:tc>
        <w:tc>
          <w:tcPr>
            <w:tcW w:type="dxa" w:w="3171"/>
            <w:tcMar>
              <w:top w:w="80" w:type="dxa"/>
              <w:start w:w="120" w:type="dxa"/>
              <w:bottom w:w="80" w:type="dxa"/>
              <w:end w:w="120" w:type="dxa"/>
            </w:tcMar>
            <w:vAlign w:val="center"/>
          </w:tcPr>
          <w:p>
            <w:pPr>
              <w:spacing w:before="0" w:after="0" w:line="240" w:lineRule="auto"/>
              <w:jc w:val="center"/>
            </w:pPr>
            <w:r/>
            <w:r>
              <w:rPr>
                <w:rFonts w:ascii="Arial" w:hAnsi="Arial" w:cs="Arial"/>
                <w:sz w:val="18"/>
              </w:rPr>
              <w:t>12</w:t>
            </w:r>
          </w:p>
        </w:tc>
        <w:tc>
          <w:tcPr>
            <w:tcW w:type="dxa" w:w="1952"/>
            <w:tcMar>
              <w:top w:w="80" w:type="dxa"/>
              <w:start w:w="120" w:type="dxa"/>
              <w:bottom w:w="80" w:type="dxa"/>
              <w:end w:w="120" w:type="dxa"/>
            </w:tcMar>
            <w:vAlign w:val="center"/>
          </w:tcPr>
          <w:p>
            <w:pPr>
              <w:spacing w:before="0" w:after="0" w:line="240" w:lineRule="auto"/>
              <w:jc w:val="center"/>
            </w:pPr>
            <w:r/>
            <w:r>
              <w:rPr>
                <w:rFonts w:ascii="Arial" w:hAnsi="Arial" w:cs="Arial"/>
                <w:sz w:val="18"/>
              </w:rPr>
              <w:t>8</w:t>
            </w:r>
          </w:p>
        </w:tc>
        <w:tc>
          <w:tcPr>
            <w:tcW w:type="dxa" w:w="1951"/>
            <w:tcMar>
              <w:top w:w="80" w:type="dxa"/>
              <w:start w:w="120" w:type="dxa"/>
              <w:bottom w:w="80" w:type="dxa"/>
              <w:end w:w="120" w:type="dxa"/>
            </w:tcMar>
            <w:vAlign w:val="center"/>
          </w:tcPr>
          <w:p>
            <w:pPr>
              <w:spacing w:before="0" w:after="0" w:line="240" w:lineRule="auto"/>
              <w:jc w:val="center"/>
            </w:pPr>
            <w:r/>
            <w:r>
              <w:rPr>
                <w:rFonts w:ascii="Arial" w:hAnsi="Arial" w:cs="Arial"/>
                <w:sz w:val="18"/>
              </w:rPr>
              <w:t>20</w:t>
            </w:r>
          </w:p>
        </w:tc>
      </w:tr>
    </w:tbl>
    <w:p>
      <w:pPr>
        <w:spacing w:after="40"/>
      </w:pPr>
    </w:p>
    <w:p>
      <w:pPr>
        <w:jc w:val="both"/>
      </w:pPr>
      <w:r>
        <w:rPr>
          <w:rFonts w:ascii="Arial" w:hAnsi="Arial" w:cs="Arial"/>
          <w:sz w:val="22"/>
        </w:rPr>
        <w:t>Los juristas deben acreditar más de quince años de experiencia en profesiones jurídicas y méritos destacados. Quienes pertenezcan a la carrera judicial no pueden ser elegidos por este turno salvo que lleven al menos un año en situación distinta del servicio activo.</w:t>
      </w:r>
    </w:p>
    <w:p>
      <w:pPr>
        <w:jc w:val="both"/>
      </w:pPr>
      <w:r>
        <w:rPr>
          <w:rFonts w:ascii="Arial" w:hAnsi="Arial" w:cs="Arial"/>
          <w:sz w:val="22"/>
        </w:rPr>
        <w:t>Tampoco pueden ser elegidos por el turno de juristas quienes, en los cinco años anteriores, hayan sido titulares de un Ministerio, Secretaría de Estado o Consejería autonómica; presidentes de una corporación local; o miembros del Parlamento Europeo, Congreso, Senado o Asamblea legislativa autonómica.</w:t>
      </w:r>
    </w:p>
    <w:p>
      <w:pPr>
        <w:jc w:val="both"/>
      </w:pPr>
      <w:r>
        <w:rPr>
          <w:rFonts w:ascii="Arial" w:hAnsi="Arial" w:cs="Arial"/>
          <w:sz w:val="22"/>
        </w:rPr>
        <w:t xml:space="preserve">La regulación vigente exige presencia equilibrada de mujeres y hombres. En los diez vocales elegidos por cada Cámara debe haber como mínimo un </w:t>
      </w:r>
      <w:r>
        <w:rPr>
          <w:rFonts w:ascii="Arial" w:hAnsi="Arial" w:cs="Arial"/>
          <w:b/>
          <w:sz w:val="22"/>
        </w:rPr>
        <w:t>40 % de cada sexo</w:t>
      </w:r>
      <w:r>
        <w:rPr>
          <w:rFonts w:ascii="Arial" w:hAnsi="Arial" w:cs="Arial"/>
          <w:sz w:val="22"/>
        </w:rPr>
        <w:t>. Antes de la elección, los candidatos comparecen públicamente ante la Comisión de nombramientos de la Cámara para valorar mérito, prestigio e idoneidad y acompañan una memoria de méritos y objetivos. Las Cámaras designan además un suplente por cada vocal titular.</w:t>
      </w:r>
    </w:p>
    <w:p>
      <w:pPr>
        <w:pStyle w:val="Heading2"/>
        <w:keepNext/>
      </w:pPr>
      <w:r>
        <w:rPr>
          <w:rFonts w:ascii="Arial" w:hAnsi="Arial" w:cs="Arial"/>
          <w:sz w:val="25"/>
        </w:rPr>
        <w:t>4.4. Candidaturas del turno judicial</w:t>
      </w:r>
    </w:p>
    <w:p>
      <w:pPr>
        <w:jc w:val="both"/>
      </w:pPr>
      <w:r>
        <w:rPr>
          <w:rFonts w:ascii="Arial" w:hAnsi="Arial" w:cs="Arial"/>
          <w:sz w:val="22"/>
        </w:rPr>
        <w:t>Cualquier juez o magistrado en servicio activo puede presentar candidatura si no está incurso en impedimento legal. Necesita:</w:t>
      </w:r>
    </w:p>
    <w:p>
      <w:pPr>
        <w:pStyle w:val="ListBullet"/>
      </w:pPr>
      <w:r>
        <w:rPr>
          <w:rFonts w:ascii="Arial" w:hAnsi="Arial" w:cs="Arial"/>
          <w:sz w:val="22"/>
        </w:rPr>
        <w:t xml:space="preserve">aval de veinticinco miembros de la carrera judicial en activo; </w:t>
      </w:r>
      <w:r>
        <w:rPr>
          <w:rFonts w:ascii="Arial" w:hAnsi="Arial" w:cs="Arial"/>
          <w:b/>
          <w:sz w:val="22"/>
        </w:rPr>
        <w:t>o</w:t>
      </w:r>
    </w:p>
    <w:p>
      <w:pPr>
        <w:pStyle w:val="ListBullet"/>
      </w:pPr>
      <w:r>
        <w:rPr>
          <w:rFonts w:ascii="Arial" w:hAnsi="Arial" w:cs="Arial"/>
          <w:sz w:val="22"/>
        </w:rPr>
        <w:t>aval de una asociación judicial legalmente constituida.</w:t>
      </w:r>
    </w:p>
    <w:p>
      <w:pPr>
        <w:jc w:val="both"/>
      </w:pPr>
      <w:r>
        <w:rPr>
          <w:rFonts w:ascii="Arial" w:hAnsi="Arial" w:cs="Arial"/>
          <w:sz w:val="22"/>
        </w:rPr>
        <w:t>Cada juez, magistrado o asociación puede avalar hasta doce candidatos.</w:t>
      </w:r>
    </w:p>
    <w:p>
      <w:pPr>
        <w:jc w:val="both"/>
      </w:pPr>
      <w:r>
        <w:rPr>
          <w:rFonts w:ascii="Arial" w:hAnsi="Arial" w:cs="Arial"/>
          <w:sz w:val="22"/>
        </w:rPr>
        <w:t>La designación final de los doce vocales judiciales debe respetar al menos:</w:t>
      </w:r>
    </w:p>
    <w:p>
      <w:pPr>
        <w:pStyle w:val="ListBullet"/>
      </w:pPr>
      <w:r>
        <w:rPr>
          <w:rFonts w:ascii="Arial" w:hAnsi="Arial" w:cs="Arial"/>
          <w:sz w:val="22"/>
        </w:rPr>
        <w:t>tres magistrados del Tribunal Supremo;</w:t>
      </w:r>
    </w:p>
    <w:p>
      <w:pPr>
        <w:pStyle w:val="ListBullet"/>
      </w:pPr>
      <w:r>
        <w:rPr>
          <w:rFonts w:ascii="Arial" w:hAnsi="Arial" w:cs="Arial"/>
          <w:sz w:val="22"/>
        </w:rPr>
        <w:t>tres magistrados con más de veinticinco años de antigüedad en la carrera;</w:t>
      </w:r>
    </w:p>
    <w:p>
      <w:pPr>
        <w:pStyle w:val="ListBullet"/>
      </w:pPr>
      <w:r>
        <w:rPr>
          <w:rFonts w:ascii="Arial" w:hAnsi="Arial" w:cs="Arial"/>
          <w:sz w:val="22"/>
        </w:rPr>
        <w:t>seis jueces o magistrados sin sujeción a antigüedad.</w:t>
      </w:r>
    </w:p>
    <w:p>
      <w:pPr>
        <w:jc w:val="both"/>
      </w:pPr>
      <w:r>
        <w:rPr>
          <w:rFonts w:ascii="Arial" w:hAnsi="Arial" w:cs="Arial"/>
          <w:sz w:val="22"/>
        </w:rPr>
        <w:t>Las Cámaras deben considerar también la proporción entre asociados a las distintas asociaciones y no asociados.</w:t>
      </w:r>
    </w:p>
    <w:p>
      <w:pPr>
        <w:pStyle w:val="Heading2"/>
        <w:keepNext/>
      </w:pPr>
      <w:r>
        <w:rPr>
          <w:rFonts w:ascii="Arial" w:hAnsi="Arial" w:cs="Arial"/>
          <w:sz w:val="25"/>
        </w:rPr>
        <w:t>4.5. Renovación y Consejo en funciones</w:t>
      </w:r>
    </w:p>
    <w:p>
      <w:pPr>
        <w:jc w:val="both"/>
      </w:pPr>
      <w:r>
        <w:rPr>
          <w:rFonts w:ascii="Arial" w:hAnsi="Arial" w:cs="Arial"/>
          <w:sz w:val="22"/>
        </w:rPr>
        <w:t>La Presidencia del Tribunal Supremo debe activar con antelación el procedimiento de renovación. Si una Cámara no elige a tiempo, la LOPJ contiene reglas para constituir el Consejo con los designados por la otra y ciertos vocales salientes. Si ninguna Cámara designa, el Consejo anterior continúa en funciones.</w:t>
      </w:r>
    </w:p>
    <w:p>
      <w:pPr>
        <w:jc w:val="both"/>
      </w:pPr>
      <w:r>
        <w:rPr>
          <w:rFonts w:ascii="Arial" w:hAnsi="Arial" w:cs="Arial"/>
          <w:sz w:val="22"/>
        </w:rPr>
        <w:t>El retraso no amplía el mandato de los nuevos vocales más allá de los cinco años del Consejo para el que se designan en los términos legales.</w:t>
      </w:r>
    </w:p>
    <w:p>
      <w:pPr>
        <w:jc w:val="both"/>
      </w:pPr>
      <w:r>
        <w:rPr>
          <w:rFonts w:ascii="Arial" w:hAnsi="Arial" w:cs="Arial"/>
          <w:sz w:val="22"/>
        </w:rPr>
        <w:t>El Consejo en funciones tiene competencias limitadas por la LOPJ, aunque puede realizar actuaciones indispensables para su funcionamiento ordinario. Esta situación excepcional no altera la duración constitucional normal.</w:t>
      </w:r>
    </w:p>
    <w:p>
      <w:pPr>
        <w:pStyle w:val="Heading2"/>
        <w:keepNext/>
      </w:pPr>
      <w:r>
        <w:rPr>
          <w:rFonts w:ascii="Arial" w:hAnsi="Arial" w:cs="Arial"/>
          <w:sz w:val="25"/>
        </w:rPr>
        <w:t>4.6. Presidente del Tribunal Supremo y del CGPJ</w:t>
      </w:r>
    </w:p>
    <w:p>
      <w:pPr>
        <w:jc w:val="both"/>
      </w:pPr>
      <w:r>
        <w:rPr>
          <w:rFonts w:ascii="Arial" w:hAnsi="Arial" w:cs="Arial"/>
          <w:sz w:val="22"/>
        </w:rPr>
        <w:t>La misma persona preside el Tribunal Supremo y el Consejo. Es la primera autoridad judicial de la Nación y representa al Poder Judicial y a su órgano de gobierno.</w:t>
      </w:r>
    </w:p>
    <w:p>
      <w:pPr>
        <w:jc w:val="both"/>
      </w:pPr>
      <w:r>
        <w:rPr>
          <w:rFonts w:ascii="Arial" w:hAnsi="Arial" w:cs="Arial"/>
          <w:sz w:val="22"/>
        </w:rPr>
        <w:t>Para ser elegido se requiere:</w:t>
      </w:r>
    </w:p>
    <w:p>
      <w:pPr>
        <w:pStyle w:val="ListBullet"/>
      </w:pPr>
      <w:r>
        <w:rPr>
          <w:rFonts w:ascii="Arial" w:hAnsi="Arial" w:cs="Arial"/>
          <w:sz w:val="22"/>
        </w:rPr>
        <w:t xml:space="preserve">ser miembro de la carrera judicial con categoría de magistrado del Tribunal Supremo y reunir condiciones para presidir una Sala; </w:t>
      </w:r>
      <w:r>
        <w:rPr>
          <w:rFonts w:ascii="Arial" w:hAnsi="Arial" w:cs="Arial"/>
          <w:b/>
          <w:sz w:val="22"/>
        </w:rPr>
        <w:t>o</w:t>
      </w:r>
    </w:p>
    <w:p>
      <w:pPr>
        <w:pStyle w:val="ListBullet"/>
      </w:pPr>
      <w:r>
        <w:rPr>
          <w:rFonts w:ascii="Arial" w:hAnsi="Arial" w:cs="Arial"/>
          <w:sz w:val="22"/>
        </w:rPr>
        <w:t>ser jurista de reconocida competencia con más de veinticinco años de antigüedad profesional.</w:t>
      </w:r>
    </w:p>
    <w:p>
      <w:pPr>
        <w:jc w:val="both"/>
      </w:pPr>
      <w:r>
        <w:rPr>
          <w:rFonts w:ascii="Arial" w:hAnsi="Arial" w:cs="Arial"/>
          <w:sz w:val="22"/>
        </w:rPr>
        <w:t xml:space="preserve">En la sesión constitutiva se presentan públicamente candidaturas. La elección se celebra entre tres y siete días después y exige </w:t>
      </w:r>
      <w:r>
        <w:rPr>
          <w:rFonts w:ascii="Arial" w:hAnsi="Arial" w:cs="Arial"/>
          <w:b/>
          <w:sz w:val="22"/>
        </w:rPr>
        <w:t>tres quintos de los miembros del Pleno</w:t>
      </w:r>
      <w:r>
        <w:rPr>
          <w:rFonts w:ascii="Arial" w:hAnsi="Arial" w:cs="Arial"/>
          <w:sz w:val="22"/>
        </w:rPr>
        <w:t>. El Rey lo nombra por real decreto refrendado por el Presidente del Gobierno.</w:t>
      </w:r>
    </w:p>
    <w:p>
      <w:pPr>
        <w:jc w:val="both"/>
      </w:pPr>
      <w:r>
        <w:rPr>
          <w:rFonts w:ascii="Arial" w:hAnsi="Arial" w:cs="Arial"/>
          <w:sz w:val="22"/>
        </w:rPr>
        <w:t>Su mandato coincide con el del Consejo que lo eligió y puede ser reelegido una sola vez para un nuevo mandato.</w:t>
      </w:r>
    </w:p>
    <w:p>
      <w:pPr>
        <w:pStyle w:val="Heading2"/>
        <w:keepNext/>
      </w:pPr>
      <w:r>
        <w:rPr>
          <w:rFonts w:ascii="Arial" w:hAnsi="Arial" w:cs="Arial"/>
          <w:sz w:val="25"/>
        </w:rPr>
        <w:t>4.7. Atribuciones del CGPJ</w:t>
      </w:r>
    </w:p>
    <w:p>
      <w:pPr>
        <w:jc w:val="both"/>
      </w:pPr>
      <w:r>
        <w:rPr>
          <w:rFonts w:ascii="Arial" w:hAnsi="Arial" w:cs="Arial"/>
          <w:sz w:val="22"/>
        </w:rPr>
        <w:t>Entre las atribuciones del artículo 560 LOPJ destacan:</w:t>
      </w:r>
    </w:p>
    <w:p>
      <w:pPr>
        <w:pStyle w:val="ListBullet"/>
      </w:pPr>
      <w:r>
        <w:rPr>
          <w:rFonts w:ascii="Arial" w:hAnsi="Arial" w:cs="Arial"/>
          <w:sz w:val="22"/>
        </w:rPr>
        <w:t>proponer el nombramiento del Presidente del Tribunal Supremo y del CGPJ;</w:t>
      </w:r>
    </w:p>
    <w:p>
      <w:pPr>
        <w:pStyle w:val="ListBullet"/>
      </w:pPr>
      <w:r>
        <w:rPr>
          <w:rFonts w:ascii="Arial" w:hAnsi="Arial" w:cs="Arial"/>
          <w:sz w:val="22"/>
        </w:rPr>
        <w:t>proponer nombramientos de jueces, magistrados y magistrados del Tribunal Supremo;</w:t>
      </w:r>
    </w:p>
    <w:p>
      <w:pPr>
        <w:pStyle w:val="ListBullet"/>
      </w:pPr>
      <w:r>
        <w:rPr>
          <w:rFonts w:ascii="Arial" w:hAnsi="Arial" w:cs="Arial"/>
          <w:sz w:val="22"/>
        </w:rPr>
        <w:t>proponer dos magistrados del Tribunal Constitucional;</w:t>
      </w:r>
    </w:p>
    <w:p>
      <w:pPr>
        <w:pStyle w:val="ListBullet"/>
      </w:pPr>
      <w:r>
        <w:rPr>
          <w:rFonts w:ascii="Arial" w:hAnsi="Arial" w:cs="Arial"/>
          <w:sz w:val="22"/>
        </w:rPr>
        <w:t>ser oído antes del nombramiento del Fiscal General del Estado;</w:t>
      </w:r>
    </w:p>
    <w:p>
      <w:pPr>
        <w:pStyle w:val="ListBullet"/>
      </w:pPr>
      <w:r>
        <w:rPr>
          <w:rFonts w:ascii="Arial" w:hAnsi="Arial" w:cs="Arial"/>
          <w:sz w:val="22"/>
        </w:rPr>
        <w:t>participar en selección de jueces y magistrados;</w:t>
      </w:r>
    </w:p>
    <w:p>
      <w:pPr>
        <w:pStyle w:val="ListBullet"/>
      </w:pPr>
      <w:r>
        <w:rPr>
          <w:rFonts w:ascii="Arial" w:hAnsi="Arial" w:cs="Arial"/>
          <w:sz w:val="22"/>
        </w:rPr>
        <w:t>decidir sobre formación, destinos, ascensos, situaciones y disciplina;</w:t>
      </w:r>
    </w:p>
    <w:p>
      <w:pPr>
        <w:pStyle w:val="ListBullet"/>
      </w:pPr>
      <w:r>
        <w:rPr>
          <w:rFonts w:ascii="Arial" w:hAnsi="Arial" w:cs="Arial"/>
          <w:sz w:val="22"/>
        </w:rPr>
        <w:t>ejercer alta inspección de tribunales;</w:t>
      </w:r>
    </w:p>
    <w:p>
      <w:pPr>
        <w:pStyle w:val="ListBullet"/>
      </w:pPr>
      <w:r>
        <w:rPr>
          <w:rFonts w:ascii="Arial" w:hAnsi="Arial" w:cs="Arial"/>
          <w:sz w:val="22"/>
        </w:rPr>
        <w:t>supervisar y coordinar la inspección ordinaria;</w:t>
      </w:r>
    </w:p>
    <w:p>
      <w:pPr>
        <w:pStyle w:val="ListBullet"/>
      </w:pPr>
      <w:r>
        <w:rPr>
          <w:rFonts w:ascii="Arial" w:hAnsi="Arial" w:cs="Arial"/>
          <w:sz w:val="22"/>
        </w:rPr>
        <w:t>impartir instrucciones a órganos de gobierno en materias gubernativas;</w:t>
      </w:r>
    </w:p>
    <w:p>
      <w:pPr>
        <w:pStyle w:val="ListBullet"/>
      </w:pPr>
      <w:r>
        <w:rPr>
          <w:rFonts w:ascii="Arial" w:hAnsi="Arial" w:cs="Arial"/>
          <w:sz w:val="22"/>
        </w:rPr>
        <w:t>resolver recursos contra acuerdos gubernativos;</w:t>
      </w:r>
    </w:p>
    <w:p>
      <w:pPr>
        <w:pStyle w:val="ListBullet"/>
      </w:pPr>
      <w:r>
        <w:rPr>
          <w:rFonts w:ascii="Arial" w:hAnsi="Arial" w:cs="Arial"/>
          <w:sz w:val="22"/>
        </w:rPr>
        <w:t>cuidar de la publicación oficial de resoluciones;</w:t>
      </w:r>
    </w:p>
    <w:p>
      <w:pPr>
        <w:pStyle w:val="ListBullet"/>
      </w:pPr>
      <w:r>
        <w:rPr>
          <w:rFonts w:ascii="Arial" w:hAnsi="Arial" w:cs="Arial"/>
          <w:sz w:val="22"/>
        </w:rPr>
        <w:t>regular la Escuela Judicial y el Centro de Documentación Judicial;</w:t>
      </w:r>
    </w:p>
    <w:p>
      <w:pPr>
        <w:pStyle w:val="ListBullet"/>
      </w:pPr>
      <w:r>
        <w:rPr>
          <w:rFonts w:ascii="Arial" w:hAnsi="Arial" w:cs="Arial"/>
          <w:sz w:val="22"/>
        </w:rPr>
        <w:t>ejercer potestad reglamentaria en las materias tasadas por la LOPJ;</w:t>
      </w:r>
    </w:p>
    <w:p>
      <w:pPr>
        <w:pStyle w:val="ListBullet"/>
      </w:pPr>
      <w:r>
        <w:rPr>
          <w:rFonts w:ascii="Arial" w:hAnsi="Arial" w:cs="Arial"/>
          <w:sz w:val="22"/>
        </w:rPr>
        <w:t>elaborar y ejecutar su presupuesto;</w:t>
      </w:r>
    </w:p>
    <w:p>
      <w:pPr>
        <w:pStyle w:val="ListBullet"/>
      </w:pPr>
      <w:r>
        <w:rPr>
          <w:rFonts w:ascii="Arial" w:hAnsi="Arial" w:cs="Arial"/>
          <w:sz w:val="22"/>
        </w:rPr>
        <w:t>recibir quejas ciudadanas sobre la Administración de Justicia;</w:t>
      </w:r>
    </w:p>
    <w:p>
      <w:pPr>
        <w:pStyle w:val="ListBullet"/>
      </w:pPr>
      <w:r>
        <w:rPr>
          <w:rFonts w:ascii="Arial" w:hAnsi="Arial" w:cs="Arial"/>
          <w:sz w:val="22"/>
        </w:rPr>
        <w:t>informar anteproyectos y disposiciones en materias legalmente previstas;</w:t>
      </w:r>
    </w:p>
    <w:p>
      <w:pPr>
        <w:pStyle w:val="ListBullet"/>
      </w:pPr>
      <w:r>
        <w:rPr>
          <w:rFonts w:ascii="Arial" w:hAnsi="Arial" w:cs="Arial"/>
          <w:sz w:val="22"/>
        </w:rPr>
        <w:t>emitir informe en expedientes de responsabilidad patrimonial por funcionamiento anormal.</w:t>
      </w:r>
    </w:p>
    <w:p>
      <w:pPr>
        <w:jc w:val="both"/>
      </w:pPr>
      <w:r>
        <w:rPr>
          <w:rFonts w:ascii="Arial" w:hAnsi="Arial" w:cs="Arial"/>
          <w:sz w:val="22"/>
        </w:rPr>
        <w:t>Su potestad reglamentaria se limita al desarrollo estricto de la LOPJ y no puede regular directa o indirectamente derechos y deberes de personas ajenas al Consejo.</w:t>
      </w:r>
    </w:p>
    <w:p>
      <w:pPr>
        <w:jc w:val="both"/>
      </w:pPr>
      <w:r>
        <w:rPr>
          <w:rFonts w:ascii="Arial" w:hAnsi="Arial" w:cs="Arial"/>
          <w:sz w:val="22"/>
        </w:rPr>
        <w:t>Cada año remite a las Cortes una Memoria sobre estado, funcionamiento y actividades del Consejo y de los órganos judiciales, con necesidades de personal, instalaciones y recursos. Las Cortes pueden debatirla y solicitar la comparecencia del Presidente, pero esa relación no permite interferir en procesos.</w:t>
      </w:r>
    </w:p>
    <w:p>
      <w:pPr>
        <w:pStyle w:val="Heading2"/>
        <w:keepNext/>
      </w:pPr>
      <w:r>
        <w:rPr>
          <w:rFonts w:ascii="Arial" w:hAnsi="Arial" w:cs="Arial"/>
          <w:sz w:val="25"/>
        </w:rPr>
        <w:t>4.8. Órganos del Consejo</w:t>
      </w:r>
    </w:p>
    <w:p>
      <w:pPr>
        <w:jc w:val="both"/>
      </w:pPr>
      <w:r>
        <w:rPr>
          <w:rFonts w:ascii="Arial" w:hAnsi="Arial" w:cs="Arial"/>
          <w:sz w:val="22"/>
        </w:rPr>
        <w:t>El CGPJ ejerce sus competencias por la Presidencia, el Pleno y las Comisiones.</w:t>
      </w:r>
    </w:p>
    <w:p>
      <w:pPr>
        <w:jc w:val="both"/>
      </w:pPr>
      <w:r>
        <w:rPr>
          <w:rFonts w:ascii="Arial" w:hAnsi="Arial" w:cs="Arial"/>
          <w:sz w:val="22"/>
        </w:rPr>
        <w:t>La relación aplicable al Consejo constituido en 2024 comprende actualmente cinco Comisiones legales:</w:t>
      </w:r>
    </w:p>
    <w:p>
      <w:pPr>
        <w:spacing w:after="40"/>
        <w:ind w:left="369" w:hanging="227"/>
      </w:pPr>
      <w:r>
        <w:rPr>
          <w:rFonts w:ascii="Arial" w:hAnsi="Arial" w:cs="Arial"/>
          <w:sz w:val="22"/>
        </w:rPr>
        <w:t>1. Comisión Permanente;</w:t>
      </w:r>
    </w:p>
    <w:p>
      <w:pPr>
        <w:spacing w:after="40"/>
        <w:ind w:left="369" w:hanging="227"/>
      </w:pPr>
      <w:r>
        <w:rPr>
          <w:rFonts w:ascii="Arial" w:hAnsi="Arial" w:cs="Arial"/>
          <w:sz w:val="22"/>
        </w:rPr>
        <w:t>2. Comisión de Calificación;</w:t>
      </w:r>
    </w:p>
    <w:p>
      <w:pPr>
        <w:spacing w:after="40"/>
        <w:ind w:left="369" w:hanging="227"/>
      </w:pPr>
      <w:r>
        <w:rPr>
          <w:rFonts w:ascii="Arial" w:hAnsi="Arial" w:cs="Arial"/>
          <w:sz w:val="22"/>
        </w:rPr>
        <w:t>3. Comisión Disciplinaria;</w:t>
      </w:r>
    </w:p>
    <w:p>
      <w:pPr>
        <w:spacing w:after="40"/>
        <w:ind w:left="369" w:hanging="227"/>
      </w:pPr>
      <w:r>
        <w:rPr>
          <w:rFonts w:ascii="Arial" w:hAnsi="Arial" w:cs="Arial"/>
          <w:sz w:val="22"/>
        </w:rPr>
        <w:t>4. Comisión de Asuntos Económicos;</w:t>
      </w:r>
    </w:p>
    <w:p>
      <w:pPr>
        <w:spacing w:after="40"/>
        <w:ind w:left="369" w:hanging="227"/>
      </w:pPr>
      <w:r>
        <w:rPr>
          <w:rFonts w:ascii="Arial" w:hAnsi="Arial" w:cs="Arial"/>
          <w:sz w:val="22"/>
        </w:rPr>
        <w:t>5. Comisión de Igualdad;</w:t>
      </w:r>
    </w:p>
    <w:p>
      <w:pPr>
        <w:jc w:val="both"/>
      </w:pPr>
      <w:r>
        <w:rPr>
          <w:rFonts w:ascii="Arial" w:hAnsi="Arial" w:cs="Arial"/>
          <w:sz w:val="22"/>
        </w:rPr>
        <w:t xml:space="preserve">La LO 1/2025 dio una nueva redacción al artículo 595 y añadió una sexta, la </w:t>
      </w:r>
      <w:r>
        <w:rPr>
          <w:rFonts w:ascii="Arial" w:hAnsi="Arial" w:cs="Arial"/>
          <w:b/>
          <w:sz w:val="22"/>
        </w:rPr>
        <w:t>Comisión de Supervisión y Control de Protección de Datos</w:t>
      </w:r>
      <w:r>
        <w:rPr>
          <w:rFonts w:ascii="Arial" w:hAnsi="Arial" w:cs="Arial"/>
          <w:sz w:val="22"/>
        </w:rPr>
        <w:t>. Sin embargo, su disposición transitoria decimoquinta aplaza la aplicación de los artículos 595 y 610 ter reformados hasta que se constituya el primer CGPJ posterior a la entrada en vigor de esa ley. El Consejo vigente se constituyó en 2024; por ello, a 30 de julio de 2026 sigue funcionando con las cinco Comisiones legales anteriores. En un test debe diferenciarse entre el contenido ya publicado de la futura regulación y el régimen actualmente aplicable.</w:t>
      </w:r>
    </w:p>
    <w:p>
      <w:pPr>
        <w:pStyle w:val="Heading3"/>
        <w:keepNext/>
      </w:pPr>
      <w:r>
        <w:rPr>
          <w:rFonts w:ascii="Arial" w:hAnsi="Arial" w:cs="Arial"/>
          <w:sz w:val="23"/>
        </w:rPr>
        <w:t>A) Pleno</w:t>
      </w:r>
    </w:p>
    <w:p>
      <w:pPr>
        <w:jc w:val="both"/>
      </w:pPr>
      <w:r>
        <w:rPr>
          <w:rFonts w:ascii="Arial" w:hAnsi="Arial" w:cs="Arial"/>
          <w:sz w:val="22"/>
        </w:rPr>
        <w:t>Lo integran el Presidente y los veinte vocales. Se reúne ordinariamente una vez al mes. Entre sus materias están nombramientos de especial relevancia, propuesta de dos magistrados del TC, elección presidencial, potestad reglamentaria y aprobación presupuestaria en los términos legales.</w:t>
      </w:r>
    </w:p>
    <w:p>
      <w:pPr>
        <w:jc w:val="both"/>
      </w:pPr>
      <w:r>
        <w:rPr>
          <w:rFonts w:ascii="Arial" w:hAnsi="Arial" w:cs="Arial"/>
          <w:sz w:val="22"/>
        </w:rPr>
        <w:t>Para elegir Presidente se exige presencia mínima de doce miembros. En los demás casos, la constitución válida requiere al menos diez vocales y el Presidente.</w:t>
      </w:r>
    </w:p>
    <w:p>
      <w:pPr>
        <w:pStyle w:val="Heading3"/>
        <w:keepNext/>
      </w:pPr>
      <w:r>
        <w:rPr>
          <w:rFonts w:ascii="Arial" w:hAnsi="Arial" w:cs="Arial"/>
          <w:sz w:val="23"/>
        </w:rPr>
        <w:t>B) Comisión Permanente</w:t>
      </w:r>
    </w:p>
    <w:p>
      <w:pPr>
        <w:jc w:val="both"/>
      </w:pPr>
      <w:r>
        <w:rPr>
          <w:rFonts w:ascii="Arial" w:hAnsi="Arial" w:cs="Arial"/>
          <w:sz w:val="22"/>
        </w:rPr>
        <w:t>La preside el Presidente del Consejo y la completan siete vocales:</w:t>
      </w:r>
    </w:p>
    <w:p>
      <w:pPr>
        <w:pStyle w:val="ListBullet"/>
      </w:pPr>
      <w:r>
        <w:rPr>
          <w:rFonts w:ascii="Arial" w:hAnsi="Arial" w:cs="Arial"/>
          <w:sz w:val="22"/>
        </w:rPr>
        <w:t>cuatro del turno judicial;</w:t>
      </w:r>
    </w:p>
    <w:p>
      <w:pPr>
        <w:pStyle w:val="ListBullet"/>
      </w:pPr>
      <w:r>
        <w:rPr>
          <w:rFonts w:ascii="Arial" w:hAnsi="Arial" w:cs="Arial"/>
          <w:sz w:val="22"/>
        </w:rPr>
        <w:t>tres del turno de juristas.</w:t>
      </w:r>
    </w:p>
    <w:p>
      <w:pPr>
        <w:jc w:val="both"/>
      </w:pPr>
      <w:r>
        <w:rPr>
          <w:rFonts w:ascii="Arial" w:hAnsi="Arial" w:cs="Arial"/>
          <w:sz w:val="22"/>
        </w:rPr>
        <w:t>Los vocales se eligen y renuevan anualmente para procurar que todos formen parte al menos un año durante el mandato. Prepara el Pleno, ejecuta sus acuerdos y ejerce las competencias no reservadas expresamente a otros órganos.</w:t>
      </w:r>
    </w:p>
    <w:p>
      <w:pPr>
        <w:pStyle w:val="Heading3"/>
        <w:keepNext/>
      </w:pPr>
      <w:r>
        <w:rPr>
          <w:rFonts w:ascii="Arial" w:hAnsi="Arial" w:cs="Arial"/>
          <w:sz w:val="23"/>
        </w:rPr>
        <w:t>C) Comisión Disciplinaria</w:t>
      </w:r>
    </w:p>
    <w:p>
      <w:pPr>
        <w:jc w:val="both"/>
      </w:pPr>
      <w:r>
        <w:rPr>
          <w:rFonts w:ascii="Arial" w:hAnsi="Arial" w:cs="Arial"/>
          <w:sz w:val="22"/>
        </w:rPr>
        <w:t>Se compone de siete vocales:</w:t>
      </w:r>
    </w:p>
    <w:p>
      <w:pPr>
        <w:pStyle w:val="ListBullet"/>
      </w:pPr>
      <w:r>
        <w:rPr>
          <w:rFonts w:ascii="Arial" w:hAnsi="Arial" w:cs="Arial"/>
          <w:sz w:val="22"/>
        </w:rPr>
        <w:t>cuatro judiciales;</w:t>
      </w:r>
    </w:p>
    <w:p>
      <w:pPr>
        <w:pStyle w:val="ListBullet"/>
      </w:pPr>
      <w:r>
        <w:rPr>
          <w:rFonts w:ascii="Arial" w:hAnsi="Arial" w:cs="Arial"/>
          <w:sz w:val="22"/>
        </w:rPr>
        <w:t>tres juristas.</w:t>
      </w:r>
    </w:p>
    <w:p>
      <w:pPr>
        <w:jc w:val="both"/>
      </w:pPr>
      <w:r>
        <w:rPr>
          <w:rFonts w:ascii="Arial" w:hAnsi="Arial" w:cs="Arial"/>
          <w:sz w:val="22"/>
        </w:rPr>
        <w:t>Su mandato es de cinco años. Resuelve expedientes por infracciones graves y muy graves e impone sanciones, salvo cuando se proponga separación del servicio. Sus acuerdos sancionadores son recurribles en alzada ante el Pleno.</w:t>
      </w:r>
    </w:p>
    <w:p>
      <w:pPr>
        <w:jc w:val="both"/>
      </w:pPr>
      <w:r>
        <w:rPr>
          <w:rFonts w:ascii="Arial" w:hAnsi="Arial" w:cs="Arial"/>
          <w:sz w:val="22"/>
        </w:rPr>
        <w:t xml:space="preserve">La recepción de denuncias y quejas, la iniciación e instrucción y la formulación de cargos corresponden al </w:t>
      </w:r>
      <w:r>
        <w:rPr>
          <w:rFonts w:ascii="Arial" w:hAnsi="Arial" w:cs="Arial"/>
          <w:b/>
          <w:sz w:val="22"/>
        </w:rPr>
        <w:t>Promotor de la Acción Disciplinaria</w:t>
      </w:r>
      <w:r>
        <w:rPr>
          <w:rFonts w:ascii="Arial" w:hAnsi="Arial" w:cs="Arial"/>
          <w:sz w:val="22"/>
        </w:rPr>
        <w:t>; la Comisión decide.</w:t>
      </w:r>
    </w:p>
    <w:p>
      <w:pPr>
        <w:pStyle w:val="Heading3"/>
        <w:keepNext/>
      </w:pPr>
      <w:r>
        <w:rPr>
          <w:rFonts w:ascii="Arial" w:hAnsi="Arial" w:cs="Arial"/>
          <w:sz w:val="23"/>
        </w:rPr>
        <w:t>D) Comisión de Asuntos Económicos</w:t>
      </w:r>
    </w:p>
    <w:p>
      <w:pPr>
        <w:jc w:val="both"/>
      </w:pPr>
      <w:r>
        <w:rPr>
          <w:rFonts w:ascii="Arial" w:hAnsi="Arial" w:cs="Arial"/>
          <w:sz w:val="22"/>
        </w:rPr>
        <w:t>Está integrada por tres vocales elegidos anualmente. Realiza estudios económico-financieros, controla la actividad financiera y contable de la gerencia y puede preparar el borrador de presupuesto por delegación.</w:t>
      </w:r>
    </w:p>
    <w:p>
      <w:pPr>
        <w:pStyle w:val="Heading3"/>
        <w:keepNext/>
      </w:pPr>
      <w:r>
        <w:rPr>
          <w:rFonts w:ascii="Arial" w:hAnsi="Arial" w:cs="Arial"/>
          <w:sz w:val="23"/>
        </w:rPr>
        <w:t>E) Comisión de Igualdad</w:t>
      </w:r>
    </w:p>
    <w:p>
      <w:pPr>
        <w:jc w:val="both"/>
      </w:pPr>
      <w:r>
        <w:rPr>
          <w:rFonts w:ascii="Arial" w:hAnsi="Arial" w:cs="Arial"/>
          <w:sz w:val="22"/>
        </w:rPr>
        <w:t>La integran tres vocales y debe respetarse presencia equilibrada. Asesora sobre igualdad entre mujeres y hombres, informa sobre impacto de género y estudia la respuesta judicial frente a violencia doméstica y de género.</w:t>
      </w:r>
    </w:p>
    <w:p>
      <w:pPr>
        <w:pStyle w:val="Heading3"/>
        <w:keepNext/>
      </w:pPr>
      <w:r>
        <w:rPr>
          <w:rFonts w:ascii="Arial" w:hAnsi="Arial" w:cs="Arial"/>
          <w:sz w:val="23"/>
        </w:rPr>
        <w:t>F) Comisión de Calificación</w:t>
      </w:r>
    </w:p>
    <w:p>
      <w:pPr>
        <w:jc w:val="both"/>
      </w:pPr>
      <w:r>
        <w:rPr>
          <w:rFonts w:ascii="Arial" w:hAnsi="Arial" w:cs="Arial"/>
          <w:sz w:val="22"/>
        </w:rPr>
        <w:t xml:space="preserve">Fue reintroducida por la </w:t>
      </w:r>
      <w:r>
        <w:rPr>
          <w:rFonts w:ascii="Arial" w:hAnsi="Arial" w:cs="Arial"/>
          <w:b/>
          <w:sz w:val="22"/>
        </w:rPr>
        <w:t>Ley Orgánica 3/2024, de 2 de agosto, de reforma de la Ley Orgánica 6/1985, de 1 de julio, del Poder Judicial, y de reforma de la Ley 50/1981, de 30 de diciembre, por la que se regula el Estatuto Orgánico del Ministerio Fiscal</w:t>
      </w:r>
      <w:r>
        <w:rPr>
          <w:rFonts w:ascii="Arial" w:hAnsi="Arial" w:cs="Arial"/>
          <w:sz w:val="22"/>
        </w:rPr>
        <w:t>. La forman cinco vocales:</w:t>
      </w:r>
    </w:p>
    <w:p>
      <w:pPr>
        <w:pStyle w:val="ListBullet"/>
      </w:pPr>
      <w:r>
        <w:rPr>
          <w:rFonts w:ascii="Arial" w:hAnsi="Arial" w:cs="Arial"/>
          <w:sz w:val="22"/>
        </w:rPr>
        <w:t>tres judiciales;</w:t>
      </w:r>
    </w:p>
    <w:p>
      <w:pPr>
        <w:pStyle w:val="ListBullet"/>
      </w:pPr>
      <w:r>
        <w:rPr>
          <w:rFonts w:ascii="Arial" w:hAnsi="Arial" w:cs="Arial"/>
          <w:sz w:val="22"/>
        </w:rPr>
        <w:t>dos juristas.</w:t>
      </w:r>
    </w:p>
    <w:p>
      <w:pPr>
        <w:jc w:val="both"/>
      </w:pPr>
      <w:r>
        <w:rPr>
          <w:rFonts w:ascii="Arial" w:hAnsi="Arial" w:cs="Arial"/>
          <w:sz w:val="22"/>
        </w:rPr>
        <w:t>Se eligen anualmente. Informa sobre nombramientos competencia del Pleno y procura una valoración objetiva de trayectoria y méritos.</w:t>
      </w:r>
    </w:p>
    <w:p>
      <w:pPr>
        <w:pStyle w:val="Heading3"/>
        <w:keepNext/>
      </w:pPr>
      <w:r>
        <w:rPr>
          <w:rFonts w:ascii="Arial" w:hAnsi="Arial" w:cs="Arial"/>
          <w:sz w:val="23"/>
        </w:rPr>
        <w:t>G) Comisión de Supervisión y Control de Protección de Datos</w:t>
      </w:r>
    </w:p>
    <w:p>
      <w:pPr>
        <w:jc w:val="both"/>
      </w:pPr>
      <w:r>
        <w:rPr>
          <w:rFonts w:ascii="Arial" w:hAnsi="Arial" w:cs="Arial"/>
          <w:sz w:val="22"/>
        </w:rPr>
        <w:t xml:space="preserve">La LO 1/2025 la incorpora para el primer CGPJ que se constituya después de su entrada en vigor, pero </w:t>
      </w:r>
      <w:r>
        <w:rPr>
          <w:rFonts w:ascii="Arial" w:hAnsi="Arial" w:cs="Arial"/>
          <w:b/>
          <w:sz w:val="22"/>
        </w:rPr>
        <w:t>todavía no resulta aplicable</w:t>
      </w:r>
      <w:r>
        <w:rPr>
          <w:rFonts w:ascii="Arial" w:hAnsi="Arial" w:cs="Arial"/>
          <w:sz w:val="22"/>
        </w:rPr>
        <w:t xml:space="preserve"> al Consejo vigente a la fecha de actualización. Cuando comience a aplicarse, se compondrá de tres vocales:</w:t>
      </w:r>
    </w:p>
    <w:p>
      <w:pPr>
        <w:pStyle w:val="ListBullet"/>
      </w:pPr>
      <w:r>
        <w:rPr>
          <w:rFonts w:ascii="Arial" w:hAnsi="Arial" w:cs="Arial"/>
          <w:sz w:val="22"/>
        </w:rPr>
        <w:t>dos judiciales;</w:t>
      </w:r>
    </w:p>
    <w:p>
      <w:pPr>
        <w:pStyle w:val="ListBullet"/>
      </w:pPr>
      <w:r>
        <w:rPr>
          <w:rFonts w:ascii="Arial" w:hAnsi="Arial" w:cs="Arial"/>
          <w:sz w:val="22"/>
        </w:rPr>
        <w:t>uno jurista.</w:t>
      </w:r>
    </w:p>
    <w:p>
      <w:pPr>
        <w:jc w:val="both"/>
      </w:pPr>
      <w:r>
        <w:rPr>
          <w:rFonts w:ascii="Arial" w:hAnsi="Arial" w:cs="Arial"/>
          <w:sz w:val="22"/>
        </w:rPr>
        <w:t>Su mandato será de cinco años y ejercerá las funciones específicas de supervisión y control en protección de datos dentro de su ámbito.</w:t>
      </w:r>
    </w:p>
    <w:p>
      <w:pPr>
        <w:pStyle w:val="Heading1"/>
        <w:keepNext/>
      </w:pPr>
      <w:r>
        <w:rPr>
          <w:rFonts w:ascii="Arial" w:hAnsi="Arial" w:cs="Arial"/>
          <w:sz w:val="30"/>
        </w:rPr>
        <w:t>5. Organización judicial española</w:t>
      </w:r>
    </w:p>
    <w:p>
      <w:pPr>
        <w:pStyle w:val="Heading2"/>
        <w:keepNext/>
      </w:pPr>
      <w:r>
        <w:rPr>
          <w:rFonts w:ascii="Arial" w:hAnsi="Arial" w:cs="Arial"/>
          <w:sz w:val="25"/>
        </w:rPr>
        <w:t>5.1. Criterios de organización</w:t>
      </w:r>
    </w:p>
    <w:p>
      <w:pPr>
        <w:jc w:val="both"/>
      </w:pPr>
      <w:r>
        <w:rPr>
          <w:rFonts w:ascii="Arial" w:hAnsi="Arial" w:cs="Arial"/>
          <w:sz w:val="22"/>
        </w:rPr>
        <w:t>La organización puede estudiarse con cuatro criterios:</w:t>
      </w:r>
    </w:p>
    <w:p>
      <w:pPr>
        <w:spacing w:after="40"/>
        <w:ind w:left="369" w:hanging="227"/>
      </w:pPr>
      <w:r>
        <w:rPr>
          <w:rFonts w:ascii="Arial" w:hAnsi="Arial" w:cs="Arial"/>
          <w:sz w:val="22"/>
        </w:rPr>
        <w:t xml:space="preserve">1. </w:t>
      </w:r>
      <w:r>
        <w:rPr>
          <w:rFonts w:ascii="Arial" w:hAnsi="Arial" w:cs="Arial"/>
          <w:b/>
          <w:sz w:val="22"/>
        </w:rPr>
        <w:t>material</w:t>
      </w:r>
      <w:r>
        <w:rPr>
          <w:rFonts w:ascii="Arial" w:hAnsi="Arial" w:cs="Arial"/>
          <w:sz w:val="22"/>
        </w:rPr>
        <w:t>, mediante órdenes jurisdiccionales;</w:t>
      </w:r>
    </w:p>
    <w:p>
      <w:pPr>
        <w:spacing w:after="40"/>
        <w:ind w:left="369" w:hanging="227"/>
      </w:pPr>
      <w:r>
        <w:rPr>
          <w:rFonts w:ascii="Arial" w:hAnsi="Arial" w:cs="Arial"/>
          <w:sz w:val="22"/>
        </w:rPr>
        <w:t xml:space="preserve">2. </w:t>
      </w:r>
      <w:r>
        <w:rPr>
          <w:rFonts w:ascii="Arial" w:hAnsi="Arial" w:cs="Arial"/>
          <w:b/>
          <w:sz w:val="22"/>
        </w:rPr>
        <w:t>territorial</w:t>
      </w:r>
      <w:r>
        <w:rPr>
          <w:rFonts w:ascii="Arial" w:hAnsi="Arial" w:cs="Arial"/>
          <w:sz w:val="22"/>
        </w:rPr>
        <w:t>, mediante municipio, partido, provincia, Comunidad Autónoma y órganos nacionales;</w:t>
      </w:r>
    </w:p>
    <w:p>
      <w:pPr>
        <w:spacing w:after="40"/>
        <w:ind w:left="369" w:hanging="227"/>
      </w:pPr>
      <w:r>
        <w:rPr>
          <w:rFonts w:ascii="Arial" w:hAnsi="Arial" w:cs="Arial"/>
          <w:sz w:val="22"/>
        </w:rPr>
        <w:t xml:space="preserve">3. </w:t>
      </w:r>
      <w:r>
        <w:rPr>
          <w:rFonts w:ascii="Arial" w:hAnsi="Arial" w:cs="Arial"/>
          <w:b/>
          <w:sz w:val="22"/>
        </w:rPr>
        <w:t>funcional</w:t>
      </w:r>
      <w:r>
        <w:rPr>
          <w:rFonts w:ascii="Arial" w:hAnsi="Arial" w:cs="Arial"/>
          <w:sz w:val="22"/>
        </w:rPr>
        <w:t>, mediante primera instancia, recursos, casación y ejecución;</w:t>
      </w:r>
    </w:p>
    <w:p>
      <w:pPr>
        <w:spacing w:after="40"/>
        <w:ind w:left="369" w:hanging="227"/>
      </w:pPr>
      <w:r>
        <w:rPr>
          <w:rFonts w:ascii="Arial" w:hAnsi="Arial" w:cs="Arial"/>
          <w:sz w:val="22"/>
        </w:rPr>
        <w:t xml:space="preserve">4. </w:t>
      </w:r>
      <w:r>
        <w:rPr>
          <w:rFonts w:ascii="Arial" w:hAnsi="Arial" w:cs="Arial"/>
          <w:b/>
          <w:sz w:val="22"/>
        </w:rPr>
        <w:t>orgánico</w:t>
      </w:r>
      <w:r>
        <w:rPr>
          <w:rFonts w:ascii="Arial" w:hAnsi="Arial" w:cs="Arial"/>
          <w:sz w:val="22"/>
        </w:rPr>
        <w:t>, mediante los tipos de tribunales que enumera la LOPJ.</w:t>
      </w:r>
    </w:p>
    <w:p>
      <w:pPr>
        <w:jc w:val="both"/>
      </w:pPr>
      <w:r>
        <w:rPr>
          <w:rFonts w:ascii="Arial" w:hAnsi="Arial" w:cs="Arial"/>
          <w:sz w:val="22"/>
        </w:rPr>
        <w:t>A efectos judiciales, el Estado se organiza territorialmente en:</w:t>
      </w:r>
    </w:p>
    <w:p>
      <w:pPr>
        <w:pStyle w:val="ListBullet"/>
      </w:pPr>
      <w:r>
        <w:rPr>
          <w:rFonts w:ascii="Arial" w:hAnsi="Arial" w:cs="Arial"/>
          <w:sz w:val="22"/>
        </w:rPr>
        <w:t>municipios;</w:t>
      </w:r>
    </w:p>
    <w:p>
      <w:pPr>
        <w:pStyle w:val="ListBullet"/>
      </w:pPr>
      <w:r>
        <w:rPr>
          <w:rFonts w:ascii="Arial" w:hAnsi="Arial" w:cs="Arial"/>
          <w:sz w:val="22"/>
        </w:rPr>
        <w:t>partidos judiciales;</w:t>
      </w:r>
    </w:p>
    <w:p>
      <w:pPr>
        <w:pStyle w:val="ListBullet"/>
      </w:pPr>
      <w:r>
        <w:rPr>
          <w:rFonts w:ascii="Arial" w:hAnsi="Arial" w:cs="Arial"/>
          <w:sz w:val="22"/>
        </w:rPr>
        <w:t>provincias;</w:t>
      </w:r>
    </w:p>
    <w:p>
      <w:pPr>
        <w:pStyle w:val="ListBullet"/>
      </w:pPr>
      <w:r>
        <w:rPr>
          <w:rFonts w:ascii="Arial" w:hAnsi="Arial" w:cs="Arial"/>
          <w:sz w:val="22"/>
        </w:rPr>
        <w:t>Comunidades Autónomas.</w:t>
      </w:r>
    </w:p>
    <w:p>
      <w:pPr>
        <w:jc w:val="both"/>
      </w:pPr>
      <w:r>
        <w:rPr>
          <w:rFonts w:ascii="Arial" w:hAnsi="Arial" w:cs="Arial"/>
          <w:sz w:val="22"/>
        </w:rPr>
        <w:t>El partido judicial comprende uno o varios municipios limítrofes de una misma provincia y puede coincidir con la provincia.</w:t>
      </w:r>
    </w:p>
    <w:p>
      <w:pPr>
        <w:pStyle w:val="Heading2"/>
        <w:keepNext/>
      </w:pPr>
      <w:r>
        <w:rPr>
          <w:rFonts w:ascii="Arial" w:hAnsi="Arial" w:cs="Arial"/>
          <w:sz w:val="25"/>
        </w:rPr>
        <w:t>5.2. Relación vigente de órganos jurisdiccionales</w:t>
      </w:r>
    </w:p>
    <w:p>
      <w:pPr>
        <w:jc w:val="both"/>
      </w:pPr>
      <w:r>
        <w:rPr>
          <w:rFonts w:ascii="Arial" w:hAnsi="Arial" w:cs="Arial"/>
          <w:sz w:val="22"/>
        </w:rPr>
        <w:t>El artículo 26 LOPJ, tras la LO 1/2025, enumera:</w:t>
      </w:r>
    </w:p>
    <w:p>
      <w:pPr>
        <w:spacing w:after="40"/>
        <w:ind w:left="369" w:hanging="227"/>
      </w:pPr>
      <w:r>
        <w:rPr>
          <w:rFonts w:ascii="Arial" w:hAnsi="Arial" w:cs="Arial"/>
          <w:sz w:val="22"/>
        </w:rPr>
        <w:t>1. jueces y juezas de paz;</w:t>
      </w:r>
    </w:p>
    <w:p>
      <w:pPr>
        <w:spacing w:after="40"/>
        <w:ind w:left="369" w:hanging="227"/>
      </w:pPr>
      <w:r>
        <w:rPr>
          <w:rFonts w:ascii="Arial" w:hAnsi="Arial" w:cs="Arial"/>
          <w:sz w:val="22"/>
        </w:rPr>
        <w:t>2. Tribunales de Instancia;</w:t>
      </w:r>
    </w:p>
    <w:p>
      <w:pPr>
        <w:spacing w:after="40"/>
        <w:ind w:left="369" w:hanging="227"/>
      </w:pPr>
      <w:r>
        <w:rPr>
          <w:rFonts w:ascii="Arial" w:hAnsi="Arial" w:cs="Arial"/>
          <w:sz w:val="22"/>
        </w:rPr>
        <w:t>3. Audiencias Provinciales;</w:t>
      </w:r>
    </w:p>
    <w:p>
      <w:pPr>
        <w:spacing w:after="40"/>
        <w:ind w:left="369" w:hanging="227"/>
      </w:pPr>
      <w:r>
        <w:rPr>
          <w:rFonts w:ascii="Arial" w:hAnsi="Arial" w:cs="Arial"/>
          <w:sz w:val="22"/>
        </w:rPr>
        <w:t>4. Tribunales Superiores de Justicia;</w:t>
      </w:r>
    </w:p>
    <w:p>
      <w:pPr>
        <w:spacing w:after="40"/>
        <w:ind w:left="369" w:hanging="227"/>
      </w:pPr>
      <w:r>
        <w:rPr>
          <w:rFonts w:ascii="Arial" w:hAnsi="Arial" w:cs="Arial"/>
          <w:sz w:val="22"/>
        </w:rPr>
        <w:t>5. Tribunal Central de Instancia;</w:t>
      </w:r>
    </w:p>
    <w:p>
      <w:pPr>
        <w:spacing w:after="40"/>
        <w:ind w:left="369" w:hanging="227"/>
      </w:pPr>
      <w:r>
        <w:rPr>
          <w:rFonts w:ascii="Arial" w:hAnsi="Arial" w:cs="Arial"/>
          <w:sz w:val="22"/>
        </w:rPr>
        <w:t>6. Audiencia Nacional;</w:t>
      </w:r>
    </w:p>
    <w:p>
      <w:pPr>
        <w:spacing w:after="40"/>
        <w:ind w:left="369" w:hanging="227"/>
      </w:pPr>
      <w:r>
        <w:rPr>
          <w:rFonts w:ascii="Arial" w:hAnsi="Arial" w:cs="Arial"/>
          <w:sz w:val="22"/>
        </w:rPr>
        <w:t>7. Tribunal Supremo.</w:t>
      </w:r>
    </w:p>
    <w:p>
      <w:pPr>
        <w:jc w:val="both"/>
      </w:pPr>
      <w:r>
        <w:rPr>
          <w:rFonts w:ascii="Arial" w:hAnsi="Arial" w:cs="Arial"/>
          <w:sz w:val="22"/>
        </w:rPr>
        <w:t>El orden de la lista no es una cadena simple de recursos. La competencia depende de materia, territorio y función.</w:t>
      </w:r>
    </w:p>
    <w:p>
      <w:pPr>
        <w:pStyle w:val="Heading2"/>
        <w:keepNext/>
      </w:pPr>
      <w:r>
        <w:rPr>
          <w:rFonts w:ascii="Arial" w:hAnsi="Arial" w:cs="Arial"/>
          <w:sz w:val="25"/>
        </w:rPr>
        <w:t>5.3. Tribunal Supremo</w:t>
      </w:r>
    </w:p>
    <w:p>
      <w:pPr>
        <w:jc w:val="both"/>
      </w:pPr>
      <w:r>
        <w:rPr>
          <w:rFonts w:ascii="Arial" w:hAnsi="Arial" w:cs="Arial"/>
          <w:sz w:val="22"/>
        </w:rPr>
        <w:t>Tiene sede en Madrid, jurisdicción en toda España y es el órgano jurisdiccional superior en todos los órdenes salvo garantías constitucionales. Ningún otro órgano puede llamarse Supremo.</w:t>
      </w:r>
    </w:p>
    <w:p>
      <w:pPr>
        <w:jc w:val="both"/>
      </w:pPr>
      <w:r>
        <w:rPr>
          <w:rFonts w:ascii="Arial" w:hAnsi="Arial" w:cs="Arial"/>
          <w:sz w:val="22"/>
        </w:rPr>
        <w:t>Está integrado por cinco Salas:</w:t>
      </w:r>
    </w:p>
    <w:tbl>
      <w:tblPr>
        <w:tblStyle w:val="TableGrid"/>
        <w:tblW w:type="dxa" w:w="9026"/>
        <w:jc w:val="left"/>
        <w:tblLayout w:type="fixed"/>
        <w:tblLook w:firstColumn="1" w:firstRow="1" w:lastColumn="0" w:lastRow="0" w:noHBand="0" w:noVBand="1" w:val="04A0"/>
        <w:tblInd w:w="120" w:type="dxa"/>
      </w:tblPr>
      <w:tblGrid>
        <w:gridCol w:w="2188"/>
        <w:gridCol w:w="6838"/>
      </w:tblGrid>
      <w:tr>
        <w:trPr>
          <w:tblHeader w:val="true"/>
        </w:trPr>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Sala</w:t>
            </w:r>
          </w:p>
        </w:tc>
        <w:tc>
          <w:tcPr>
            <w:tcW w:type="dxa" w:w="683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Orden</w:t>
            </w:r>
          </w:p>
        </w:tc>
      </w:tr>
      <w:tr>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Primera</w:t>
            </w:r>
          </w:p>
        </w:tc>
        <w:tc>
          <w:tcPr>
            <w:tcW w:type="dxa" w:w="6838"/>
            <w:tcMar>
              <w:top w:w="80" w:type="dxa"/>
              <w:start w:w="120" w:type="dxa"/>
              <w:bottom w:w="80" w:type="dxa"/>
              <w:end w:w="120" w:type="dxa"/>
            </w:tcMar>
            <w:vAlign w:val="center"/>
          </w:tcPr>
          <w:p>
            <w:pPr>
              <w:spacing w:before="0" w:after="0" w:line="240" w:lineRule="auto"/>
              <w:jc w:val="center"/>
            </w:pPr>
            <w:r/>
            <w:r>
              <w:rPr>
                <w:rFonts w:ascii="Arial" w:hAnsi="Arial" w:cs="Arial"/>
                <w:sz w:val="18"/>
              </w:rPr>
              <w:t>Civil</w:t>
            </w:r>
          </w:p>
        </w:tc>
      </w:tr>
      <w:tr>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Segunda</w:t>
            </w:r>
          </w:p>
        </w:tc>
        <w:tc>
          <w:tcPr>
            <w:tcW w:type="dxa" w:w="6838"/>
            <w:tcMar>
              <w:top w:w="80" w:type="dxa"/>
              <w:start w:w="120" w:type="dxa"/>
              <w:bottom w:w="80" w:type="dxa"/>
              <w:end w:w="120" w:type="dxa"/>
            </w:tcMar>
            <w:vAlign w:val="center"/>
          </w:tcPr>
          <w:p>
            <w:pPr>
              <w:spacing w:before="0" w:after="0" w:line="240" w:lineRule="auto"/>
              <w:jc w:val="center"/>
            </w:pPr>
            <w:r/>
            <w:r>
              <w:rPr>
                <w:rFonts w:ascii="Arial" w:hAnsi="Arial" w:cs="Arial"/>
                <w:sz w:val="18"/>
              </w:rPr>
              <w:t>Penal</w:t>
            </w:r>
          </w:p>
        </w:tc>
      </w:tr>
      <w:tr>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Tercera</w:t>
            </w:r>
          </w:p>
        </w:tc>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Contencioso-Administrativo</w:t>
            </w:r>
          </w:p>
        </w:tc>
      </w:tr>
      <w:tr>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Cuarta</w:t>
            </w:r>
          </w:p>
        </w:tc>
        <w:tc>
          <w:tcPr>
            <w:tcW w:type="dxa" w:w="6838"/>
            <w:tcMar>
              <w:top w:w="80" w:type="dxa"/>
              <w:start w:w="120" w:type="dxa"/>
              <w:bottom w:w="80" w:type="dxa"/>
              <w:end w:w="120" w:type="dxa"/>
            </w:tcMar>
            <w:vAlign w:val="center"/>
          </w:tcPr>
          <w:p>
            <w:pPr>
              <w:spacing w:before="0" w:after="0" w:line="240" w:lineRule="auto"/>
              <w:jc w:val="center"/>
            </w:pPr>
            <w:r/>
            <w:r>
              <w:rPr>
                <w:rFonts w:ascii="Arial" w:hAnsi="Arial" w:cs="Arial"/>
                <w:sz w:val="18"/>
              </w:rPr>
              <w:t>Social</w:t>
            </w:r>
          </w:p>
        </w:tc>
      </w:tr>
      <w:tr>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Quinta</w:t>
            </w:r>
          </w:p>
        </w:tc>
        <w:tc>
          <w:tcPr>
            <w:tcW w:type="dxa" w:w="6838"/>
            <w:tcMar>
              <w:top w:w="80" w:type="dxa"/>
              <w:start w:w="120" w:type="dxa"/>
              <w:bottom w:w="80" w:type="dxa"/>
              <w:end w:w="120" w:type="dxa"/>
            </w:tcMar>
            <w:vAlign w:val="center"/>
          </w:tcPr>
          <w:p>
            <w:pPr>
              <w:spacing w:before="0" w:after="0" w:line="240" w:lineRule="auto"/>
              <w:jc w:val="center"/>
            </w:pPr>
            <w:r/>
            <w:r>
              <w:rPr>
                <w:rFonts w:ascii="Arial" w:hAnsi="Arial" w:cs="Arial"/>
                <w:sz w:val="18"/>
              </w:rPr>
              <w:t>Militar</w:t>
            </w:r>
          </w:p>
        </w:tc>
      </w:tr>
    </w:tbl>
    <w:p>
      <w:pPr>
        <w:spacing w:after="40"/>
      </w:pPr>
    </w:p>
    <w:p>
      <w:pPr>
        <w:jc w:val="both"/>
      </w:pPr>
      <w:r>
        <w:rPr>
          <w:rFonts w:ascii="Arial" w:hAnsi="Arial" w:cs="Arial"/>
          <w:sz w:val="22"/>
        </w:rPr>
        <w:t>No es una tercera instancia general. Conoce los recursos y asuntos que las leyes le atribuyen, especialmente casación y determinados procesos contra aforados.</w:t>
      </w:r>
    </w:p>
    <w:p>
      <w:pPr>
        <w:jc w:val="both"/>
      </w:pPr>
      <w:r>
        <w:rPr>
          <w:rFonts w:ascii="Arial" w:hAnsi="Arial" w:cs="Arial"/>
          <w:sz w:val="22"/>
        </w:rPr>
        <w:t>La Sala Quinta se rige por su legislación específica y supletoriamente por la LOPJ y las normas comunes a las demás Salas.</w:t>
      </w:r>
    </w:p>
    <w:p>
      <w:pPr>
        <w:pStyle w:val="Heading2"/>
        <w:keepNext/>
      </w:pPr>
      <w:r>
        <w:rPr>
          <w:rFonts w:ascii="Arial" w:hAnsi="Arial" w:cs="Arial"/>
          <w:sz w:val="25"/>
        </w:rPr>
        <w:t>5.4. Audiencia Nacional</w:t>
      </w:r>
    </w:p>
    <w:p>
      <w:pPr>
        <w:jc w:val="both"/>
      </w:pPr>
      <w:r>
        <w:rPr>
          <w:rFonts w:ascii="Arial" w:hAnsi="Arial" w:cs="Arial"/>
          <w:sz w:val="22"/>
        </w:rPr>
        <w:t>Tiene sede en Madrid y jurisdicción en toda España. Está integrada por:</w:t>
      </w:r>
    </w:p>
    <w:p>
      <w:pPr>
        <w:pStyle w:val="ListBullet"/>
      </w:pPr>
      <w:r>
        <w:rPr>
          <w:rFonts w:ascii="Arial" w:hAnsi="Arial" w:cs="Arial"/>
          <w:sz w:val="22"/>
        </w:rPr>
        <w:t>Sala de Apelación;</w:t>
      </w:r>
    </w:p>
    <w:p>
      <w:pPr>
        <w:pStyle w:val="ListBullet"/>
      </w:pPr>
      <w:r>
        <w:rPr>
          <w:rFonts w:ascii="Arial" w:hAnsi="Arial" w:cs="Arial"/>
          <w:sz w:val="22"/>
        </w:rPr>
        <w:t>Sala de lo Penal;</w:t>
      </w:r>
    </w:p>
    <w:p>
      <w:pPr>
        <w:pStyle w:val="ListBullet"/>
      </w:pPr>
      <w:r>
        <w:rPr>
          <w:rFonts w:ascii="Arial" w:hAnsi="Arial" w:cs="Arial"/>
          <w:sz w:val="22"/>
        </w:rPr>
        <w:t>Sala de lo Contencioso-Administrativo;</w:t>
      </w:r>
    </w:p>
    <w:p>
      <w:pPr>
        <w:pStyle w:val="ListBullet"/>
      </w:pPr>
      <w:r>
        <w:rPr>
          <w:rFonts w:ascii="Arial" w:hAnsi="Arial" w:cs="Arial"/>
          <w:sz w:val="22"/>
        </w:rPr>
        <w:t>Sala de lo Social.</w:t>
      </w:r>
    </w:p>
    <w:p>
      <w:pPr>
        <w:jc w:val="both"/>
      </w:pPr>
      <w:r>
        <w:rPr>
          <w:rFonts w:ascii="Arial" w:hAnsi="Arial" w:cs="Arial"/>
          <w:sz w:val="22"/>
        </w:rPr>
        <w:t>Conoce materias de especial relevancia o ámbito nacional que la ley le atribuye. No tiene Sala de lo Civil y no es el órgano superior de todos los órdenes; ese es el Tribunal Supremo.</w:t>
      </w:r>
    </w:p>
    <w:p>
      <w:pPr>
        <w:jc w:val="both"/>
      </w:pPr>
      <w:r>
        <w:rPr>
          <w:rFonts w:ascii="Arial" w:hAnsi="Arial" w:cs="Arial"/>
          <w:sz w:val="22"/>
        </w:rPr>
        <w:t>Tras la reforma, la Audiencia Nacional coexiste con el Tribunal Central de Instancia. La primera conserva sus Salas colegiadas; el segundo integra las antiguas plazas de Juzgados Centrales.</w:t>
      </w:r>
    </w:p>
    <w:p>
      <w:pPr>
        <w:pStyle w:val="Heading2"/>
        <w:keepNext/>
      </w:pPr>
      <w:r>
        <w:rPr>
          <w:rFonts w:ascii="Arial" w:hAnsi="Arial" w:cs="Arial"/>
          <w:sz w:val="25"/>
        </w:rPr>
        <w:t>5.5. Tribunal Central de Instancia</w:t>
      </w:r>
    </w:p>
    <w:p>
      <w:pPr>
        <w:jc w:val="both"/>
      </w:pPr>
      <w:r>
        <w:rPr>
          <w:rFonts w:ascii="Arial" w:hAnsi="Arial" w:cs="Arial"/>
          <w:sz w:val="22"/>
        </w:rPr>
        <w:t xml:space="preserve">Existe en Madrid y tiene jurisdicción en todo el territorio nacional. Se constituyó el </w:t>
      </w:r>
      <w:r>
        <w:rPr>
          <w:rFonts w:ascii="Arial" w:hAnsi="Arial" w:cs="Arial"/>
          <w:b/>
          <w:sz w:val="22"/>
        </w:rPr>
        <w:t>31 de diciembre de 2025</w:t>
      </w:r>
      <w:r>
        <w:rPr>
          <w:rFonts w:ascii="Arial" w:hAnsi="Arial" w:cs="Arial"/>
          <w:sz w:val="22"/>
        </w:rPr>
        <w:t xml:space="preserve"> mediante transformación de los anteriores Juzgados Centrales.</w:t>
      </w:r>
    </w:p>
    <w:p>
      <w:pPr>
        <w:jc w:val="both"/>
      </w:pPr>
      <w:r>
        <w:rPr>
          <w:rFonts w:ascii="Arial" w:hAnsi="Arial" w:cs="Arial"/>
          <w:sz w:val="22"/>
        </w:rPr>
        <w:t>Cuenta con cinco Secciones:</w:t>
      </w:r>
    </w:p>
    <w:p>
      <w:pPr>
        <w:spacing w:after="40"/>
        <w:ind w:left="369" w:hanging="227"/>
      </w:pPr>
      <w:r>
        <w:rPr>
          <w:rFonts w:ascii="Arial" w:hAnsi="Arial" w:cs="Arial"/>
          <w:sz w:val="22"/>
        </w:rPr>
        <w:t xml:space="preserve">1. </w:t>
      </w:r>
      <w:r>
        <w:rPr>
          <w:rFonts w:ascii="Arial" w:hAnsi="Arial" w:cs="Arial"/>
          <w:b/>
          <w:sz w:val="22"/>
        </w:rPr>
        <w:t>Sección de Instrucción</w:t>
      </w:r>
      <w:r>
        <w:rPr>
          <w:rFonts w:ascii="Arial" w:hAnsi="Arial" w:cs="Arial"/>
          <w:sz w:val="22"/>
        </w:rPr>
        <w:t>: instruye causas cuyo enjuiciamiento corresponde a la Sala Penal de la Audiencia Nacional o, cuando proceda, a la Sección Penal del propio Tribunal; tramita, entre otros, órdenes europeas de detención, extradición pasiva y funciones de garantías vinculadas a la Fiscalía Europea.</w:t>
      </w:r>
    </w:p>
    <w:p>
      <w:pPr>
        <w:spacing w:after="40"/>
        <w:ind w:left="369" w:hanging="227"/>
      </w:pPr>
      <w:r>
        <w:rPr>
          <w:rFonts w:ascii="Arial" w:hAnsi="Arial" w:cs="Arial"/>
          <w:sz w:val="22"/>
        </w:rPr>
        <w:t xml:space="preserve">2. </w:t>
      </w:r>
      <w:r>
        <w:rPr>
          <w:rFonts w:ascii="Arial" w:hAnsi="Arial" w:cs="Arial"/>
          <w:b/>
          <w:sz w:val="22"/>
        </w:rPr>
        <w:t>Sección de lo Penal</w:t>
      </w:r>
      <w:r>
        <w:rPr>
          <w:rFonts w:ascii="Arial" w:hAnsi="Arial" w:cs="Arial"/>
          <w:sz w:val="22"/>
        </w:rPr>
        <w:t>: enjuicia las causas que las leyes procesales le atribuyen entre las materias del artículo 65 y ejecuta sus sentencias.</w:t>
      </w:r>
    </w:p>
    <w:p>
      <w:pPr>
        <w:spacing w:after="40"/>
        <w:ind w:left="369" w:hanging="227"/>
      </w:pPr>
      <w:r>
        <w:rPr>
          <w:rFonts w:ascii="Arial" w:hAnsi="Arial" w:cs="Arial"/>
          <w:sz w:val="22"/>
        </w:rPr>
        <w:t xml:space="preserve">3. </w:t>
      </w:r>
      <w:r>
        <w:rPr>
          <w:rFonts w:ascii="Arial" w:hAnsi="Arial" w:cs="Arial"/>
          <w:b/>
          <w:sz w:val="22"/>
        </w:rPr>
        <w:t>Sección de Menores</w:t>
      </w:r>
      <w:r>
        <w:rPr>
          <w:rFonts w:ascii="Arial" w:hAnsi="Arial" w:cs="Arial"/>
          <w:sz w:val="22"/>
        </w:rPr>
        <w:t>: conoce los asuntos de responsabilidad penal de menores atribuidos legalmente y ciertos instrumentos de reconocimiento mutuo.</w:t>
      </w:r>
    </w:p>
    <w:p>
      <w:pPr>
        <w:spacing w:after="40"/>
        <w:ind w:left="369" w:hanging="227"/>
      </w:pPr>
      <w:r>
        <w:rPr>
          <w:rFonts w:ascii="Arial" w:hAnsi="Arial" w:cs="Arial"/>
          <w:sz w:val="22"/>
        </w:rPr>
        <w:t xml:space="preserve">4. </w:t>
      </w:r>
      <w:r>
        <w:rPr>
          <w:rFonts w:ascii="Arial" w:hAnsi="Arial" w:cs="Arial"/>
          <w:b/>
          <w:sz w:val="22"/>
        </w:rPr>
        <w:t>Sección de Vigilancia Penitenciaria</w:t>
      </w:r>
      <w:r>
        <w:rPr>
          <w:rFonts w:ascii="Arial" w:hAnsi="Arial" w:cs="Arial"/>
          <w:sz w:val="22"/>
        </w:rPr>
        <w:t>: ejerce sus funciones respecto de delitos competencia de la Audiencia Nacional; su competencia puede ser preferente y excluyente cuando se cumplan también otras condenas.</w:t>
      </w:r>
    </w:p>
    <w:p>
      <w:pPr>
        <w:spacing w:after="40"/>
        <w:ind w:left="369" w:hanging="227"/>
      </w:pPr>
      <w:r>
        <w:rPr>
          <w:rFonts w:ascii="Arial" w:hAnsi="Arial" w:cs="Arial"/>
          <w:sz w:val="22"/>
        </w:rPr>
        <w:t xml:space="preserve">5. </w:t>
      </w:r>
      <w:r>
        <w:rPr>
          <w:rFonts w:ascii="Arial" w:hAnsi="Arial" w:cs="Arial"/>
          <w:b/>
          <w:sz w:val="22"/>
        </w:rPr>
        <w:t>Sección de lo Contencioso-Administrativo</w:t>
      </w:r>
      <w:r>
        <w:rPr>
          <w:rFonts w:ascii="Arial" w:hAnsi="Arial" w:cs="Arial"/>
          <w:sz w:val="22"/>
        </w:rPr>
        <w:t>: conoce, en primera o única instancia, recursos contra disposiciones y actos de autoridades y entidades con competencia nacional en los términos legales, además de otras autorizaciones específicas.</w:t>
      </w:r>
    </w:p>
    <w:p>
      <w:pPr>
        <w:jc w:val="both"/>
      </w:pPr>
      <w:r>
        <w:rPr>
          <w:rFonts w:ascii="Arial" w:hAnsi="Arial" w:cs="Arial"/>
          <w:sz w:val="22"/>
        </w:rPr>
        <w:t>No cuenta con Sección Civil ni Social. Tampoco debe confundirse con la Audiencia Nacional: son órganos diferentes y coordinados en sus competencias.</w:t>
      </w:r>
    </w:p>
    <w:p>
      <w:pPr>
        <w:pStyle w:val="Heading2"/>
        <w:keepNext/>
      </w:pPr>
      <w:r>
        <w:rPr>
          <w:rFonts w:ascii="Arial" w:hAnsi="Arial" w:cs="Arial"/>
          <w:sz w:val="25"/>
        </w:rPr>
        <w:t>5.6. Tribunales Superiores de Justicia</w:t>
      </w:r>
    </w:p>
    <w:p>
      <w:pPr>
        <w:jc w:val="both"/>
      </w:pPr>
      <w:r>
        <w:rPr>
          <w:rFonts w:ascii="Arial" w:hAnsi="Arial" w:cs="Arial"/>
          <w:sz w:val="22"/>
        </w:rPr>
        <w:t>Cada Comunidad Autónoma tiene un Tribunal Superior de Justicia —TSJ— que culmina la organización judicial en su territorio, sin perjuicio de la jurisdicción del Tribunal Supremo. Toma el nombre de la Comunidad y extiende a ella su jurisdicción.</w:t>
      </w:r>
    </w:p>
    <w:p>
      <w:pPr>
        <w:jc w:val="both"/>
      </w:pPr>
      <w:r>
        <w:rPr>
          <w:rFonts w:ascii="Arial" w:hAnsi="Arial" w:cs="Arial"/>
          <w:sz w:val="22"/>
        </w:rPr>
        <w:t>Está integrado por:</w:t>
      </w:r>
    </w:p>
    <w:p>
      <w:pPr>
        <w:pStyle w:val="ListBullet"/>
      </w:pPr>
      <w:r>
        <w:rPr>
          <w:rFonts w:ascii="Arial" w:hAnsi="Arial" w:cs="Arial"/>
          <w:sz w:val="22"/>
        </w:rPr>
        <w:t>Sala de lo Civil y Penal;</w:t>
      </w:r>
    </w:p>
    <w:p>
      <w:pPr>
        <w:pStyle w:val="ListBullet"/>
      </w:pPr>
      <w:r>
        <w:rPr>
          <w:rFonts w:ascii="Arial" w:hAnsi="Arial" w:cs="Arial"/>
          <w:sz w:val="22"/>
        </w:rPr>
        <w:t>Sala de lo Contencioso-Administrativo;</w:t>
      </w:r>
    </w:p>
    <w:p>
      <w:pPr>
        <w:pStyle w:val="ListBullet"/>
      </w:pPr>
      <w:r>
        <w:rPr>
          <w:rFonts w:ascii="Arial" w:hAnsi="Arial" w:cs="Arial"/>
          <w:sz w:val="22"/>
        </w:rPr>
        <w:t>Sala de lo Social.</w:t>
      </w:r>
    </w:p>
    <w:p>
      <w:pPr>
        <w:jc w:val="both"/>
      </w:pPr>
      <w:r>
        <w:rPr>
          <w:rFonts w:ascii="Arial" w:hAnsi="Arial" w:cs="Arial"/>
          <w:sz w:val="22"/>
        </w:rPr>
        <w:t>El TSJ no es un tribunal autonómico externo al Poder Judicial estatal. Su Sala Civil y Penal conoce determinadas materias civiles forales o especiales y causas penales, además de recursos y competencias legales; las otras Salas conocen materias contenciosas y sociales de ámbito autonómico.</w:t>
      </w:r>
    </w:p>
    <w:p>
      <w:pPr>
        <w:pStyle w:val="Heading2"/>
        <w:keepNext/>
      </w:pPr>
      <w:r>
        <w:rPr>
          <w:rFonts w:ascii="Arial" w:hAnsi="Arial" w:cs="Arial"/>
          <w:sz w:val="25"/>
        </w:rPr>
        <w:t>5.7. Audiencias Provinciales</w:t>
      </w:r>
    </w:p>
    <w:p>
      <w:pPr>
        <w:jc w:val="both"/>
      </w:pPr>
      <w:r>
        <w:rPr>
          <w:rFonts w:ascii="Arial" w:hAnsi="Arial" w:cs="Arial"/>
          <w:sz w:val="22"/>
        </w:rPr>
        <w:t>Tienen su sede ordinaria en la capital de provincia, cuyo nombre adoptan, y jurisdicción en toda ella. Pueden existir Secciones fuera de la capital adscritas a uno o varios partidos.</w:t>
      </w:r>
    </w:p>
    <w:p>
      <w:pPr>
        <w:jc w:val="both"/>
      </w:pPr>
      <w:r>
        <w:rPr>
          <w:rFonts w:ascii="Arial" w:hAnsi="Arial" w:cs="Arial"/>
          <w:sz w:val="22"/>
        </w:rPr>
        <w:t>Actúan en los órdenes civil y penal:</w:t>
      </w:r>
    </w:p>
    <w:p>
      <w:pPr>
        <w:pStyle w:val="ListBullet"/>
      </w:pPr>
      <w:r>
        <w:rPr>
          <w:rFonts w:ascii="Arial" w:hAnsi="Arial" w:cs="Arial"/>
          <w:sz w:val="22"/>
        </w:rPr>
        <w:t>conocen recursos contra resoluciones de las correspondientes Secciones de los Tribunales de Instancia;</w:t>
      </w:r>
    </w:p>
    <w:p>
      <w:pPr>
        <w:pStyle w:val="ListBullet"/>
      </w:pPr>
      <w:r>
        <w:rPr>
          <w:rFonts w:ascii="Arial" w:hAnsi="Arial" w:cs="Arial"/>
          <w:sz w:val="22"/>
        </w:rPr>
        <w:t>conocen en primera instancia determinadas causas penales atribuidas por ley;</w:t>
      </w:r>
    </w:p>
    <w:p>
      <w:pPr>
        <w:pStyle w:val="ListBullet"/>
      </w:pPr>
      <w:r>
        <w:rPr>
          <w:rFonts w:ascii="Arial" w:hAnsi="Arial" w:cs="Arial"/>
          <w:sz w:val="22"/>
        </w:rPr>
        <w:t>resuelven otras cuestiones de competencia y recusación.</w:t>
      </w:r>
    </w:p>
    <w:p>
      <w:pPr>
        <w:jc w:val="both"/>
      </w:pPr>
      <w:r>
        <w:rPr>
          <w:rFonts w:ascii="Arial" w:hAnsi="Arial" w:cs="Arial"/>
          <w:sz w:val="22"/>
        </w:rPr>
        <w:t>Son órganos colegiados, aunque para ciertos recursos legalmente previstos pueden constituirse con un solo magistrado mediante turno.</w:t>
      </w:r>
    </w:p>
    <w:p>
      <w:pPr>
        <w:pStyle w:val="Heading2"/>
        <w:keepNext/>
      </w:pPr>
      <w:r>
        <w:rPr>
          <w:rFonts w:ascii="Arial" w:hAnsi="Arial" w:cs="Arial"/>
          <w:sz w:val="25"/>
        </w:rPr>
        <w:t>5.8. Tribunales de Instancia</w:t>
      </w:r>
    </w:p>
    <w:p>
      <w:pPr>
        <w:jc w:val="both"/>
      </w:pPr>
      <w:r>
        <w:rPr>
          <w:rFonts w:ascii="Arial" w:hAnsi="Arial" w:cs="Arial"/>
          <w:sz w:val="22"/>
        </w:rPr>
        <w:t>Hay un Tribunal de Instancia en cada partido judicial, con sede en su capital, de la que toma el nombre.</w:t>
      </w:r>
    </w:p>
    <w:p>
      <w:pPr>
        <w:pStyle w:val="Heading3"/>
        <w:keepNext/>
      </w:pPr>
      <w:r>
        <w:rPr>
          <w:rFonts w:ascii="Arial" w:hAnsi="Arial" w:cs="Arial"/>
          <w:sz w:val="23"/>
        </w:rPr>
        <w:t>Estructura básica</w:t>
      </w:r>
    </w:p>
    <w:p>
      <w:pPr>
        <w:jc w:val="both"/>
      </w:pPr>
      <w:r>
        <w:rPr>
          <w:rFonts w:ascii="Arial" w:hAnsi="Arial" w:cs="Arial"/>
          <w:sz w:val="22"/>
        </w:rPr>
        <w:t xml:space="preserve">Como regla se integra por una </w:t>
      </w:r>
      <w:r>
        <w:rPr>
          <w:rFonts w:ascii="Arial" w:hAnsi="Arial" w:cs="Arial"/>
          <w:b/>
          <w:sz w:val="22"/>
        </w:rPr>
        <w:t>Sección Única, Civil y de Instrucción</w:t>
      </w:r>
      <w:r>
        <w:rPr>
          <w:rFonts w:ascii="Arial" w:hAnsi="Arial" w:cs="Arial"/>
          <w:sz w:val="22"/>
        </w:rPr>
        <w:t>. Cuando lo determina la Ley de Demarcación y Planta, existen por separado:</w:t>
      </w:r>
    </w:p>
    <w:p>
      <w:pPr>
        <w:pStyle w:val="ListBullet"/>
      </w:pPr>
      <w:r>
        <w:rPr>
          <w:rFonts w:ascii="Arial" w:hAnsi="Arial" w:cs="Arial"/>
          <w:sz w:val="22"/>
        </w:rPr>
        <w:t>Sección Civil;</w:t>
      </w:r>
    </w:p>
    <w:p>
      <w:pPr>
        <w:pStyle w:val="ListBullet"/>
      </w:pPr>
      <w:r>
        <w:rPr>
          <w:rFonts w:ascii="Arial" w:hAnsi="Arial" w:cs="Arial"/>
          <w:sz w:val="22"/>
        </w:rPr>
        <w:t>Sección de Instrucción.</w:t>
      </w:r>
    </w:p>
    <w:p>
      <w:pPr>
        <w:jc w:val="both"/>
      </w:pPr>
      <w:r>
        <w:rPr>
          <w:rFonts w:ascii="Arial" w:hAnsi="Arial" w:cs="Arial"/>
          <w:sz w:val="22"/>
        </w:rPr>
        <w:t>Además, puede tener una o varias Secciones de:</w:t>
      </w:r>
    </w:p>
    <w:p>
      <w:pPr>
        <w:spacing w:after="40"/>
        <w:ind w:left="369" w:hanging="227"/>
      </w:pPr>
      <w:r>
        <w:rPr>
          <w:rFonts w:ascii="Arial" w:hAnsi="Arial" w:cs="Arial"/>
          <w:sz w:val="22"/>
        </w:rPr>
        <w:t>1. Familia, Infancia y Capacidad;</w:t>
      </w:r>
    </w:p>
    <w:p>
      <w:pPr>
        <w:spacing w:after="40"/>
        <w:ind w:left="369" w:hanging="227"/>
      </w:pPr>
      <w:r>
        <w:rPr>
          <w:rFonts w:ascii="Arial" w:hAnsi="Arial" w:cs="Arial"/>
          <w:sz w:val="22"/>
        </w:rPr>
        <w:t>2. Mercantil;</w:t>
      </w:r>
    </w:p>
    <w:p>
      <w:pPr>
        <w:spacing w:after="40"/>
        <w:ind w:left="369" w:hanging="227"/>
      </w:pPr>
      <w:r>
        <w:rPr>
          <w:rFonts w:ascii="Arial" w:hAnsi="Arial" w:cs="Arial"/>
          <w:sz w:val="22"/>
        </w:rPr>
        <w:t>3. Violencia sobre la Mujer;</w:t>
      </w:r>
    </w:p>
    <w:p>
      <w:pPr>
        <w:spacing w:after="40"/>
        <w:ind w:left="369" w:hanging="227"/>
      </w:pPr>
      <w:r>
        <w:rPr>
          <w:rFonts w:ascii="Arial" w:hAnsi="Arial" w:cs="Arial"/>
          <w:sz w:val="22"/>
        </w:rPr>
        <w:t>4. Violencia contra la Infancia y la Adolescencia;</w:t>
      </w:r>
    </w:p>
    <w:p>
      <w:pPr>
        <w:spacing w:after="40"/>
        <w:ind w:left="369" w:hanging="227"/>
      </w:pPr>
      <w:r>
        <w:rPr>
          <w:rFonts w:ascii="Arial" w:hAnsi="Arial" w:cs="Arial"/>
          <w:sz w:val="22"/>
        </w:rPr>
        <w:t>5. Penal;</w:t>
      </w:r>
    </w:p>
    <w:p>
      <w:pPr>
        <w:spacing w:after="40"/>
        <w:ind w:left="369" w:hanging="227"/>
      </w:pPr>
      <w:r>
        <w:rPr>
          <w:rFonts w:ascii="Arial" w:hAnsi="Arial" w:cs="Arial"/>
          <w:sz w:val="22"/>
        </w:rPr>
        <w:t>6. Menores;</w:t>
      </w:r>
    </w:p>
    <w:p>
      <w:pPr>
        <w:spacing w:after="40"/>
        <w:ind w:left="369" w:hanging="227"/>
      </w:pPr>
      <w:r>
        <w:rPr>
          <w:rFonts w:ascii="Arial" w:hAnsi="Arial" w:cs="Arial"/>
          <w:sz w:val="22"/>
        </w:rPr>
        <w:t>7. Vigilancia Penitenciaria;</w:t>
      </w:r>
    </w:p>
    <w:p>
      <w:pPr>
        <w:spacing w:after="40"/>
        <w:ind w:left="369" w:hanging="227"/>
      </w:pPr>
      <w:r>
        <w:rPr>
          <w:rFonts w:ascii="Arial" w:hAnsi="Arial" w:cs="Arial"/>
          <w:sz w:val="22"/>
        </w:rPr>
        <w:t>8. Contencioso-Administrativo;</w:t>
      </w:r>
    </w:p>
    <w:p>
      <w:pPr>
        <w:spacing w:after="40"/>
        <w:ind w:left="369" w:hanging="227"/>
      </w:pPr>
      <w:r>
        <w:rPr>
          <w:rFonts w:ascii="Arial" w:hAnsi="Arial" w:cs="Arial"/>
          <w:sz w:val="22"/>
        </w:rPr>
        <w:t>9. Social.</w:t>
      </w:r>
    </w:p>
    <w:p>
      <w:pPr>
        <w:jc w:val="both"/>
      </w:pPr>
      <w:r>
        <w:rPr>
          <w:rFonts w:ascii="Arial" w:hAnsi="Arial" w:cs="Arial"/>
          <w:sz w:val="22"/>
        </w:rPr>
        <w:t>Cada Tribunal cuenta con una Presidencia. Una Sección tendrá Presidencia propia cuando concurran simultáneamente:</w:t>
      </w:r>
    </w:p>
    <w:p>
      <w:pPr>
        <w:pStyle w:val="ListBullet"/>
      </w:pPr>
      <w:r>
        <w:rPr>
          <w:rFonts w:ascii="Arial" w:hAnsi="Arial" w:cs="Arial"/>
          <w:sz w:val="22"/>
        </w:rPr>
        <w:t>dos o más Secciones en el Tribunal;</w:t>
      </w:r>
    </w:p>
    <w:p>
      <w:pPr>
        <w:pStyle w:val="ListBullet"/>
      </w:pPr>
      <w:r>
        <w:rPr>
          <w:rFonts w:ascii="Arial" w:hAnsi="Arial" w:cs="Arial"/>
          <w:sz w:val="22"/>
        </w:rPr>
        <w:t>ocho o más plazas judiciales en esa Sección;</w:t>
      </w:r>
    </w:p>
    <w:p>
      <w:pPr>
        <w:pStyle w:val="ListBullet"/>
      </w:pPr>
      <w:r>
        <w:rPr>
          <w:rFonts w:ascii="Arial" w:hAnsi="Arial" w:cs="Arial"/>
          <w:sz w:val="22"/>
        </w:rPr>
        <w:t>doce o más plazas judiciales en total en el Tribunal.</w:t>
      </w:r>
    </w:p>
    <w:p>
      <w:pPr>
        <w:pStyle w:val="Heading3"/>
        <w:keepNext/>
      </w:pPr>
      <w:r>
        <w:rPr>
          <w:rFonts w:ascii="Arial" w:hAnsi="Arial" w:cs="Arial"/>
          <w:sz w:val="23"/>
        </w:rPr>
        <w:t>Carácter organizativo y ejercicio individual</w:t>
      </w:r>
    </w:p>
    <w:p>
      <w:pPr>
        <w:jc w:val="both"/>
      </w:pPr>
      <w:r>
        <w:rPr>
          <w:rFonts w:ascii="Arial" w:hAnsi="Arial" w:cs="Arial"/>
          <w:sz w:val="22"/>
        </w:rPr>
        <w:t>La palabra “Tribunal” puede inducir a error. La LO 1/2025 crea una organización colegiada para racionalizar recursos, pero la función jurisdiccional sigue correspondiendo individualmente a los jueces y magistrados destinados en las Secciones.</w:t>
      </w:r>
    </w:p>
    <w:p>
      <w:pPr>
        <w:jc w:val="both"/>
      </w:pPr>
      <w:r>
        <w:rPr>
          <w:rFonts w:ascii="Arial" w:hAnsi="Arial" w:cs="Arial"/>
          <w:sz w:val="22"/>
        </w:rPr>
        <w:t>La adscripción es funcional. En ciertos casos y con acuerdo del CGPJ, un juez de una Sección puede conocer asuntos nuevos de otra del mismo orden jurisdiccional. También puede formarse un equipo de tres jueces para procedimientos especialmente complejos, pero ello no transforma todos los asuntos en decisiones colegiadas.</w:t>
      </w:r>
    </w:p>
    <w:p>
      <w:pPr>
        <w:pStyle w:val="Heading3"/>
        <w:keepNext/>
      </w:pPr>
      <w:r>
        <w:rPr>
          <w:rFonts w:ascii="Arial" w:hAnsi="Arial" w:cs="Arial"/>
          <w:sz w:val="23"/>
        </w:rPr>
        <w:t>Competencias generales de las Secciones</w:t>
      </w:r>
    </w:p>
    <w:p>
      <w:pPr>
        <w:jc w:val="both"/>
      </w:pPr>
      <w:r>
        <w:rPr>
          <w:rFonts w:ascii="Arial" w:hAnsi="Arial" w:cs="Arial"/>
          <w:sz w:val="22"/>
        </w:rPr>
        <w:t>Sin sustituir las leyes procesales, puede usarse este mapa:</w:t>
      </w:r>
    </w:p>
    <w:tbl>
      <w:tblPr>
        <w:tblStyle w:val="TableGrid"/>
        <w:tblW w:type="dxa" w:w="9026"/>
        <w:jc w:val="left"/>
        <w:tblLayout w:type="fixed"/>
        <w:tblLook w:firstColumn="1" w:firstRow="1" w:lastColumn="0" w:lastRow="0" w:noHBand="0" w:noVBand="1" w:val="04A0"/>
        <w:tblInd w:w="120" w:type="dxa"/>
      </w:tblPr>
      <w:tblGrid>
        <w:gridCol w:w="3385"/>
        <w:gridCol w:w="5641"/>
      </w:tblGrid>
      <w:tr>
        <w:trPr>
          <w:tblHeader w:val="true"/>
        </w:trPr>
        <w:tc>
          <w:tcPr>
            <w:tcW w:type="dxa" w:w="338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Sección</w:t>
            </w:r>
          </w:p>
        </w:tc>
        <w:tc>
          <w:tcPr>
            <w:tcW w:type="dxa" w:w="564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Función general</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Civil / Civil e Instrucción</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Primera instancia civil y funciones civiles atribuidas; en la mixta, también instrucción</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Instrucción</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Investigación penal y otras funciones de garantía</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Familia, Infancia y Capacidad</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Materias familiares, de infancia y capacidad atribuidas</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Mercantil</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Concursal, societario y demás materias mercantiles legales</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Violencia sobre la Mujer</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Competencias penales y civiles conexas legalmente fijadas</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Violencia contra Infancia y Adolescencia</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Investigación y funciones especializadas previstas</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Penal</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Enjuiciamiento de delitos que la ley atribuye</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Menores</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Responsabilidad penal de menores</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Vigilancia Penitenciaria</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Ejecución penitenciaria y derechos de internos</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Contencioso-Administrativo</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Control en primera instancia de actividad administrativa atribuida</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Social</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Procesos laborales y de Seguridad Social atribuidos</w:t>
            </w:r>
          </w:p>
        </w:tc>
      </w:tr>
    </w:tbl>
    <w:p>
      <w:pPr>
        <w:spacing w:after="40"/>
      </w:pPr>
    </w:p>
    <w:p>
      <w:pPr>
        <w:pStyle w:val="Heading2"/>
        <w:keepNext/>
      </w:pPr>
      <w:r>
        <w:rPr>
          <w:rFonts w:ascii="Arial" w:hAnsi="Arial" w:cs="Arial"/>
          <w:sz w:val="25"/>
        </w:rPr>
        <w:t>5.9. Jueces y juezas de paz</w:t>
      </w:r>
    </w:p>
    <w:p>
      <w:pPr>
        <w:jc w:val="both"/>
      </w:pPr>
      <w:r>
        <w:rPr>
          <w:rFonts w:ascii="Arial" w:hAnsi="Arial" w:cs="Arial"/>
          <w:sz w:val="22"/>
        </w:rPr>
        <w:t>En cada municipio donde no exista Tribunal de Instancia hay un juez o jueza de paz con jurisdicción en el término municipal.</w:t>
      </w:r>
    </w:p>
    <w:p>
      <w:pPr>
        <w:jc w:val="both"/>
      </w:pPr>
      <w:r>
        <w:rPr>
          <w:rFonts w:ascii="Arial" w:hAnsi="Arial" w:cs="Arial"/>
          <w:sz w:val="22"/>
        </w:rPr>
        <w:t>Conocen los asuntos civiles y penales leves que la ley les atribuye y funciones de auxilio y prevención. Los titulares y sustitutos son nombrados por cuatro años por la Sala de Gobierno del TSJ entre las personas elegidas por el Ayuntamiento.</w:t>
      </w:r>
    </w:p>
    <w:p>
      <w:pPr>
        <w:jc w:val="both"/>
      </w:pPr>
      <w:r>
        <w:rPr>
          <w:rFonts w:ascii="Arial" w:hAnsi="Arial" w:cs="Arial"/>
          <w:sz w:val="22"/>
        </w:rPr>
        <w:t>El Pleno municipal los elige por mayoría absoluta. No es necesario pertenecer a la carrera judicial, aunque deben reunirse las condiciones legales y no estar incursos en incompatibilidad.</w:t>
      </w:r>
    </w:p>
    <w:p>
      <w:pPr>
        <w:pStyle w:val="Heading2"/>
        <w:keepNext/>
      </w:pPr>
      <w:r>
        <w:rPr>
          <w:rFonts w:ascii="Arial" w:hAnsi="Arial" w:cs="Arial"/>
          <w:sz w:val="25"/>
        </w:rPr>
        <w:t>5.10. Órganos judiciales y órganos de gobierno</w:t>
      </w:r>
    </w:p>
    <w:p>
      <w:pPr>
        <w:jc w:val="both"/>
      </w:pPr>
      <w:r>
        <w:rPr>
          <w:rFonts w:ascii="Arial" w:hAnsi="Arial" w:cs="Arial"/>
          <w:sz w:val="22"/>
        </w:rPr>
        <w:t>Ejercen gobierno interno:</w:t>
      </w:r>
    </w:p>
    <w:p>
      <w:pPr>
        <w:pStyle w:val="ListBullet"/>
      </w:pPr>
      <w:r>
        <w:rPr>
          <w:rFonts w:ascii="Arial" w:hAnsi="Arial" w:cs="Arial"/>
          <w:sz w:val="22"/>
        </w:rPr>
        <w:t>Salas de Gobierno del Tribunal Supremo, Audiencia Nacional y TSJ;</w:t>
      </w:r>
    </w:p>
    <w:p>
      <w:pPr>
        <w:pStyle w:val="ListBullet"/>
      </w:pPr>
      <w:r>
        <w:rPr>
          <w:rFonts w:ascii="Arial" w:hAnsi="Arial" w:cs="Arial"/>
          <w:sz w:val="22"/>
        </w:rPr>
        <w:t>Presidentes de tribunales y Audiencias;</w:t>
      </w:r>
    </w:p>
    <w:p>
      <w:pPr>
        <w:pStyle w:val="ListBullet"/>
      </w:pPr>
      <w:r>
        <w:rPr>
          <w:rFonts w:ascii="Arial" w:hAnsi="Arial" w:cs="Arial"/>
          <w:sz w:val="22"/>
        </w:rPr>
        <w:t>Presidencias de Tribunales de Instancia y de sus Secciones;</w:t>
      </w:r>
    </w:p>
    <w:p>
      <w:pPr>
        <w:pStyle w:val="ListBullet"/>
      </w:pPr>
      <w:r>
        <w:rPr>
          <w:rFonts w:ascii="Arial" w:hAnsi="Arial" w:cs="Arial"/>
          <w:sz w:val="22"/>
        </w:rPr>
        <w:t>juntas de jueces;</w:t>
      </w:r>
    </w:p>
    <w:p>
      <w:pPr>
        <w:pStyle w:val="ListBullet"/>
      </w:pPr>
      <w:r>
        <w:rPr>
          <w:rFonts w:ascii="Arial" w:hAnsi="Arial" w:cs="Arial"/>
          <w:sz w:val="22"/>
        </w:rPr>
        <w:t>jueces decanos en la dimensión que conserve la regulación transitoria u organizativa.</w:t>
      </w:r>
    </w:p>
    <w:p>
      <w:pPr>
        <w:jc w:val="both"/>
      </w:pPr>
      <w:r>
        <w:rPr>
          <w:rFonts w:ascii="Arial" w:hAnsi="Arial" w:cs="Arial"/>
          <w:sz w:val="22"/>
        </w:rPr>
        <w:t>Sus acuerdos ordenan funcionamiento, reparto, sustituciones, inspección y disciplina interna. No son órganos jurisdiccionales adicionales ni pueden revisar el fondo de sentencias.</w:t>
      </w:r>
    </w:p>
    <w:p>
      <w:pPr>
        <w:pStyle w:val="Heading1"/>
        <w:keepNext/>
      </w:pPr>
      <w:r>
        <w:rPr>
          <w:rFonts w:ascii="Arial" w:hAnsi="Arial" w:cs="Arial"/>
          <w:sz w:val="30"/>
        </w:rPr>
        <w:t>6. Reforma de la organización por la Ley Orgánica 1/2025</w:t>
      </w:r>
    </w:p>
    <w:p>
      <w:pPr>
        <w:pStyle w:val="Heading2"/>
        <w:keepNext/>
      </w:pPr>
      <w:r>
        <w:rPr>
          <w:rFonts w:ascii="Arial" w:hAnsi="Arial" w:cs="Arial"/>
          <w:sz w:val="25"/>
        </w:rPr>
        <w:t>6.1. Finalidad</w:t>
      </w:r>
    </w:p>
    <w:p>
      <w:pPr>
        <w:jc w:val="both"/>
      </w:pPr>
      <w:r>
        <w:rPr>
          <w:rFonts w:ascii="Arial" w:hAnsi="Arial" w:cs="Arial"/>
          <w:sz w:val="22"/>
        </w:rPr>
        <w:t>La reforma sustituyó la dispersión de juzgados unipersonales del mismo partido por una estructura común de Tribunal de Instancia y Secciones. Sus objetivos declarados son:</w:t>
      </w:r>
    </w:p>
    <w:p>
      <w:pPr>
        <w:pStyle w:val="ListBullet"/>
      </w:pPr>
      <w:r>
        <w:rPr>
          <w:rFonts w:ascii="Arial" w:hAnsi="Arial" w:cs="Arial"/>
          <w:sz w:val="22"/>
        </w:rPr>
        <w:t>facilitar especialización;</w:t>
      </w:r>
    </w:p>
    <w:p>
      <w:pPr>
        <w:pStyle w:val="ListBullet"/>
      </w:pPr>
      <w:r>
        <w:rPr>
          <w:rFonts w:ascii="Arial" w:hAnsi="Arial" w:cs="Arial"/>
          <w:sz w:val="22"/>
        </w:rPr>
        <w:t>equilibrar cargas;</w:t>
      </w:r>
    </w:p>
    <w:p>
      <w:pPr>
        <w:pStyle w:val="ListBullet"/>
      </w:pPr>
      <w:r>
        <w:rPr>
          <w:rFonts w:ascii="Arial" w:hAnsi="Arial" w:cs="Arial"/>
          <w:sz w:val="22"/>
        </w:rPr>
        <w:t>compartir organización y medios;</w:t>
      </w:r>
    </w:p>
    <w:p>
      <w:pPr>
        <w:pStyle w:val="ListBullet"/>
      </w:pPr>
      <w:r>
        <w:rPr>
          <w:rFonts w:ascii="Arial" w:hAnsi="Arial" w:cs="Arial"/>
          <w:sz w:val="22"/>
        </w:rPr>
        <w:t>reducir desigualdades entre órganos;</w:t>
      </w:r>
    </w:p>
    <w:p>
      <w:pPr>
        <w:pStyle w:val="ListBullet"/>
      </w:pPr>
      <w:r>
        <w:rPr>
          <w:rFonts w:ascii="Arial" w:hAnsi="Arial" w:cs="Arial"/>
          <w:sz w:val="22"/>
        </w:rPr>
        <w:t>mejorar sustituciones y coordinación;</w:t>
      </w:r>
    </w:p>
    <w:p>
      <w:pPr>
        <w:pStyle w:val="ListBullet"/>
      </w:pPr>
      <w:r>
        <w:rPr>
          <w:rFonts w:ascii="Arial" w:hAnsi="Arial" w:cs="Arial"/>
          <w:sz w:val="22"/>
        </w:rPr>
        <w:t>mantener la independencia y responsabilidad individual al resolver.</w:t>
      </w:r>
    </w:p>
    <w:p>
      <w:pPr>
        <w:jc w:val="both"/>
      </w:pPr>
      <w:r>
        <w:rPr>
          <w:rFonts w:ascii="Arial" w:hAnsi="Arial" w:cs="Arial"/>
          <w:sz w:val="22"/>
        </w:rPr>
        <w:t>También desarrolló las Oficinas de Justicia en los municipios y servicios comunes. Las Oficinas prestan apoyo; no ejercen potestad jurisdiccional.</w:t>
      </w:r>
    </w:p>
    <w:p>
      <w:pPr>
        <w:pStyle w:val="Heading2"/>
        <w:keepNext/>
      </w:pPr>
      <w:r>
        <w:rPr>
          <w:rFonts w:ascii="Arial" w:hAnsi="Arial" w:cs="Arial"/>
          <w:sz w:val="25"/>
        </w:rPr>
        <w:t>6.2. Calendario de implantación</w:t>
      </w:r>
    </w:p>
    <w:p>
      <w:pPr>
        <w:jc w:val="both"/>
      </w:pPr>
      <w:r>
        <w:rPr>
          <w:rFonts w:ascii="Arial" w:hAnsi="Arial" w:cs="Arial"/>
          <w:sz w:val="22"/>
        </w:rPr>
        <w:t>La constitución fue escalonada:</w:t>
      </w:r>
    </w:p>
    <w:tbl>
      <w:tblPr>
        <w:tblStyle w:val="TableGrid"/>
        <w:tblW w:type="dxa" w:w="9026"/>
        <w:jc w:val="left"/>
        <w:tblLayout w:type="fixed"/>
        <w:tblLook w:firstColumn="1" w:firstRow="1" w:lastColumn="0" w:lastRow="0" w:noHBand="0" w:noVBand="1" w:val="04A0"/>
        <w:tblInd w:w="120" w:type="dxa"/>
      </w:tblPr>
      <w:tblGrid>
        <w:gridCol w:w="2171"/>
        <w:gridCol w:w="6855"/>
      </w:tblGrid>
      <w:tr>
        <w:trPr>
          <w:tblHeader w:val="true"/>
        </w:trPr>
        <w:tc>
          <w:tcPr>
            <w:tcW w:type="dxa" w:w="217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Fecha</w:t>
            </w:r>
          </w:p>
        </w:tc>
        <w:tc>
          <w:tcPr>
            <w:tcW w:type="dxa" w:w="685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Transformación</w:t>
            </w:r>
          </w:p>
        </w:tc>
      </w:tr>
      <w:tr>
        <w:tc>
          <w:tcPr>
            <w:tcW w:type="dxa" w:w="2171"/>
            <w:tcMar>
              <w:top w:w="80" w:type="dxa"/>
              <w:start w:w="120" w:type="dxa"/>
              <w:bottom w:w="80" w:type="dxa"/>
              <w:end w:w="120" w:type="dxa"/>
            </w:tcMar>
            <w:vAlign w:val="center"/>
          </w:tcPr>
          <w:p>
            <w:pPr>
              <w:spacing w:before="0" w:after="0" w:line="240" w:lineRule="auto"/>
              <w:jc w:val="left"/>
            </w:pPr>
            <w:r/>
            <w:r>
              <w:rPr>
                <w:rFonts w:ascii="Arial" w:hAnsi="Arial" w:cs="Arial"/>
                <w:sz w:val="18"/>
              </w:rPr>
              <w:t>1 de julio de 2025</w:t>
            </w:r>
          </w:p>
        </w:tc>
        <w:tc>
          <w:tcPr>
            <w:tcW w:type="dxa" w:w="6855"/>
            <w:tcMar>
              <w:top w:w="80" w:type="dxa"/>
              <w:start w:w="120" w:type="dxa"/>
              <w:bottom w:w="80" w:type="dxa"/>
              <w:end w:w="120" w:type="dxa"/>
            </w:tcMar>
            <w:vAlign w:val="center"/>
          </w:tcPr>
          <w:p>
            <w:pPr>
              <w:spacing w:before="0" w:after="0" w:line="240" w:lineRule="auto"/>
              <w:jc w:val="left"/>
            </w:pPr>
            <w:r/>
            <w:r>
              <w:rPr>
                <w:rFonts w:ascii="Arial" w:hAnsi="Arial" w:cs="Arial"/>
                <w:sz w:val="18"/>
              </w:rPr>
              <w:t>Juzgados de Primera Instancia e Instrucción y de Violencia sobre la Mujer en partidos sin otros tipos de juzgado</w:t>
            </w:r>
          </w:p>
        </w:tc>
      </w:tr>
      <w:tr>
        <w:tc>
          <w:tcPr>
            <w:tcW w:type="dxa" w:w="2171"/>
            <w:tcMar>
              <w:top w:w="80" w:type="dxa"/>
              <w:start w:w="120" w:type="dxa"/>
              <w:bottom w:w="80" w:type="dxa"/>
              <w:end w:w="120" w:type="dxa"/>
            </w:tcMar>
            <w:vAlign w:val="center"/>
          </w:tcPr>
          <w:p>
            <w:pPr>
              <w:spacing w:before="0" w:after="0" w:line="240" w:lineRule="auto"/>
              <w:jc w:val="left"/>
            </w:pPr>
            <w:r/>
            <w:r>
              <w:rPr>
                <w:rFonts w:ascii="Arial" w:hAnsi="Arial" w:cs="Arial"/>
                <w:sz w:val="18"/>
              </w:rPr>
              <w:t>1 de octubre de 2025</w:t>
            </w:r>
          </w:p>
        </w:tc>
        <w:tc>
          <w:tcPr>
            <w:tcW w:type="dxa" w:w="6855"/>
            <w:tcMar>
              <w:top w:w="80" w:type="dxa"/>
              <w:start w:w="120" w:type="dxa"/>
              <w:bottom w:w="80" w:type="dxa"/>
              <w:end w:w="120" w:type="dxa"/>
            </w:tcMar>
            <w:vAlign w:val="center"/>
          </w:tcPr>
          <w:p>
            <w:pPr>
              <w:spacing w:before="0" w:after="0" w:line="240" w:lineRule="auto"/>
              <w:jc w:val="left"/>
            </w:pPr>
            <w:r/>
            <w:r>
              <w:rPr>
                <w:rFonts w:ascii="Arial" w:hAnsi="Arial" w:cs="Arial"/>
                <w:sz w:val="18"/>
              </w:rPr>
              <w:t>Juzgados separados de Primera Instancia, Instrucción y Violencia sobre la Mujer en partidos sin otros tipos</w:t>
            </w:r>
          </w:p>
        </w:tc>
      </w:tr>
      <w:tr>
        <w:tc>
          <w:tcPr>
            <w:tcW w:type="dxa" w:w="2171"/>
            <w:tcMar>
              <w:top w:w="80" w:type="dxa"/>
              <w:start w:w="120" w:type="dxa"/>
              <w:bottom w:w="80" w:type="dxa"/>
              <w:end w:w="120" w:type="dxa"/>
            </w:tcMar>
            <w:vAlign w:val="center"/>
          </w:tcPr>
          <w:p>
            <w:pPr>
              <w:spacing w:before="0" w:after="0" w:line="240" w:lineRule="auto"/>
              <w:jc w:val="left"/>
            </w:pPr>
            <w:r/>
            <w:r>
              <w:rPr>
                <w:rFonts w:ascii="Arial" w:hAnsi="Arial" w:cs="Arial"/>
                <w:sz w:val="18"/>
              </w:rPr>
              <w:t>31 de diciembre de 2025</w:t>
            </w:r>
          </w:p>
        </w:tc>
        <w:tc>
          <w:tcPr>
            <w:tcW w:type="dxa" w:w="6855"/>
            <w:tcMar>
              <w:top w:w="80" w:type="dxa"/>
              <w:start w:w="120" w:type="dxa"/>
              <w:bottom w:w="80" w:type="dxa"/>
              <w:end w:w="120" w:type="dxa"/>
            </w:tcMar>
            <w:vAlign w:val="center"/>
          </w:tcPr>
          <w:p>
            <w:pPr>
              <w:spacing w:before="0" w:after="0" w:line="240" w:lineRule="auto"/>
              <w:jc w:val="left"/>
            </w:pPr>
            <w:r/>
            <w:r>
              <w:rPr>
                <w:rFonts w:ascii="Arial" w:hAnsi="Arial" w:cs="Arial"/>
                <w:sz w:val="18"/>
              </w:rPr>
              <w:t>Restantes juzgados en las Secciones correspondientes</w:t>
            </w:r>
          </w:p>
        </w:tc>
      </w:tr>
      <w:tr>
        <w:tc>
          <w:tcPr>
            <w:tcW w:type="dxa" w:w="2171"/>
            <w:tcMar>
              <w:top w:w="80" w:type="dxa"/>
              <w:start w:w="120" w:type="dxa"/>
              <w:bottom w:w="80" w:type="dxa"/>
              <w:end w:w="120" w:type="dxa"/>
            </w:tcMar>
            <w:vAlign w:val="center"/>
          </w:tcPr>
          <w:p>
            <w:pPr>
              <w:spacing w:before="0" w:after="0" w:line="240" w:lineRule="auto"/>
              <w:jc w:val="left"/>
            </w:pPr>
            <w:r/>
            <w:r>
              <w:rPr>
                <w:rFonts w:ascii="Arial" w:hAnsi="Arial" w:cs="Arial"/>
                <w:sz w:val="18"/>
              </w:rPr>
              <w:t>31 de diciembre de 2025</w:t>
            </w:r>
          </w:p>
        </w:tc>
        <w:tc>
          <w:tcPr>
            <w:tcW w:type="dxa" w:w="6855"/>
            <w:tcMar>
              <w:top w:w="80" w:type="dxa"/>
              <w:start w:w="120" w:type="dxa"/>
              <w:bottom w:w="80" w:type="dxa"/>
              <w:end w:w="120" w:type="dxa"/>
            </w:tcMar>
            <w:vAlign w:val="center"/>
          </w:tcPr>
          <w:p>
            <w:pPr>
              <w:spacing w:before="0" w:after="0" w:line="240" w:lineRule="auto"/>
              <w:jc w:val="left"/>
            </w:pPr>
            <w:r/>
            <w:r>
              <w:rPr>
                <w:rFonts w:ascii="Arial" w:hAnsi="Arial" w:cs="Arial"/>
                <w:sz w:val="18"/>
              </w:rPr>
              <w:t>Juzgados Centrales en Secciones del Tribunal Central de Instancia</w:t>
            </w:r>
          </w:p>
        </w:tc>
      </w:tr>
    </w:tbl>
    <w:p>
      <w:pPr>
        <w:spacing w:after="40"/>
      </w:pPr>
    </w:p>
    <w:p>
      <w:pPr>
        <w:jc w:val="both"/>
      </w:pPr>
      <w:r>
        <w:rPr>
          <w:rFonts w:ascii="Arial" w:hAnsi="Arial" w:cs="Arial"/>
          <w:sz w:val="22"/>
        </w:rPr>
        <w:t>Hasta la implantación en cada partido se conservaba transitoriamente el modelo anterior. Esa transición ya concluyó para la fecha de este tema.</w:t>
      </w:r>
    </w:p>
    <w:p>
      <w:pPr>
        <w:pStyle w:val="Heading2"/>
        <w:keepNext/>
      </w:pPr>
      <w:r>
        <w:rPr>
          <w:rFonts w:ascii="Arial" w:hAnsi="Arial" w:cs="Arial"/>
          <w:sz w:val="25"/>
        </w:rPr>
        <w:t>6.3. Correspondencias que ayudan a actualizar manuales</w:t>
      </w:r>
    </w:p>
    <w:tbl>
      <w:tblPr>
        <w:tblStyle w:val="TableGrid"/>
        <w:tblW w:type="dxa" w:w="9026"/>
        <w:jc w:val="left"/>
        <w:tblLayout w:type="fixed"/>
        <w:tblLook w:firstColumn="1" w:firstRow="1" w:lastColumn="0" w:lastRow="0" w:noHBand="0" w:noVBand="1" w:val="04A0"/>
        <w:tblInd w:w="120" w:type="dxa"/>
      </w:tblPr>
      <w:tblGrid>
        <w:gridCol w:w="3839"/>
        <w:gridCol w:w="5187"/>
      </w:tblGrid>
      <w:tr>
        <w:trPr>
          <w:tblHeader w:val="true"/>
        </w:trPr>
        <w:tc>
          <w:tcPr>
            <w:tcW w:type="dxa" w:w="383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Denominación anterior</w:t>
            </w:r>
          </w:p>
        </w:tc>
        <w:tc>
          <w:tcPr>
            <w:tcW w:type="dxa" w:w="518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Denominación organizativa actual</w:t>
            </w:r>
          </w:p>
        </w:tc>
      </w:tr>
      <w:tr>
        <w:tc>
          <w:tcPr>
            <w:tcW w:type="dxa" w:w="3839"/>
            <w:tcMar>
              <w:top w:w="80" w:type="dxa"/>
              <w:start w:w="120" w:type="dxa"/>
              <w:bottom w:w="80" w:type="dxa"/>
              <w:end w:w="120" w:type="dxa"/>
            </w:tcMar>
            <w:vAlign w:val="center"/>
          </w:tcPr>
          <w:p>
            <w:pPr>
              <w:spacing w:before="0" w:after="0" w:line="240" w:lineRule="auto"/>
              <w:jc w:val="left"/>
            </w:pPr>
            <w:r/>
            <w:r>
              <w:rPr>
                <w:rFonts w:ascii="Arial" w:hAnsi="Arial" w:cs="Arial"/>
                <w:sz w:val="18"/>
              </w:rPr>
              <w:t>Juzgado de Primera Instancia</w:t>
            </w:r>
          </w:p>
        </w:tc>
        <w:tc>
          <w:tcPr>
            <w:tcW w:type="dxa" w:w="5187"/>
            <w:tcMar>
              <w:top w:w="80" w:type="dxa"/>
              <w:start w:w="120" w:type="dxa"/>
              <w:bottom w:w="80" w:type="dxa"/>
              <w:end w:w="120" w:type="dxa"/>
            </w:tcMar>
            <w:vAlign w:val="center"/>
          </w:tcPr>
          <w:p>
            <w:pPr>
              <w:spacing w:before="0" w:after="0" w:line="240" w:lineRule="auto"/>
              <w:jc w:val="left"/>
            </w:pPr>
            <w:r/>
            <w:r>
              <w:rPr>
                <w:rFonts w:ascii="Arial" w:hAnsi="Arial" w:cs="Arial"/>
                <w:sz w:val="18"/>
              </w:rPr>
              <w:t>plaza integrada en Sección Civil del Tribunal de Instancia</w:t>
            </w:r>
          </w:p>
        </w:tc>
      </w:tr>
      <w:tr>
        <w:tc>
          <w:tcPr>
            <w:tcW w:type="dxa" w:w="3839"/>
            <w:tcMar>
              <w:top w:w="80" w:type="dxa"/>
              <w:start w:w="120" w:type="dxa"/>
              <w:bottom w:w="80" w:type="dxa"/>
              <w:end w:w="120" w:type="dxa"/>
            </w:tcMar>
            <w:vAlign w:val="center"/>
          </w:tcPr>
          <w:p>
            <w:pPr>
              <w:spacing w:before="0" w:after="0" w:line="240" w:lineRule="auto"/>
              <w:jc w:val="left"/>
            </w:pPr>
            <w:r/>
            <w:r>
              <w:rPr>
                <w:rFonts w:ascii="Arial" w:hAnsi="Arial" w:cs="Arial"/>
                <w:sz w:val="18"/>
              </w:rPr>
              <w:t>Juzgado de Instrucción</w:t>
            </w:r>
          </w:p>
        </w:tc>
        <w:tc>
          <w:tcPr>
            <w:tcW w:type="dxa" w:w="5187"/>
            <w:tcMar>
              <w:top w:w="80" w:type="dxa"/>
              <w:start w:w="120" w:type="dxa"/>
              <w:bottom w:w="80" w:type="dxa"/>
              <w:end w:w="120" w:type="dxa"/>
            </w:tcMar>
            <w:vAlign w:val="center"/>
          </w:tcPr>
          <w:p>
            <w:pPr>
              <w:spacing w:before="0" w:after="0" w:line="240" w:lineRule="auto"/>
              <w:jc w:val="left"/>
            </w:pPr>
            <w:r/>
            <w:r>
              <w:rPr>
                <w:rFonts w:ascii="Arial" w:hAnsi="Arial" w:cs="Arial"/>
                <w:sz w:val="18"/>
              </w:rPr>
              <w:t>plaza integrada en Sección de Instrucción</w:t>
            </w:r>
          </w:p>
        </w:tc>
      </w:tr>
      <w:tr>
        <w:tc>
          <w:tcPr>
            <w:tcW w:type="dxa" w:w="3839"/>
            <w:tcMar>
              <w:top w:w="80" w:type="dxa"/>
              <w:start w:w="120" w:type="dxa"/>
              <w:bottom w:w="80" w:type="dxa"/>
              <w:end w:w="120" w:type="dxa"/>
            </w:tcMar>
            <w:vAlign w:val="center"/>
          </w:tcPr>
          <w:p>
            <w:pPr>
              <w:spacing w:before="0" w:after="0" w:line="240" w:lineRule="auto"/>
              <w:jc w:val="left"/>
            </w:pPr>
            <w:r/>
            <w:r>
              <w:rPr>
                <w:rFonts w:ascii="Arial" w:hAnsi="Arial" w:cs="Arial"/>
                <w:sz w:val="18"/>
              </w:rPr>
              <w:t>Juzgado de Primera Instancia e Instrucción</w:t>
            </w:r>
          </w:p>
        </w:tc>
        <w:tc>
          <w:tcPr>
            <w:tcW w:type="dxa" w:w="5187"/>
            <w:tcMar>
              <w:top w:w="80" w:type="dxa"/>
              <w:start w:w="120" w:type="dxa"/>
              <w:bottom w:w="80" w:type="dxa"/>
              <w:end w:w="120" w:type="dxa"/>
            </w:tcMar>
            <w:vAlign w:val="center"/>
          </w:tcPr>
          <w:p>
            <w:pPr>
              <w:spacing w:before="0" w:after="0" w:line="240" w:lineRule="auto"/>
              <w:jc w:val="left"/>
            </w:pPr>
            <w:r/>
            <w:r>
              <w:rPr>
                <w:rFonts w:ascii="Arial" w:hAnsi="Arial" w:cs="Arial"/>
                <w:sz w:val="18"/>
              </w:rPr>
              <w:t>plaza en Sección Única Civil y de Instrucción</w:t>
            </w:r>
          </w:p>
        </w:tc>
      </w:tr>
      <w:tr>
        <w:tc>
          <w:tcPr>
            <w:tcW w:type="dxa" w:w="3839"/>
            <w:tcMar>
              <w:top w:w="80" w:type="dxa"/>
              <w:start w:w="120" w:type="dxa"/>
              <w:bottom w:w="80" w:type="dxa"/>
              <w:end w:w="120" w:type="dxa"/>
            </w:tcMar>
            <w:vAlign w:val="center"/>
          </w:tcPr>
          <w:p>
            <w:pPr>
              <w:spacing w:before="0" w:after="0" w:line="240" w:lineRule="auto"/>
              <w:jc w:val="left"/>
            </w:pPr>
            <w:r/>
            <w:r>
              <w:rPr>
                <w:rFonts w:ascii="Arial" w:hAnsi="Arial" w:cs="Arial"/>
                <w:sz w:val="18"/>
              </w:rPr>
              <w:t>Juzgado de lo Penal</w:t>
            </w:r>
          </w:p>
        </w:tc>
        <w:tc>
          <w:tcPr>
            <w:tcW w:type="dxa" w:w="5187"/>
            <w:tcMar>
              <w:top w:w="80" w:type="dxa"/>
              <w:start w:w="120" w:type="dxa"/>
              <w:bottom w:w="80" w:type="dxa"/>
              <w:end w:w="120" w:type="dxa"/>
            </w:tcMar>
            <w:vAlign w:val="center"/>
          </w:tcPr>
          <w:p>
            <w:pPr>
              <w:spacing w:before="0" w:after="0" w:line="240" w:lineRule="auto"/>
              <w:jc w:val="left"/>
            </w:pPr>
            <w:r/>
            <w:r>
              <w:rPr>
                <w:rFonts w:ascii="Arial" w:hAnsi="Arial" w:cs="Arial"/>
                <w:sz w:val="18"/>
              </w:rPr>
              <w:t>plaza en Sección de lo Penal</w:t>
            </w:r>
          </w:p>
        </w:tc>
      </w:tr>
      <w:tr>
        <w:tc>
          <w:tcPr>
            <w:tcW w:type="dxa" w:w="3839"/>
            <w:tcMar>
              <w:top w:w="80" w:type="dxa"/>
              <w:start w:w="120" w:type="dxa"/>
              <w:bottom w:w="80" w:type="dxa"/>
              <w:end w:w="120" w:type="dxa"/>
            </w:tcMar>
            <w:vAlign w:val="center"/>
          </w:tcPr>
          <w:p>
            <w:pPr>
              <w:spacing w:before="0" w:after="0" w:line="240" w:lineRule="auto"/>
              <w:jc w:val="left"/>
            </w:pPr>
            <w:r/>
            <w:r>
              <w:rPr>
                <w:rFonts w:ascii="Arial" w:hAnsi="Arial" w:cs="Arial"/>
                <w:sz w:val="18"/>
              </w:rPr>
              <w:t>Juzgado de lo Social</w:t>
            </w:r>
          </w:p>
        </w:tc>
        <w:tc>
          <w:tcPr>
            <w:tcW w:type="dxa" w:w="5187"/>
            <w:tcMar>
              <w:top w:w="80" w:type="dxa"/>
              <w:start w:w="120" w:type="dxa"/>
              <w:bottom w:w="80" w:type="dxa"/>
              <w:end w:w="120" w:type="dxa"/>
            </w:tcMar>
            <w:vAlign w:val="center"/>
          </w:tcPr>
          <w:p>
            <w:pPr>
              <w:spacing w:before="0" w:after="0" w:line="240" w:lineRule="auto"/>
              <w:jc w:val="left"/>
            </w:pPr>
            <w:r/>
            <w:r>
              <w:rPr>
                <w:rFonts w:ascii="Arial" w:hAnsi="Arial" w:cs="Arial"/>
                <w:sz w:val="18"/>
              </w:rPr>
              <w:t>plaza en Sección de lo Social</w:t>
            </w:r>
          </w:p>
        </w:tc>
      </w:tr>
      <w:tr>
        <w:tc>
          <w:tcPr>
            <w:tcW w:type="dxa" w:w="3839"/>
            <w:tcMar>
              <w:top w:w="80" w:type="dxa"/>
              <w:start w:w="120" w:type="dxa"/>
              <w:bottom w:w="80" w:type="dxa"/>
              <w:end w:w="120" w:type="dxa"/>
            </w:tcMar>
            <w:vAlign w:val="center"/>
          </w:tcPr>
          <w:p>
            <w:pPr>
              <w:spacing w:before="0" w:after="0" w:line="240" w:lineRule="auto"/>
              <w:jc w:val="left"/>
            </w:pPr>
            <w:r/>
            <w:r>
              <w:rPr>
                <w:rFonts w:ascii="Arial" w:hAnsi="Arial" w:cs="Arial"/>
                <w:sz w:val="18"/>
              </w:rPr>
              <w:t>Juzgado de lo Contencioso-Administrativo</w:t>
            </w:r>
          </w:p>
        </w:tc>
        <w:tc>
          <w:tcPr>
            <w:tcW w:type="dxa" w:w="5187"/>
            <w:tcMar>
              <w:top w:w="80" w:type="dxa"/>
              <w:start w:w="120" w:type="dxa"/>
              <w:bottom w:w="80" w:type="dxa"/>
              <w:end w:w="120" w:type="dxa"/>
            </w:tcMar>
            <w:vAlign w:val="center"/>
          </w:tcPr>
          <w:p>
            <w:pPr>
              <w:spacing w:before="0" w:after="0" w:line="240" w:lineRule="auto"/>
              <w:jc w:val="left"/>
            </w:pPr>
            <w:r/>
            <w:r>
              <w:rPr>
                <w:rFonts w:ascii="Arial" w:hAnsi="Arial" w:cs="Arial"/>
                <w:sz w:val="18"/>
              </w:rPr>
              <w:t>plaza en Sección de lo Contencioso-Administrativo</w:t>
            </w:r>
          </w:p>
        </w:tc>
      </w:tr>
      <w:tr>
        <w:tc>
          <w:tcPr>
            <w:tcW w:type="dxa" w:w="3839"/>
            <w:tcMar>
              <w:top w:w="80" w:type="dxa"/>
              <w:start w:w="120" w:type="dxa"/>
              <w:bottom w:w="80" w:type="dxa"/>
              <w:end w:w="120" w:type="dxa"/>
            </w:tcMar>
            <w:vAlign w:val="center"/>
          </w:tcPr>
          <w:p>
            <w:pPr>
              <w:spacing w:before="0" w:after="0" w:line="240" w:lineRule="auto"/>
              <w:jc w:val="left"/>
            </w:pPr>
            <w:r/>
            <w:r>
              <w:rPr>
                <w:rFonts w:ascii="Arial" w:hAnsi="Arial" w:cs="Arial"/>
                <w:sz w:val="18"/>
              </w:rPr>
              <w:t>Juzgado de Menores</w:t>
            </w:r>
          </w:p>
        </w:tc>
        <w:tc>
          <w:tcPr>
            <w:tcW w:type="dxa" w:w="5187"/>
            <w:tcMar>
              <w:top w:w="80" w:type="dxa"/>
              <w:start w:w="120" w:type="dxa"/>
              <w:bottom w:w="80" w:type="dxa"/>
              <w:end w:w="120" w:type="dxa"/>
            </w:tcMar>
            <w:vAlign w:val="center"/>
          </w:tcPr>
          <w:p>
            <w:pPr>
              <w:spacing w:before="0" w:after="0" w:line="240" w:lineRule="auto"/>
              <w:jc w:val="left"/>
            </w:pPr>
            <w:r/>
            <w:r>
              <w:rPr>
                <w:rFonts w:ascii="Arial" w:hAnsi="Arial" w:cs="Arial"/>
                <w:sz w:val="18"/>
              </w:rPr>
              <w:t>plaza en Sección de Menores</w:t>
            </w:r>
          </w:p>
        </w:tc>
      </w:tr>
      <w:tr>
        <w:tc>
          <w:tcPr>
            <w:tcW w:type="dxa" w:w="3839"/>
            <w:tcMar>
              <w:top w:w="80" w:type="dxa"/>
              <w:start w:w="120" w:type="dxa"/>
              <w:bottom w:w="80" w:type="dxa"/>
              <w:end w:w="120" w:type="dxa"/>
            </w:tcMar>
            <w:vAlign w:val="center"/>
          </w:tcPr>
          <w:p>
            <w:pPr>
              <w:spacing w:before="0" w:after="0" w:line="240" w:lineRule="auto"/>
              <w:jc w:val="left"/>
            </w:pPr>
            <w:r/>
            <w:r>
              <w:rPr>
                <w:rFonts w:ascii="Arial" w:hAnsi="Arial" w:cs="Arial"/>
                <w:sz w:val="18"/>
              </w:rPr>
              <w:t>Juzgado de Vigilancia Penitenciaria</w:t>
            </w:r>
          </w:p>
        </w:tc>
        <w:tc>
          <w:tcPr>
            <w:tcW w:type="dxa" w:w="5187"/>
            <w:tcMar>
              <w:top w:w="80" w:type="dxa"/>
              <w:start w:w="120" w:type="dxa"/>
              <w:bottom w:w="80" w:type="dxa"/>
              <w:end w:w="120" w:type="dxa"/>
            </w:tcMar>
            <w:vAlign w:val="center"/>
          </w:tcPr>
          <w:p>
            <w:pPr>
              <w:spacing w:before="0" w:after="0" w:line="240" w:lineRule="auto"/>
              <w:jc w:val="left"/>
            </w:pPr>
            <w:r/>
            <w:r>
              <w:rPr>
                <w:rFonts w:ascii="Arial" w:hAnsi="Arial" w:cs="Arial"/>
                <w:sz w:val="18"/>
              </w:rPr>
              <w:t>plaza en Sección de Vigilancia Penitenciaria</w:t>
            </w:r>
          </w:p>
        </w:tc>
      </w:tr>
      <w:tr>
        <w:tc>
          <w:tcPr>
            <w:tcW w:type="dxa" w:w="3839"/>
            <w:tcMar>
              <w:top w:w="80" w:type="dxa"/>
              <w:start w:w="120" w:type="dxa"/>
              <w:bottom w:w="80" w:type="dxa"/>
              <w:end w:w="120" w:type="dxa"/>
            </w:tcMar>
            <w:vAlign w:val="center"/>
          </w:tcPr>
          <w:p>
            <w:pPr>
              <w:spacing w:before="0" w:after="0" w:line="240" w:lineRule="auto"/>
              <w:jc w:val="left"/>
            </w:pPr>
            <w:r/>
            <w:r>
              <w:rPr>
                <w:rFonts w:ascii="Arial" w:hAnsi="Arial" w:cs="Arial"/>
                <w:sz w:val="18"/>
              </w:rPr>
              <w:t>Juzgado Central de Instrucción</w:t>
            </w:r>
          </w:p>
        </w:tc>
        <w:tc>
          <w:tcPr>
            <w:tcW w:type="dxa" w:w="5187"/>
            <w:tcMar>
              <w:top w:w="80" w:type="dxa"/>
              <w:start w:w="120" w:type="dxa"/>
              <w:bottom w:w="80" w:type="dxa"/>
              <w:end w:w="120" w:type="dxa"/>
            </w:tcMar>
            <w:vAlign w:val="center"/>
          </w:tcPr>
          <w:p>
            <w:pPr>
              <w:spacing w:before="0" w:after="0" w:line="240" w:lineRule="auto"/>
              <w:jc w:val="left"/>
            </w:pPr>
            <w:r/>
            <w:r>
              <w:rPr>
                <w:rFonts w:ascii="Arial" w:hAnsi="Arial" w:cs="Arial"/>
                <w:sz w:val="18"/>
              </w:rPr>
              <w:t>plaza en Sección de Instrucción del Tribunal Central</w:t>
            </w:r>
          </w:p>
        </w:tc>
      </w:tr>
      <w:tr>
        <w:tc>
          <w:tcPr>
            <w:tcW w:type="dxa" w:w="3839"/>
            <w:tcMar>
              <w:top w:w="80" w:type="dxa"/>
              <w:start w:w="120" w:type="dxa"/>
              <w:bottom w:w="80" w:type="dxa"/>
              <w:end w:w="120" w:type="dxa"/>
            </w:tcMar>
            <w:vAlign w:val="center"/>
          </w:tcPr>
          <w:p>
            <w:pPr>
              <w:spacing w:before="0" w:after="0" w:line="240" w:lineRule="auto"/>
              <w:jc w:val="left"/>
            </w:pPr>
            <w:r/>
            <w:r>
              <w:rPr>
                <w:rFonts w:ascii="Arial" w:hAnsi="Arial" w:cs="Arial"/>
                <w:sz w:val="18"/>
              </w:rPr>
              <w:t>Juzgado Central de lo Penal</w:t>
            </w:r>
          </w:p>
        </w:tc>
        <w:tc>
          <w:tcPr>
            <w:tcW w:type="dxa" w:w="5187"/>
            <w:tcMar>
              <w:top w:w="80" w:type="dxa"/>
              <w:start w:w="120" w:type="dxa"/>
              <w:bottom w:w="80" w:type="dxa"/>
              <w:end w:w="120" w:type="dxa"/>
            </w:tcMar>
            <w:vAlign w:val="center"/>
          </w:tcPr>
          <w:p>
            <w:pPr>
              <w:spacing w:before="0" w:after="0" w:line="240" w:lineRule="auto"/>
              <w:jc w:val="left"/>
            </w:pPr>
            <w:r/>
            <w:r>
              <w:rPr>
                <w:rFonts w:ascii="Arial" w:hAnsi="Arial" w:cs="Arial"/>
                <w:sz w:val="18"/>
              </w:rPr>
              <w:t>plaza en Sección Penal del Tribunal Central</w:t>
            </w:r>
          </w:p>
        </w:tc>
      </w:tr>
    </w:tbl>
    <w:p>
      <w:pPr>
        <w:spacing w:after="40"/>
      </w:pPr>
    </w:p>
    <w:p>
      <w:pPr>
        <w:jc w:val="both"/>
      </w:pPr>
      <w:r>
        <w:rPr>
          <w:rFonts w:ascii="Arial" w:hAnsi="Arial" w:cs="Arial"/>
          <w:sz w:val="22"/>
        </w:rPr>
        <w:t>La transformación fue orgánica. Los jueces siguen resolviendo los asuntos que les correspondan, con independencia y sujeción a la ley.</w:t>
      </w:r>
    </w:p>
    <w:p>
      <w:pPr>
        <w:pStyle w:val="Heading1"/>
        <w:keepNext/>
      </w:pPr>
      <w:r>
        <w:rPr>
          <w:rFonts w:ascii="Arial" w:hAnsi="Arial" w:cs="Arial"/>
          <w:sz w:val="30"/>
        </w:rPr>
        <w:t>7. Ministerio Fiscal y otras referencias constitucionales</w:t>
      </w:r>
    </w:p>
    <w:p>
      <w:pPr>
        <w:jc w:val="both"/>
      </w:pPr>
      <w:r>
        <w:rPr>
          <w:rFonts w:ascii="Arial" w:hAnsi="Arial" w:cs="Arial"/>
          <w:sz w:val="22"/>
        </w:rPr>
        <w:t>Aunque no integra el enunciado central, suele aparecer como distractor.</w:t>
      </w:r>
    </w:p>
    <w:p>
      <w:pPr>
        <w:jc w:val="both"/>
      </w:pPr>
      <w:r>
        <w:rPr>
          <w:rFonts w:ascii="Arial" w:hAnsi="Arial" w:cs="Arial"/>
          <w:sz w:val="22"/>
        </w:rPr>
        <w:t>El Ministerio Fiscal tiene por misión promover la acción de la justicia en defensa de la legalidad, los derechos de la ciudadanía y el interés público; velar por la independencia de los tribunales; y procurar ante ellos la satisfacción del interés social.</w:t>
      </w:r>
    </w:p>
    <w:p>
      <w:pPr>
        <w:jc w:val="both"/>
      </w:pPr>
      <w:r>
        <w:rPr>
          <w:rFonts w:ascii="Arial" w:hAnsi="Arial" w:cs="Arial"/>
          <w:sz w:val="22"/>
        </w:rPr>
        <w:t>Actúa mediante órganos propios conforme a:</w:t>
      </w:r>
    </w:p>
    <w:p>
      <w:pPr>
        <w:pStyle w:val="ListBullet"/>
      </w:pPr>
      <w:r>
        <w:rPr>
          <w:rFonts w:ascii="Arial" w:hAnsi="Arial" w:cs="Arial"/>
          <w:sz w:val="22"/>
        </w:rPr>
        <w:t>unidad de actuación;</w:t>
      </w:r>
    </w:p>
    <w:p>
      <w:pPr>
        <w:pStyle w:val="ListBullet"/>
      </w:pPr>
      <w:r>
        <w:rPr>
          <w:rFonts w:ascii="Arial" w:hAnsi="Arial" w:cs="Arial"/>
          <w:sz w:val="22"/>
        </w:rPr>
        <w:t>dependencia jerárquica;</w:t>
      </w:r>
    </w:p>
    <w:p>
      <w:pPr>
        <w:pStyle w:val="ListBullet"/>
      </w:pPr>
      <w:r>
        <w:rPr>
          <w:rFonts w:ascii="Arial" w:hAnsi="Arial" w:cs="Arial"/>
          <w:sz w:val="22"/>
        </w:rPr>
        <w:t>legalidad;</w:t>
      </w:r>
    </w:p>
    <w:p>
      <w:pPr>
        <w:pStyle w:val="ListBullet"/>
      </w:pPr>
      <w:r>
        <w:rPr>
          <w:rFonts w:ascii="Arial" w:hAnsi="Arial" w:cs="Arial"/>
          <w:sz w:val="22"/>
        </w:rPr>
        <w:t>imparcialidad.</w:t>
      </w:r>
    </w:p>
    <w:p>
      <w:pPr>
        <w:jc w:val="both"/>
      </w:pPr>
      <w:r>
        <w:rPr>
          <w:rFonts w:ascii="Arial" w:hAnsi="Arial" w:cs="Arial"/>
          <w:sz w:val="22"/>
        </w:rPr>
        <w:t>El Fiscal General del Estado es nombrado por el Rey a propuesta del Gobierno, oído el CGPJ. El Ministerio Fiscal no forma parte del CGPJ ni ejerce jurisdicción.</w:t>
      </w:r>
    </w:p>
    <w:p>
      <w:pPr>
        <w:pStyle w:val="Heading1"/>
        <w:keepNext/>
      </w:pPr>
      <w:r>
        <w:rPr>
          <w:rFonts w:ascii="Arial" w:hAnsi="Arial" w:cs="Arial"/>
          <w:sz w:val="30"/>
        </w:rPr>
        <w:t>8. Comparaciones que evitan confusiones</w:t>
      </w:r>
    </w:p>
    <w:p>
      <w:pPr>
        <w:pStyle w:val="Heading2"/>
        <w:keepNext/>
      </w:pPr>
      <w:r>
        <w:rPr>
          <w:rFonts w:ascii="Arial" w:hAnsi="Arial" w:cs="Arial"/>
          <w:sz w:val="25"/>
        </w:rPr>
        <w:t>8.1. Tribunal Supremo, Tribunal Constitucional y CGPJ</w:t>
      </w:r>
    </w:p>
    <w:tbl>
      <w:tblPr>
        <w:tblStyle w:val="TableGrid"/>
        <w:tblW w:type="dxa" w:w="9026"/>
        <w:jc w:val="left"/>
        <w:tblLayout w:type="fixed"/>
        <w:tblLook w:firstColumn="1" w:firstRow="1" w:lastColumn="0" w:lastRow="0" w:noHBand="0" w:noVBand="1" w:val="04A0"/>
        <w:tblInd w:w="120" w:type="dxa"/>
      </w:tblPr>
      <w:tblGrid>
        <w:gridCol w:w="1683"/>
        <w:gridCol w:w="3136"/>
        <w:gridCol w:w="4207"/>
      </w:tblGrid>
      <w:tr>
        <w:trPr>
          <w:tblHeader w:val="true"/>
        </w:trPr>
        <w:tc>
          <w:tcPr>
            <w:tcW w:type="dxa" w:w="168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Órgano</w:t>
            </w:r>
          </w:p>
        </w:tc>
        <w:tc>
          <w:tcPr>
            <w:tcW w:type="dxa" w:w="313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Naturaleza</w:t>
            </w:r>
          </w:p>
        </w:tc>
        <w:tc>
          <w:tcPr>
            <w:tcW w:type="dxa" w:w="420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Función principal</w:t>
            </w:r>
          </w:p>
        </w:tc>
      </w:tr>
      <w:tr>
        <w:tc>
          <w:tcPr>
            <w:tcW w:type="dxa" w:w="1683"/>
            <w:tcMar>
              <w:top w:w="80" w:type="dxa"/>
              <w:start w:w="120" w:type="dxa"/>
              <w:bottom w:w="80" w:type="dxa"/>
              <w:end w:w="120" w:type="dxa"/>
            </w:tcMar>
            <w:vAlign w:val="center"/>
          </w:tcPr>
          <w:p>
            <w:pPr>
              <w:spacing w:before="0" w:after="0" w:line="240" w:lineRule="auto"/>
              <w:jc w:val="left"/>
            </w:pPr>
            <w:r/>
            <w:r>
              <w:rPr>
                <w:rFonts w:ascii="Arial" w:hAnsi="Arial" w:cs="Arial"/>
                <w:sz w:val="18"/>
              </w:rPr>
              <w:t>Tribunal Supremo</w:t>
            </w:r>
          </w:p>
        </w:tc>
        <w:tc>
          <w:tcPr>
            <w:tcW w:type="dxa" w:w="3136"/>
            <w:tcMar>
              <w:top w:w="80" w:type="dxa"/>
              <w:start w:w="120" w:type="dxa"/>
              <w:bottom w:w="80" w:type="dxa"/>
              <w:end w:w="120" w:type="dxa"/>
            </w:tcMar>
            <w:vAlign w:val="center"/>
          </w:tcPr>
          <w:p>
            <w:pPr>
              <w:spacing w:before="0" w:after="0" w:line="240" w:lineRule="auto"/>
              <w:jc w:val="left"/>
            </w:pPr>
            <w:r/>
            <w:r>
              <w:rPr>
                <w:rFonts w:ascii="Arial" w:hAnsi="Arial" w:cs="Arial"/>
                <w:sz w:val="18"/>
              </w:rPr>
              <w:t>Órgano jurisdiccional</w:t>
            </w:r>
          </w:p>
        </w:tc>
        <w:tc>
          <w:tcPr>
            <w:tcW w:type="dxa" w:w="4207"/>
            <w:tcMar>
              <w:top w:w="80" w:type="dxa"/>
              <w:start w:w="120" w:type="dxa"/>
              <w:bottom w:w="80" w:type="dxa"/>
              <w:end w:w="120" w:type="dxa"/>
            </w:tcMar>
            <w:vAlign w:val="center"/>
          </w:tcPr>
          <w:p>
            <w:pPr>
              <w:spacing w:before="0" w:after="0" w:line="240" w:lineRule="auto"/>
              <w:jc w:val="left"/>
            </w:pPr>
            <w:r/>
            <w:r>
              <w:rPr>
                <w:rFonts w:ascii="Arial" w:hAnsi="Arial" w:cs="Arial"/>
                <w:sz w:val="18"/>
              </w:rPr>
              <w:t>Superior en todos los órdenes salvo garantías constitucionales</w:t>
            </w:r>
          </w:p>
        </w:tc>
      </w:tr>
      <w:tr>
        <w:tc>
          <w:tcPr>
            <w:tcW w:type="dxa" w:w="1683"/>
            <w:tcMar>
              <w:top w:w="80" w:type="dxa"/>
              <w:start w:w="120" w:type="dxa"/>
              <w:bottom w:w="80" w:type="dxa"/>
              <w:end w:w="120" w:type="dxa"/>
            </w:tcMar>
            <w:vAlign w:val="center"/>
          </w:tcPr>
          <w:p>
            <w:pPr>
              <w:spacing w:before="0" w:after="0" w:line="240" w:lineRule="auto"/>
              <w:jc w:val="left"/>
            </w:pPr>
            <w:r/>
            <w:r>
              <w:rPr>
                <w:rFonts w:ascii="Arial" w:hAnsi="Arial" w:cs="Arial"/>
                <w:sz w:val="18"/>
              </w:rPr>
              <w:t>Tribunal Constitucional</w:t>
            </w:r>
          </w:p>
        </w:tc>
        <w:tc>
          <w:tcPr>
            <w:tcW w:type="dxa" w:w="3136"/>
            <w:tcMar>
              <w:top w:w="80" w:type="dxa"/>
              <w:start w:w="120" w:type="dxa"/>
              <w:bottom w:w="80" w:type="dxa"/>
              <w:end w:w="120" w:type="dxa"/>
            </w:tcMar>
            <w:vAlign w:val="center"/>
          </w:tcPr>
          <w:p>
            <w:pPr>
              <w:spacing w:before="0" w:after="0" w:line="240" w:lineRule="auto"/>
              <w:jc w:val="left"/>
            </w:pPr>
            <w:r/>
            <w:r>
              <w:rPr>
                <w:rFonts w:ascii="Arial" w:hAnsi="Arial" w:cs="Arial"/>
                <w:sz w:val="18"/>
              </w:rPr>
              <w:t>Órgano constitucional, fuera del Poder Judicial</w:t>
            </w:r>
          </w:p>
        </w:tc>
        <w:tc>
          <w:tcPr>
            <w:tcW w:type="dxa" w:w="4207"/>
            <w:tcMar>
              <w:top w:w="80" w:type="dxa"/>
              <w:start w:w="120" w:type="dxa"/>
              <w:bottom w:w="80" w:type="dxa"/>
              <w:end w:w="120" w:type="dxa"/>
            </w:tcMar>
            <w:vAlign w:val="center"/>
          </w:tcPr>
          <w:p>
            <w:pPr>
              <w:spacing w:before="0" w:after="0" w:line="240" w:lineRule="auto"/>
              <w:jc w:val="left"/>
            </w:pPr>
            <w:r/>
            <w:r>
              <w:rPr>
                <w:rFonts w:ascii="Arial" w:hAnsi="Arial" w:cs="Arial"/>
                <w:sz w:val="18"/>
              </w:rPr>
              <w:t>Control de constitucionalidad y garantías constitucionales</w:t>
            </w:r>
          </w:p>
        </w:tc>
      </w:tr>
      <w:tr>
        <w:tc>
          <w:tcPr>
            <w:tcW w:type="dxa" w:w="1683"/>
            <w:tcMar>
              <w:top w:w="80" w:type="dxa"/>
              <w:start w:w="120" w:type="dxa"/>
              <w:bottom w:w="80" w:type="dxa"/>
              <w:end w:w="120" w:type="dxa"/>
            </w:tcMar>
            <w:vAlign w:val="center"/>
          </w:tcPr>
          <w:p>
            <w:pPr>
              <w:spacing w:before="0" w:after="0" w:line="240" w:lineRule="auto"/>
              <w:jc w:val="left"/>
            </w:pPr>
            <w:r/>
            <w:r>
              <w:rPr>
                <w:rFonts w:ascii="Arial" w:hAnsi="Arial" w:cs="Arial"/>
                <w:sz w:val="18"/>
              </w:rPr>
              <w:t>CGPJ</w:t>
            </w:r>
          </w:p>
        </w:tc>
        <w:tc>
          <w:tcPr>
            <w:tcW w:type="dxa" w:w="3136"/>
            <w:tcMar>
              <w:top w:w="80" w:type="dxa"/>
              <w:start w:w="120" w:type="dxa"/>
              <w:bottom w:w="80" w:type="dxa"/>
              <w:end w:w="120" w:type="dxa"/>
            </w:tcMar>
            <w:vAlign w:val="center"/>
          </w:tcPr>
          <w:p>
            <w:pPr>
              <w:spacing w:before="0" w:after="0" w:line="240" w:lineRule="auto"/>
              <w:jc w:val="left"/>
            </w:pPr>
            <w:r/>
            <w:r>
              <w:rPr>
                <w:rFonts w:ascii="Arial" w:hAnsi="Arial" w:cs="Arial"/>
                <w:sz w:val="18"/>
              </w:rPr>
              <w:t>Órgano de gobierno</w:t>
            </w:r>
          </w:p>
        </w:tc>
        <w:tc>
          <w:tcPr>
            <w:tcW w:type="dxa" w:w="4207"/>
            <w:tcMar>
              <w:top w:w="80" w:type="dxa"/>
              <w:start w:w="120" w:type="dxa"/>
              <w:bottom w:w="80" w:type="dxa"/>
              <w:end w:w="120" w:type="dxa"/>
            </w:tcMar>
            <w:vAlign w:val="center"/>
          </w:tcPr>
          <w:p>
            <w:pPr>
              <w:spacing w:before="0" w:after="0" w:line="240" w:lineRule="auto"/>
              <w:jc w:val="left"/>
            </w:pPr>
            <w:r/>
            <w:r>
              <w:rPr>
                <w:rFonts w:ascii="Arial" w:hAnsi="Arial" w:cs="Arial"/>
                <w:sz w:val="18"/>
              </w:rPr>
              <w:t>Gobierno, nombramientos, carrera, inspección y disciplina</w:t>
            </w:r>
          </w:p>
        </w:tc>
      </w:tr>
    </w:tbl>
    <w:p>
      <w:pPr>
        <w:spacing w:after="40"/>
      </w:pPr>
    </w:p>
    <w:p>
      <w:pPr>
        <w:pStyle w:val="Heading2"/>
        <w:keepNext/>
      </w:pPr>
      <w:r>
        <w:rPr>
          <w:rFonts w:ascii="Arial" w:hAnsi="Arial" w:cs="Arial"/>
          <w:sz w:val="25"/>
        </w:rPr>
        <w:t>8.2. Audiencia Nacional y Tribunal Central de Instancia</w:t>
      </w:r>
    </w:p>
    <w:tbl>
      <w:tblPr>
        <w:tblStyle w:val="TableGrid"/>
        <w:tblW w:type="dxa" w:w="9026"/>
        <w:jc w:val="left"/>
        <w:tblLayout w:type="fixed"/>
        <w:tblLook w:firstColumn="1" w:firstRow="1" w:lastColumn="0" w:lastRow="0" w:noHBand="0" w:noVBand="1" w:val="04A0"/>
        <w:tblInd w:w="120" w:type="dxa"/>
      </w:tblPr>
      <w:tblGrid>
        <w:gridCol w:w="4191"/>
        <w:gridCol w:w="4835"/>
      </w:tblGrid>
      <w:tr>
        <w:trPr>
          <w:tblHeader w:val="true"/>
        </w:trPr>
        <w:tc>
          <w:tcPr>
            <w:tcW w:type="dxa" w:w="419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Audiencia Nacional</w:t>
            </w:r>
          </w:p>
        </w:tc>
        <w:tc>
          <w:tcPr>
            <w:tcW w:type="dxa" w:w="483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Tribunal Central de Instancia</w:t>
            </w:r>
          </w:p>
        </w:tc>
      </w:tr>
      <w:tr>
        <w:tc>
          <w:tcPr>
            <w:tcW w:type="dxa" w:w="4191"/>
            <w:tcMar>
              <w:top w:w="80" w:type="dxa"/>
              <w:start w:w="120" w:type="dxa"/>
              <w:bottom w:w="80" w:type="dxa"/>
              <w:end w:w="120" w:type="dxa"/>
            </w:tcMar>
            <w:vAlign w:val="center"/>
          </w:tcPr>
          <w:p>
            <w:pPr>
              <w:spacing w:before="0" w:after="0" w:line="240" w:lineRule="auto"/>
              <w:jc w:val="left"/>
            </w:pPr>
            <w:r/>
            <w:r>
              <w:rPr>
                <w:rFonts w:ascii="Arial" w:hAnsi="Arial" w:cs="Arial"/>
                <w:sz w:val="18"/>
              </w:rPr>
              <w:t>Salas colegiadas</w:t>
            </w:r>
          </w:p>
        </w:tc>
        <w:tc>
          <w:tcPr>
            <w:tcW w:type="dxa" w:w="4835"/>
            <w:tcMar>
              <w:top w:w="80" w:type="dxa"/>
              <w:start w:w="120" w:type="dxa"/>
              <w:bottom w:w="80" w:type="dxa"/>
              <w:end w:w="120" w:type="dxa"/>
            </w:tcMar>
            <w:vAlign w:val="center"/>
          </w:tcPr>
          <w:p>
            <w:pPr>
              <w:spacing w:before="0" w:after="0" w:line="240" w:lineRule="auto"/>
              <w:jc w:val="left"/>
            </w:pPr>
            <w:r/>
            <w:r>
              <w:rPr>
                <w:rFonts w:ascii="Arial" w:hAnsi="Arial" w:cs="Arial"/>
                <w:sz w:val="18"/>
              </w:rPr>
              <w:t>Secciones con plazas judiciales que ejercen ordinariamente de forma individual</w:t>
            </w:r>
          </w:p>
        </w:tc>
      </w:tr>
      <w:tr>
        <w:tc>
          <w:tcPr>
            <w:tcW w:type="dxa" w:w="4191"/>
            <w:tcMar>
              <w:top w:w="80" w:type="dxa"/>
              <w:start w:w="120" w:type="dxa"/>
              <w:bottom w:w="80" w:type="dxa"/>
              <w:end w:w="120" w:type="dxa"/>
            </w:tcMar>
            <w:vAlign w:val="center"/>
          </w:tcPr>
          <w:p>
            <w:pPr>
              <w:spacing w:before="0" w:after="0" w:line="240" w:lineRule="auto"/>
              <w:jc w:val="left"/>
            </w:pPr>
            <w:r/>
            <w:r>
              <w:rPr>
                <w:rFonts w:ascii="Arial" w:hAnsi="Arial" w:cs="Arial"/>
                <w:sz w:val="18"/>
              </w:rPr>
              <w:t>Apelación, Penal, Contencioso y Social</w:t>
            </w:r>
          </w:p>
        </w:tc>
        <w:tc>
          <w:tcPr>
            <w:tcW w:type="dxa" w:w="4835"/>
            <w:tcMar>
              <w:top w:w="80" w:type="dxa"/>
              <w:start w:w="120" w:type="dxa"/>
              <w:bottom w:w="80" w:type="dxa"/>
              <w:end w:w="120" w:type="dxa"/>
            </w:tcMar>
            <w:vAlign w:val="center"/>
          </w:tcPr>
          <w:p>
            <w:pPr>
              <w:spacing w:before="0" w:after="0" w:line="240" w:lineRule="auto"/>
              <w:jc w:val="left"/>
            </w:pPr>
            <w:r/>
            <w:r>
              <w:rPr>
                <w:rFonts w:ascii="Arial" w:hAnsi="Arial" w:cs="Arial"/>
                <w:sz w:val="18"/>
              </w:rPr>
              <w:t>Instrucción, Penal, Menores, Vigilancia y Contencioso</w:t>
            </w:r>
          </w:p>
        </w:tc>
      </w:tr>
      <w:tr>
        <w:tc>
          <w:tcPr>
            <w:tcW w:type="dxa" w:w="4191"/>
            <w:tcMar>
              <w:top w:w="80" w:type="dxa"/>
              <w:start w:w="120" w:type="dxa"/>
              <w:bottom w:w="80" w:type="dxa"/>
              <w:end w:w="120" w:type="dxa"/>
            </w:tcMar>
            <w:vAlign w:val="center"/>
          </w:tcPr>
          <w:p>
            <w:pPr>
              <w:spacing w:before="0" w:after="0" w:line="240" w:lineRule="auto"/>
              <w:jc w:val="left"/>
            </w:pPr>
            <w:r/>
            <w:r>
              <w:rPr>
                <w:rFonts w:ascii="Arial" w:hAnsi="Arial" w:cs="Arial"/>
                <w:sz w:val="18"/>
              </w:rPr>
              <w:t>Existía antes de LO 1/2025</w:t>
            </w:r>
          </w:p>
        </w:tc>
        <w:tc>
          <w:tcPr>
            <w:tcW w:type="dxa" w:w="4835"/>
            <w:tcMar>
              <w:top w:w="80" w:type="dxa"/>
              <w:start w:w="120" w:type="dxa"/>
              <w:bottom w:w="80" w:type="dxa"/>
              <w:end w:w="120" w:type="dxa"/>
            </w:tcMar>
            <w:vAlign w:val="center"/>
          </w:tcPr>
          <w:p>
            <w:pPr>
              <w:spacing w:before="0" w:after="0" w:line="240" w:lineRule="auto"/>
              <w:jc w:val="left"/>
            </w:pPr>
            <w:r/>
            <w:r>
              <w:rPr>
                <w:rFonts w:ascii="Arial" w:hAnsi="Arial" w:cs="Arial"/>
                <w:sz w:val="18"/>
              </w:rPr>
              <w:t>Se constituyó 31-12-2025</w:t>
            </w:r>
          </w:p>
        </w:tc>
      </w:tr>
      <w:tr>
        <w:tc>
          <w:tcPr>
            <w:tcW w:type="dxa" w:w="4191"/>
            <w:tcMar>
              <w:top w:w="80" w:type="dxa"/>
              <w:start w:w="120" w:type="dxa"/>
              <w:bottom w:w="80" w:type="dxa"/>
              <w:end w:w="120" w:type="dxa"/>
            </w:tcMar>
            <w:vAlign w:val="center"/>
          </w:tcPr>
          <w:p>
            <w:pPr>
              <w:spacing w:before="0" w:after="0" w:line="240" w:lineRule="auto"/>
              <w:jc w:val="left"/>
            </w:pPr>
            <w:r/>
            <w:r>
              <w:rPr>
                <w:rFonts w:ascii="Arial" w:hAnsi="Arial" w:cs="Arial"/>
                <w:sz w:val="18"/>
              </w:rPr>
              <w:t>Conoce recursos y asuntos de instancia atribuidos a sus Salas</w:t>
            </w:r>
          </w:p>
        </w:tc>
        <w:tc>
          <w:tcPr>
            <w:tcW w:type="dxa" w:w="4835"/>
            <w:tcMar>
              <w:top w:w="80" w:type="dxa"/>
              <w:start w:w="120" w:type="dxa"/>
              <w:bottom w:w="80" w:type="dxa"/>
              <w:end w:w="120" w:type="dxa"/>
            </w:tcMar>
            <w:vAlign w:val="center"/>
          </w:tcPr>
          <w:p>
            <w:pPr>
              <w:spacing w:before="0" w:after="0" w:line="240" w:lineRule="auto"/>
              <w:jc w:val="left"/>
            </w:pPr>
            <w:r/>
            <w:r>
              <w:rPr>
                <w:rFonts w:ascii="Arial" w:hAnsi="Arial" w:cs="Arial"/>
                <w:sz w:val="18"/>
              </w:rPr>
              <w:t>Asume competencias de antiguos Juzgados Centrales</w:t>
            </w:r>
          </w:p>
        </w:tc>
      </w:tr>
    </w:tbl>
    <w:p>
      <w:pPr>
        <w:spacing w:after="40"/>
      </w:pPr>
    </w:p>
    <w:p>
      <w:pPr>
        <w:pStyle w:val="Heading2"/>
        <w:keepNext/>
      </w:pPr>
      <w:r>
        <w:rPr>
          <w:rFonts w:ascii="Arial" w:hAnsi="Arial" w:cs="Arial"/>
          <w:sz w:val="25"/>
        </w:rPr>
        <w:t>8.3. Gobierno judicial y función jurisdiccional</w:t>
      </w:r>
    </w:p>
    <w:tbl>
      <w:tblPr>
        <w:tblStyle w:val="TableGrid"/>
        <w:tblW w:type="dxa" w:w="9026"/>
        <w:jc w:val="left"/>
        <w:tblLayout w:type="fixed"/>
        <w:tblLook w:firstColumn="1" w:firstRow="1" w:lastColumn="0" w:lastRow="0" w:noHBand="0" w:noVBand="1" w:val="04A0"/>
        <w:tblInd w:w="120" w:type="dxa"/>
      </w:tblPr>
      <w:tblGrid>
        <w:gridCol w:w="5370"/>
        <w:gridCol w:w="3656"/>
      </w:tblGrid>
      <w:tr>
        <w:trPr>
          <w:tblHeader w:val="true"/>
        </w:trPr>
        <w:tc>
          <w:tcPr>
            <w:tcW w:type="dxa" w:w="537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Gobierno</w:t>
            </w:r>
          </w:p>
        </w:tc>
        <w:tc>
          <w:tcPr>
            <w:tcW w:type="dxa" w:w="365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Jurisdicción</w:t>
            </w:r>
          </w:p>
        </w:tc>
      </w:tr>
      <w:tr>
        <w:tc>
          <w:tcPr>
            <w:tcW w:type="dxa" w:w="5370"/>
            <w:tcMar>
              <w:top w:w="80" w:type="dxa"/>
              <w:start w:w="120" w:type="dxa"/>
              <w:bottom w:w="80" w:type="dxa"/>
              <w:end w:w="120" w:type="dxa"/>
            </w:tcMar>
            <w:vAlign w:val="center"/>
          </w:tcPr>
          <w:p>
            <w:pPr>
              <w:spacing w:before="0" w:after="0" w:line="240" w:lineRule="auto"/>
              <w:jc w:val="left"/>
            </w:pPr>
            <w:r/>
            <w:r>
              <w:rPr>
                <w:rFonts w:ascii="Arial" w:hAnsi="Arial" w:cs="Arial"/>
                <w:sz w:val="18"/>
              </w:rPr>
              <w:t>Reparto, inspección, destinos, organización, disciplina</w:t>
            </w:r>
          </w:p>
        </w:tc>
        <w:tc>
          <w:tcPr>
            <w:tcW w:type="dxa" w:w="3656"/>
            <w:tcMar>
              <w:top w:w="80" w:type="dxa"/>
              <w:start w:w="120" w:type="dxa"/>
              <w:bottom w:w="80" w:type="dxa"/>
              <w:end w:w="120" w:type="dxa"/>
            </w:tcMar>
            <w:vAlign w:val="center"/>
          </w:tcPr>
          <w:p>
            <w:pPr>
              <w:spacing w:before="0" w:after="0" w:line="240" w:lineRule="auto"/>
              <w:jc w:val="left"/>
            </w:pPr>
            <w:r/>
            <w:r>
              <w:rPr>
                <w:rFonts w:ascii="Arial" w:hAnsi="Arial" w:cs="Arial"/>
                <w:sz w:val="18"/>
              </w:rPr>
              <w:t>Juzgar y ejecutar</w:t>
            </w:r>
          </w:p>
        </w:tc>
      </w:tr>
      <w:tr>
        <w:tc>
          <w:tcPr>
            <w:tcW w:type="dxa" w:w="5370"/>
            <w:tcMar>
              <w:top w:w="80" w:type="dxa"/>
              <w:start w:w="120" w:type="dxa"/>
              <w:bottom w:w="80" w:type="dxa"/>
              <w:end w:w="120" w:type="dxa"/>
            </w:tcMar>
            <w:vAlign w:val="center"/>
          </w:tcPr>
          <w:p>
            <w:pPr>
              <w:spacing w:before="0" w:after="0" w:line="240" w:lineRule="auto"/>
              <w:jc w:val="left"/>
            </w:pPr>
            <w:r/>
            <w:r>
              <w:rPr>
                <w:rFonts w:ascii="Arial" w:hAnsi="Arial" w:cs="Arial"/>
                <w:sz w:val="18"/>
              </w:rPr>
              <w:t>CGPJ y órganos de gobierno</w:t>
            </w:r>
          </w:p>
        </w:tc>
        <w:tc>
          <w:tcPr>
            <w:tcW w:type="dxa" w:w="3656"/>
            <w:tcMar>
              <w:top w:w="80" w:type="dxa"/>
              <w:start w:w="120" w:type="dxa"/>
              <w:bottom w:w="80" w:type="dxa"/>
              <w:end w:w="120" w:type="dxa"/>
            </w:tcMar>
            <w:vAlign w:val="center"/>
          </w:tcPr>
          <w:p>
            <w:pPr>
              <w:spacing w:before="0" w:after="0" w:line="240" w:lineRule="auto"/>
              <w:jc w:val="left"/>
            </w:pPr>
            <w:r/>
            <w:r>
              <w:rPr>
                <w:rFonts w:ascii="Arial" w:hAnsi="Arial" w:cs="Arial"/>
                <w:sz w:val="18"/>
              </w:rPr>
              <w:t>Jueces, juezas y tribunales</w:t>
            </w:r>
          </w:p>
        </w:tc>
      </w:tr>
      <w:tr>
        <w:tc>
          <w:tcPr>
            <w:tcW w:type="dxa" w:w="5370"/>
            <w:tcMar>
              <w:top w:w="80" w:type="dxa"/>
              <w:start w:w="120" w:type="dxa"/>
              <w:bottom w:w="80" w:type="dxa"/>
              <w:end w:w="120" w:type="dxa"/>
            </w:tcMar>
            <w:vAlign w:val="center"/>
          </w:tcPr>
          <w:p>
            <w:pPr>
              <w:spacing w:before="0" w:after="0" w:line="240" w:lineRule="auto"/>
              <w:jc w:val="left"/>
            </w:pPr>
            <w:r/>
            <w:r>
              <w:rPr>
                <w:rFonts w:ascii="Arial" w:hAnsi="Arial" w:cs="Arial"/>
                <w:sz w:val="18"/>
              </w:rPr>
              <w:t>No puede indicar el sentido de una sentencia</w:t>
            </w:r>
          </w:p>
        </w:tc>
        <w:tc>
          <w:tcPr>
            <w:tcW w:type="dxa" w:w="3656"/>
            <w:tcMar>
              <w:top w:w="80" w:type="dxa"/>
              <w:start w:w="120" w:type="dxa"/>
              <w:bottom w:w="80" w:type="dxa"/>
              <w:end w:w="120" w:type="dxa"/>
            </w:tcMar>
            <w:vAlign w:val="center"/>
          </w:tcPr>
          <w:p>
            <w:pPr>
              <w:spacing w:before="0" w:after="0" w:line="240" w:lineRule="auto"/>
              <w:jc w:val="left"/>
            </w:pPr>
            <w:r/>
            <w:r>
              <w:rPr>
                <w:rFonts w:ascii="Arial" w:hAnsi="Arial" w:cs="Arial"/>
                <w:sz w:val="18"/>
              </w:rPr>
              <w:t>Independencia y sometimiento a la ley</w:t>
            </w:r>
          </w:p>
        </w:tc>
      </w:tr>
    </w:tbl>
    <w:p>
      <w:pPr>
        <w:spacing w:after="40"/>
      </w:pPr>
    </w:p>
    <w:p>
      <w:pPr>
        <w:pStyle w:val="Heading1"/>
        <w:keepNext/>
      </w:pPr>
      <w:r>
        <w:rPr>
          <w:rFonts w:ascii="Arial" w:hAnsi="Arial" w:cs="Arial"/>
          <w:sz w:val="30"/>
        </w:rPr>
        <w:t>9. Errores frecuentes de examen</w:t>
      </w:r>
    </w:p>
    <w:p>
      <w:pPr>
        <w:spacing w:after="40"/>
        <w:ind w:left="369" w:hanging="227"/>
      </w:pPr>
      <w:r>
        <w:rPr>
          <w:rFonts w:ascii="Arial" w:hAnsi="Arial" w:cs="Arial"/>
          <w:sz w:val="22"/>
        </w:rPr>
        <w:t xml:space="preserve">1. </w:t>
      </w:r>
      <w:r>
        <w:rPr>
          <w:rFonts w:ascii="Arial" w:hAnsi="Arial" w:cs="Arial"/>
          <w:b/>
          <w:sz w:val="22"/>
        </w:rPr>
        <w:t>Decir que el CGPJ es un tribunal.</w:t>
      </w:r>
      <w:r>
        <w:rPr>
          <w:rFonts w:ascii="Arial" w:hAnsi="Arial" w:cs="Arial"/>
          <w:sz w:val="22"/>
        </w:rPr>
        <w:t xml:space="preserve"> Es órgano de gobierno y no revisa resoluciones.</w:t>
      </w:r>
    </w:p>
    <w:p>
      <w:pPr>
        <w:spacing w:after="40"/>
        <w:ind w:left="369" w:hanging="227"/>
      </w:pPr>
      <w:r>
        <w:rPr>
          <w:rFonts w:ascii="Arial" w:hAnsi="Arial" w:cs="Arial"/>
          <w:sz w:val="22"/>
        </w:rPr>
        <w:t xml:space="preserve">2. </w:t>
      </w:r>
      <w:r>
        <w:rPr>
          <w:rFonts w:ascii="Arial" w:hAnsi="Arial" w:cs="Arial"/>
          <w:b/>
          <w:sz w:val="22"/>
        </w:rPr>
        <w:t>Incluir al Tribunal Constitucional en el Poder Judicial.</w:t>
      </w:r>
      <w:r>
        <w:rPr>
          <w:rFonts w:ascii="Arial" w:hAnsi="Arial" w:cs="Arial"/>
          <w:sz w:val="22"/>
        </w:rPr>
        <w:t xml:space="preserve"> Es un órgano constitucional separado.</w:t>
      </w:r>
    </w:p>
    <w:p>
      <w:pPr>
        <w:spacing w:after="40"/>
        <w:ind w:left="369" w:hanging="227"/>
      </w:pPr>
      <w:r>
        <w:rPr>
          <w:rFonts w:ascii="Arial" w:hAnsi="Arial" w:cs="Arial"/>
          <w:sz w:val="22"/>
        </w:rPr>
        <w:t xml:space="preserve">3. </w:t>
      </w:r>
      <w:r>
        <w:rPr>
          <w:rFonts w:ascii="Arial" w:hAnsi="Arial" w:cs="Arial"/>
          <w:b/>
          <w:sz w:val="22"/>
        </w:rPr>
        <w:t>Confundir unidad con inexistencia de órdenes.</w:t>
      </w:r>
      <w:r>
        <w:rPr>
          <w:rFonts w:ascii="Arial" w:hAnsi="Arial" w:cs="Arial"/>
          <w:sz w:val="22"/>
        </w:rPr>
        <w:t xml:space="preserve"> Hay órdenes civil, penal, contencioso y social dentro de una jurisdicción única.</w:t>
      </w:r>
    </w:p>
    <w:p>
      <w:pPr>
        <w:spacing w:after="40"/>
        <w:ind w:left="369" w:hanging="227"/>
      </w:pPr>
      <w:r>
        <w:rPr>
          <w:rFonts w:ascii="Arial" w:hAnsi="Arial" w:cs="Arial"/>
          <w:sz w:val="22"/>
        </w:rPr>
        <w:t xml:space="preserve">4. </w:t>
      </w:r>
      <w:r>
        <w:rPr>
          <w:rFonts w:ascii="Arial" w:hAnsi="Arial" w:cs="Arial"/>
          <w:b/>
          <w:sz w:val="22"/>
        </w:rPr>
        <w:t>Afirmar que los TSJ son poderes judiciales autonómicos.</w:t>
      </w:r>
      <w:r>
        <w:rPr>
          <w:rFonts w:ascii="Arial" w:hAnsi="Arial" w:cs="Arial"/>
          <w:sz w:val="22"/>
        </w:rPr>
        <w:t xml:space="preserve"> Integran el único Poder Judicial estatal.</w:t>
      </w:r>
    </w:p>
    <w:p>
      <w:pPr>
        <w:spacing w:after="40"/>
        <w:ind w:left="369" w:hanging="227"/>
      </w:pPr>
      <w:r>
        <w:rPr>
          <w:rFonts w:ascii="Arial" w:hAnsi="Arial" w:cs="Arial"/>
          <w:sz w:val="22"/>
        </w:rPr>
        <w:t xml:space="preserve">5. </w:t>
      </w:r>
      <w:r>
        <w:rPr>
          <w:rFonts w:ascii="Arial" w:hAnsi="Arial" w:cs="Arial"/>
          <w:b/>
          <w:sz w:val="22"/>
        </w:rPr>
        <w:t>Presentar como vigente la planta general de antiguos juzgados.</w:t>
      </w:r>
      <w:r>
        <w:rPr>
          <w:rFonts w:ascii="Arial" w:hAnsi="Arial" w:cs="Arial"/>
          <w:sz w:val="22"/>
        </w:rPr>
        <w:t xml:space="preserve"> Desde el 31-12-2025 se integran en Tribunales de Instancia.</w:t>
      </w:r>
    </w:p>
    <w:p>
      <w:pPr>
        <w:spacing w:after="40"/>
        <w:ind w:left="369" w:hanging="227"/>
      </w:pPr>
      <w:r>
        <w:rPr>
          <w:rFonts w:ascii="Arial" w:hAnsi="Arial" w:cs="Arial"/>
          <w:sz w:val="22"/>
        </w:rPr>
        <w:t xml:space="preserve">6. </w:t>
      </w:r>
      <w:r>
        <w:rPr>
          <w:rFonts w:ascii="Arial" w:hAnsi="Arial" w:cs="Arial"/>
          <w:b/>
          <w:sz w:val="22"/>
        </w:rPr>
        <w:t>Creer que todo Tribunal de Instancia decide colegiadamente.</w:t>
      </w:r>
      <w:r>
        <w:rPr>
          <w:rFonts w:ascii="Arial" w:hAnsi="Arial" w:cs="Arial"/>
          <w:sz w:val="22"/>
        </w:rPr>
        <w:t xml:space="preserve"> La función jurisdiccional se ejerce por cada juez o magistrado destinado.</w:t>
      </w:r>
    </w:p>
    <w:p>
      <w:pPr>
        <w:spacing w:after="40"/>
        <w:ind w:left="369" w:hanging="227"/>
      </w:pPr>
      <w:r>
        <w:rPr>
          <w:rFonts w:ascii="Arial" w:hAnsi="Arial" w:cs="Arial"/>
          <w:sz w:val="22"/>
        </w:rPr>
        <w:t xml:space="preserve">7. </w:t>
      </w:r>
      <w:r>
        <w:rPr>
          <w:rFonts w:ascii="Arial" w:hAnsi="Arial" w:cs="Arial"/>
          <w:b/>
          <w:sz w:val="22"/>
        </w:rPr>
        <w:t>Confundir Tribunal Central de Instancia con Audiencia Nacional.</w:t>
      </w:r>
      <w:r>
        <w:rPr>
          <w:rFonts w:ascii="Arial" w:hAnsi="Arial" w:cs="Arial"/>
          <w:sz w:val="22"/>
        </w:rPr>
        <w:t xml:space="preserve"> Son órganos distintos.</w:t>
      </w:r>
    </w:p>
    <w:p>
      <w:pPr>
        <w:spacing w:after="40"/>
        <w:ind w:left="369" w:hanging="227"/>
      </w:pPr>
      <w:r>
        <w:rPr>
          <w:rFonts w:ascii="Arial" w:hAnsi="Arial" w:cs="Arial"/>
          <w:sz w:val="22"/>
        </w:rPr>
        <w:t xml:space="preserve">8. </w:t>
      </w:r>
      <w:r>
        <w:rPr>
          <w:rFonts w:ascii="Arial" w:hAnsi="Arial" w:cs="Arial"/>
          <w:b/>
          <w:sz w:val="22"/>
        </w:rPr>
        <w:t>Asignar al Tribunal Central Sección Civil o Social.</w:t>
      </w:r>
      <w:r>
        <w:rPr>
          <w:rFonts w:ascii="Arial" w:hAnsi="Arial" w:cs="Arial"/>
          <w:sz w:val="22"/>
        </w:rPr>
        <w:t xml:space="preserve"> Sus cinco Secciones no incluyen esas materias.</w:t>
      </w:r>
    </w:p>
    <w:p>
      <w:pPr>
        <w:spacing w:after="40"/>
        <w:ind w:left="369" w:hanging="227"/>
      </w:pPr>
      <w:r>
        <w:rPr>
          <w:rFonts w:ascii="Arial" w:hAnsi="Arial" w:cs="Arial"/>
          <w:sz w:val="22"/>
        </w:rPr>
        <w:t xml:space="preserve">9. </w:t>
      </w:r>
      <w:r>
        <w:rPr>
          <w:rFonts w:ascii="Arial" w:hAnsi="Arial" w:cs="Arial"/>
          <w:b/>
          <w:sz w:val="22"/>
        </w:rPr>
        <w:t>Decir que el Tribunal Supremo es superior también al TC.</w:t>
      </w:r>
      <w:r>
        <w:rPr>
          <w:rFonts w:ascii="Arial" w:hAnsi="Arial" w:cs="Arial"/>
          <w:sz w:val="22"/>
        </w:rPr>
        <w:t xml:space="preserve"> La excepción son las garantías constitucionales.</w:t>
      </w:r>
    </w:p>
    <w:p>
      <w:pPr>
        <w:spacing w:after="40"/>
        <w:ind w:left="369" w:hanging="227"/>
      </w:pPr>
      <w:r>
        <w:rPr>
          <w:rFonts w:ascii="Arial" w:hAnsi="Arial" w:cs="Arial"/>
          <w:sz w:val="22"/>
        </w:rPr>
        <w:t xml:space="preserve">10. </w:t>
      </w:r>
      <w:r>
        <w:rPr>
          <w:rFonts w:ascii="Arial" w:hAnsi="Arial" w:cs="Arial"/>
          <w:b/>
          <w:sz w:val="22"/>
        </w:rPr>
        <w:t>Afirmar que el Gobierno elige a los veinte vocales del CGPJ.</w:t>
      </w:r>
      <w:r>
        <w:rPr>
          <w:rFonts w:ascii="Arial" w:hAnsi="Arial" w:cs="Arial"/>
          <w:sz w:val="22"/>
        </w:rPr>
        <w:t xml:space="preserve"> Los eligen las Cortes y los nombra el Rey.</w:t>
      </w:r>
    </w:p>
    <w:p>
      <w:pPr>
        <w:spacing w:after="40"/>
        <w:ind w:left="369" w:hanging="227"/>
      </w:pPr>
      <w:r>
        <w:rPr>
          <w:rFonts w:ascii="Arial" w:hAnsi="Arial" w:cs="Arial"/>
          <w:sz w:val="22"/>
        </w:rPr>
        <w:t xml:space="preserve">11. </w:t>
      </w:r>
      <w:r>
        <w:rPr>
          <w:rFonts w:ascii="Arial" w:hAnsi="Arial" w:cs="Arial"/>
          <w:b/>
          <w:sz w:val="22"/>
        </w:rPr>
        <w:t>Contar veinte miembros totales del CGPJ.</w:t>
      </w:r>
      <w:r>
        <w:rPr>
          <w:rFonts w:ascii="Arial" w:hAnsi="Arial" w:cs="Arial"/>
          <w:sz w:val="22"/>
        </w:rPr>
        <w:t xml:space="preserve"> Son veinte vocales más el Presidente.</w:t>
      </w:r>
    </w:p>
    <w:p>
      <w:pPr>
        <w:spacing w:after="40"/>
        <w:ind w:left="369" w:hanging="227"/>
      </w:pPr>
      <w:r>
        <w:rPr>
          <w:rFonts w:ascii="Arial" w:hAnsi="Arial" w:cs="Arial"/>
          <w:sz w:val="22"/>
        </w:rPr>
        <w:t xml:space="preserve">12. </w:t>
      </w:r>
      <w:r>
        <w:rPr>
          <w:rFonts w:ascii="Arial" w:hAnsi="Arial" w:cs="Arial"/>
          <w:b/>
          <w:sz w:val="22"/>
        </w:rPr>
        <w:t>Decir que cada Cámara elige seis juristas y cuatro judiciales.</w:t>
      </w:r>
      <w:r>
        <w:rPr>
          <w:rFonts w:ascii="Arial" w:hAnsi="Arial" w:cs="Arial"/>
          <w:sz w:val="22"/>
        </w:rPr>
        <w:t xml:space="preserve"> Es al revés: seis judiciales y cuatro juristas.</w:t>
      </w:r>
    </w:p>
    <w:p>
      <w:pPr>
        <w:spacing w:after="40"/>
        <w:ind w:left="369" w:hanging="227"/>
      </w:pPr>
      <w:r>
        <w:rPr>
          <w:rFonts w:ascii="Arial" w:hAnsi="Arial" w:cs="Arial"/>
          <w:sz w:val="22"/>
        </w:rPr>
        <w:t xml:space="preserve">13. </w:t>
      </w:r>
      <w:r>
        <w:rPr>
          <w:rFonts w:ascii="Arial" w:hAnsi="Arial" w:cs="Arial"/>
          <w:b/>
          <w:sz w:val="22"/>
        </w:rPr>
        <w:t>Olvidar el mínimo del 40 % de cada sexo en los diez vocales de cada Cámara.</w:t>
      </w:r>
    </w:p>
    <w:p>
      <w:pPr>
        <w:spacing w:after="40"/>
        <w:ind w:left="369" w:hanging="227"/>
      </w:pPr>
      <w:r>
        <w:rPr>
          <w:rFonts w:ascii="Arial" w:hAnsi="Arial" w:cs="Arial"/>
          <w:sz w:val="22"/>
        </w:rPr>
        <w:t xml:space="preserve">14. </w:t>
      </w:r>
      <w:r>
        <w:rPr>
          <w:rFonts w:ascii="Arial" w:hAnsi="Arial" w:cs="Arial"/>
          <w:b/>
          <w:sz w:val="22"/>
        </w:rPr>
        <w:t>Confundir independencia con falta de responsabilidad.</w:t>
      </w:r>
      <w:r>
        <w:rPr>
          <w:rFonts w:ascii="Arial" w:hAnsi="Arial" w:cs="Arial"/>
          <w:sz w:val="22"/>
        </w:rPr>
        <w:t xml:space="preserve"> La Constitución proclama ambas.</w:t>
      </w:r>
    </w:p>
    <w:p>
      <w:pPr>
        <w:spacing w:after="40"/>
        <w:ind w:left="369" w:hanging="227"/>
      </w:pPr>
      <w:r>
        <w:rPr>
          <w:rFonts w:ascii="Arial" w:hAnsi="Arial" w:cs="Arial"/>
          <w:sz w:val="22"/>
        </w:rPr>
        <w:t xml:space="preserve">15. </w:t>
      </w:r>
      <w:r>
        <w:rPr>
          <w:rFonts w:ascii="Arial" w:hAnsi="Arial" w:cs="Arial"/>
          <w:b/>
          <w:sz w:val="22"/>
        </w:rPr>
        <w:t>Afirmar que toda justicia es gratuita.</w:t>
      </w:r>
      <w:r>
        <w:rPr>
          <w:rFonts w:ascii="Arial" w:hAnsi="Arial" w:cs="Arial"/>
          <w:sz w:val="22"/>
        </w:rPr>
        <w:t xml:space="preserve"> Lo es cuando lo dispone la ley y siempre ante insuficiencia acreditada.</w:t>
      </w:r>
    </w:p>
    <w:p>
      <w:pPr>
        <w:spacing w:after="40"/>
        <w:ind w:left="369" w:hanging="227"/>
      </w:pPr>
      <w:r>
        <w:rPr>
          <w:rFonts w:ascii="Arial" w:hAnsi="Arial" w:cs="Arial"/>
          <w:sz w:val="22"/>
        </w:rPr>
        <w:t xml:space="preserve">16. </w:t>
      </w:r>
      <w:r>
        <w:rPr>
          <w:rFonts w:ascii="Arial" w:hAnsi="Arial" w:cs="Arial"/>
          <w:b/>
          <w:sz w:val="22"/>
        </w:rPr>
        <w:t>Considerar la Audiencia Nacional tribunal de excepción.</w:t>
      </w:r>
      <w:r>
        <w:rPr>
          <w:rFonts w:ascii="Arial" w:hAnsi="Arial" w:cs="Arial"/>
          <w:sz w:val="22"/>
        </w:rPr>
        <w:t xml:space="preserve"> Su competencia es legal, previa y general.</w:t>
      </w:r>
    </w:p>
    <w:p>
      <w:pPr>
        <w:spacing w:after="40"/>
        <w:ind w:left="369" w:hanging="227"/>
      </w:pPr>
      <w:r>
        <w:rPr>
          <w:rFonts w:ascii="Arial" w:hAnsi="Arial" w:cs="Arial"/>
          <w:sz w:val="22"/>
        </w:rPr>
        <w:t xml:space="preserve">17. </w:t>
      </w:r>
      <w:r>
        <w:rPr>
          <w:rFonts w:ascii="Arial" w:hAnsi="Arial" w:cs="Arial"/>
          <w:b/>
          <w:sz w:val="22"/>
        </w:rPr>
        <w:t>Confundir dependencia funcional de policía judicial con dependencia orgánica.</w:t>
      </w:r>
    </w:p>
    <w:p>
      <w:pPr>
        <w:spacing w:after="40"/>
        <w:ind w:left="369" w:hanging="227"/>
      </w:pPr>
      <w:r>
        <w:rPr>
          <w:rFonts w:ascii="Arial" w:hAnsi="Arial" w:cs="Arial"/>
          <w:sz w:val="22"/>
        </w:rPr>
        <w:t xml:space="preserve">18. </w:t>
      </w:r>
      <w:r>
        <w:rPr>
          <w:rFonts w:ascii="Arial" w:hAnsi="Arial" w:cs="Arial"/>
          <w:b/>
          <w:sz w:val="22"/>
        </w:rPr>
        <w:t>Aplicar ya la nueva Comisión de Protección de Datos.</w:t>
      </w:r>
      <w:r>
        <w:rPr>
          <w:rFonts w:ascii="Arial" w:hAnsi="Arial" w:cs="Arial"/>
          <w:sz w:val="22"/>
        </w:rPr>
        <w:t xml:space="preserve"> La LO 1/2025 la difiere al primer CGPJ que se constituya después de su entrada en vigor.</w:t>
      </w:r>
    </w:p>
    <w:p>
      <w:pPr>
        <w:pStyle w:val="Heading1"/>
        <w:keepNext/>
      </w:pPr>
      <w:r>
        <w:rPr>
          <w:rFonts w:ascii="Arial" w:hAnsi="Arial" w:cs="Arial"/>
          <w:sz w:val="30"/>
        </w:rPr>
        <w:t>10. Esquema final</w:t>
      </w:r>
    </w:p>
    <w:p>
      <w:pPr>
        <w:jc w:val="both"/>
      </w:pPr>
      <w:r>
        <w:rPr>
          <w:rFonts w:ascii="Arial" w:hAnsi="Arial" w:cs="Arial"/>
          <w:sz w:val="22"/>
        </w:rPr>
        <w:t xml:space="preserve">text PODER JUDICIAL ├── Principios │   ├── justicia emana del pueblo / se administra en nombre del Rey │   ├── independencia │   ├── inamovilidad │   ├── responsabilidad │   ├── sometimiento a Constitución y ley │   ├── exclusividad: juzgar y ejecutar │   └── unidad jurisdiccional / prohibición de excepción ├── CGPJ │   ├── Presidente TS + 20 vocales │   ├── 12 judiciales + 8 juristas │   ├── cada Cámara: 6 + 4 por 3/5 │   ├── mandato: 5 años │   ├── Pleno + Permanente + Calificación + Disciplinaria │   │   + Económicos + Igualdad │   └── Protección de Datos: prevista para el siguiente CGPJ └── Órganos jurisdiccionales (art. 26 LOPJ) ├── Jueces de Paz ├── Tribunales de Instancia ├── Audiencias Provinciales ├── Tribunales Superiores de Justicia ├── Tribunal Central de Instancia ├── Audiencia Nacional └── Tribunal Supremo </w:t>
      </w:r>
    </w:p>
    <w:p>
      <w:pPr>
        <w:jc w:val="both"/>
      </w:pPr>
      <w:r>
        <w:rPr>
          <w:rFonts w:ascii="Arial" w:hAnsi="Arial" w:cs="Arial"/>
          <w:sz w:val="22"/>
        </w:rPr>
        <w:t>text TRIBUNAL DE INSTANCIA: uno por partido judicial ├── Sección Única Civil y de Instrucción │   o Secciones Civil + Instrucción separadas └── posibles Secciones: Familia, Infancia y Capacidad Mercantil Violencia sobre la Mujer Violencia contra Infancia y Adolescencia Penal Menores Vigilancia Penitenciaria Contencioso-Administrativo Social</w:t>
      </w:r>
    </w:p>
    <w:p>
      <w:pPr>
        <w:jc w:val="both"/>
      </w:pPr>
      <w:r>
        <w:rPr>
          <w:rFonts w:ascii="Arial" w:hAnsi="Arial" w:cs="Arial"/>
          <w:sz w:val="22"/>
        </w:rPr>
        <w:t xml:space="preserve">TRIBUNAL CENTRAL DE INSTANCIA: Madrid, jurisdicción nacional ├── Instrucción ├── Penal ├── Menores ├── Vigilancia Penitenciaria └── Contencioso-Administrativo </w:t>
      </w:r>
    </w:p>
    <w:p>
      <w:pPr>
        <w:pStyle w:val="Heading1"/>
        <w:keepNext/>
      </w:pPr>
      <w:r>
        <w:rPr>
          <w:rFonts w:ascii="Arial" w:hAnsi="Arial" w:cs="Arial"/>
          <w:sz w:val="30"/>
        </w:rPr>
        <w:t>11. Datos especialmente preguntables</w:t>
      </w:r>
    </w:p>
    <w:p>
      <w:pPr>
        <w:pStyle w:val="ListBullet"/>
      </w:pPr>
      <w:r>
        <w:rPr>
          <w:rFonts w:ascii="Arial" w:hAnsi="Arial" w:cs="Arial"/>
          <w:sz w:val="22"/>
        </w:rPr>
        <w:t xml:space="preserve">Título VI CE: artículos </w:t>
      </w:r>
      <w:r>
        <w:rPr>
          <w:rFonts w:ascii="Arial" w:hAnsi="Arial" w:cs="Arial"/>
          <w:b/>
          <w:sz w:val="22"/>
        </w:rPr>
        <w:t>117 a 127</w:t>
      </w:r>
      <w:r>
        <w:rPr>
          <w:rFonts w:ascii="Arial" w:hAnsi="Arial" w:cs="Arial"/>
          <w:sz w:val="22"/>
        </w:rPr>
        <w:t>.</w:t>
      </w:r>
    </w:p>
    <w:p>
      <w:pPr>
        <w:pStyle w:val="ListBullet"/>
      </w:pPr>
      <w:r>
        <w:rPr>
          <w:rFonts w:ascii="Arial" w:hAnsi="Arial" w:cs="Arial"/>
          <w:sz w:val="22"/>
        </w:rPr>
        <w:t xml:space="preserve">Potestad: </w:t>
      </w:r>
      <w:r>
        <w:rPr>
          <w:rFonts w:ascii="Arial" w:hAnsi="Arial" w:cs="Arial"/>
          <w:b/>
          <w:sz w:val="22"/>
        </w:rPr>
        <w:t>juzgar y hacer ejecutar lo juzgado</w:t>
      </w:r>
      <w:r>
        <w:rPr>
          <w:rFonts w:ascii="Arial" w:hAnsi="Arial" w:cs="Arial"/>
          <w:sz w:val="22"/>
        </w:rPr>
        <w:t>.</w:t>
      </w:r>
    </w:p>
    <w:p>
      <w:pPr>
        <w:pStyle w:val="ListBullet"/>
      </w:pPr>
      <w:r>
        <w:rPr>
          <w:rFonts w:ascii="Arial" w:hAnsi="Arial" w:cs="Arial"/>
          <w:sz w:val="22"/>
        </w:rPr>
        <w:t xml:space="preserve">Unidad: artículo </w:t>
      </w:r>
      <w:r>
        <w:rPr>
          <w:rFonts w:ascii="Arial" w:hAnsi="Arial" w:cs="Arial"/>
          <w:b/>
          <w:sz w:val="22"/>
        </w:rPr>
        <w:t>117.5</w:t>
      </w:r>
      <w:r>
        <w:rPr>
          <w:rFonts w:ascii="Arial" w:hAnsi="Arial" w:cs="Arial"/>
          <w:sz w:val="22"/>
        </w:rPr>
        <w:t>.</w:t>
      </w:r>
    </w:p>
    <w:p>
      <w:pPr>
        <w:pStyle w:val="ListBullet"/>
      </w:pPr>
      <w:r>
        <w:rPr>
          <w:rFonts w:ascii="Arial" w:hAnsi="Arial" w:cs="Arial"/>
          <w:sz w:val="22"/>
        </w:rPr>
        <w:t xml:space="preserve">Prohibición de tribunales de excepción: artículo </w:t>
      </w:r>
      <w:r>
        <w:rPr>
          <w:rFonts w:ascii="Arial" w:hAnsi="Arial" w:cs="Arial"/>
          <w:b/>
          <w:sz w:val="22"/>
        </w:rPr>
        <w:t>117.6</w:t>
      </w:r>
      <w:r>
        <w:rPr>
          <w:rFonts w:ascii="Arial" w:hAnsi="Arial" w:cs="Arial"/>
          <w:sz w:val="22"/>
        </w:rPr>
        <w:t>.</w:t>
      </w:r>
    </w:p>
    <w:p>
      <w:pPr>
        <w:pStyle w:val="ListBullet"/>
      </w:pPr>
      <w:r>
        <w:rPr>
          <w:rFonts w:ascii="Arial" w:hAnsi="Arial" w:cs="Arial"/>
          <w:sz w:val="22"/>
        </w:rPr>
        <w:t xml:space="preserve">CGPJ: artículo </w:t>
      </w:r>
      <w:r>
        <w:rPr>
          <w:rFonts w:ascii="Arial" w:hAnsi="Arial" w:cs="Arial"/>
          <w:b/>
          <w:sz w:val="22"/>
        </w:rPr>
        <w:t>122</w:t>
      </w:r>
      <w:r>
        <w:rPr>
          <w:rFonts w:ascii="Arial" w:hAnsi="Arial" w:cs="Arial"/>
          <w:sz w:val="22"/>
        </w:rPr>
        <w:t xml:space="preserve"> CE.</w:t>
      </w:r>
    </w:p>
    <w:p>
      <w:pPr>
        <w:pStyle w:val="ListBullet"/>
      </w:pPr>
      <w:r>
        <w:rPr>
          <w:rFonts w:ascii="Arial" w:hAnsi="Arial" w:cs="Arial"/>
          <w:sz w:val="22"/>
        </w:rPr>
        <w:t xml:space="preserve">Composición: Presidente del TS + </w:t>
      </w:r>
      <w:r>
        <w:rPr>
          <w:rFonts w:ascii="Arial" w:hAnsi="Arial" w:cs="Arial"/>
          <w:b/>
          <w:sz w:val="22"/>
        </w:rPr>
        <w:t>20 vocales</w:t>
      </w:r>
      <w:r>
        <w:rPr>
          <w:rFonts w:ascii="Arial" w:hAnsi="Arial" w:cs="Arial"/>
          <w:sz w:val="22"/>
        </w:rPr>
        <w:t>.</w:t>
      </w:r>
    </w:p>
    <w:p>
      <w:pPr>
        <w:pStyle w:val="ListBullet"/>
      </w:pPr>
      <w:r>
        <w:rPr>
          <w:rFonts w:ascii="Arial" w:hAnsi="Arial" w:cs="Arial"/>
          <w:sz w:val="22"/>
        </w:rPr>
        <w:t xml:space="preserve">Turnos: </w:t>
      </w:r>
      <w:r>
        <w:rPr>
          <w:rFonts w:ascii="Arial" w:hAnsi="Arial" w:cs="Arial"/>
          <w:b/>
          <w:sz w:val="22"/>
        </w:rPr>
        <w:t>12 judiciales + 8 juristas</w:t>
      </w:r>
      <w:r>
        <w:rPr>
          <w:rFonts w:ascii="Arial" w:hAnsi="Arial" w:cs="Arial"/>
          <w:sz w:val="22"/>
        </w:rPr>
        <w:t>.</w:t>
      </w:r>
    </w:p>
    <w:p>
      <w:pPr>
        <w:pStyle w:val="ListBullet"/>
      </w:pPr>
      <w:r>
        <w:rPr>
          <w:rFonts w:ascii="Arial" w:hAnsi="Arial" w:cs="Arial"/>
          <w:sz w:val="22"/>
        </w:rPr>
        <w:t xml:space="preserve">Cada Cámara: </w:t>
      </w:r>
      <w:r>
        <w:rPr>
          <w:rFonts w:ascii="Arial" w:hAnsi="Arial" w:cs="Arial"/>
          <w:b/>
          <w:sz w:val="22"/>
        </w:rPr>
        <w:t>6 judiciales + 4 juristas</w:t>
      </w:r>
      <w:r>
        <w:rPr>
          <w:rFonts w:ascii="Arial" w:hAnsi="Arial" w:cs="Arial"/>
          <w:sz w:val="22"/>
        </w:rPr>
        <w:t>.</w:t>
      </w:r>
    </w:p>
    <w:p>
      <w:pPr>
        <w:pStyle w:val="ListBullet"/>
      </w:pPr>
      <w:r>
        <w:rPr>
          <w:rFonts w:ascii="Arial" w:hAnsi="Arial" w:cs="Arial"/>
          <w:sz w:val="22"/>
        </w:rPr>
        <w:t xml:space="preserve">Mayoría parlamentaria: </w:t>
      </w:r>
      <w:r>
        <w:rPr>
          <w:rFonts w:ascii="Arial" w:hAnsi="Arial" w:cs="Arial"/>
          <w:b/>
          <w:sz w:val="22"/>
        </w:rPr>
        <w:t>tres quintos</w:t>
      </w:r>
      <w:r>
        <w:rPr>
          <w:rFonts w:ascii="Arial" w:hAnsi="Arial" w:cs="Arial"/>
          <w:sz w:val="22"/>
        </w:rPr>
        <w:t>.</w:t>
      </w:r>
    </w:p>
    <w:p>
      <w:pPr>
        <w:pStyle w:val="ListBullet"/>
      </w:pPr>
      <w:r>
        <w:rPr>
          <w:rFonts w:ascii="Arial" w:hAnsi="Arial" w:cs="Arial"/>
          <w:sz w:val="22"/>
        </w:rPr>
        <w:t xml:space="preserve">Mandato: </w:t>
      </w:r>
      <w:r>
        <w:rPr>
          <w:rFonts w:ascii="Arial" w:hAnsi="Arial" w:cs="Arial"/>
          <w:b/>
          <w:sz w:val="22"/>
        </w:rPr>
        <w:t>cinco años</w:t>
      </w:r>
      <w:r>
        <w:rPr>
          <w:rFonts w:ascii="Arial" w:hAnsi="Arial" w:cs="Arial"/>
          <w:sz w:val="22"/>
        </w:rPr>
        <w:t>.</w:t>
      </w:r>
    </w:p>
    <w:p>
      <w:pPr>
        <w:pStyle w:val="ListBullet"/>
      </w:pPr>
      <w:r>
        <w:rPr>
          <w:rFonts w:ascii="Arial" w:hAnsi="Arial" w:cs="Arial"/>
          <w:sz w:val="22"/>
        </w:rPr>
        <w:t xml:space="preserve">Presencia equilibrada: al menos </w:t>
      </w:r>
      <w:r>
        <w:rPr>
          <w:rFonts w:ascii="Arial" w:hAnsi="Arial" w:cs="Arial"/>
          <w:b/>
          <w:sz w:val="22"/>
        </w:rPr>
        <w:t>40 % de cada sexo</w:t>
      </w:r>
      <w:r>
        <w:rPr>
          <w:rFonts w:ascii="Arial" w:hAnsi="Arial" w:cs="Arial"/>
          <w:sz w:val="22"/>
        </w:rPr>
        <w:t xml:space="preserve"> entre los diez de cada Cámara.</w:t>
      </w:r>
    </w:p>
    <w:p>
      <w:pPr>
        <w:pStyle w:val="ListBullet"/>
      </w:pPr>
      <w:r>
        <w:rPr>
          <w:rFonts w:ascii="Arial" w:hAnsi="Arial" w:cs="Arial"/>
          <w:sz w:val="22"/>
        </w:rPr>
        <w:t xml:space="preserve">Aval de candidatura judicial: </w:t>
      </w:r>
      <w:r>
        <w:rPr>
          <w:rFonts w:ascii="Arial" w:hAnsi="Arial" w:cs="Arial"/>
          <w:b/>
          <w:sz w:val="22"/>
        </w:rPr>
        <w:t>25</w:t>
      </w:r>
      <w:r>
        <w:rPr>
          <w:rFonts w:ascii="Arial" w:hAnsi="Arial" w:cs="Arial"/>
          <w:sz w:val="22"/>
        </w:rPr>
        <w:t xml:space="preserve"> miembros o asociación.</w:t>
      </w:r>
    </w:p>
    <w:p>
      <w:pPr>
        <w:pStyle w:val="ListBullet"/>
      </w:pPr>
      <w:r>
        <w:rPr>
          <w:rFonts w:ascii="Arial" w:hAnsi="Arial" w:cs="Arial"/>
          <w:sz w:val="22"/>
        </w:rPr>
        <w:t xml:space="preserve">Presidente: tres quintos del Pleno; jurista alternativo con más de </w:t>
      </w:r>
      <w:r>
        <w:rPr>
          <w:rFonts w:ascii="Arial" w:hAnsi="Arial" w:cs="Arial"/>
          <w:b/>
          <w:sz w:val="22"/>
        </w:rPr>
        <w:t>25 años</w:t>
      </w:r>
      <w:r>
        <w:rPr>
          <w:rFonts w:ascii="Arial" w:hAnsi="Arial" w:cs="Arial"/>
          <w:sz w:val="22"/>
        </w:rPr>
        <w:t>.</w:t>
      </w:r>
    </w:p>
    <w:p>
      <w:pPr>
        <w:pStyle w:val="ListBullet"/>
      </w:pPr>
      <w:r>
        <w:rPr>
          <w:rFonts w:ascii="Arial" w:hAnsi="Arial" w:cs="Arial"/>
          <w:sz w:val="22"/>
        </w:rPr>
        <w:t xml:space="preserve">Comisión Permanente: Presidente + </w:t>
      </w:r>
      <w:r>
        <w:rPr>
          <w:rFonts w:ascii="Arial" w:hAnsi="Arial" w:cs="Arial"/>
          <w:b/>
          <w:sz w:val="22"/>
        </w:rPr>
        <w:t>7</w:t>
      </w:r>
      <w:r>
        <w:rPr>
          <w:rFonts w:ascii="Arial" w:hAnsi="Arial" w:cs="Arial"/>
          <w:sz w:val="22"/>
        </w:rPr>
        <w:t xml:space="preserve"> vocales.</w:t>
      </w:r>
    </w:p>
    <w:p>
      <w:pPr>
        <w:pStyle w:val="ListBullet"/>
      </w:pPr>
      <w:r>
        <w:rPr>
          <w:rFonts w:ascii="Arial" w:hAnsi="Arial" w:cs="Arial"/>
          <w:sz w:val="22"/>
        </w:rPr>
        <w:t xml:space="preserve">Disciplinaria: </w:t>
      </w:r>
      <w:r>
        <w:rPr>
          <w:rFonts w:ascii="Arial" w:hAnsi="Arial" w:cs="Arial"/>
          <w:b/>
          <w:sz w:val="22"/>
        </w:rPr>
        <w:t>7</w:t>
      </w:r>
      <w:r>
        <w:rPr>
          <w:rFonts w:ascii="Arial" w:hAnsi="Arial" w:cs="Arial"/>
          <w:sz w:val="22"/>
        </w:rPr>
        <w:t xml:space="preserve"> vocales, 4 judiciales y 3 juristas.</w:t>
      </w:r>
    </w:p>
    <w:p>
      <w:pPr>
        <w:pStyle w:val="ListBullet"/>
      </w:pPr>
      <w:r>
        <w:rPr>
          <w:rFonts w:ascii="Arial" w:hAnsi="Arial" w:cs="Arial"/>
          <w:sz w:val="22"/>
        </w:rPr>
        <w:t xml:space="preserve">Calificación: </w:t>
      </w:r>
      <w:r>
        <w:rPr>
          <w:rFonts w:ascii="Arial" w:hAnsi="Arial" w:cs="Arial"/>
          <w:b/>
          <w:sz w:val="22"/>
        </w:rPr>
        <w:t>5</w:t>
      </w:r>
      <w:r>
        <w:rPr>
          <w:rFonts w:ascii="Arial" w:hAnsi="Arial" w:cs="Arial"/>
          <w:sz w:val="22"/>
        </w:rPr>
        <w:t>, 3 judiciales y 2 juristas.</w:t>
      </w:r>
    </w:p>
    <w:p>
      <w:pPr>
        <w:pStyle w:val="ListBullet"/>
      </w:pPr>
      <w:r>
        <w:rPr>
          <w:rFonts w:ascii="Arial" w:hAnsi="Arial" w:cs="Arial"/>
          <w:sz w:val="22"/>
        </w:rPr>
        <w:t xml:space="preserve">Protección de Datos: futura Comisión de </w:t>
      </w:r>
      <w:r>
        <w:rPr>
          <w:rFonts w:ascii="Arial" w:hAnsi="Arial" w:cs="Arial"/>
          <w:b/>
          <w:sz w:val="22"/>
        </w:rPr>
        <w:t>3</w:t>
      </w:r>
      <w:r>
        <w:rPr>
          <w:rFonts w:ascii="Arial" w:hAnsi="Arial" w:cs="Arial"/>
          <w:sz w:val="22"/>
        </w:rPr>
        <w:t xml:space="preserve"> miembros —2 judiciales y 1 jurista—; aplicación diferida hasta el primer CGPJ constituido después de la entrada en vigor de la LO 1/2025.</w:t>
      </w:r>
    </w:p>
    <w:p>
      <w:pPr>
        <w:pStyle w:val="ListBullet"/>
      </w:pPr>
      <w:r>
        <w:rPr>
          <w:rFonts w:ascii="Arial" w:hAnsi="Arial" w:cs="Arial"/>
          <w:sz w:val="22"/>
        </w:rPr>
        <w:t xml:space="preserve">TS: </w:t>
      </w:r>
      <w:r>
        <w:rPr>
          <w:rFonts w:ascii="Arial" w:hAnsi="Arial" w:cs="Arial"/>
          <w:b/>
          <w:sz w:val="22"/>
        </w:rPr>
        <w:t>5 Salas</w:t>
      </w:r>
      <w:r>
        <w:rPr>
          <w:rFonts w:ascii="Arial" w:hAnsi="Arial" w:cs="Arial"/>
          <w:sz w:val="22"/>
        </w:rPr>
        <w:t>.</w:t>
      </w:r>
    </w:p>
    <w:p>
      <w:pPr>
        <w:pStyle w:val="ListBullet"/>
      </w:pPr>
      <w:r>
        <w:rPr>
          <w:rFonts w:ascii="Arial" w:hAnsi="Arial" w:cs="Arial"/>
          <w:sz w:val="22"/>
        </w:rPr>
        <w:t xml:space="preserve">AN: </w:t>
      </w:r>
      <w:r>
        <w:rPr>
          <w:rFonts w:ascii="Arial" w:hAnsi="Arial" w:cs="Arial"/>
          <w:b/>
          <w:sz w:val="22"/>
        </w:rPr>
        <w:t>4 Salas</w:t>
      </w:r>
      <w:r>
        <w:rPr>
          <w:rFonts w:ascii="Arial" w:hAnsi="Arial" w:cs="Arial"/>
          <w:sz w:val="22"/>
        </w:rPr>
        <w:t>.</w:t>
      </w:r>
    </w:p>
    <w:p>
      <w:pPr>
        <w:pStyle w:val="ListBullet"/>
      </w:pPr>
      <w:r>
        <w:rPr>
          <w:rFonts w:ascii="Arial" w:hAnsi="Arial" w:cs="Arial"/>
          <w:sz w:val="22"/>
        </w:rPr>
        <w:t xml:space="preserve">Tribunal Central: </w:t>
      </w:r>
      <w:r>
        <w:rPr>
          <w:rFonts w:ascii="Arial" w:hAnsi="Arial" w:cs="Arial"/>
          <w:b/>
          <w:sz w:val="22"/>
        </w:rPr>
        <w:t>5 Secciones</w:t>
      </w:r>
      <w:r>
        <w:rPr>
          <w:rFonts w:ascii="Arial" w:hAnsi="Arial" w:cs="Arial"/>
          <w:sz w:val="22"/>
        </w:rPr>
        <w:t>.</w:t>
      </w:r>
    </w:p>
    <w:p>
      <w:pPr>
        <w:pStyle w:val="ListBullet"/>
      </w:pPr>
      <w:r>
        <w:rPr>
          <w:rFonts w:ascii="Arial" w:hAnsi="Arial" w:cs="Arial"/>
          <w:sz w:val="22"/>
        </w:rPr>
        <w:t xml:space="preserve">Tribunal de Instancia: uno por </w:t>
      </w:r>
      <w:r>
        <w:rPr>
          <w:rFonts w:ascii="Arial" w:hAnsi="Arial" w:cs="Arial"/>
          <w:b/>
          <w:sz w:val="22"/>
        </w:rPr>
        <w:t>partido judicial</w:t>
      </w:r>
      <w:r>
        <w:rPr>
          <w:rFonts w:ascii="Arial" w:hAnsi="Arial" w:cs="Arial"/>
          <w:sz w:val="22"/>
        </w:rPr>
        <w:t>.</w:t>
      </w:r>
    </w:p>
    <w:p>
      <w:pPr>
        <w:pStyle w:val="ListBullet"/>
      </w:pPr>
      <w:r>
        <w:rPr>
          <w:rFonts w:ascii="Arial" w:hAnsi="Arial" w:cs="Arial"/>
          <w:sz w:val="22"/>
        </w:rPr>
        <w:t>Presidencia de Sección de TI: 2 secciones, 8 plazas en la Sección y 12 totales, requisitos acumulativos.</w:t>
      </w:r>
    </w:p>
    <w:p>
      <w:pPr>
        <w:pStyle w:val="ListBullet"/>
      </w:pPr>
      <w:r>
        <w:rPr>
          <w:rFonts w:ascii="Arial" w:hAnsi="Arial" w:cs="Arial"/>
          <w:sz w:val="22"/>
        </w:rPr>
        <w:t xml:space="preserve">Juez de paz: municipio sin Tribunal de Instancia; mandato de </w:t>
      </w:r>
      <w:r>
        <w:rPr>
          <w:rFonts w:ascii="Arial" w:hAnsi="Arial" w:cs="Arial"/>
          <w:b/>
          <w:sz w:val="22"/>
        </w:rPr>
        <w:t>4 años</w:t>
      </w:r>
      <w:r>
        <w:rPr>
          <w:rFonts w:ascii="Arial" w:hAnsi="Arial" w:cs="Arial"/>
          <w:sz w:val="22"/>
        </w:rPr>
        <w:t>.</w:t>
      </w:r>
    </w:p>
    <w:p>
      <w:pPr>
        <w:pStyle w:val="ListBullet"/>
      </w:pPr>
      <w:r>
        <w:rPr>
          <w:rFonts w:ascii="Arial" w:hAnsi="Arial" w:cs="Arial"/>
          <w:sz w:val="22"/>
        </w:rPr>
        <w:t xml:space="preserve">Implantación final de Tribunales de Instancia y Tribunal Central: </w:t>
      </w:r>
      <w:r>
        <w:rPr>
          <w:rFonts w:ascii="Arial" w:hAnsi="Arial" w:cs="Arial"/>
          <w:b/>
          <w:sz w:val="22"/>
        </w:rPr>
        <w:t>31 de diciembre de 2025</w:t>
      </w:r>
      <w:r>
        <w:rPr>
          <w:rFonts w:ascii="Arial" w:hAnsi="Arial" w:cs="Arial"/>
          <w:sz w:val="22"/>
        </w:rPr>
        <w:t>.</w:t>
      </w:r>
    </w:p>
    <w:p>
      <w:pPr>
        <w:pStyle w:val="Heading1"/>
        <w:keepNext/>
      </w:pPr>
      <w:r>
        <w:rPr>
          <w:rFonts w:ascii="Arial" w:hAnsi="Arial" w:cs="Arial"/>
          <w:sz w:val="30"/>
        </w:rPr>
        <w:t>12. Fuentes oficiales</w:t>
      </w:r>
    </w:p>
    <w:p>
      <w:pPr>
        <w:pStyle w:val="ListBullet"/>
      </w:pPr>
      <w:r>
        <w:rPr>
          <w:rFonts w:ascii="Arial" w:hAnsi="Arial" w:cs="Arial"/>
          <w:sz w:val="22"/>
        </w:rPr>
        <w:t>Constitución Española, título VI: BOE, texto consolidado (https://www.boe.es/buscar/act.php?id=BOE-A-1978-31229).</w:t>
      </w:r>
    </w:p>
    <w:p>
      <w:pPr>
        <w:pStyle w:val="ListBullet"/>
      </w:pPr>
      <w:r>
        <w:rPr>
          <w:rFonts w:ascii="Arial" w:hAnsi="Arial" w:cs="Arial"/>
          <w:sz w:val="22"/>
        </w:rPr>
        <w:t>Ley Orgánica 6/1985, de 1 de julio, del Poder Judicial: BOE, texto consolidado (https://www.boe.es/buscar/act.php?id=BOE-A-1985-12666).</w:t>
      </w:r>
    </w:p>
    <w:p>
      <w:pPr>
        <w:pStyle w:val="ListBullet"/>
      </w:pPr>
      <w:r>
        <w:rPr>
          <w:rFonts w:ascii="Arial" w:hAnsi="Arial" w:cs="Arial"/>
          <w:sz w:val="22"/>
        </w:rPr>
        <w:t>Ley Orgánica 1/2025, de 2 de enero, de medidas en materia de eficiencia del Servicio Público de Justicia: BOE, texto consolidado (https://www.boe.es/buscar/act.php?id=BOE-A-2025-76).</w:t>
      </w:r>
    </w:p>
    <w:p>
      <w:pPr>
        <w:pStyle w:val="ListBullet"/>
      </w:pPr>
      <w:r>
        <w:rPr>
          <w:rFonts w:ascii="Arial" w:hAnsi="Arial" w:cs="Arial"/>
          <w:sz w:val="22"/>
        </w:rPr>
        <w:t>Ley Orgánica 3/2024, de 2 de agosto, de reforma de la LOPJ y del Estatuto Orgánico del Ministerio Fiscal: BOE-A-2024-16127 (https://www.boe.es/buscar/doc.php?id=BOE-A-2024-16127).</w:t>
      </w:r>
    </w:p>
    <w:p>
      <w:pPr>
        <w:pStyle w:val="ListBullet"/>
      </w:pPr>
      <w:r>
        <w:rPr>
          <w:rFonts w:ascii="Arial" w:hAnsi="Arial" w:cs="Arial"/>
          <w:sz w:val="22"/>
        </w:rPr>
        <w:t>Ley 38/1988, de 28 de diciembre, de Demarcación y Planta Judicial: BOE, texto consolidado (https://www.boe.es/buscar/act.php?id=BOE-A-1988-29622).</w:t>
      </w:r>
    </w:p>
    <w:p>
      <w:pPr>
        <w:pStyle w:val="ListBullet"/>
      </w:pPr>
      <w:r>
        <w:rPr>
          <w:rFonts w:ascii="Arial" w:hAnsi="Arial" w:cs="Arial"/>
          <w:sz w:val="22"/>
        </w:rPr>
        <w:t>Comisiones legales constituidas por el CGPJ del mandato iniciado en 2024: Poder Judicial, acuerdo de 25 de septiembre de 2024 (https://www.poderjudicial.es/cgpj/es/Poder-Judicial/En-Portada/El-Pleno-del-CGPJ-aprueba-por-unanimidad-la-composicion-de-las-comisiones-legales-).</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G06</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6</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4, 2026: 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6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b/>
          <w:sz w:val="22"/>
        </w:rPr>
        <w:t>Normas que más aparecen:</w:t>
      </w:r>
      <w:r>
        <w:rPr>
          <w:rFonts w:ascii="Arial" w:hAnsi="Arial" w:cs="Arial"/>
          <w:sz w:val="22"/>
        </w:rPr>
        <w:t xml:space="preserve"> Constitución Española (4); Ley Orgánica 6/1985 (2).</w:t>
      </w:r>
    </w:p>
    <w:p>
      <w:pPr>
        <w:jc w:val="both"/>
      </w:pPr>
      <w:r>
        <w:rPr>
          <w:rFonts w:ascii="Arial" w:hAnsi="Arial" w:cs="Arial"/>
          <w:b/>
          <w:sz w:val="22"/>
        </w:rPr>
        <w:t>Artículos o preceptos más repetidos:</w:t>
      </w:r>
      <w:r>
        <w:rPr>
          <w:rFonts w:ascii="Arial" w:hAnsi="Arial" w:cs="Arial"/>
          <w:sz w:val="22"/>
        </w:rPr>
        <w:t xml:space="preserve"> 122 (2); 117 (1); 64.1 (1); 125 (1); 55 (1).</w:t>
      </w:r>
    </w:p>
    <w:p>
      <w:pPr>
        <w:jc w:val="both"/>
      </w:pPr>
      <w:r>
        <w:rPr>
          <w:rFonts w:ascii="Arial" w:hAnsi="Arial" w:cs="Arial"/>
          <w:b/>
          <w:sz w:val="22"/>
        </w:rPr>
        <w:t>Formas de pregunta predominantes:</w:t>
      </w:r>
      <w:r>
        <w:rPr>
          <w:rFonts w:ascii="Arial" w:hAnsi="Arial" w:cs="Arial"/>
          <w:sz w:val="22"/>
        </w:rPr>
        <w:t xml:space="preserve"> Artículos literales (6).</w:t>
      </w:r>
    </w:p>
    <w:p>
      <w:pPr>
        <w:pStyle w:val="Heading2"/>
        <w:keepNext/>
      </w:pPr>
      <w:r>
        <w:rPr>
          <w:rFonts w:ascii="Arial" w:hAnsi="Arial" w:cs="Arial"/>
          <w:sz w:val="25"/>
        </w:rPr>
        <w:t>Patrones observados</w:t>
      </w:r>
    </w:p>
    <w:p>
      <w:pPr>
        <w:pStyle w:val="ListBullet"/>
      </w:pPr>
      <w:r>
        <w:rPr>
          <w:rFonts w:ascii="Arial" w:hAnsi="Arial" w:cs="Arial"/>
          <w:b/>
          <w:sz w:val="22"/>
        </w:rPr>
        <w:t>2025, teoría 71, reserva:</w:t>
      </w:r>
      <w:r>
        <w:rPr>
          <w:rFonts w:ascii="Arial" w:hAnsi="Arial" w:cs="Arial"/>
          <w:sz w:val="22"/>
        </w:rPr>
        <w:t xml:space="preserve"> De acuerdo con 10 establecido en el artículo 122 de la Constitución Española, el Consejo General del Poder Judicial:</w:t>
      </w:r>
    </w:p>
    <w:p>
      <w:pPr>
        <w:pStyle w:val="ListBullet"/>
      </w:pPr>
      <w:r>
        <w:rPr>
          <w:rFonts w:ascii="Arial" w:hAnsi="Arial" w:cs="Arial"/>
          <w:b/>
          <w:sz w:val="22"/>
        </w:rPr>
        <w:t>2024, teoría 6:</w:t>
      </w:r>
      <w:r>
        <w:rPr>
          <w:rFonts w:ascii="Arial" w:hAnsi="Arial" w:cs="Arial"/>
          <w:sz w:val="22"/>
        </w:rPr>
        <w:t xml:space="preserve"> De acuerdo con el artículo 117,5 de la Constitución Española, el principio de unidad jurisdiccional es la base de la organización y funcionamiento de los Tribunales. La ley regulará el ejercicio de la…</w:t>
      </w:r>
    </w:p>
    <w:p>
      <w:pPr>
        <w:pStyle w:val="ListBullet"/>
      </w:pPr>
      <w:r>
        <w:rPr>
          <w:rFonts w:ascii="Arial" w:hAnsi="Arial" w:cs="Arial"/>
          <w:b/>
          <w:sz w:val="22"/>
        </w:rPr>
        <w:t>2025, teoría 6:</w:t>
      </w:r>
      <w:r>
        <w:rPr>
          <w:rFonts w:ascii="Arial" w:hAnsi="Arial" w:cs="Arial"/>
          <w:sz w:val="22"/>
        </w:rPr>
        <w:t xml:space="preserve"> Según establece el artículo 64.1 de la Ley Orgánica 6/1985, de 1 de julio, del Poder Judicial, la Audiencia Nacional estará integrada por las siguientes Salas:</w:t>
      </w:r>
    </w:p>
    <w:p>
      <w:pPr>
        <w:pStyle w:val="ListBullet"/>
      </w:pPr>
      <w:r>
        <w:rPr>
          <w:rFonts w:ascii="Arial" w:hAnsi="Arial" w:cs="Arial"/>
          <w:b/>
          <w:sz w:val="22"/>
        </w:rPr>
        <w:t>2025, teoría 6:</w:t>
      </w:r>
      <w:r>
        <w:rPr>
          <w:rFonts w:ascii="Arial" w:hAnsi="Arial" w:cs="Arial"/>
          <w:sz w:val="22"/>
        </w:rPr>
        <w:t xml:space="preserve"> De acuerdo con 10 establecido en el articulo 122 de la Constitución Española, el Consejo General del Poder Judicial estará integrado por:</w:t>
      </w:r>
    </w:p>
    <w:p>
      <w:pPr>
        <w:pStyle w:val="ListBullet"/>
      </w:pPr>
      <w:r>
        <w:rPr>
          <w:rFonts w:ascii="Arial" w:hAnsi="Arial" w:cs="Arial"/>
          <w:b/>
          <w:sz w:val="22"/>
        </w:rPr>
        <w:t>2025, teoría 6:</w:t>
      </w:r>
      <w:r>
        <w:rPr>
          <w:rFonts w:ascii="Arial" w:hAnsi="Arial" w:cs="Arial"/>
          <w:sz w:val="22"/>
        </w:rPr>
        <w:t xml:space="preserve"> De acuerdo con lo establecido en el artículo 125 de la Constitución Española, los ciudadanos :</w:t>
      </w:r>
    </w:p>
    <w:p>
      <w:pPr>
        <w:pStyle w:val="ListBullet"/>
      </w:pPr>
      <w:r>
        <w:rPr>
          <w:rFonts w:ascii="Arial" w:hAnsi="Arial" w:cs="Arial"/>
          <w:b/>
          <w:sz w:val="22"/>
        </w:rPr>
        <w:t>2026, teoría 9:</w:t>
      </w:r>
      <w:r>
        <w:rPr>
          <w:rFonts w:ascii="Arial" w:hAnsi="Arial" w:cs="Arial"/>
          <w:sz w:val="22"/>
        </w:rPr>
        <w:t xml:space="preserve"> Señale la respuesta correcta en relación con qué Salas integran el Tribunal Supremo y su orden, según se determina en el artículo 55 de la Ley Orgánica 6/1985, de 1 de julio, del Poder Judicial:</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0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G06 · Tema 6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6. El Poder Judicial. El principio de unidad jurisdiccional. El Consejo General del Poder Judicial. La organización judicial española</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