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9</w:t>
      </w:r>
    </w:p>
    <w:p>
      <w:pPr>
        <w:keepNext/>
        <w:spacing w:before="0" w:after="280"/>
        <w:pBdr>
          <w:bottom w:val="single" w:sz="12" w:space="1" w:color="2F75B5"/>
        </w:pBdr>
      </w:pPr>
      <w:r>
        <w:rPr>
          <w:rFonts w:ascii="Arial" w:hAnsi="Arial" w:cs="Arial"/>
          <w:b/>
          <w:color w:val="17365D"/>
          <w:sz w:val="40"/>
        </w:rPr>
        <w:t>La organización territorial del Estado. Las Comunidades Autónomas. Los Estatutos de Autonomía. La delimitación de competencias entre el Estado y las Comunidades Autónomas en la Constitución y en los Estatutos de Autonomía. La Administración local: El municipio. La provincia.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La Constitución de 1978 diseña un Estado políticamente descentralizado. Parte de la unidad de la Nación española, reconoce y garantiza el derecho a la autonomía de las nacionalidades y regiones y exige solidaridad entre todas ellas. Ese equilibrio se concreta en el título VIII de la Constitución, que organiza territorialmente el Estado en municipios, provincias y Comunidades Autónomas, entidades que gozan de autonomía para gestionar sus respectivos intereses.</w:t>
      </w:r>
    </w:p>
    <w:p>
      <w:pPr>
        <w:jc w:val="both"/>
      </w:pPr>
      <w:r>
        <w:rPr>
          <w:rFonts w:ascii="Arial" w:hAnsi="Arial" w:cs="Arial"/>
          <w:sz w:val="22"/>
        </w:rPr>
        <w:t>La autonomía no tiene el mismo alcance en los tres niveles. Las Comunidades Autónomas disponen de autonomía política: pueden aprobar leyes en las materias de su competencia y poseen instituciones propias de autogobierno. Municipios y provincias disfrutan de autonomía local, fundamentalmente administrativa, para ordenar y gestionar los intereses de la colectividad local dentro de las competencias que les atribuyan las leyes. Ninguna de estas autonomías equivale a soberanía: la soberanía nacional reside en el pueblo español.</w:t>
      </w:r>
    </w:p>
    <w:p>
      <w:pPr>
        <w:jc w:val="both"/>
      </w:pPr>
      <w:r>
        <w:rPr>
          <w:rFonts w:ascii="Arial" w:hAnsi="Arial" w:cs="Arial"/>
          <w:sz w:val="22"/>
        </w:rPr>
        <w:t xml:space="preserve">Este tema está actualizado a </w:t>
      </w:r>
      <w:r>
        <w:rPr>
          <w:rFonts w:ascii="Arial" w:hAnsi="Arial" w:cs="Arial"/>
          <w:b/>
          <w:sz w:val="22"/>
        </w:rPr>
        <w:t>30 de julio de 2026</w:t>
      </w:r>
      <w:r>
        <w:rPr>
          <w:rFonts w:ascii="Arial" w:hAnsi="Arial" w:cs="Arial"/>
          <w:sz w:val="22"/>
        </w:rPr>
        <w:t>. Deben destacarse dos novedades recientes. La reforma constitucional de 19 de mayo de 2026 ha modificado únicamente el artículo 69.3 para que Formentera elija un senador propio; no ha alterado el título VIII ni el reparto territorial de competencias. Además, desde el 22 de marzo de 2026 el artículo 25.2 de la Ley 7/1985 incluye entre las materias de competencia propia municipal la promoción y participación en comunidades energéticas y determinadas actuaciones de transición energética.</w:t>
      </w:r>
    </w:p>
    <w:p>
      <w:pPr>
        <w:pStyle w:val="Heading1"/>
        <w:keepNext/>
      </w:pPr>
      <w:r>
        <w:rPr>
          <w:rFonts w:ascii="Arial" w:hAnsi="Arial" w:cs="Arial"/>
          <w:sz w:val="30"/>
        </w:rPr>
        <w:t>1. Fundamentos constitucionales del Estado autonómico</w:t>
      </w:r>
    </w:p>
    <w:p>
      <w:pPr>
        <w:pStyle w:val="Heading2"/>
        <w:keepNext/>
      </w:pPr>
      <w:r>
        <w:rPr>
          <w:rFonts w:ascii="Arial" w:hAnsi="Arial" w:cs="Arial"/>
          <w:sz w:val="25"/>
        </w:rPr>
        <w:t>1.1. Unidad, autonomía y solidaridad</w:t>
      </w:r>
    </w:p>
    <w:p>
      <w:pPr>
        <w:jc w:val="both"/>
      </w:pPr>
      <w:r>
        <w:rPr>
          <w:rFonts w:ascii="Arial" w:hAnsi="Arial" w:cs="Arial"/>
          <w:sz w:val="22"/>
        </w:rPr>
        <w:t>El artículo 2 de la Constitución reúne los tres principios estructurales:</w:t>
      </w:r>
    </w:p>
    <w:p>
      <w:pPr>
        <w:pStyle w:val="ListBullet"/>
      </w:pPr>
      <w:r>
        <w:rPr>
          <w:rFonts w:ascii="Arial" w:hAnsi="Arial" w:cs="Arial"/>
          <w:b/>
          <w:sz w:val="22"/>
        </w:rPr>
        <w:t>Unidad:</w:t>
      </w:r>
      <w:r>
        <w:rPr>
          <w:rFonts w:ascii="Arial" w:hAnsi="Arial" w:cs="Arial"/>
          <w:sz w:val="22"/>
        </w:rPr>
        <w:t xml:space="preserve"> la Constitución se fundamenta en la indisoluble unidad de la Nación española, patria común e indivisible.</w:t>
      </w:r>
    </w:p>
    <w:p>
      <w:pPr>
        <w:pStyle w:val="ListBullet"/>
      </w:pPr>
      <w:r>
        <w:rPr>
          <w:rFonts w:ascii="Arial" w:hAnsi="Arial" w:cs="Arial"/>
          <w:b/>
          <w:sz w:val="22"/>
        </w:rPr>
        <w:t>Autonomía:</w:t>
      </w:r>
      <w:r>
        <w:rPr>
          <w:rFonts w:ascii="Arial" w:hAnsi="Arial" w:cs="Arial"/>
          <w:sz w:val="22"/>
        </w:rPr>
        <w:t xml:space="preserve"> reconoce y garantiza el derecho a la autonomía de las nacionalidades y regiones.</w:t>
      </w:r>
    </w:p>
    <w:p>
      <w:pPr>
        <w:pStyle w:val="ListBullet"/>
      </w:pPr>
      <w:r>
        <w:rPr>
          <w:rFonts w:ascii="Arial" w:hAnsi="Arial" w:cs="Arial"/>
          <w:b/>
          <w:sz w:val="22"/>
        </w:rPr>
        <w:t>Solidaridad:</w:t>
      </w:r>
      <w:r>
        <w:rPr>
          <w:rFonts w:ascii="Arial" w:hAnsi="Arial" w:cs="Arial"/>
          <w:sz w:val="22"/>
        </w:rPr>
        <w:t xml:space="preserve"> obliga a articular el autogobierno sin privilegios y con equilibrio territorial.</w:t>
      </w:r>
    </w:p>
    <w:p>
      <w:pPr>
        <w:jc w:val="both"/>
      </w:pPr>
      <w:r>
        <w:rPr>
          <w:rFonts w:ascii="Arial" w:hAnsi="Arial" w:cs="Arial"/>
          <w:sz w:val="22"/>
        </w:rPr>
        <w:t>La autonomía es un poder limitado y jurídicamente ordenado. Cada Comunidad Autónoma actúa dentro de la Constitución y de su Estatuto; el Estado conserva las competencias que la Constitución y el bloque de la constitucionalidad le atribuyen. Por ello, no existe un poder constituyente autonómico originario ni un derecho unilateral a decidir fuera del procedimiento constitucional.</w:t>
      </w:r>
    </w:p>
    <w:p>
      <w:pPr>
        <w:jc w:val="both"/>
      </w:pPr>
      <w:r>
        <w:rPr>
          <w:rFonts w:ascii="Arial" w:hAnsi="Arial" w:cs="Arial"/>
          <w:sz w:val="22"/>
        </w:rPr>
        <w:t>El artículo 137 dispone que el Estado se organiza territorialmente en municipios, provincias y Comunidades Autónomas. Todas estas entidades gozan de autonomía para gestionar sus respectivos intereses. La expresión “respectivos intereses” explica que el alcance de la autonomía dependa del nivel territorial y de las competencias legalmente atribuidas.</w:t>
      </w:r>
    </w:p>
    <w:p>
      <w:pPr>
        <w:pStyle w:val="Heading2"/>
        <w:keepNext/>
      </w:pPr>
      <w:r>
        <w:rPr>
          <w:rFonts w:ascii="Arial" w:hAnsi="Arial" w:cs="Arial"/>
          <w:sz w:val="25"/>
        </w:rPr>
        <w:t>1.2. Solidaridad, igualdad y unidad de mercado</w:t>
      </w:r>
    </w:p>
    <w:p>
      <w:pPr>
        <w:jc w:val="both"/>
      </w:pPr>
      <w:r>
        <w:rPr>
          <w:rFonts w:ascii="Arial" w:hAnsi="Arial" w:cs="Arial"/>
          <w:sz w:val="22"/>
        </w:rPr>
        <w:t>El artículo 138 obliga al Estado a garantizar la realización efectiva de la solidaridad y a velar por un equilibrio económico adecuado y justo entre las diversas partes del territorio, atendiendo en particular al hecho insular. Las diferencias entre Estatutos no pueden implicar privilegios económicos o sociales.</w:t>
      </w:r>
    </w:p>
    <w:p>
      <w:pPr>
        <w:jc w:val="both"/>
      </w:pPr>
      <w:r>
        <w:rPr>
          <w:rFonts w:ascii="Arial" w:hAnsi="Arial" w:cs="Arial"/>
          <w:sz w:val="22"/>
        </w:rPr>
        <w:t>El artículo 139 añade dos garantías:</w:t>
      </w:r>
    </w:p>
    <w:p>
      <w:pPr>
        <w:spacing w:after="40"/>
        <w:ind w:left="369" w:hanging="227"/>
      </w:pPr>
      <w:r>
        <w:rPr>
          <w:rFonts w:ascii="Arial" w:hAnsi="Arial" w:cs="Arial"/>
          <w:sz w:val="22"/>
        </w:rPr>
        <w:t>1. Todos los españoles tienen los mismos derechos y obligaciones en cualquier parte del territorio.</w:t>
      </w:r>
    </w:p>
    <w:p>
      <w:pPr>
        <w:spacing w:after="40"/>
        <w:ind w:left="369" w:hanging="227"/>
      </w:pPr>
      <w:r>
        <w:rPr>
          <w:rFonts w:ascii="Arial" w:hAnsi="Arial" w:cs="Arial"/>
          <w:sz w:val="22"/>
        </w:rPr>
        <w:t>2. Ninguna autoridad puede adoptar medidas que obstaculicen directa o indirectamente la libertad de circulación y establecimiento de las personas ni la libre circulación de bienes.</w:t>
      </w:r>
    </w:p>
    <w:p>
      <w:pPr>
        <w:jc w:val="both"/>
      </w:pPr>
      <w:r>
        <w:rPr>
          <w:rFonts w:ascii="Arial" w:hAnsi="Arial" w:cs="Arial"/>
          <w:sz w:val="22"/>
        </w:rPr>
        <w:t>Igualdad no significa uniformidad absoluta. El autogobierno permite políticas distintas dentro de las competencias propias, siempre que respeten la Constitución, las condiciones básicas estatales y la prohibición de privilegios. La diversidad normativa es una consecuencia legítima del Estado autonómico; la desigualdad constitucionalmente inadmisible es la que carece de justificación o vulnera las garantías comunes.</w:t>
      </w:r>
    </w:p>
    <w:p>
      <w:pPr>
        <w:pStyle w:val="Heading2"/>
        <w:keepNext/>
      </w:pPr>
      <w:r>
        <w:rPr>
          <w:rFonts w:ascii="Arial" w:hAnsi="Arial" w:cs="Arial"/>
          <w:sz w:val="25"/>
        </w:rPr>
        <w:t>1.3. Caracteres del modelo</w:t>
      </w:r>
    </w:p>
    <w:p>
      <w:pPr>
        <w:jc w:val="both"/>
      </w:pPr>
      <w:r>
        <w:rPr>
          <w:rFonts w:ascii="Arial" w:hAnsi="Arial" w:cs="Arial"/>
          <w:sz w:val="22"/>
        </w:rPr>
        <w:t>El modelo territorial español puede resumirse así:</w:t>
      </w:r>
    </w:p>
    <w:tbl>
      <w:tblPr>
        <w:tblStyle w:val="TableGrid"/>
        <w:tblW w:type="dxa" w:w="9026"/>
        <w:jc w:val="left"/>
        <w:tblLayout w:type="fixed"/>
        <w:tblLook w:firstColumn="1" w:firstRow="1" w:lastColumn="0" w:lastRow="0" w:noHBand="0" w:noVBand="1" w:val="04A0"/>
        <w:tblInd w:w="120" w:type="dxa"/>
      </w:tblPr>
      <w:tblGrid>
        <w:gridCol w:w="3009"/>
        <w:gridCol w:w="6017"/>
      </w:tblGrid>
      <w:tr>
        <w:trPr>
          <w:tblHeader w:val="true"/>
        </w:trPr>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Carácter</w:t>
            </w:r>
          </w:p>
        </w:tc>
        <w:tc>
          <w:tcPr>
            <w:tcW w:type="dxa" w:w="601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Consecuencia</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Constitucional</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autonomía nace y se ejerce dentro de la Constitución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Dispositivo en su origen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Constitución reconoció el derecho de acceso, pero no enumeró inicialmente todas las Comunidades</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Generalizado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El proceso culminó en diecisiete Comunidades Autónomas</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Abierto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distribución concreta se completa con los Estatutos y puede evolucionar mediante su reforma</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Asimétrico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Los Estatutos pueden contener diferencias que no sean privilegios</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Cooperativo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Estado y Comunidades deben colaborar, cooperar y coordinarse</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Jurisdiccionalmente garantizado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El Tribunal Constitucional resuelve los conflictos de competencia</w:t>
            </w:r>
          </w:p>
        </w:tc>
      </w:tr>
    </w:tbl>
    <w:p>
      <w:pPr>
        <w:spacing w:after="40"/>
      </w:pPr>
    </w:p>
    <w:p>
      <w:pPr>
        <w:jc w:val="both"/>
      </w:pPr>
      <w:r>
        <w:rPr>
          <w:rFonts w:ascii="Arial" w:hAnsi="Arial" w:cs="Arial"/>
          <w:sz w:val="22"/>
        </w:rPr>
        <w:t xml:space="preserve">España cuenta con </w:t>
      </w:r>
      <w:r>
        <w:rPr>
          <w:rFonts w:ascii="Arial" w:hAnsi="Arial" w:cs="Arial"/>
          <w:b/>
          <w:sz w:val="22"/>
        </w:rPr>
        <w:t>diecisiete Comunidades Autónomas</w:t>
      </w:r>
      <w:r>
        <w:rPr>
          <w:rFonts w:ascii="Arial" w:hAnsi="Arial" w:cs="Arial"/>
          <w:sz w:val="22"/>
        </w:rPr>
        <w:t xml:space="preserve"> y con </w:t>
      </w:r>
      <w:r>
        <w:rPr>
          <w:rFonts w:ascii="Arial" w:hAnsi="Arial" w:cs="Arial"/>
          <w:b/>
          <w:sz w:val="22"/>
        </w:rPr>
        <w:t>Ceuta y Melilla</w:t>
      </w:r>
      <w:r>
        <w:rPr>
          <w:rFonts w:ascii="Arial" w:hAnsi="Arial" w:cs="Arial"/>
          <w:sz w:val="22"/>
        </w:rPr>
        <w:t>, que son ciudades autónomas dotadas de Estatuto, pero no Comunidades Autónomas. Esta distinción puede ser objeto de pregunta.</w:t>
      </w:r>
    </w:p>
    <w:p>
      <w:pPr>
        <w:pStyle w:val="Heading1"/>
        <w:keepNext/>
      </w:pPr>
      <w:r>
        <w:rPr>
          <w:rFonts w:ascii="Arial" w:hAnsi="Arial" w:cs="Arial"/>
          <w:sz w:val="30"/>
        </w:rPr>
        <w:t>2. Constitución de las Comunidades Autónomas</w:t>
      </w:r>
    </w:p>
    <w:p>
      <w:pPr>
        <w:pStyle w:val="Heading2"/>
        <w:keepNext/>
      </w:pPr>
      <w:r>
        <w:rPr>
          <w:rFonts w:ascii="Arial" w:hAnsi="Arial" w:cs="Arial"/>
          <w:sz w:val="25"/>
        </w:rPr>
        <w:t>2.1. Territorios con derecho de acceso</w:t>
      </w:r>
    </w:p>
    <w:p>
      <w:pPr>
        <w:jc w:val="both"/>
      </w:pPr>
      <w:r>
        <w:rPr>
          <w:rFonts w:ascii="Arial" w:hAnsi="Arial" w:cs="Arial"/>
          <w:sz w:val="22"/>
        </w:rPr>
        <w:t>Según el artículo 143.1, podían acceder al autogobierno:</w:t>
      </w:r>
    </w:p>
    <w:p>
      <w:pPr>
        <w:pStyle w:val="ListBullet"/>
      </w:pPr>
      <w:r>
        <w:rPr>
          <w:rFonts w:ascii="Arial" w:hAnsi="Arial" w:cs="Arial"/>
          <w:sz w:val="22"/>
        </w:rPr>
        <w:t>Las provincias limítrofes con características históricas, culturales y económicas comunes.</w:t>
      </w:r>
    </w:p>
    <w:p>
      <w:pPr>
        <w:pStyle w:val="ListBullet"/>
      </w:pPr>
      <w:r>
        <w:rPr>
          <w:rFonts w:ascii="Arial" w:hAnsi="Arial" w:cs="Arial"/>
          <w:sz w:val="22"/>
        </w:rPr>
        <w:t>Los territorios insulares.</w:t>
      </w:r>
    </w:p>
    <w:p>
      <w:pPr>
        <w:pStyle w:val="ListBullet"/>
      </w:pPr>
      <w:r>
        <w:rPr>
          <w:rFonts w:ascii="Arial" w:hAnsi="Arial" w:cs="Arial"/>
          <w:sz w:val="22"/>
        </w:rPr>
        <w:t>Las provincias con entidad regional histórica.</w:t>
      </w:r>
    </w:p>
    <w:p>
      <w:pPr>
        <w:jc w:val="both"/>
      </w:pPr>
      <w:r>
        <w:rPr>
          <w:rFonts w:ascii="Arial" w:hAnsi="Arial" w:cs="Arial"/>
          <w:sz w:val="22"/>
        </w:rPr>
        <w:t>La Constitución previó varias vías de acceso. Hoy tienen principalmente valor histórico, pues el mapa autonómico está cerrado, pero sus requisitos siguen siendo materia de examen.</w:t>
      </w:r>
    </w:p>
    <w:p>
      <w:pPr>
        <w:pStyle w:val="Heading2"/>
        <w:keepNext/>
      </w:pPr>
      <w:r>
        <w:rPr>
          <w:rFonts w:ascii="Arial" w:hAnsi="Arial" w:cs="Arial"/>
          <w:sz w:val="25"/>
        </w:rPr>
        <w:t>2.2. Vía ordinaria del artículo 143</w:t>
      </w:r>
    </w:p>
    <w:p>
      <w:pPr>
        <w:jc w:val="both"/>
      </w:pPr>
      <w:r>
        <w:rPr>
          <w:rFonts w:ascii="Arial" w:hAnsi="Arial" w:cs="Arial"/>
          <w:sz w:val="22"/>
        </w:rPr>
        <w:t>La iniciativa correspondía a todas las Diputaciones interesadas o al órgano interinsular y a dos terceras partes de los municipios cuya población representara, al menos, la mayoría del censo electoral de cada provincia o isla. Los requisitos debían cumplirse en seis meses desde el primer acuerdo local. Si la iniciativa fracasaba, solo podía reiterarse pasados cinco años.</w:t>
      </w:r>
    </w:p>
    <w:p>
      <w:pPr>
        <w:jc w:val="both"/>
      </w:pPr>
      <w:r>
        <w:rPr>
          <w:rFonts w:ascii="Arial" w:hAnsi="Arial" w:cs="Arial"/>
          <w:sz w:val="22"/>
        </w:rPr>
        <w:t>El proyecto de Estatuto de la vía ordinaria se elaboraba, conforme al artículo 146, por una asamblea formada por los miembros de las Diputaciones u órganos interinsulares afectados y los diputados y senadores elegidos en esas provincias. Después se elevaba a las Cortes Generales para tramitarlo como ley.</w:t>
      </w:r>
    </w:p>
    <w:p>
      <w:pPr>
        <w:jc w:val="both"/>
      </w:pPr>
      <w:r>
        <w:rPr>
          <w:rFonts w:ascii="Arial" w:hAnsi="Arial" w:cs="Arial"/>
          <w:sz w:val="22"/>
        </w:rPr>
        <w:t>La vía ordinaria implicaba inicialmente el techo competencial del artículo 148. Transcurridos cinco años, la Comunidad podía ampliar sucesivamente sus competencias mediante la reforma de su Estatuto dentro del marco del artículo 149. La evolución posterior igualó sustancialmente los techos potenciales, aunque permanecen diferencias estatutarias.</w:t>
      </w:r>
    </w:p>
    <w:p>
      <w:pPr>
        <w:pStyle w:val="Heading2"/>
        <w:keepNext/>
      </w:pPr>
      <w:r>
        <w:rPr>
          <w:rFonts w:ascii="Arial" w:hAnsi="Arial" w:cs="Arial"/>
          <w:sz w:val="25"/>
        </w:rPr>
        <w:t>2.3. Vía reforzada del artículo 151</w:t>
      </w:r>
    </w:p>
    <w:p>
      <w:pPr>
        <w:jc w:val="both"/>
      </w:pPr>
      <w:r>
        <w:rPr>
          <w:rFonts w:ascii="Arial" w:hAnsi="Arial" w:cs="Arial"/>
          <w:sz w:val="22"/>
        </w:rPr>
        <w:t>El artículo 151 permitía acceder desde el inicio a un nivel competencial más amplio sin esperar cinco años. La iniciativa exigía, dentro del plazo del artículo 143.2:</w:t>
      </w:r>
    </w:p>
    <w:p>
      <w:pPr>
        <w:pStyle w:val="ListBullet"/>
      </w:pPr>
      <w:r>
        <w:rPr>
          <w:rFonts w:ascii="Arial" w:hAnsi="Arial" w:cs="Arial"/>
          <w:sz w:val="22"/>
        </w:rPr>
        <w:t>Acuerdo de las Diputaciones u órganos interinsulares.</w:t>
      </w:r>
    </w:p>
    <w:p>
      <w:pPr>
        <w:pStyle w:val="ListBullet"/>
      </w:pPr>
      <w:r>
        <w:rPr>
          <w:rFonts w:ascii="Arial" w:hAnsi="Arial" w:cs="Arial"/>
          <w:sz w:val="22"/>
        </w:rPr>
        <w:t>Acuerdo de tres cuartas partes de los municipios de cada provincia afectada, que representaran al menos la mayoría del censo electoral de cada una.</w:t>
      </w:r>
    </w:p>
    <w:p>
      <w:pPr>
        <w:pStyle w:val="ListBullet"/>
      </w:pPr>
      <w:r>
        <w:rPr>
          <w:rFonts w:ascii="Arial" w:hAnsi="Arial" w:cs="Arial"/>
          <w:sz w:val="22"/>
        </w:rPr>
        <w:t>Ratificación por referéndum mediante el voto afirmativo de la mayoría absoluta de los electores de cada provincia.</w:t>
      </w:r>
    </w:p>
    <w:p>
      <w:pPr>
        <w:jc w:val="both"/>
      </w:pPr>
      <w:r>
        <w:rPr>
          <w:rFonts w:ascii="Arial" w:hAnsi="Arial" w:cs="Arial"/>
          <w:sz w:val="22"/>
        </w:rPr>
        <w:t>El procedimiento estatutario era también reforzado: elaboración por la asamblea de parlamentarios, negociación con la Comisión Constitucional del Congreso, referéndum del cuerpo electoral de las provincias y ratificación por las Cortes. Andalucía accedió por esta vía con las particularidades derivadas de la Ley Orgánica 13/1980. Las disposiciones transitorias facilitaron el acceso de los territorios que habían plebiscitado Estatutos en el pasado.</w:t>
      </w:r>
    </w:p>
    <w:p>
      <w:pPr>
        <w:pStyle w:val="Heading2"/>
        <w:keepNext/>
      </w:pPr>
      <w:r>
        <w:rPr>
          <w:rFonts w:ascii="Arial" w:hAnsi="Arial" w:cs="Arial"/>
          <w:sz w:val="25"/>
        </w:rPr>
        <w:t>2.4. Intervención excepcional de las Cortes: artículo 144</w:t>
      </w:r>
    </w:p>
    <w:p>
      <w:pPr>
        <w:jc w:val="both"/>
      </w:pPr>
      <w:r>
        <w:rPr>
          <w:rFonts w:ascii="Arial" w:hAnsi="Arial" w:cs="Arial"/>
          <w:sz w:val="22"/>
        </w:rPr>
        <w:t>Por motivos de interés nacional, las Cortes Generales pueden mediante ley orgánica:</w:t>
      </w:r>
    </w:p>
    <w:p>
      <w:pPr>
        <w:pStyle w:val="ListBullet"/>
      </w:pPr>
      <w:r>
        <w:rPr>
          <w:rFonts w:ascii="Arial" w:hAnsi="Arial" w:cs="Arial"/>
          <w:sz w:val="22"/>
        </w:rPr>
        <w:t>Autorizar una Comunidad cuyo ámbito no supere una provincia y que no reúna las condiciones del artículo 143.1.</w:t>
      </w:r>
    </w:p>
    <w:p>
      <w:pPr>
        <w:pStyle w:val="ListBullet"/>
      </w:pPr>
      <w:r>
        <w:rPr>
          <w:rFonts w:ascii="Arial" w:hAnsi="Arial" w:cs="Arial"/>
          <w:sz w:val="22"/>
        </w:rPr>
        <w:t>Autorizar o acordar un Estatuto para territorios no integrados en la organización provincial.</w:t>
      </w:r>
    </w:p>
    <w:p>
      <w:pPr>
        <w:pStyle w:val="ListBullet"/>
      </w:pPr>
      <w:r>
        <w:rPr>
          <w:rFonts w:ascii="Arial" w:hAnsi="Arial" w:cs="Arial"/>
          <w:sz w:val="22"/>
        </w:rPr>
        <w:t>Sustituir la iniciativa de las corporaciones locales.</w:t>
      </w:r>
    </w:p>
    <w:p>
      <w:pPr>
        <w:jc w:val="both"/>
      </w:pPr>
      <w:r>
        <w:rPr>
          <w:rFonts w:ascii="Arial" w:hAnsi="Arial" w:cs="Arial"/>
          <w:sz w:val="22"/>
        </w:rPr>
        <w:t xml:space="preserve">La disposición transitoria quinta permitió a Ceuta y Melilla constituirse en Comunidades si así lo acordaban sus ayuntamientos por mayoría absoluta y lo autorizaban las Cortes por ley orgánica. Finalmente se aprobaron en 1995 sendos Estatutos de </w:t>
      </w:r>
      <w:r>
        <w:rPr>
          <w:rFonts w:ascii="Arial" w:hAnsi="Arial" w:cs="Arial"/>
          <w:b/>
          <w:sz w:val="22"/>
        </w:rPr>
        <w:t>ciudad autónoma</w:t>
      </w:r>
      <w:r>
        <w:rPr>
          <w:rFonts w:ascii="Arial" w:hAnsi="Arial" w:cs="Arial"/>
          <w:sz w:val="22"/>
        </w:rPr>
        <w:t>, no de Comunidad Autónoma.</w:t>
      </w:r>
    </w:p>
    <w:p>
      <w:pPr>
        <w:pStyle w:val="Heading2"/>
        <w:keepNext/>
      </w:pPr>
      <w:r>
        <w:rPr>
          <w:rFonts w:ascii="Arial" w:hAnsi="Arial" w:cs="Arial"/>
          <w:sz w:val="25"/>
        </w:rPr>
        <w:t>2.5. Prohibición de federación y cooperación horizontal</w:t>
      </w:r>
    </w:p>
    <w:p>
      <w:pPr>
        <w:jc w:val="both"/>
      </w:pPr>
      <w:r>
        <w:rPr>
          <w:rFonts w:ascii="Arial" w:hAnsi="Arial" w:cs="Arial"/>
          <w:sz w:val="22"/>
        </w:rPr>
        <w:t>El artículo 145.1 prohíbe en todo caso la federación de Comunidades Autónomas. No prohíbe que cooperen:</w:t>
      </w:r>
    </w:p>
    <w:p>
      <w:pPr>
        <w:pStyle w:val="ListBullet"/>
      </w:pPr>
      <w:r>
        <w:rPr>
          <w:rFonts w:ascii="Arial" w:hAnsi="Arial" w:cs="Arial"/>
          <w:sz w:val="22"/>
        </w:rPr>
        <w:t>Los Estatutos pueden prever convenios para la gestión y prestación de servicios propios y fijar su comunicación a las Cortes.</w:t>
      </w:r>
    </w:p>
    <w:p>
      <w:pPr>
        <w:pStyle w:val="ListBullet"/>
      </w:pPr>
      <w:r>
        <w:rPr>
          <w:rFonts w:ascii="Arial" w:hAnsi="Arial" w:cs="Arial"/>
          <w:sz w:val="22"/>
        </w:rPr>
        <w:t>Los restantes acuerdos de cooperación necesitan autorización de las Cortes Generales.</w:t>
      </w:r>
    </w:p>
    <w:p>
      <w:pPr>
        <w:jc w:val="both"/>
      </w:pPr>
      <w:r>
        <w:rPr>
          <w:rFonts w:ascii="Arial" w:hAnsi="Arial" w:cs="Arial"/>
          <w:sz w:val="22"/>
        </w:rPr>
        <w:t>La prohibición de federación y la cooperación interautonómica son, por tanto, reglas compatibles.</w:t>
      </w:r>
    </w:p>
    <w:p>
      <w:pPr>
        <w:pStyle w:val="Heading1"/>
        <w:keepNext/>
      </w:pPr>
      <w:r>
        <w:rPr>
          <w:rFonts w:ascii="Arial" w:hAnsi="Arial" w:cs="Arial"/>
          <w:sz w:val="30"/>
        </w:rPr>
        <w:t>3. Los Estatutos de Autonomía</w:t>
      </w:r>
    </w:p>
    <w:p>
      <w:pPr>
        <w:pStyle w:val="Heading2"/>
        <w:keepNext/>
      </w:pPr>
      <w:r>
        <w:rPr>
          <w:rFonts w:ascii="Arial" w:hAnsi="Arial" w:cs="Arial"/>
          <w:sz w:val="25"/>
        </w:rPr>
        <w:t>3.1. Naturaleza y posición</w:t>
      </w:r>
    </w:p>
    <w:p>
      <w:pPr>
        <w:jc w:val="both"/>
      </w:pPr>
      <w:r>
        <w:rPr>
          <w:rFonts w:ascii="Arial" w:hAnsi="Arial" w:cs="Arial"/>
          <w:sz w:val="22"/>
        </w:rPr>
        <w:t xml:space="preserve">El artículo 147.1 define el Estatuto como la </w:t>
      </w:r>
      <w:r>
        <w:rPr>
          <w:rFonts w:ascii="Arial" w:hAnsi="Arial" w:cs="Arial"/>
          <w:b/>
          <w:sz w:val="22"/>
        </w:rPr>
        <w:t>norma institucional básica</w:t>
      </w:r>
      <w:r>
        <w:rPr>
          <w:rFonts w:ascii="Arial" w:hAnsi="Arial" w:cs="Arial"/>
          <w:sz w:val="22"/>
        </w:rPr>
        <w:t xml:space="preserve"> de cada Comunidad Autónoma. El Estado lo reconoce y ampara como parte integrante de su ordenamiento jurídico.</w:t>
      </w:r>
    </w:p>
    <w:p>
      <w:pPr>
        <w:jc w:val="both"/>
      </w:pPr>
      <w:r>
        <w:rPr>
          <w:rFonts w:ascii="Arial" w:hAnsi="Arial" w:cs="Arial"/>
          <w:sz w:val="22"/>
        </w:rPr>
        <w:t>El Estatuto tiene una doble dimensión:</w:t>
      </w:r>
    </w:p>
    <w:p>
      <w:pPr>
        <w:pStyle w:val="ListBullet"/>
      </w:pPr>
      <w:r>
        <w:rPr>
          <w:rFonts w:ascii="Arial" w:hAnsi="Arial" w:cs="Arial"/>
          <w:sz w:val="22"/>
        </w:rPr>
        <w:t>Es la norma institucional superior del ordenamiento autonómico.</w:t>
      </w:r>
    </w:p>
    <w:p>
      <w:pPr>
        <w:pStyle w:val="ListBullet"/>
      </w:pPr>
      <w:r>
        <w:rPr>
          <w:rFonts w:ascii="Arial" w:hAnsi="Arial" w:cs="Arial"/>
          <w:sz w:val="22"/>
        </w:rPr>
        <w:t>Es una ley orgánica estatal aprobada por las Cortes Generales.</w:t>
      </w:r>
    </w:p>
    <w:p>
      <w:pPr>
        <w:jc w:val="both"/>
      </w:pPr>
      <w:r>
        <w:rPr>
          <w:rFonts w:ascii="Arial" w:hAnsi="Arial" w:cs="Arial"/>
          <w:sz w:val="22"/>
        </w:rPr>
        <w:t>No es una Constitución autonómica ni una ley orgánica ordinaria disponible unilateralmente por las Cortes. Su elaboración y reforma están sometidas a procedimientos en los que intervienen la Comunidad y el Estado. Se subordina a la Constitución, puede ser controlado por el Tribunal Constitucional y sirve, junto con ella y otras leyes delimitadoras, para medir la validez de las normas estatales y autonómicas.</w:t>
      </w:r>
    </w:p>
    <w:p>
      <w:pPr>
        <w:jc w:val="both"/>
      </w:pPr>
      <w:r>
        <w:rPr>
          <w:rFonts w:ascii="Arial" w:hAnsi="Arial" w:cs="Arial"/>
          <w:sz w:val="22"/>
        </w:rPr>
        <w:t xml:space="preserve">La expresión </w:t>
      </w:r>
      <w:r>
        <w:rPr>
          <w:rFonts w:ascii="Arial" w:hAnsi="Arial" w:cs="Arial"/>
          <w:b/>
          <w:sz w:val="22"/>
        </w:rPr>
        <w:t>bloque de la constitucionalidad</w:t>
      </w:r>
      <w:r>
        <w:rPr>
          <w:rFonts w:ascii="Arial" w:hAnsi="Arial" w:cs="Arial"/>
          <w:sz w:val="22"/>
        </w:rPr>
        <w:t xml:space="preserve"> alude al conjunto de normas utilizadas para delimitar competencias y controlar la constitucionalidad, especialmente la Constitución, los Estatutos y determinadas leyes del artículo 150. No significa que todas tengan el mismo rango.</w:t>
      </w:r>
    </w:p>
    <w:p>
      <w:pPr>
        <w:pStyle w:val="Heading2"/>
        <w:keepNext/>
      </w:pPr>
      <w:r>
        <w:rPr>
          <w:rFonts w:ascii="Arial" w:hAnsi="Arial" w:cs="Arial"/>
          <w:sz w:val="25"/>
        </w:rPr>
        <w:t>3.2. Contenido mínimo</w:t>
      </w:r>
    </w:p>
    <w:p>
      <w:pPr>
        <w:jc w:val="both"/>
      </w:pPr>
      <w:r>
        <w:rPr>
          <w:rFonts w:ascii="Arial" w:hAnsi="Arial" w:cs="Arial"/>
          <w:sz w:val="22"/>
        </w:rPr>
        <w:t>El artículo 147.2 exige que los Estatutos contengan:</w:t>
      </w:r>
    </w:p>
    <w:p>
      <w:pPr>
        <w:spacing w:after="40"/>
        <w:ind w:left="369" w:hanging="227"/>
      </w:pPr>
      <w:r>
        <w:rPr>
          <w:rFonts w:ascii="Arial" w:hAnsi="Arial" w:cs="Arial"/>
          <w:sz w:val="22"/>
        </w:rPr>
        <w:t>1. La denominación de la Comunidad que mejor corresponda a su identidad histórica.</w:t>
      </w:r>
    </w:p>
    <w:p>
      <w:pPr>
        <w:spacing w:after="40"/>
        <w:ind w:left="369" w:hanging="227"/>
      </w:pPr>
      <w:r>
        <w:rPr>
          <w:rFonts w:ascii="Arial" w:hAnsi="Arial" w:cs="Arial"/>
          <w:sz w:val="22"/>
        </w:rPr>
        <w:t>2. La delimitación de su territorio.</w:t>
      </w:r>
    </w:p>
    <w:p>
      <w:pPr>
        <w:spacing w:after="40"/>
        <w:ind w:left="369" w:hanging="227"/>
      </w:pPr>
      <w:r>
        <w:rPr>
          <w:rFonts w:ascii="Arial" w:hAnsi="Arial" w:cs="Arial"/>
          <w:sz w:val="22"/>
        </w:rPr>
        <w:t>3. La denominación, organización y sede de sus instituciones autónomas propias.</w:t>
      </w:r>
    </w:p>
    <w:p>
      <w:pPr>
        <w:spacing w:after="40"/>
        <w:ind w:left="369" w:hanging="227"/>
      </w:pPr>
      <w:r>
        <w:rPr>
          <w:rFonts w:ascii="Arial" w:hAnsi="Arial" w:cs="Arial"/>
          <w:sz w:val="22"/>
        </w:rPr>
        <w:t>4. Las competencias asumidas dentro del marco constitucional y las bases para el traspaso de los servicios correspondientes.</w:t>
      </w:r>
    </w:p>
    <w:p>
      <w:pPr>
        <w:jc w:val="both"/>
      </w:pPr>
      <w:r>
        <w:rPr>
          <w:rFonts w:ascii="Arial" w:hAnsi="Arial" w:cs="Arial"/>
          <w:sz w:val="22"/>
        </w:rPr>
        <w:t>Además, suelen regular lengua y símbolos, derechos estatutarios, relaciones institucionales, Administración, financiación y procedimiento de reforma. Esos contenidos adicionales son válidos si guardan conexión con la función estatutaria y respetan la Constitución.</w:t>
      </w:r>
    </w:p>
    <w:p>
      <w:pPr>
        <w:jc w:val="both"/>
      </w:pPr>
      <w:r>
        <w:rPr>
          <w:rFonts w:ascii="Arial" w:hAnsi="Arial" w:cs="Arial"/>
          <w:sz w:val="22"/>
        </w:rPr>
        <w:t xml:space="preserve">El Estatuto </w:t>
      </w:r>
      <w:r>
        <w:rPr>
          <w:rFonts w:ascii="Arial" w:hAnsi="Arial" w:cs="Arial"/>
          <w:b/>
          <w:sz w:val="22"/>
        </w:rPr>
        <w:t>asume</w:t>
      </w:r>
      <w:r>
        <w:rPr>
          <w:rFonts w:ascii="Arial" w:hAnsi="Arial" w:cs="Arial"/>
          <w:sz w:val="22"/>
        </w:rPr>
        <w:t xml:space="preserve"> competencias para la Comunidad, pero no puede convertir en autonómica una materia que la Constitución reserva al Estado. Tampoco puede por sí solo imponer al Estado una interpretación constitucional vinculante.</w:t>
      </w:r>
    </w:p>
    <w:p>
      <w:pPr>
        <w:pStyle w:val="Heading2"/>
        <w:keepNext/>
      </w:pPr>
      <w:r>
        <w:rPr>
          <w:rFonts w:ascii="Arial" w:hAnsi="Arial" w:cs="Arial"/>
          <w:sz w:val="25"/>
        </w:rPr>
        <w:t>3.3. Reforma estatutaria</w:t>
      </w:r>
    </w:p>
    <w:p>
      <w:pPr>
        <w:jc w:val="both"/>
      </w:pPr>
      <w:r>
        <w:rPr>
          <w:rFonts w:ascii="Arial" w:hAnsi="Arial" w:cs="Arial"/>
          <w:sz w:val="22"/>
        </w:rPr>
        <w:t>La reforma se ajusta al procedimiento establecido en el propio Estatuto y requiere, en todo caso, aprobación de las Cortes Generales mediante ley orgánica. En los Estatutos aprobados por el procedimiento del artículo 151, la reforma requiere además referéndum del cuerpo electoral correspondiente en los términos constitucionales.</w:t>
      </w:r>
    </w:p>
    <w:p>
      <w:pPr>
        <w:jc w:val="both"/>
      </w:pPr>
      <w:r>
        <w:rPr>
          <w:rFonts w:ascii="Arial" w:hAnsi="Arial" w:cs="Arial"/>
          <w:sz w:val="22"/>
        </w:rPr>
        <w:t>Conviene separar tres operaciones:</w:t>
      </w:r>
    </w:p>
    <w:tbl>
      <w:tblPr>
        <w:tblStyle w:val="TableGrid"/>
        <w:tblW w:type="dxa" w:w="9026"/>
        <w:jc w:val="left"/>
        <w:tblLayout w:type="fixed"/>
        <w:tblLook w:firstColumn="1" w:firstRow="1" w:lastColumn="0" w:lastRow="0" w:noHBand="0" w:noVBand="1" w:val="04A0"/>
        <w:tblInd w:w="120" w:type="dxa"/>
      </w:tblPr>
      <w:tblGrid>
        <w:gridCol w:w="3042"/>
        <w:gridCol w:w="5984"/>
      </w:tblGrid>
      <w:tr>
        <w:trPr>
          <w:tblHeader w:val="true"/>
        </w:trPr>
        <w:tc>
          <w:tcPr>
            <w:tcW w:type="dxa" w:w="304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Operación</w:t>
            </w:r>
          </w:p>
        </w:tc>
        <w:tc>
          <w:tcPr>
            <w:tcW w:type="dxa" w:w="598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Instrumento</w:t>
            </w:r>
          </w:p>
        </w:tc>
      </w:tr>
      <w:tr>
        <w:tc>
          <w:tcPr>
            <w:tcW w:type="dxa" w:w="3042"/>
            <w:tcMar>
              <w:top w:w="80" w:type="dxa"/>
              <w:start w:w="120" w:type="dxa"/>
              <w:bottom w:w="80" w:type="dxa"/>
              <w:end w:w="120" w:type="dxa"/>
            </w:tcMar>
            <w:vAlign w:val="center"/>
          </w:tcPr>
          <w:p>
            <w:pPr>
              <w:spacing w:before="0" w:after="0" w:line="240" w:lineRule="auto"/>
              <w:jc w:val="left"/>
            </w:pPr>
            <w:r/>
            <w:r>
              <w:rPr>
                <w:rFonts w:ascii="Arial" w:hAnsi="Arial" w:cs="Arial"/>
                <w:sz w:val="18"/>
              </w:rPr>
              <w:t>Reforma de la Constitución</w:t>
            </w:r>
          </w:p>
        </w:tc>
        <w:tc>
          <w:tcPr>
            <w:tcW w:type="dxa" w:w="5984"/>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Procedimientos de los artículos 167 o 168 CE</w:t>
            </w:r>
          </w:p>
        </w:tc>
      </w:tr>
      <w:tr>
        <w:tc>
          <w:tcPr>
            <w:tcW w:type="dxa" w:w="3042"/>
            <w:tcMar>
              <w:top w:w="80" w:type="dxa"/>
              <w:start w:w="120" w:type="dxa"/>
              <w:bottom w:w="80" w:type="dxa"/>
              <w:end w:w="120" w:type="dxa"/>
            </w:tcMar>
            <w:vAlign w:val="center"/>
          </w:tcPr>
          <w:p>
            <w:pPr>
              <w:spacing w:before="0" w:after="0" w:line="240" w:lineRule="auto"/>
              <w:jc w:val="left"/>
            </w:pPr>
            <w:r/>
            <w:r>
              <w:rPr>
                <w:rFonts w:ascii="Arial" w:hAnsi="Arial" w:cs="Arial"/>
                <w:sz w:val="18"/>
              </w:rPr>
              <w:t>Reforma del Estatuto</w:t>
            </w:r>
          </w:p>
        </w:tc>
        <w:tc>
          <w:tcPr>
            <w:tcW w:type="dxa" w:w="5984"/>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 estatutario y ley orgánica; referéndum cuando proceda</w:t>
            </w:r>
          </w:p>
        </w:tc>
      </w:tr>
      <w:tr>
        <w:tc>
          <w:tcPr>
            <w:tcW w:type="dxa" w:w="3042"/>
            <w:tcMar>
              <w:top w:w="80" w:type="dxa"/>
              <w:start w:w="120" w:type="dxa"/>
              <w:bottom w:w="80" w:type="dxa"/>
              <w:end w:w="120" w:type="dxa"/>
            </w:tcMar>
            <w:vAlign w:val="center"/>
          </w:tcPr>
          <w:p>
            <w:pPr>
              <w:spacing w:before="0" w:after="0" w:line="240" w:lineRule="auto"/>
              <w:jc w:val="left"/>
            </w:pPr>
            <w:r/>
            <w:r>
              <w:rPr>
                <w:rFonts w:ascii="Arial" w:hAnsi="Arial" w:cs="Arial"/>
                <w:sz w:val="18"/>
              </w:rPr>
              <w:t>Modificación de una ley autonómica</w:t>
            </w:r>
          </w:p>
        </w:tc>
        <w:tc>
          <w:tcPr>
            <w:tcW w:type="dxa" w:w="5984"/>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 legislativo de la asamblea autonómica</w:t>
            </w:r>
          </w:p>
        </w:tc>
      </w:tr>
    </w:tbl>
    <w:p>
      <w:pPr>
        <w:spacing w:after="40"/>
      </w:pPr>
    </w:p>
    <w:p>
      <w:pPr>
        <w:jc w:val="both"/>
      </w:pPr>
      <w:r>
        <w:rPr>
          <w:rFonts w:ascii="Arial" w:hAnsi="Arial" w:cs="Arial"/>
          <w:sz w:val="22"/>
        </w:rPr>
        <w:t>Una ley estatal ordinaria no puede reformar un Estatuto y una ley autonómica tampoco puede hacerlo unilateralmente.</w:t>
      </w:r>
    </w:p>
    <w:p>
      <w:pPr>
        <w:pStyle w:val="Heading1"/>
        <w:keepNext/>
      </w:pPr>
      <w:r>
        <w:rPr>
          <w:rFonts w:ascii="Arial" w:hAnsi="Arial" w:cs="Arial"/>
          <w:sz w:val="30"/>
        </w:rPr>
        <w:t>4. Instituciones de autogobierno</w:t>
      </w:r>
    </w:p>
    <w:p>
      <w:pPr>
        <w:pStyle w:val="Heading2"/>
        <w:keepNext/>
      </w:pPr>
      <w:r>
        <w:rPr>
          <w:rFonts w:ascii="Arial" w:hAnsi="Arial" w:cs="Arial"/>
          <w:sz w:val="25"/>
        </w:rPr>
        <w:t>4.1. Esquema institucional</w:t>
      </w:r>
    </w:p>
    <w:p>
      <w:pPr>
        <w:jc w:val="both"/>
      </w:pPr>
      <w:r>
        <w:rPr>
          <w:rFonts w:ascii="Arial" w:hAnsi="Arial" w:cs="Arial"/>
          <w:sz w:val="22"/>
        </w:rPr>
        <w:t>El artículo 152 estableció para las Comunidades de la vía reforzada una organización basada en:</w:t>
      </w:r>
    </w:p>
    <w:p>
      <w:pPr>
        <w:pStyle w:val="ListBullet"/>
      </w:pPr>
      <w:r>
        <w:rPr>
          <w:rFonts w:ascii="Arial" w:hAnsi="Arial" w:cs="Arial"/>
          <w:b/>
          <w:sz w:val="22"/>
        </w:rPr>
        <w:t>Asamblea legislativa</w:t>
      </w:r>
      <w:r>
        <w:rPr>
          <w:rFonts w:ascii="Arial" w:hAnsi="Arial" w:cs="Arial"/>
          <w:sz w:val="22"/>
        </w:rPr>
        <w:t>, elegida por sufragio universal con representación proporcional que asegure además la representación de las diversas zonas del territorio.</w:t>
      </w:r>
    </w:p>
    <w:p>
      <w:pPr>
        <w:pStyle w:val="ListBullet"/>
      </w:pPr>
      <w:r>
        <w:rPr>
          <w:rFonts w:ascii="Arial" w:hAnsi="Arial" w:cs="Arial"/>
          <w:b/>
          <w:sz w:val="22"/>
        </w:rPr>
        <w:t>Consejo de Gobierno</w:t>
      </w:r>
      <w:r>
        <w:rPr>
          <w:rFonts w:ascii="Arial" w:hAnsi="Arial" w:cs="Arial"/>
          <w:sz w:val="22"/>
        </w:rPr>
        <w:t>, con funciones ejecutivas y administrativas.</w:t>
      </w:r>
    </w:p>
    <w:p>
      <w:pPr>
        <w:pStyle w:val="ListBullet"/>
      </w:pPr>
      <w:r>
        <w:rPr>
          <w:rFonts w:ascii="Arial" w:hAnsi="Arial" w:cs="Arial"/>
          <w:b/>
          <w:sz w:val="22"/>
        </w:rPr>
        <w:t>Presidente</w:t>
      </w:r>
      <w:r>
        <w:rPr>
          <w:rFonts w:ascii="Arial" w:hAnsi="Arial" w:cs="Arial"/>
          <w:sz w:val="22"/>
        </w:rPr>
        <w:t>, elegido por la Asamblea de entre sus miembros y nombrado por el Rey.</w:t>
      </w:r>
    </w:p>
    <w:p>
      <w:pPr>
        <w:pStyle w:val="ListBullet"/>
      </w:pPr>
      <w:r>
        <w:rPr>
          <w:rFonts w:ascii="Arial" w:hAnsi="Arial" w:cs="Arial"/>
          <w:b/>
          <w:sz w:val="22"/>
        </w:rPr>
        <w:t>Tribunal Superior de Justicia</w:t>
      </w:r>
      <w:r>
        <w:rPr>
          <w:rFonts w:ascii="Arial" w:hAnsi="Arial" w:cs="Arial"/>
          <w:sz w:val="22"/>
        </w:rPr>
        <w:t>, que culmina la organización judicial en el territorio sin perjuicio de la jurisdicción del Tribunal Supremo.</w:t>
      </w:r>
    </w:p>
    <w:p>
      <w:pPr>
        <w:jc w:val="both"/>
      </w:pPr>
      <w:r>
        <w:rPr>
          <w:rFonts w:ascii="Arial" w:hAnsi="Arial" w:cs="Arial"/>
          <w:sz w:val="22"/>
        </w:rPr>
        <w:t>Este modelo se generalizó a todas las Comunidades. La asamblea aprueba leyes y presupuestos y controla al Gobierno. El presidente dirige el Consejo de Gobierno, representa supremamente a la Comunidad y ostenta la representación ordinaria del Estado en ella. Esta última función no lo convierte en delegado del Gobierno.</w:t>
      </w:r>
    </w:p>
    <w:tbl>
      <w:tblPr>
        <w:tblStyle w:val="TableGrid"/>
        <w:tblW w:type="dxa" w:w="9026"/>
        <w:jc w:val="left"/>
        <w:tblLayout w:type="fixed"/>
        <w:tblLook w:firstColumn="1" w:firstRow="1" w:lastColumn="0" w:lastRow="0" w:noHBand="0" w:noVBand="1" w:val="04A0"/>
        <w:tblInd w:w="120" w:type="dxa"/>
      </w:tblPr>
      <w:tblGrid>
        <w:gridCol w:w="2256"/>
        <w:gridCol w:w="6770"/>
      </w:tblGrid>
      <w:tr>
        <w:trPr>
          <w:tblHeader w:val="true"/>
        </w:trPr>
        <w:tc>
          <w:tcPr>
            <w:tcW w:type="dxa" w:w="225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Autoridad</w:t>
            </w:r>
          </w:p>
        </w:tc>
        <w:tc>
          <w:tcPr>
            <w:tcW w:type="dxa" w:w="677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Representación principal</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Presidente autonómico</w:t>
            </w:r>
          </w:p>
        </w:tc>
        <w:tc>
          <w:tcPr>
            <w:tcW w:type="dxa" w:w="6770"/>
            <w:tcMar>
              <w:top w:w="80" w:type="dxa"/>
              <w:start w:w="120" w:type="dxa"/>
              <w:bottom w:w="80" w:type="dxa"/>
              <w:end w:w="120" w:type="dxa"/>
            </w:tcMar>
            <w:vAlign w:val="center"/>
          </w:tcPr>
          <w:p>
            <w:pPr>
              <w:spacing w:before="0" w:after="0" w:line="240" w:lineRule="auto"/>
              <w:jc w:val="left"/>
            </w:pPr>
            <w:r/>
            <w:r>
              <w:rPr>
                <w:rFonts w:ascii="Arial" w:hAnsi="Arial" w:cs="Arial"/>
                <w:sz w:val="18"/>
              </w:rPr>
              <w:t>Representación suprema de la Comunidad y ordinaria del Estado en ella</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Delegado del Gobierno</w:t>
            </w:r>
          </w:p>
        </w:tc>
        <w:tc>
          <w:tcPr>
            <w:tcW w:type="dxa" w:w="6770"/>
            <w:tcMar>
              <w:top w:w="80" w:type="dxa"/>
              <w:start w:w="120" w:type="dxa"/>
              <w:bottom w:w="80" w:type="dxa"/>
              <w:end w:w="120" w:type="dxa"/>
            </w:tcMar>
            <w:vAlign w:val="center"/>
          </w:tcPr>
          <w:p>
            <w:pPr>
              <w:spacing w:before="0" w:after="0" w:line="240" w:lineRule="auto"/>
              <w:jc w:val="left"/>
            </w:pPr>
            <w:r/>
            <w:r>
              <w:rPr>
                <w:rFonts w:ascii="Arial" w:hAnsi="Arial" w:cs="Arial"/>
                <w:sz w:val="18"/>
              </w:rPr>
              <w:t>Representa al Gobierno de la Nación y dirige la Administración estatal territorial</w:t>
            </w:r>
          </w:p>
        </w:tc>
      </w:tr>
    </w:tbl>
    <w:p>
      <w:pPr>
        <w:spacing w:after="40"/>
      </w:pPr>
    </w:p>
    <w:p>
      <w:pPr>
        <w:jc w:val="both"/>
      </w:pPr>
      <w:r>
        <w:rPr>
          <w:rFonts w:ascii="Arial" w:hAnsi="Arial" w:cs="Arial"/>
          <w:sz w:val="22"/>
        </w:rPr>
        <w:t>El Consejo de Gobierno responde políticamente ante la asamblea. Los Estatutos y las leyes autonómicas regulan investidura, moción de censura, cuestión de confianza, composición y cese.</w:t>
      </w:r>
    </w:p>
    <w:p>
      <w:pPr>
        <w:pStyle w:val="Heading2"/>
        <w:keepNext/>
      </w:pPr>
      <w:r>
        <w:rPr>
          <w:rFonts w:ascii="Arial" w:hAnsi="Arial" w:cs="Arial"/>
          <w:sz w:val="25"/>
        </w:rPr>
        <w:t>4.2. Poder judicial y Comunidades</w:t>
      </w:r>
    </w:p>
    <w:p>
      <w:pPr>
        <w:jc w:val="both"/>
      </w:pPr>
      <w:r>
        <w:rPr>
          <w:rFonts w:ascii="Arial" w:hAnsi="Arial" w:cs="Arial"/>
          <w:sz w:val="22"/>
        </w:rPr>
        <w:t>El Poder Judicial es único para todo el Estado. Los Tribunales Superiores de Justicia no son órganos de una jurisdicción autonómica separada. Culminan la organización judicial en el ámbito territorial de la Comunidad, pero forman parte del Poder Judicial estatal.</w:t>
      </w:r>
    </w:p>
    <w:p>
      <w:pPr>
        <w:jc w:val="both"/>
      </w:pPr>
      <w:r>
        <w:rPr>
          <w:rFonts w:ascii="Arial" w:hAnsi="Arial" w:cs="Arial"/>
          <w:sz w:val="22"/>
        </w:rPr>
        <w:t>Las Comunidades pueden ejercer las facultades que les atribuyan sus Estatutos y la legislación orgánica en materia de medios personales y materiales al servicio de la Administración de Justicia, respetando la competencia estatal del artículo 149.1.5.ª y la unidad jurisdiccional.</w:t>
      </w:r>
    </w:p>
    <w:p>
      <w:pPr>
        <w:pStyle w:val="Heading2"/>
        <w:keepNext/>
      </w:pPr>
      <w:r>
        <w:rPr>
          <w:rFonts w:ascii="Arial" w:hAnsi="Arial" w:cs="Arial"/>
          <w:sz w:val="25"/>
        </w:rPr>
        <w:t>4.3. Participación y relaciones</w:t>
      </w:r>
    </w:p>
    <w:p>
      <w:pPr>
        <w:jc w:val="both"/>
      </w:pPr>
      <w:r>
        <w:rPr>
          <w:rFonts w:ascii="Arial" w:hAnsi="Arial" w:cs="Arial"/>
          <w:sz w:val="22"/>
        </w:rPr>
        <w:t>Las Comunidades participan en decisiones estatales mediante, entre otros mecanismos:</w:t>
      </w:r>
    </w:p>
    <w:p>
      <w:pPr>
        <w:pStyle w:val="ListBullet"/>
      </w:pPr>
      <w:r>
        <w:rPr>
          <w:rFonts w:ascii="Arial" w:hAnsi="Arial" w:cs="Arial"/>
          <w:sz w:val="22"/>
        </w:rPr>
        <w:t>Designación por sus asambleas de senadores autonómicos: uno y otro más por cada millón de habitantes.</w:t>
      </w:r>
    </w:p>
    <w:p>
      <w:pPr>
        <w:pStyle w:val="ListBullet"/>
      </w:pPr>
      <w:r>
        <w:rPr>
          <w:rFonts w:ascii="Arial" w:hAnsi="Arial" w:cs="Arial"/>
          <w:sz w:val="22"/>
        </w:rPr>
        <w:t>Conferencias sectoriales y otros órganos multilaterales de cooperación.</w:t>
      </w:r>
    </w:p>
    <w:p>
      <w:pPr>
        <w:pStyle w:val="ListBullet"/>
      </w:pPr>
      <w:r>
        <w:rPr>
          <w:rFonts w:ascii="Arial" w:hAnsi="Arial" w:cs="Arial"/>
          <w:sz w:val="22"/>
        </w:rPr>
        <w:t>Comisiones bilaterales.</w:t>
      </w:r>
    </w:p>
    <w:p>
      <w:pPr>
        <w:pStyle w:val="ListBullet"/>
      </w:pPr>
      <w:r>
        <w:rPr>
          <w:rFonts w:ascii="Arial" w:hAnsi="Arial" w:cs="Arial"/>
          <w:sz w:val="22"/>
        </w:rPr>
        <w:t>Convenios, planes conjuntos y consorcios.</w:t>
      </w:r>
    </w:p>
    <w:p>
      <w:pPr>
        <w:pStyle w:val="ListBullet"/>
      </w:pPr>
      <w:r>
        <w:rPr>
          <w:rFonts w:ascii="Arial" w:hAnsi="Arial" w:cs="Arial"/>
          <w:sz w:val="22"/>
        </w:rPr>
        <w:t>Participación en asuntos de la Unión Europea cuando afecten a sus competencias, conforme al ordenamiento estatal y europeo.</w:t>
      </w:r>
    </w:p>
    <w:p>
      <w:pPr>
        <w:jc w:val="both"/>
      </w:pPr>
      <w:r>
        <w:rPr>
          <w:rFonts w:ascii="Arial" w:hAnsi="Arial" w:cs="Arial"/>
          <w:sz w:val="22"/>
        </w:rPr>
        <w:t>La lealtad institucional exige información, respeto al ejercicio legítimo de competencias ajenas y cooperación para evitar contradicciones y duplicidades.</w:t>
      </w:r>
    </w:p>
    <w:p>
      <w:pPr>
        <w:pStyle w:val="Heading1"/>
        <w:keepNext/>
      </w:pPr>
      <w:r>
        <w:rPr>
          <w:rFonts w:ascii="Arial" w:hAnsi="Arial" w:cs="Arial"/>
          <w:sz w:val="30"/>
        </w:rPr>
        <w:t>5. Delimitación de competencias</w:t>
      </w:r>
    </w:p>
    <w:p>
      <w:pPr>
        <w:pStyle w:val="Heading2"/>
        <w:keepNext/>
      </w:pPr>
      <w:r>
        <w:rPr>
          <w:rFonts w:ascii="Arial" w:hAnsi="Arial" w:cs="Arial"/>
          <w:sz w:val="25"/>
        </w:rPr>
        <w:t>5.1. Constitución más Estatuto</w:t>
      </w:r>
    </w:p>
    <w:p>
      <w:pPr>
        <w:jc w:val="both"/>
      </w:pPr>
      <w:r>
        <w:rPr>
          <w:rFonts w:ascii="Arial" w:hAnsi="Arial" w:cs="Arial"/>
          <w:sz w:val="22"/>
        </w:rPr>
        <w:t>El reparto no se obtiene leyendo una sola lista. Opera a través de una doble referencia:</w:t>
      </w:r>
    </w:p>
    <w:p>
      <w:pPr>
        <w:spacing w:after="40"/>
        <w:ind w:left="369" w:hanging="227"/>
      </w:pPr>
      <w:r>
        <w:rPr>
          <w:rFonts w:ascii="Arial" w:hAnsi="Arial" w:cs="Arial"/>
          <w:sz w:val="22"/>
        </w:rPr>
        <w:t>1. La Constitución fija los límites, especialmente en los artículos 148 y 149.</w:t>
      </w:r>
    </w:p>
    <w:p>
      <w:pPr>
        <w:spacing w:after="40"/>
        <w:ind w:left="369" w:hanging="227"/>
      </w:pPr>
      <w:r>
        <w:rPr>
          <w:rFonts w:ascii="Arial" w:hAnsi="Arial" w:cs="Arial"/>
          <w:sz w:val="22"/>
        </w:rPr>
        <w:t>2. Cada Estatuto identifica las competencias efectivamente asumidas por su Comunidad.</w:t>
      </w:r>
    </w:p>
    <w:p>
      <w:pPr>
        <w:jc w:val="both"/>
      </w:pPr>
      <w:r>
        <w:rPr>
          <w:rFonts w:ascii="Arial" w:hAnsi="Arial" w:cs="Arial"/>
          <w:sz w:val="22"/>
        </w:rPr>
        <w:t>Que una materia aparezca en el artículo 148 no significa que todas las Comunidades la asumieran automáticamente. Debe comprobarse el Estatuto. A la inversa, una competencia reservada al Estado por el artículo 149.1 no puede ser apropiada por un Estatuto, aunque dentro de muchas materias caben facultades autonómicas de desarrollo legislativo o ejecución.</w:t>
      </w:r>
    </w:p>
    <w:p>
      <w:pPr>
        <w:jc w:val="both"/>
      </w:pPr>
      <w:r>
        <w:rPr>
          <w:rFonts w:ascii="Arial" w:hAnsi="Arial" w:cs="Arial"/>
          <w:sz w:val="22"/>
        </w:rPr>
        <w:t>Las competencias pueden clasificarse funcionalmente:</w:t>
      </w:r>
    </w:p>
    <w:tbl>
      <w:tblPr>
        <w:tblStyle w:val="TableGrid"/>
        <w:tblW w:type="dxa" w:w="9026"/>
        <w:jc w:val="left"/>
        <w:tblLayout w:type="fixed"/>
        <w:tblLook w:firstColumn="1" w:firstRow="1" w:lastColumn="0" w:lastRow="0" w:noHBand="0" w:noVBand="1" w:val="04A0"/>
        <w:tblInd w:w="120" w:type="dxa"/>
      </w:tblPr>
      <w:tblGrid>
        <w:gridCol w:w="2655"/>
        <w:gridCol w:w="6371"/>
      </w:tblGrid>
      <w:tr>
        <w:trPr>
          <w:tblHeader w:val="true"/>
        </w:trPr>
        <w:tc>
          <w:tcPr>
            <w:tcW w:type="dxa" w:w="265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Tipo</w:t>
            </w:r>
          </w:p>
        </w:tc>
        <w:tc>
          <w:tcPr>
            <w:tcW w:type="dxa" w:w="637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Facultad</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Exclusiva autonómica</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Legislación, reglamentación y ejecución dentro del ámbito constitucionalmente disponible</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Compartida bases-desarrollo</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El Estado fija bases; la Comunidad desarrolla y ejecuta</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Ejecutiva autonómica</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El Estado legisla; la Comunidad ejecuta</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Concurrente</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Ambos niveles actúan con títulos distintos sobre una misma realidad</w:t>
            </w:r>
          </w:p>
        </w:tc>
      </w:tr>
      <w:tr>
        <w:tc>
          <w:tcPr>
            <w:tcW w:type="dxa" w:w="2655"/>
            <w:tcMar>
              <w:top w:w="80" w:type="dxa"/>
              <w:start w:w="120" w:type="dxa"/>
              <w:bottom w:w="80" w:type="dxa"/>
              <w:end w:w="120" w:type="dxa"/>
            </w:tcMar>
            <w:vAlign w:val="center"/>
          </w:tcPr>
          <w:p>
            <w:pPr>
              <w:spacing w:before="0" w:after="0" w:line="240" w:lineRule="auto"/>
              <w:jc w:val="left"/>
            </w:pPr>
            <w:r/>
            <w:r>
              <w:rPr>
                <w:rFonts w:ascii="Arial" w:hAnsi="Arial" w:cs="Arial"/>
                <w:sz w:val="18"/>
              </w:rPr>
              <w:t>Estatal exclusiva</w:t>
            </w:r>
          </w:p>
        </w:tc>
        <w:tc>
          <w:tcPr>
            <w:tcW w:type="dxa" w:w="6371"/>
            <w:tcMar>
              <w:top w:w="80" w:type="dxa"/>
              <w:start w:w="120" w:type="dxa"/>
              <w:bottom w:w="80" w:type="dxa"/>
              <w:end w:w="120" w:type="dxa"/>
            </w:tcMar>
            <w:vAlign w:val="center"/>
          </w:tcPr>
          <w:p>
            <w:pPr>
              <w:spacing w:before="0" w:after="0" w:line="240" w:lineRule="auto"/>
              <w:jc w:val="left"/>
            </w:pPr>
            <w:r/>
            <w:r>
              <w:rPr>
                <w:rFonts w:ascii="Arial" w:hAnsi="Arial" w:cs="Arial"/>
                <w:sz w:val="18"/>
              </w:rPr>
              <w:t>El núcleo funcional pertenece al Estado, sin perjuicio de previsiones constitucionales concretas</w:t>
            </w:r>
          </w:p>
        </w:tc>
      </w:tr>
    </w:tbl>
    <w:p>
      <w:pPr>
        <w:spacing w:after="40"/>
      </w:pPr>
    </w:p>
    <w:p>
      <w:pPr>
        <w:jc w:val="both"/>
      </w:pPr>
      <w:r>
        <w:rPr>
          <w:rFonts w:ascii="Arial" w:hAnsi="Arial" w:cs="Arial"/>
          <w:sz w:val="22"/>
        </w:rPr>
        <w:t>La palabra “exclusiva” no debe analizarse solo por la etiqueta estatutaria: hay que atender a la materia, la función y los límites constitucionales.</w:t>
      </w:r>
    </w:p>
    <w:p>
      <w:pPr>
        <w:pStyle w:val="Heading2"/>
        <w:keepNext/>
      </w:pPr>
      <w:r>
        <w:rPr>
          <w:rFonts w:ascii="Arial" w:hAnsi="Arial" w:cs="Arial"/>
          <w:sz w:val="25"/>
        </w:rPr>
        <w:t>5.2. Materias del artículo 148</w:t>
      </w:r>
    </w:p>
    <w:p>
      <w:pPr>
        <w:jc w:val="both"/>
      </w:pPr>
      <w:r>
        <w:rPr>
          <w:rFonts w:ascii="Arial" w:hAnsi="Arial" w:cs="Arial"/>
          <w:sz w:val="22"/>
        </w:rPr>
        <w:t>Las Comunidades podían asumir inicialmente, entre otras, las siguientes materias:</w:t>
      </w:r>
    </w:p>
    <w:p>
      <w:pPr>
        <w:spacing w:after="40"/>
        <w:ind w:left="369" w:hanging="227"/>
      </w:pPr>
      <w:r>
        <w:rPr>
          <w:rFonts w:ascii="Arial" w:hAnsi="Arial" w:cs="Arial"/>
          <w:sz w:val="22"/>
        </w:rPr>
        <w:t>1. Organización de sus instituciones de autogobierno.</w:t>
      </w:r>
    </w:p>
    <w:p>
      <w:pPr>
        <w:spacing w:after="40"/>
        <w:ind w:left="369" w:hanging="227"/>
      </w:pPr>
      <w:r>
        <w:rPr>
          <w:rFonts w:ascii="Arial" w:hAnsi="Arial" w:cs="Arial"/>
          <w:sz w:val="22"/>
        </w:rPr>
        <w:t>2. Alteraciones de términos municipales y funciones estatales sobre corporaciones locales cuya transferencia autorizara la legislación local.</w:t>
      </w:r>
    </w:p>
    <w:p>
      <w:pPr>
        <w:spacing w:after="40"/>
        <w:ind w:left="369" w:hanging="227"/>
      </w:pPr>
      <w:r>
        <w:rPr>
          <w:rFonts w:ascii="Arial" w:hAnsi="Arial" w:cs="Arial"/>
          <w:sz w:val="22"/>
        </w:rPr>
        <w:t>3. Ordenación del territorio, urbanismo y vivienda.</w:t>
      </w:r>
    </w:p>
    <w:p>
      <w:pPr>
        <w:spacing w:after="40"/>
        <w:ind w:left="369" w:hanging="227"/>
      </w:pPr>
      <w:r>
        <w:rPr>
          <w:rFonts w:ascii="Arial" w:hAnsi="Arial" w:cs="Arial"/>
          <w:sz w:val="22"/>
        </w:rPr>
        <w:t>4. Obras públicas de interés autonómico que no afecten a otra Comunidad.</w:t>
      </w:r>
    </w:p>
    <w:p>
      <w:pPr>
        <w:spacing w:after="40"/>
        <w:ind w:left="369" w:hanging="227"/>
      </w:pPr>
      <w:r>
        <w:rPr>
          <w:rFonts w:ascii="Arial" w:hAnsi="Arial" w:cs="Arial"/>
          <w:sz w:val="22"/>
        </w:rPr>
        <w:t>5. Ferrocarriles, carreteras y transporte cuyo itinerario se desarrolle íntegramente en su territorio.</w:t>
      </w:r>
    </w:p>
    <w:p>
      <w:pPr>
        <w:spacing w:after="40"/>
        <w:ind w:left="369" w:hanging="227"/>
      </w:pPr>
      <w:r>
        <w:rPr>
          <w:rFonts w:ascii="Arial" w:hAnsi="Arial" w:cs="Arial"/>
          <w:sz w:val="22"/>
        </w:rPr>
        <w:t>6. Puertos de refugio y deportivos y, en general, puertos y aeropuertos sin actividad comercial.</w:t>
      </w:r>
    </w:p>
    <w:p>
      <w:pPr>
        <w:spacing w:after="40"/>
        <w:ind w:left="369" w:hanging="227"/>
      </w:pPr>
      <w:r>
        <w:rPr>
          <w:rFonts w:ascii="Arial" w:hAnsi="Arial" w:cs="Arial"/>
          <w:sz w:val="22"/>
        </w:rPr>
        <w:t>7. Agricultura y ganadería, de acuerdo con la ordenación general de la economía.</w:t>
      </w:r>
    </w:p>
    <w:p>
      <w:pPr>
        <w:spacing w:after="40"/>
        <w:ind w:left="369" w:hanging="227"/>
      </w:pPr>
      <w:r>
        <w:rPr>
          <w:rFonts w:ascii="Arial" w:hAnsi="Arial" w:cs="Arial"/>
          <w:sz w:val="22"/>
        </w:rPr>
        <w:t>8. Montes y aprovechamientos forestales.</w:t>
      </w:r>
    </w:p>
    <w:p>
      <w:pPr>
        <w:spacing w:after="40"/>
        <w:ind w:left="369" w:hanging="227"/>
      </w:pPr>
      <w:r>
        <w:rPr>
          <w:rFonts w:ascii="Arial" w:hAnsi="Arial" w:cs="Arial"/>
          <w:sz w:val="22"/>
        </w:rPr>
        <w:t>9. Gestión en materia de protección ambiental.</w:t>
      </w:r>
    </w:p>
    <w:p>
      <w:pPr>
        <w:spacing w:after="40"/>
        <w:ind w:left="369" w:hanging="227"/>
      </w:pPr>
      <w:r>
        <w:rPr>
          <w:rFonts w:ascii="Arial" w:hAnsi="Arial" w:cs="Arial"/>
          <w:sz w:val="22"/>
        </w:rPr>
        <w:t>10. Aprovechamientos hidráulicos, canales y regadíos de interés autonómico; aguas minerales y termales.</w:t>
      </w:r>
    </w:p>
    <w:p>
      <w:pPr>
        <w:spacing w:after="40"/>
        <w:ind w:left="369" w:hanging="227"/>
      </w:pPr>
      <w:r>
        <w:rPr>
          <w:rFonts w:ascii="Arial" w:hAnsi="Arial" w:cs="Arial"/>
          <w:sz w:val="22"/>
        </w:rPr>
        <w:t>11. Pesca en aguas interiores, marisqueo, acuicultura, caza y pesca fluvial.</w:t>
      </w:r>
    </w:p>
    <w:p>
      <w:pPr>
        <w:spacing w:after="40"/>
        <w:ind w:left="369" w:hanging="227"/>
      </w:pPr>
      <w:r>
        <w:rPr>
          <w:rFonts w:ascii="Arial" w:hAnsi="Arial" w:cs="Arial"/>
          <w:sz w:val="22"/>
        </w:rPr>
        <w:t>12. Ferias interiores.</w:t>
      </w:r>
    </w:p>
    <w:p>
      <w:pPr>
        <w:spacing w:after="40"/>
        <w:ind w:left="369" w:hanging="227"/>
      </w:pPr>
      <w:r>
        <w:rPr>
          <w:rFonts w:ascii="Arial" w:hAnsi="Arial" w:cs="Arial"/>
          <w:sz w:val="22"/>
        </w:rPr>
        <w:t>13. Fomento del desarrollo económico dentro de los objetivos de la política económica nacional.</w:t>
      </w:r>
    </w:p>
    <w:p>
      <w:pPr>
        <w:spacing w:after="40"/>
        <w:ind w:left="369" w:hanging="227"/>
      </w:pPr>
      <w:r>
        <w:rPr>
          <w:rFonts w:ascii="Arial" w:hAnsi="Arial" w:cs="Arial"/>
          <w:sz w:val="22"/>
        </w:rPr>
        <w:t>14. Artesanía.</w:t>
      </w:r>
    </w:p>
    <w:p>
      <w:pPr>
        <w:spacing w:after="40"/>
        <w:ind w:left="369" w:hanging="227"/>
      </w:pPr>
      <w:r>
        <w:rPr>
          <w:rFonts w:ascii="Arial" w:hAnsi="Arial" w:cs="Arial"/>
          <w:sz w:val="22"/>
        </w:rPr>
        <w:t>15. Museos, bibliotecas y conservatorios de interés autonómico.</w:t>
      </w:r>
    </w:p>
    <w:p>
      <w:pPr>
        <w:spacing w:after="40"/>
        <w:ind w:left="369" w:hanging="227"/>
      </w:pPr>
      <w:r>
        <w:rPr>
          <w:rFonts w:ascii="Arial" w:hAnsi="Arial" w:cs="Arial"/>
          <w:sz w:val="22"/>
        </w:rPr>
        <w:t>16. Patrimonio monumental de interés autonómico.</w:t>
      </w:r>
    </w:p>
    <w:p>
      <w:pPr>
        <w:spacing w:after="40"/>
        <w:ind w:left="369" w:hanging="227"/>
      </w:pPr>
      <w:r>
        <w:rPr>
          <w:rFonts w:ascii="Arial" w:hAnsi="Arial" w:cs="Arial"/>
          <w:sz w:val="22"/>
        </w:rPr>
        <w:t>17. Fomento de la cultura y la investigación y, en su caso, enseñanza de la lengua propia.</w:t>
      </w:r>
    </w:p>
    <w:p>
      <w:pPr>
        <w:spacing w:after="40"/>
        <w:ind w:left="369" w:hanging="227"/>
      </w:pPr>
      <w:r>
        <w:rPr>
          <w:rFonts w:ascii="Arial" w:hAnsi="Arial" w:cs="Arial"/>
          <w:sz w:val="22"/>
        </w:rPr>
        <w:t>18. Promoción y ordenación del turismo.</w:t>
      </w:r>
    </w:p>
    <w:p>
      <w:pPr>
        <w:spacing w:after="40"/>
        <w:ind w:left="369" w:hanging="227"/>
      </w:pPr>
      <w:r>
        <w:rPr>
          <w:rFonts w:ascii="Arial" w:hAnsi="Arial" w:cs="Arial"/>
          <w:sz w:val="22"/>
        </w:rPr>
        <w:t>19. Promoción del deporte y del ocio.</w:t>
      </w:r>
    </w:p>
    <w:p>
      <w:pPr>
        <w:spacing w:after="40"/>
        <w:ind w:left="369" w:hanging="227"/>
      </w:pPr>
      <w:r>
        <w:rPr>
          <w:rFonts w:ascii="Arial" w:hAnsi="Arial" w:cs="Arial"/>
          <w:sz w:val="22"/>
        </w:rPr>
        <w:t>20. Asistencia social.</w:t>
      </w:r>
    </w:p>
    <w:p>
      <w:pPr>
        <w:spacing w:after="40"/>
        <w:ind w:left="369" w:hanging="227"/>
      </w:pPr>
      <w:r>
        <w:rPr>
          <w:rFonts w:ascii="Arial" w:hAnsi="Arial" w:cs="Arial"/>
          <w:sz w:val="22"/>
        </w:rPr>
        <w:t>21. Sanidad e higiene.</w:t>
      </w:r>
    </w:p>
    <w:p>
      <w:pPr>
        <w:spacing w:after="40"/>
        <w:ind w:left="369" w:hanging="227"/>
      </w:pPr>
      <w:r>
        <w:rPr>
          <w:rFonts w:ascii="Arial" w:hAnsi="Arial" w:cs="Arial"/>
          <w:sz w:val="22"/>
        </w:rPr>
        <w:t>22. Vigilancia de sus edificios y coordinación de policías locales en los términos de una ley orgánica.</w:t>
      </w:r>
    </w:p>
    <w:p>
      <w:pPr>
        <w:jc w:val="both"/>
      </w:pPr>
      <w:r>
        <w:rPr>
          <w:rFonts w:ascii="Arial" w:hAnsi="Arial" w:cs="Arial"/>
          <w:sz w:val="22"/>
        </w:rPr>
        <w:t>El apartado 2 permitió ampliar competencias, tras cinco años, mediante reforma estatutaria y dentro del artículo 149. La distinción histórica entre vías no equivale hoy a dos categorías jerárquicas de Comunidades.</w:t>
      </w:r>
    </w:p>
    <w:p>
      <w:pPr>
        <w:pStyle w:val="Heading2"/>
        <w:keepNext/>
      </w:pPr>
      <w:r>
        <w:rPr>
          <w:rFonts w:ascii="Arial" w:hAnsi="Arial" w:cs="Arial"/>
          <w:sz w:val="25"/>
        </w:rPr>
        <w:t>5.3. Competencias estatales del artículo 149.1</w:t>
      </w:r>
    </w:p>
    <w:p>
      <w:pPr>
        <w:jc w:val="both"/>
      </w:pPr>
      <w:r>
        <w:rPr>
          <w:rFonts w:ascii="Arial" w:hAnsi="Arial" w:cs="Arial"/>
          <w:sz w:val="22"/>
        </w:rPr>
        <w:t>El artículo 149.1 contiene treinta y dos reglas. Para estudiarlas conviene agruparlas:</w:t>
      </w:r>
    </w:p>
    <w:p>
      <w:pPr>
        <w:jc w:val="both"/>
      </w:pPr>
      <w:r>
        <w:rPr>
          <w:rFonts w:ascii="Arial" w:hAnsi="Arial" w:cs="Arial"/>
          <w:b/>
          <w:sz w:val="22"/>
        </w:rPr>
        <w:t>Unidad política, relaciones exteriores y seguridad</w:t>
      </w:r>
    </w:p>
    <w:p>
      <w:pPr>
        <w:pStyle w:val="ListBullet"/>
      </w:pPr>
      <w:r>
        <w:rPr>
          <w:rFonts w:ascii="Arial" w:hAnsi="Arial" w:cs="Arial"/>
          <w:sz w:val="22"/>
        </w:rPr>
        <w:t>Condiciones básicas que garanticen igualdad en derechos y deberes constitucionales.</w:t>
      </w:r>
    </w:p>
    <w:p>
      <w:pPr>
        <w:pStyle w:val="ListBullet"/>
      </w:pPr>
      <w:r>
        <w:rPr>
          <w:rFonts w:ascii="Arial" w:hAnsi="Arial" w:cs="Arial"/>
          <w:sz w:val="22"/>
        </w:rPr>
        <w:t>Nacionalidad, inmigración, emigración, extranjería y asilo.</w:t>
      </w:r>
    </w:p>
    <w:p>
      <w:pPr>
        <w:pStyle w:val="ListBullet"/>
      </w:pPr>
      <w:r>
        <w:rPr>
          <w:rFonts w:ascii="Arial" w:hAnsi="Arial" w:cs="Arial"/>
          <w:sz w:val="22"/>
        </w:rPr>
        <w:t>Relaciones internacionales.</w:t>
      </w:r>
    </w:p>
    <w:p>
      <w:pPr>
        <w:pStyle w:val="ListBullet"/>
      </w:pPr>
      <w:r>
        <w:rPr>
          <w:rFonts w:ascii="Arial" w:hAnsi="Arial" w:cs="Arial"/>
          <w:sz w:val="22"/>
        </w:rPr>
        <w:t>Defensa y Fuerzas Armadas.</w:t>
      </w:r>
    </w:p>
    <w:p>
      <w:pPr>
        <w:pStyle w:val="ListBullet"/>
      </w:pPr>
      <w:r>
        <w:rPr>
          <w:rFonts w:ascii="Arial" w:hAnsi="Arial" w:cs="Arial"/>
          <w:sz w:val="22"/>
        </w:rPr>
        <w:t>Administración de Justicia.</w:t>
      </w:r>
    </w:p>
    <w:p>
      <w:pPr>
        <w:pStyle w:val="ListBullet"/>
      </w:pPr>
      <w:r>
        <w:rPr>
          <w:rFonts w:ascii="Arial" w:hAnsi="Arial" w:cs="Arial"/>
          <w:sz w:val="22"/>
        </w:rPr>
        <w:t>Seguridad pública, sin perjuicio de policías autonómicas estatutarias.</w:t>
      </w:r>
    </w:p>
    <w:p>
      <w:pPr>
        <w:pStyle w:val="ListBullet"/>
      </w:pPr>
      <w:r>
        <w:rPr>
          <w:rFonts w:ascii="Arial" w:hAnsi="Arial" w:cs="Arial"/>
          <w:sz w:val="22"/>
        </w:rPr>
        <w:t>Régimen de armas y explosivos.</w:t>
      </w:r>
    </w:p>
    <w:p>
      <w:pPr>
        <w:pStyle w:val="ListBullet"/>
      </w:pPr>
      <w:r>
        <w:rPr>
          <w:rFonts w:ascii="Arial" w:hAnsi="Arial" w:cs="Arial"/>
          <w:sz w:val="22"/>
        </w:rPr>
        <w:t>Autorización de consultas populares por referéndum.</w:t>
      </w:r>
    </w:p>
    <w:p>
      <w:pPr>
        <w:jc w:val="both"/>
      </w:pPr>
      <w:r>
        <w:rPr>
          <w:rFonts w:ascii="Arial" w:hAnsi="Arial" w:cs="Arial"/>
          <w:b/>
          <w:sz w:val="22"/>
        </w:rPr>
        <w:t>Legislación común</w:t>
      </w:r>
    </w:p>
    <w:p>
      <w:pPr>
        <w:pStyle w:val="ListBullet"/>
      </w:pPr>
      <w:r>
        <w:rPr>
          <w:rFonts w:ascii="Arial" w:hAnsi="Arial" w:cs="Arial"/>
          <w:sz w:val="22"/>
        </w:rPr>
        <w:t>Legislación mercantil, penal y penitenciaria; procesal con las especialidades derivadas del Derecho sustantivo autonómico.</w:t>
      </w:r>
    </w:p>
    <w:p>
      <w:pPr>
        <w:pStyle w:val="ListBullet"/>
      </w:pPr>
      <w:r>
        <w:rPr>
          <w:rFonts w:ascii="Arial" w:hAnsi="Arial" w:cs="Arial"/>
          <w:sz w:val="22"/>
        </w:rPr>
        <w:t>Legislación laboral, sin perjuicio de su ejecución autonómica.</w:t>
      </w:r>
    </w:p>
    <w:p>
      <w:pPr>
        <w:pStyle w:val="ListBullet"/>
      </w:pPr>
      <w:r>
        <w:rPr>
          <w:rFonts w:ascii="Arial" w:hAnsi="Arial" w:cs="Arial"/>
          <w:sz w:val="22"/>
        </w:rPr>
        <w:t>Legislación civil, con conservación, modificación y desarrollo de derechos civiles forales o especiales donde existan, y con materias reservadas “en todo caso” al Estado.</w:t>
      </w:r>
    </w:p>
    <w:p>
      <w:pPr>
        <w:pStyle w:val="ListBullet"/>
      </w:pPr>
      <w:r>
        <w:rPr>
          <w:rFonts w:ascii="Arial" w:hAnsi="Arial" w:cs="Arial"/>
          <w:sz w:val="22"/>
        </w:rPr>
        <w:t>Propiedad intelectual e industrial.</w:t>
      </w:r>
    </w:p>
    <w:p>
      <w:pPr>
        <w:pStyle w:val="ListBullet"/>
      </w:pPr>
      <w:r>
        <w:rPr>
          <w:rFonts w:ascii="Arial" w:hAnsi="Arial" w:cs="Arial"/>
          <w:sz w:val="22"/>
        </w:rPr>
        <w:t>Bases del régimen jurídico de las Administraciones, estatuto funcionarial, procedimiento común, expropiación, legislación básica de contratos y sistema de responsabilidad.</w:t>
      </w:r>
    </w:p>
    <w:p>
      <w:pPr>
        <w:jc w:val="both"/>
      </w:pPr>
      <w:r>
        <w:rPr>
          <w:rFonts w:ascii="Arial" w:hAnsi="Arial" w:cs="Arial"/>
          <w:b/>
          <w:sz w:val="22"/>
        </w:rPr>
        <w:t>Economía y Hacienda</w:t>
      </w:r>
    </w:p>
    <w:p>
      <w:pPr>
        <w:pStyle w:val="ListBullet"/>
      </w:pPr>
      <w:r>
        <w:rPr>
          <w:rFonts w:ascii="Arial" w:hAnsi="Arial" w:cs="Arial"/>
          <w:sz w:val="22"/>
        </w:rPr>
        <w:t>Aduanas, aranceles y comercio exterior.</w:t>
      </w:r>
    </w:p>
    <w:p>
      <w:pPr>
        <w:pStyle w:val="ListBullet"/>
      </w:pPr>
      <w:r>
        <w:rPr>
          <w:rFonts w:ascii="Arial" w:hAnsi="Arial" w:cs="Arial"/>
          <w:sz w:val="22"/>
        </w:rPr>
        <w:t>Sistema monetario y bases de crédito, banca y seguros.</w:t>
      </w:r>
    </w:p>
    <w:p>
      <w:pPr>
        <w:pStyle w:val="ListBullet"/>
      </w:pPr>
      <w:r>
        <w:rPr>
          <w:rFonts w:ascii="Arial" w:hAnsi="Arial" w:cs="Arial"/>
          <w:sz w:val="22"/>
        </w:rPr>
        <w:t>Pesas, medidas y hora oficial.</w:t>
      </w:r>
    </w:p>
    <w:p>
      <w:pPr>
        <w:pStyle w:val="ListBullet"/>
      </w:pPr>
      <w:r>
        <w:rPr>
          <w:rFonts w:ascii="Arial" w:hAnsi="Arial" w:cs="Arial"/>
          <w:sz w:val="22"/>
        </w:rPr>
        <w:t>Bases y coordinación de la planificación general de la actividad económica.</w:t>
      </w:r>
    </w:p>
    <w:p>
      <w:pPr>
        <w:pStyle w:val="ListBullet"/>
      </w:pPr>
      <w:r>
        <w:rPr>
          <w:rFonts w:ascii="Arial" w:hAnsi="Arial" w:cs="Arial"/>
          <w:sz w:val="22"/>
        </w:rPr>
        <w:t>Hacienda general y Deuda del Estado.</w:t>
      </w:r>
    </w:p>
    <w:p>
      <w:pPr>
        <w:pStyle w:val="ListBullet"/>
      </w:pPr>
      <w:r>
        <w:rPr>
          <w:rFonts w:ascii="Arial" w:hAnsi="Arial" w:cs="Arial"/>
          <w:sz w:val="22"/>
        </w:rPr>
        <w:t>Bases del régimen minero y energético.</w:t>
      </w:r>
    </w:p>
    <w:p>
      <w:pPr>
        <w:jc w:val="both"/>
      </w:pPr>
      <w:r>
        <w:rPr>
          <w:rFonts w:ascii="Arial" w:hAnsi="Arial" w:cs="Arial"/>
          <w:b/>
          <w:sz w:val="22"/>
        </w:rPr>
        <w:t>Protección social, educación y cultura</w:t>
      </w:r>
    </w:p>
    <w:p>
      <w:pPr>
        <w:pStyle w:val="ListBullet"/>
      </w:pPr>
      <w:r>
        <w:rPr>
          <w:rFonts w:ascii="Arial" w:hAnsi="Arial" w:cs="Arial"/>
          <w:sz w:val="22"/>
        </w:rPr>
        <w:t>Sanidad exterior, bases y coordinación general de la sanidad y legislación farmacéutica.</w:t>
      </w:r>
    </w:p>
    <w:p>
      <w:pPr>
        <w:pStyle w:val="ListBullet"/>
      </w:pPr>
      <w:r>
        <w:rPr>
          <w:rFonts w:ascii="Arial" w:hAnsi="Arial" w:cs="Arial"/>
          <w:sz w:val="22"/>
        </w:rPr>
        <w:t>Legislación básica y régimen económico de la Seguridad Social, sin perjuicio de ejecución autonómica.</w:t>
      </w:r>
    </w:p>
    <w:p>
      <w:pPr>
        <w:pStyle w:val="ListBullet"/>
      </w:pPr>
      <w:r>
        <w:rPr>
          <w:rFonts w:ascii="Arial" w:hAnsi="Arial" w:cs="Arial"/>
          <w:sz w:val="22"/>
        </w:rPr>
        <w:t>Condiciones de obtención, expedición y homologación de títulos y normas básicas de desarrollo del artículo 27.</w:t>
      </w:r>
    </w:p>
    <w:p>
      <w:pPr>
        <w:pStyle w:val="ListBullet"/>
      </w:pPr>
      <w:r>
        <w:rPr>
          <w:rFonts w:ascii="Arial" w:hAnsi="Arial" w:cs="Arial"/>
          <w:sz w:val="22"/>
        </w:rPr>
        <w:t>Fomento y coordinación general de investigación científica y técnica.</w:t>
      </w:r>
    </w:p>
    <w:p>
      <w:pPr>
        <w:pStyle w:val="ListBullet"/>
      </w:pPr>
      <w:r>
        <w:rPr>
          <w:rFonts w:ascii="Arial" w:hAnsi="Arial" w:cs="Arial"/>
          <w:sz w:val="22"/>
        </w:rPr>
        <w:t>Normas básicas de medios de comunicación.</w:t>
      </w:r>
    </w:p>
    <w:p>
      <w:pPr>
        <w:pStyle w:val="ListBullet"/>
      </w:pPr>
      <w:r>
        <w:rPr>
          <w:rFonts w:ascii="Arial" w:hAnsi="Arial" w:cs="Arial"/>
          <w:sz w:val="22"/>
        </w:rPr>
        <w:t>Defensa del patrimonio cultural contra exportación y expoliación; centros culturales estatales, sin perjuicio de gestión autonómica.</w:t>
      </w:r>
    </w:p>
    <w:p>
      <w:pPr>
        <w:pStyle w:val="ListBullet"/>
      </w:pPr>
      <w:r>
        <w:rPr>
          <w:rFonts w:ascii="Arial" w:hAnsi="Arial" w:cs="Arial"/>
          <w:sz w:val="22"/>
        </w:rPr>
        <w:t>Estadística para fines estatales.</w:t>
      </w:r>
    </w:p>
    <w:p>
      <w:pPr>
        <w:jc w:val="both"/>
      </w:pPr>
      <w:r>
        <w:rPr>
          <w:rFonts w:ascii="Arial" w:hAnsi="Arial" w:cs="Arial"/>
          <w:b/>
          <w:sz w:val="22"/>
        </w:rPr>
        <w:t>Infraestructuras, recursos y comunicaciones</w:t>
      </w:r>
    </w:p>
    <w:p>
      <w:pPr>
        <w:pStyle w:val="ListBullet"/>
      </w:pPr>
      <w:r>
        <w:rPr>
          <w:rFonts w:ascii="Arial" w:hAnsi="Arial" w:cs="Arial"/>
          <w:sz w:val="22"/>
        </w:rPr>
        <w:t>Pesca marítima, sin perjuicio de ordenación autonómica del sector.</w:t>
      </w:r>
    </w:p>
    <w:p>
      <w:pPr>
        <w:pStyle w:val="ListBullet"/>
      </w:pPr>
      <w:r>
        <w:rPr>
          <w:rFonts w:ascii="Arial" w:hAnsi="Arial" w:cs="Arial"/>
          <w:sz w:val="22"/>
        </w:rPr>
        <w:t>Marina mercante, costas y señales; puertos y aeropuertos de interés general; espacio y transporte aéreo.</w:t>
      </w:r>
    </w:p>
    <w:p>
      <w:pPr>
        <w:pStyle w:val="ListBullet"/>
      </w:pPr>
      <w:r>
        <w:rPr>
          <w:rFonts w:ascii="Arial" w:hAnsi="Arial" w:cs="Arial"/>
          <w:sz w:val="22"/>
        </w:rPr>
        <w:t>Ferrocarriles y transportes que discurran por más de una Comunidad; comunicaciones, tráfico, correos y telecomunicaciones.</w:t>
      </w:r>
    </w:p>
    <w:p>
      <w:pPr>
        <w:pStyle w:val="ListBullet"/>
      </w:pPr>
      <w:r>
        <w:rPr>
          <w:rFonts w:ascii="Arial" w:hAnsi="Arial" w:cs="Arial"/>
          <w:sz w:val="22"/>
        </w:rPr>
        <w:t>Aguas que discurran por más de una Comunidad e instalaciones eléctricas de alcance supraautonómico.</w:t>
      </w:r>
    </w:p>
    <w:p>
      <w:pPr>
        <w:pStyle w:val="ListBullet"/>
      </w:pPr>
      <w:r>
        <w:rPr>
          <w:rFonts w:ascii="Arial" w:hAnsi="Arial" w:cs="Arial"/>
          <w:sz w:val="22"/>
        </w:rPr>
        <w:t>Legislación básica ambiental, con normas adicionales autonómicas; legislación básica sobre montes y vías pecuarias.</w:t>
      </w:r>
    </w:p>
    <w:p>
      <w:pPr>
        <w:pStyle w:val="ListBullet"/>
      </w:pPr>
      <w:r>
        <w:rPr>
          <w:rFonts w:ascii="Arial" w:hAnsi="Arial" w:cs="Arial"/>
          <w:sz w:val="22"/>
        </w:rPr>
        <w:t>Obras públicas de interés general o que afecten a más de una Comunidad.</w:t>
      </w:r>
    </w:p>
    <w:p>
      <w:pPr>
        <w:jc w:val="both"/>
      </w:pPr>
      <w:r>
        <w:rPr>
          <w:rFonts w:ascii="Arial" w:hAnsi="Arial" w:cs="Arial"/>
          <w:sz w:val="22"/>
        </w:rPr>
        <w:t>En cultura existe una regla específica: sin perjuicio de las competencias autonómicas, el Estado considera el servicio de la cultura deber y atribución esencial y facilita la comunicación cultural.</w:t>
      </w:r>
    </w:p>
    <w:p>
      <w:pPr>
        <w:pStyle w:val="Heading2"/>
        <w:keepNext/>
      </w:pPr>
      <w:r>
        <w:rPr>
          <w:rFonts w:ascii="Arial" w:hAnsi="Arial" w:cs="Arial"/>
          <w:sz w:val="25"/>
        </w:rPr>
        <w:t>5.4. Bases, desarrollo y ejecución</w:t>
      </w:r>
    </w:p>
    <w:p>
      <w:pPr>
        <w:jc w:val="both"/>
      </w:pPr>
      <w:r>
        <w:rPr>
          <w:rFonts w:ascii="Arial" w:hAnsi="Arial" w:cs="Arial"/>
          <w:sz w:val="22"/>
        </w:rPr>
        <w:t>En las materias compartidas el Estado aprueba la normativa básica y la Comunidad la desarrolla. Las bases deben preservar un denominador común, pero no agotar normalmente toda la regulación. Pueden encontrarse en leyes y, excepcionalmente, en reglamentos cuando exista justificación material suficiente.</w:t>
      </w:r>
    </w:p>
    <w:p>
      <w:pPr>
        <w:jc w:val="both"/>
      </w:pPr>
      <w:r>
        <w:rPr>
          <w:rFonts w:ascii="Arial" w:hAnsi="Arial" w:cs="Arial"/>
          <w:sz w:val="22"/>
        </w:rPr>
        <w:t>En otras materias, el Estado conserva toda la legislación y la Comunidad puede ejecutar. Un ejemplo clásico es la legislación laboral: la potestad normativa corresponde al Estado, mientras órganos autonómicos pueden aplicar y gestionar.</w:t>
      </w:r>
    </w:p>
    <w:p>
      <w:pPr>
        <w:jc w:val="both"/>
      </w:pPr>
      <w:r>
        <w:rPr>
          <w:rFonts w:ascii="Arial" w:hAnsi="Arial" w:cs="Arial"/>
          <w:sz w:val="22"/>
        </w:rPr>
        <w:t>La competencia material no siempre coincide con una realidad física indivisible. Una misma actuación puede afectar a títulos sobre medio ambiente, obras públicas, economía o energía. El Tribunal Constitucional identifica el objeto y finalidad predominantes, sin ignorar los títulos concurrentes.</w:t>
      </w:r>
    </w:p>
    <w:p>
      <w:pPr>
        <w:pStyle w:val="Heading2"/>
        <w:keepNext/>
      </w:pPr>
      <w:r>
        <w:rPr>
          <w:rFonts w:ascii="Arial" w:hAnsi="Arial" w:cs="Arial"/>
          <w:sz w:val="25"/>
        </w:rPr>
        <w:t>5.5. Cláusulas del artículo 149.3</w:t>
      </w:r>
    </w:p>
    <w:p>
      <w:pPr>
        <w:jc w:val="both"/>
      </w:pPr>
      <w:r>
        <w:rPr>
          <w:rFonts w:ascii="Arial" w:hAnsi="Arial" w:cs="Arial"/>
          <w:sz w:val="22"/>
        </w:rPr>
        <w:t>El artículo 149.3 contiene tres reglas:</w:t>
      </w:r>
    </w:p>
    <w:p>
      <w:pPr>
        <w:pStyle w:val="ListBullet"/>
      </w:pPr>
      <w:r>
        <w:rPr>
          <w:rFonts w:ascii="Arial" w:hAnsi="Arial" w:cs="Arial"/>
          <w:b/>
          <w:sz w:val="22"/>
        </w:rPr>
        <w:t>Residual autonómica:</w:t>
      </w:r>
      <w:r>
        <w:rPr>
          <w:rFonts w:ascii="Arial" w:hAnsi="Arial" w:cs="Arial"/>
          <w:sz w:val="22"/>
        </w:rPr>
        <w:t xml:space="preserve"> las materias no atribuidas expresamente al Estado pueden corresponder a las Comunidades en virtud de sus Estatutos.</w:t>
      </w:r>
    </w:p>
    <w:p>
      <w:pPr>
        <w:pStyle w:val="ListBullet"/>
      </w:pPr>
      <w:r>
        <w:rPr>
          <w:rFonts w:ascii="Arial" w:hAnsi="Arial" w:cs="Arial"/>
          <w:b/>
          <w:sz w:val="22"/>
        </w:rPr>
        <w:t>Residual estatal:</w:t>
      </w:r>
      <w:r>
        <w:rPr>
          <w:rFonts w:ascii="Arial" w:hAnsi="Arial" w:cs="Arial"/>
          <w:sz w:val="22"/>
        </w:rPr>
        <w:t xml:space="preserve"> las competencias no asumidas por los Estatutos corresponden al Estado.</w:t>
      </w:r>
    </w:p>
    <w:p>
      <w:pPr>
        <w:pStyle w:val="ListBullet"/>
      </w:pPr>
      <w:r>
        <w:rPr>
          <w:rFonts w:ascii="Arial" w:hAnsi="Arial" w:cs="Arial"/>
          <w:b/>
          <w:sz w:val="22"/>
        </w:rPr>
        <w:t>Prevalencia y supletoriedad:</w:t>
      </w:r>
      <w:r>
        <w:rPr>
          <w:rFonts w:ascii="Arial" w:hAnsi="Arial" w:cs="Arial"/>
          <w:sz w:val="22"/>
        </w:rPr>
        <w:t xml:space="preserve"> las normas estatales prevalecen en caso de conflicto en lo no atribuido a la competencia exclusiva autonómica; el Derecho estatal es supletorio del autonómico.</w:t>
      </w:r>
    </w:p>
    <w:p>
      <w:pPr>
        <w:jc w:val="both"/>
      </w:pPr>
      <w:r>
        <w:rPr>
          <w:rFonts w:ascii="Arial" w:hAnsi="Arial" w:cs="Arial"/>
          <w:sz w:val="22"/>
        </w:rPr>
        <w:t>La supletoriedad no es un título competencial independiente. El Estado no puede legislar sobre cualquier materia solo para crear Derecho supletorio. La prevalencia tampoco autoriza a ignorar la distribución de competencias: primero hay que determinar si ambas normas se dictaron válidamente.</w:t>
      </w:r>
    </w:p>
    <w:p>
      <w:pPr>
        <w:pStyle w:val="Heading2"/>
        <w:keepNext/>
      </w:pPr>
      <w:r>
        <w:rPr>
          <w:rFonts w:ascii="Arial" w:hAnsi="Arial" w:cs="Arial"/>
          <w:sz w:val="25"/>
        </w:rPr>
        <w:t>5.6. Leyes del artículo 150</w:t>
      </w:r>
    </w:p>
    <w:tbl>
      <w:tblPr>
        <w:tblStyle w:val="TableGrid"/>
        <w:tblW w:type="dxa" w:w="9026"/>
        <w:jc w:val="left"/>
        <w:tblLayout w:type="fixed"/>
        <w:tblLook w:firstColumn="1" w:firstRow="1" w:lastColumn="0" w:lastRow="0" w:noHBand="0" w:noVBand="1" w:val="04A0"/>
        <w:tblInd w:w="120" w:type="dxa"/>
      </w:tblPr>
      <w:tblGrid>
        <w:gridCol w:w="900"/>
        <w:gridCol w:w="3181"/>
        <w:gridCol w:w="4945"/>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Apartado</w:t>
            </w:r>
          </w:p>
        </w:tc>
        <w:tc>
          <w:tcPr>
            <w:tcW w:type="dxa" w:w="318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Instrumento</w:t>
            </w:r>
          </w:p>
        </w:tc>
        <w:tc>
          <w:tcPr>
            <w:tcW w:type="dxa" w:w="494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Contenido esencial</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150.1</w:t>
            </w:r>
          </w:p>
        </w:tc>
        <w:tc>
          <w:tcPr>
            <w:tcW w:type="dxa" w:w="3181"/>
            <w:tcMar>
              <w:top w:w="80" w:type="dxa"/>
              <w:start w:w="120" w:type="dxa"/>
              <w:bottom w:w="80" w:type="dxa"/>
              <w:end w:w="120" w:type="dxa"/>
            </w:tcMar>
            <w:vAlign w:val="center"/>
          </w:tcPr>
          <w:p>
            <w:pPr>
              <w:spacing w:before="0" w:after="0" w:line="240" w:lineRule="auto"/>
              <w:jc w:val="center"/>
            </w:pPr>
            <w:r/>
            <w:r>
              <w:rPr>
                <w:rFonts w:ascii="Arial" w:hAnsi="Arial" w:cs="Arial"/>
                <w:sz w:val="18"/>
              </w:rPr>
              <w:t>Ley marco</w:t>
            </w:r>
          </w:p>
        </w:tc>
        <w:tc>
          <w:tcPr>
            <w:tcW w:type="dxa" w:w="4945"/>
            <w:tcMar>
              <w:top w:w="80" w:type="dxa"/>
              <w:start w:w="120" w:type="dxa"/>
              <w:bottom w:w="80" w:type="dxa"/>
              <w:end w:w="120" w:type="dxa"/>
            </w:tcMar>
            <w:vAlign w:val="center"/>
          </w:tcPr>
          <w:p>
            <w:pPr>
              <w:spacing w:before="0" w:after="0" w:line="240" w:lineRule="auto"/>
              <w:jc w:val="left"/>
            </w:pPr>
            <w:r/>
            <w:r>
              <w:rPr>
                <w:rFonts w:ascii="Arial" w:hAnsi="Arial" w:cs="Arial"/>
                <w:sz w:val="18"/>
              </w:rPr>
              <w:t>Atribuye facultad legislativa autonómica en materia estatal dentro de principios, bases y directrices; fija control de las Cortes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150.2</w:t>
            </w:r>
          </w:p>
        </w:tc>
        <w:tc>
          <w:tcPr>
            <w:tcW w:type="dxa" w:w="3181"/>
            <w:tcMar>
              <w:top w:w="80" w:type="dxa"/>
              <w:start w:w="120" w:type="dxa"/>
              <w:bottom w:w="80" w:type="dxa"/>
              <w:end w:w="120" w:type="dxa"/>
            </w:tcMar>
            <w:vAlign w:val="center"/>
          </w:tcPr>
          <w:p>
            <w:pPr>
              <w:spacing w:before="0" w:after="0" w:line="240" w:lineRule="auto"/>
              <w:jc w:val="left"/>
            </w:pPr>
            <w:r/>
            <w:r>
              <w:rPr>
                <w:rFonts w:ascii="Arial" w:hAnsi="Arial" w:cs="Arial"/>
                <w:sz w:val="18"/>
              </w:rPr>
              <w:t>Ley orgánica de transferencia o delegación</w:t>
            </w:r>
          </w:p>
        </w:tc>
        <w:tc>
          <w:tcPr>
            <w:tcW w:type="dxa" w:w="4945"/>
            <w:tcMar>
              <w:top w:w="80" w:type="dxa"/>
              <w:start w:w="120" w:type="dxa"/>
              <w:bottom w:w="80" w:type="dxa"/>
              <w:end w:w="120" w:type="dxa"/>
            </w:tcMar>
            <w:vAlign w:val="center"/>
          </w:tcPr>
          <w:p>
            <w:pPr>
              <w:spacing w:before="0" w:after="0" w:line="240" w:lineRule="auto"/>
              <w:jc w:val="left"/>
            </w:pPr>
            <w:r/>
            <w:r>
              <w:rPr>
                <w:rFonts w:ascii="Arial" w:hAnsi="Arial" w:cs="Arial"/>
                <w:sz w:val="18"/>
              </w:rPr>
              <w:t>Transfiere o delega facultades estatales susceptibles por su naturaleza, con medios financieros y controles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150.3</w:t>
            </w:r>
          </w:p>
        </w:tc>
        <w:tc>
          <w:tcPr>
            <w:tcW w:type="dxa" w:w="3181"/>
            <w:tcMar>
              <w:top w:w="80" w:type="dxa"/>
              <w:start w:w="120" w:type="dxa"/>
              <w:bottom w:w="80" w:type="dxa"/>
              <w:end w:w="120" w:type="dxa"/>
            </w:tcMar>
            <w:vAlign w:val="center"/>
          </w:tcPr>
          <w:p>
            <w:pPr>
              <w:spacing w:before="0" w:after="0" w:line="240" w:lineRule="auto"/>
              <w:jc w:val="left"/>
            </w:pPr>
            <w:r/>
            <w:r>
              <w:rPr>
                <w:rFonts w:ascii="Arial" w:hAnsi="Arial" w:cs="Arial"/>
                <w:sz w:val="18"/>
              </w:rPr>
              <w:t>Ley de armonización</w:t>
            </w:r>
          </w:p>
        </w:tc>
        <w:tc>
          <w:tcPr>
            <w:tcW w:type="dxa" w:w="4945"/>
            <w:tcMar>
              <w:top w:w="80" w:type="dxa"/>
              <w:start w:w="120" w:type="dxa"/>
              <w:bottom w:w="80" w:type="dxa"/>
              <w:end w:w="120" w:type="dxa"/>
            </w:tcMar>
            <w:vAlign w:val="center"/>
          </w:tcPr>
          <w:p>
            <w:pPr>
              <w:spacing w:before="0" w:after="0" w:line="240" w:lineRule="auto"/>
              <w:jc w:val="left"/>
            </w:pPr>
            <w:r/>
            <w:r>
              <w:rPr>
                <w:rFonts w:ascii="Arial" w:hAnsi="Arial" w:cs="Arial"/>
                <w:sz w:val="18"/>
              </w:rPr>
              <w:t>Fija principios para armonizar normas autonómicas cuando lo exige el interés general</w:t>
            </w:r>
          </w:p>
        </w:tc>
      </w:tr>
    </w:tbl>
    <w:p>
      <w:pPr>
        <w:spacing w:after="40"/>
      </w:pPr>
    </w:p>
    <w:p>
      <w:pPr>
        <w:jc w:val="both"/>
      </w:pPr>
      <w:r>
        <w:rPr>
          <w:rFonts w:ascii="Arial" w:hAnsi="Arial" w:cs="Arial"/>
          <w:sz w:val="22"/>
        </w:rPr>
        <w:t xml:space="preserve">Para una ley de armonización, las Cortes deben apreciar la necesidad por </w:t>
      </w:r>
      <w:r>
        <w:rPr>
          <w:rFonts w:ascii="Arial" w:hAnsi="Arial" w:cs="Arial"/>
          <w:b/>
          <w:sz w:val="22"/>
        </w:rPr>
        <w:t>mayoría absoluta de cada Cámara</w:t>
      </w:r>
      <w:r>
        <w:rPr>
          <w:rFonts w:ascii="Arial" w:hAnsi="Arial" w:cs="Arial"/>
          <w:sz w:val="22"/>
        </w:rPr>
        <w:t>. No debe confundirse con una ley básica: la armonización puede alcanzar incluso materias atribuidas a la competencia autonómica y tiene carácter excepcional.</w:t>
      </w:r>
    </w:p>
    <w:p>
      <w:pPr>
        <w:pStyle w:val="Heading2"/>
        <w:keepNext/>
      </w:pPr>
      <w:r>
        <w:rPr>
          <w:rFonts w:ascii="Arial" w:hAnsi="Arial" w:cs="Arial"/>
          <w:sz w:val="25"/>
        </w:rPr>
        <w:t>5.7. Conflictos y control</w:t>
      </w:r>
    </w:p>
    <w:p>
      <w:pPr>
        <w:jc w:val="both"/>
      </w:pPr>
      <w:r>
        <w:rPr>
          <w:rFonts w:ascii="Arial" w:hAnsi="Arial" w:cs="Arial"/>
          <w:sz w:val="22"/>
        </w:rPr>
        <w:t>El Tribunal Constitucional conoce de los conflictos positivos y negativos de competencia entre Estado y Comunidades o entre Comunidades. También controla leyes estatales y autonómicas mediante el recurso y la cuestión de inconstitucionalidad.</w:t>
      </w:r>
    </w:p>
    <w:p>
      <w:pPr>
        <w:jc w:val="both"/>
      </w:pPr>
      <w:r>
        <w:rPr>
          <w:rFonts w:ascii="Arial" w:hAnsi="Arial" w:cs="Arial"/>
          <w:sz w:val="22"/>
        </w:rPr>
        <w:t>El artículo 153 distribuye controles:</w:t>
      </w:r>
    </w:p>
    <w:p>
      <w:pPr>
        <w:pStyle w:val="ListBullet"/>
      </w:pPr>
      <w:r>
        <w:rPr>
          <w:rFonts w:ascii="Arial" w:hAnsi="Arial" w:cs="Arial"/>
          <w:sz w:val="22"/>
        </w:rPr>
        <w:t>Tribunal Constitucional: constitucionalidad de disposiciones autonómicas con fuerza de ley.</w:t>
      </w:r>
    </w:p>
    <w:p>
      <w:pPr>
        <w:pStyle w:val="ListBullet"/>
      </w:pPr>
      <w:r>
        <w:rPr>
          <w:rFonts w:ascii="Arial" w:hAnsi="Arial" w:cs="Arial"/>
          <w:sz w:val="22"/>
        </w:rPr>
        <w:t>Gobierno, previo dictamen del Consejo de Estado: ejercicio de funciones delegadas del artículo 150.2.</w:t>
      </w:r>
    </w:p>
    <w:p>
      <w:pPr>
        <w:pStyle w:val="ListBullet"/>
      </w:pPr>
      <w:r>
        <w:rPr>
          <w:rFonts w:ascii="Arial" w:hAnsi="Arial" w:cs="Arial"/>
          <w:sz w:val="22"/>
        </w:rPr>
        <w:t>Jurisdicción contencioso-administrativa: Administración autonómica y reglamentos.</w:t>
      </w:r>
    </w:p>
    <w:p>
      <w:pPr>
        <w:pStyle w:val="ListBullet"/>
      </w:pPr>
      <w:r>
        <w:rPr>
          <w:rFonts w:ascii="Arial" w:hAnsi="Arial" w:cs="Arial"/>
          <w:sz w:val="22"/>
        </w:rPr>
        <w:t>Tribunal de Cuentas: control económico y presupuestario.</w:t>
      </w:r>
    </w:p>
    <w:p>
      <w:pPr>
        <w:jc w:val="both"/>
      </w:pPr>
      <w:r>
        <w:rPr>
          <w:rFonts w:ascii="Arial" w:hAnsi="Arial" w:cs="Arial"/>
          <w:sz w:val="22"/>
        </w:rPr>
        <w:t>El Gobierno puede impugnar disposiciones y resoluciones autonómicas conforme al artículo 161.2. La impugnación produce suspensión, que el Tribunal debe ratificar o levantar en un máximo de cinco meses.</w:t>
      </w:r>
    </w:p>
    <w:p>
      <w:pPr>
        <w:jc w:val="both"/>
      </w:pPr>
      <w:r>
        <w:rPr>
          <w:rFonts w:ascii="Arial" w:hAnsi="Arial" w:cs="Arial"/>
          <w:sz w:val="22"/>
        </w:rPr>
        <w:t>El artículo 155 permite medidas de cumplimiento forzoso cuando una Comunidad incumpla obligaciones constitucionales o legales o atente gravemente contra el interés general de España. Requiere:</w:t>
      </w:r>
    </w:p>
    <w:p>
      <w:pPr>
        <w:spacing w:after="40"/>
        <w:ind w:left="369" w:hanging="227"/>
      </w:pPr>
      <w:r>
        <w:rPr>
          <w:rFonts w:ascii="Arial" w:hAnsi="Arial" w:cs="Arial"/>
          <w:sz w:val="22"/>
        </w:rPr>
        <w:t>1. Requerimiento previo del Gobierno al presidente autonómico.</w:t>
      </w:r>
    </w:p>
    <w:p>
      <w:pPr>
        <w:spacing w:after="40"/>
        <w:ind w:left="369" w:hanging="227"/>
      </w:pPr>
      <w:r>
        <w:rPr>
          <w:rFonts w:ascii="Arial" w:hAnsi="Arial" w:cs="Arial"/>
          <w:sz w:val="22"/>
        </w:rPr>
        <w:t>2. Falta de atención al requerimiento.</w:t>
      </w:r>
    </w:p>
    <w:p>
      <w:pPr>
        <w:spacing w:after="40"/>
        <w:ind w:left="369" w:hanging="227"/>
      </w:pPr>
      <w:r>
        <w:rPr>
          <w:rFonts w:ascii="Arial" w:hAnsi="Arial" w:cs="Arial"/>
          <w:sz w:val="22"/>
        </w:rPr>
        <w:t>3. Aprobación del Senado por mayoría absoluta.</w:t>
      </w:r>
    </w:p>
    <w:p>
      <w:pPr>
        <w:spacing w:after="40"/>
        <w:ind w:left="369" w:hanging="227"/>
      </w:pPr>
      <w:r>
        <w:rPr>
          <w:rFonts w:ascii="Arial" w:hAnsi="Arial" w:cs="Arial"/>
          <w:sz w:val="22"/>
        </w:rPr>
        <w:t>4. Medidas necesarias y proporcionadas; el Gobierno puede dar instrucciones a autoridades autonómicas.</w:t>
      </w:r>
    </w:p>
    <w:p>
      <w:pPr>
        <w:jc w:val="both"/>
      </w:pPr>
      <w:r>
        <w:rPr>
          <w:rFonts w:ascii="Arial" w:hAnsi="Arial" w:cs="Arial"/>
          <w:sz w:val="22"/>
        </w:rPr>
        <w:t>El artículo 155 no suspende automáticamente la autonomía ni permite cualquier medida sin límites.</w:t>
      </w:r>
    </w:p>
    <w:p>
      <w:pPr>
        <w:pStyle w:val="Heading1"/>
        <w:keepNext/>
      </w:pPr>
      <w:r>
        <w:rPr>
          <w:rFonts w:ascii="Arial" w:hAnsi="Arial" w:cs="Arial"/>
          <w:sz w:val="30"/>
        </w:rPr>
        <w:t>6. Autonomía financiera</w:t>
      </w:r>
    </w:p>
    <w:p>
      <w:pPr>
        <w:jc w:val="both"/>
      </w:pPr>
      <w:r>
        <w:rPr>
          <w:rFonts w:ascii="Arial" w:hAnsi="Arial" w:cs="Arial"/>
          <w:sz w:val="22"/>
        </w:rPr>
        <w:t>Las Comunidades gozan de autonomía financiera para desarrollar y ejecutar sus competencias, coordinadas con la Hacienda estatal y conforme a solidaridad. No es soberanía fiscal.</w:t>
      </w:r>
    </w:p>
    <w:p>
      <w:pPr>
        <w:jc w:val="both"/>
      </w:pPr>
      <w:r>
        <w:rPr>
          <w:rFonts w:ascii="Arial" w:hAnsi="Arial" w:cs="Arial"/>
          <w:sz w:val="22"/>
        </w:rPr>
        <w:t>El artículo 157 enumera sus recursos:</w:t>
      </w:r>
    </w:p>
    <w:p>
      <w:pPr>
        <w:pStyle w:val="ListBullet"/>
      </w:pPr>
      <w:r>
        <w:rPr>
          <w:rFonts w:ascii="Arial" w:hAnsi="Arial" w:cs="Arial"/>
          <w:sz w:val="22"/>
        </w:rPr>
        <w:t>Impuestos estatales cedidos, recargos y participaciones en ingresos del Estado.</w:t>
      </w:r>
    </w:p>
    <w:p>
      <w:pPr>
        <w:pStyle w:val="ListBullet"/>
      </w:pPr>
      <w:r>
        <w:rPr>
          <w:rFonts w:ascii="Arial" w:hAnsi="Arial" w:cs="Arial"/>
          <w:sz w:val="22"/>
        </w:rPr>
        <w:t>Impuestos, tasas y contribuciones especiales propios.</w:t>
      </w:r>
    </w:p>
    <w:p>
      <w:pPr>
        <w:pStyle w:val="ListBullet"/>
      </w:pPr>
      <w:r>
        <w:rPr>
          <w:rFonts w:ascii="Arial" w:hAnsi="Arial" w:cs="Arial"/>
          <w:sz w:val="22"/>
        </w:rPr>
        <w:t>Transferencias del Fondo de Compensación Interterritorial y otras asignaciones presupuestarias.</w:t>
      </w:r>
    </w:p>
    <w:p>
      <w:pPr>
        <w:pStyle w:val="ListBullet"/>
      </w:pPr>
      <w:r>
        <w:rPr>
          <w:rFonts w:ascii="Arial" w:hAnsi="Arial" w:cs="Arial"/>
          <w:sz w:val="22"/>
        </w:rPr>
        <w:t>Rendimientos patrimoniales e ingresos de Derecho privado.</w:t>
      </w:r>
    </w:p>
    <w:p>
      <w:pPr>
        <w:pStyle w:val="ListBullet"/>
      </w:pPr>
      <w:r>
        <w:rPr>
          <w:rFonts w:ascii="Arial" w:hAnsi="Arial" w:cs="Arial"/>
          <w:sz w:val="22"/>
        </w:rPr>
        <w:t>Operaciones de crédito.</w:t>
      </w:r>
    </w:p>
    <w:p>
      <w:pPr>
        <w:jc w:val="both"/>
      </w:pPr>
      <w:r>
        <w:rPr>
          <w:rFonts w:ascii="Arial" w:hAnsi="Arial" w:cs="Arial"/>
          <w:sz w:val="22"/>
        </w:rPr>
        <w:t>No pueden adoptar medidas tributarias sobre bienes fuera de su territorio ni obstaculizar la libre circulación de mercancías o servicios. La Ley Orgánica 8/1980, de Financiación de las Comunidades Autónomas, desarrolla el sistema.</w:t>
      </w:r>
    </w:p>
    <w:p>
      <w:pPr>
        <w:jc w:val="both"/>
      </w:pPr>
      <w:r>
        <w:rPr>
          <w:rFonts w:ascii="Arial" w:hAnsi="Arial" w:cs="Arial"/>
          <w:sz w:val="22"/>
        </w:rPr>
        <w:t>El artículo 158 permite asignaciones estatales para garantizar un nivel mínimo de servicios públicos fundamentales y crea un Fondo de Compensación para gastos de inversión y corrección de desequilibrios. Solidaridad no equivale a uniformidad financiera, pero exige suficiencia y equilibrio.</w:t>
      </w:r>
    </w:p>
    <w:p>
      <w:pPr>
        <w:pStyle w:val="Heading1"/>
        <w:keepNext/>
      </w:pPr>
      <w:r>
        <w:rPr>
          <w:rFonts w:ascii="Arial" w:hAnsi="Arial" w:cs="Arial"/>
          <w:sz w:val="30"/>
        </w:rPr>
        <w:t>7. La Administración local</w:t>
      </w:r>
    </w:p>
    <w:p>
      <w:pPr>
        <w:pStyle w:val="Heading2"/>
        <w:keepNext/>
      </w:pPr>
      <w:r>
        <w:rPr>
          <w:rFonts w:ascii="Arial" w:hAnsi="Arial" w:cs="Arial"/>
          <w:sz w:val="25"/>
        </w:rPr>
        <w:t>7.1. Garantía constitucional y legislación</w:t>
      </w:r>
    </w:p>
    <w:p>
      <w:pPr>
        <w:jc w:val="both"/>
      </w:pPr>
      <w:r>
        <w:rPr>
          <w:rFonts w:ascii="Arial" w:hAnsi="Arial" w:cs="Arial"/>
          <w:sz w:val="22"/>
        </w:rPr>
        <w:t>La autonomía local se garantiza en los artículos 137 y 140 a 142 de la Constitución y se desarrolla principalmente en la Ley 7/1985, Reguladora de las Bases del Régimen Local —LBRL—. También son relevantes el texto refundido aprobado por Real Decreto Legislativo 781/1986, la legislación autonómica y las normas locales de autoorganización.</w:t>
      </w:r>
    </w:p>
    <w:p>
      <w:pPr>
        <w:jc w:val="both"/>
      </w:pPr>
      <w:r>
        <w:rPr>
          <w:rFonts w:ascii="Arial" w:hAnsi="Arial" w:cs="Arial"/>
          <w:sz w:val="22"/>
        </w:rPr>
        <w:t>La LBRL califica como entidades locales territoriales al municipio, la provincia y la isla en los archipiélagos balear y canario. También reconoce comarcas u otras agrupaciones, áreas metropolitanas y mancomunidades.</w:t>
      </w:r>
    </w:p>
    <w:p>
      <w:pPr>
        <w:jc w:val="both"/>
      </w:pPr>
      <w:r>
        <w:rPr>
          <w:rFonts w:ascii="Arial" w:hAnsi="Arial" w:cs="Arial"/>
          <w:sz w:val="22"/>
        </w:rPr>
        <w:t>La autonomía local es una garantía institucional: el legislador debe preservar una capacidad reconocible de decisión sobre los intereses locales. Sin embargo, las competencias locales son las que atribuyen la ley estatal o autonómica según el reparto constitucional.</w:t>
      </w:r>
    </w:p>
    <w:p>
      <w:pPr>
        <w:jc w:val="both"/>
      </w:pPr>
      <w:r>
        <w:rPr>
          <w:rFonts w:ascii="Arial" w:hAnsi="Arial" w:cs="Arial"/>
          <w:sz w:val="22"/>
        </w:rPr>
        <w:t>Las entidades territoriales locales poseen, dentro de sus competencias, potestades reglamentaria y de autoorganización, tributaria y financiera, de planificación, expropiatoria, sancionadora, de ejecución forzosa y de revisión de oficio, además de las prerrogativas legalmente previstas.</w:t>
      </w:r>
    </w:p>
    <w:p>
      <w:pPr>
        <w:pStyle w:val="Heading2"/>
        <w:keepNext/>
      </w:pPr>
      <w:r>
        <w:rPr>
          <w:rFonts w:ascii="Arial" w:hAnsi="Arial" w:cs="Arial"/>
          <w:sz w:val="25"/>
        </w:rPr>
        <w:t>7.2. Clases de competencias locales</w:t>
      </w:r>
    </w:p>
    <w:p>
      <w:pPr>
        <w:jc w:val="both"/>
      </w:pPr>
      <w:r>
        <w:rPr>
          <w:rFonts w:ascii="Arial" w:hAnsi="Arial" w:cs="Arial"/>
          <w:sz w:val="22"/>
        </w:rPr>
        <w:t>La LBRL diferencia:</w:t>
      </w:r>
    </w:p>
    <w:p>
      <w:pPr>
        <w:pStyle w:val="ListBullet"/>
      </w:pPr>
      <w:r>
        <w:rPr>
          <w:rFonts w:ascii="Arial" w:hAnsi="Arial" w:cs="Arial"/>
          <w:b/>
          <w:sz w:val="22"/>
        </w:rPr>
        <w:t>Competencias propias:</w:t>
      </w:r>
      <w:r>
        <w:rPr>
          <w:rFonts w:ascii="Arial" w:hAnsi="Arial" w:cs="Arial"/>
          <w:sz w:val="22"/>
        </w:rPr>
        <w:t xml:space="preserve"> solo pueden determinarse por ley y se ejercen en autonomía y bajo propia responsabilidad, con la debida coordinación.</w:t>
      </w:r>
    </w:p>
    <w:p>
      <w:pPr>
        <w:pStyle w:val="ListBullet"/>
      </w:pPr>
      <w:r>
        <w:rPr>
          <w:rFonts w:ascii="Arial" w:hAnsi="Arial" w:cs="Arial"/>
          <w:b/>
          <w:sz w:val="22"/>
        </w:rPr>
        <w:t>Competencias delegadas:</w:t>
      </w:r>
      <w:r>
        <w:rPr>
          <w:rFonts w:ascii="Arial" w:hAnsi="Arial" w:cs="Arial"/>
          <w:sz w:val="22"/>
        </w:rPr>
        <w:t xml:space="preserve"> las ejercen en los términos de la delegación, que incluye dirección y control de la Administración delegante.</w:t>
      </w:r>
    </w:p>
    <w:p>
      <w:pPr>
        <w:pStyle w:val="ListBullet"/>
      </w:pPr>
      <w:r>
        <w:rPr>
          <w:rFonts w:ascii="Arial" w:hAnsi="Arial" w:cs="Arial"/>
          <w:b/>
          <w:sz w:val="22"/>
        </w:rPr>
        <w:t>Competencias distintas de propias y delegadas:</w:t>
      </w:r>
      <w:r>
        <w:rPr>
          <w:rFonts w:ascii="Arial" w:hAnsi="Arial" w:cs="Arial"/>
          <w:sz w:val="22"/>
        </w:rPr>
        <w:t xml:space="preserve"> pueden ejercerse si no se pone en riesgo la sostenibilidad financiera del conjunto de la Hacienda local y no existe ejecución simultánea del mismo servicio por otra Administración, con los informes previos exigidos.</w:t>
      </w:r>
    </w:p>
    <w:p>
      <w:pPr>
        <w:jc w:val="both"/>
      </w:pPr>
      <w:r>
        <w:rPr>
          <w:rFonts w:ascii="Arial" w:hAnsi="Arial" w:cs="Arial"/>
          <w:sz w:val="22"/>
        </w:rPr>
        <w:t xml:space="preserve">No debe confundirse una </w:t>
      </w:r>
      <w:r>
        <w:rPr>
          <w:rFonts w:ascii="Arial" w:hAnsi="Arial" w:cs="Arial"/>
          <w:b/>
          <w:sz w:val="22"/>
        </w:rPr>
        <w:t>materia</w:t>
      </w:r>
      <w:r>
        <w:rPr>
          <w:rFonts w:ascii="Arial" w:hAnsi="Arial" w:cs="Arial"/>
          <w:sz w:val="22"/>
        </w:rPr>
        <w:t xml:space="preserve"> del artículo 25 con una competencia concreta. La competencia propia se delimita por la correspondiente ley sectorial.</w:t>
      </w:r>
    </w:p>
    <w:p>
      <w:pPr>
        <w:pStyle w:val="Heading1"/>
        <w:keepNext/>
      </w:pPr>
      <w:r>
        <w:rPr>
          <w:rFonts w:ascii="Arial" w:hAnsi="Arial" w:cs="Arial"/>
          <w:sz w:val="30"/>
        </w:rPr>
        <w:t>8. El municipio</w:t>
      </w:r>
    </w:p>
    <w:p>
      <w:pPr>
        <w:pStyle w:val="Heading2"/>
        <w:keepNext/>
      </w:pPr>
      <w:r>
        <w:rPr>
          <w:rFonts w:ascii="Arial" w:hAnsi="Arial" w:cs="Arial"/>
          <w:sz w:val="25"/>
        </w:rPr>
        <w:t>8.1. Concepto y elementos</w:t>
      </w:r>
    </w:p>
    <w:p>
      <w:pPr>
        <w:jc w:val="both"/>
      </w:pPr>
      <w:r>
        <w:rPr>
          <w:rFonts w:ascii="Arial" w:hAnsi="Arial" w:cs="Arial"/>
          <w:sz w:val="22"/>
        </w:rPr>
        <w:t>El municipio es la entidad local básica de la organización territorial y el cauce inmediato de participación ciudadana. Tiene personalidad jurídica y plena capacidad.</w:t>
      </w:r>
    </w:p>
    <w:p>
      <w:pPr>
        <w:jc w:val="both"/>
      </w:pPr>
      <w:r>
        <w:rPr>
          <w:rFonts w:ascii="Arial" w:hAnsi="Arial" w:cs="Arial"/>
          <w:sz w:val="22"/>
        </w:rPr>
        <w:t>Sus elementos son:</w:t>
      </w:r>
    </w:p>
    <w:tbl>
      <w:tblPr>
        <w:tblStyle w:val="TableGrid"/>
        <w:tblW w:type="dxa" w:w="9026"/>
        <w:jc w:val="left"/>
        <w:tblLayout w:type="fixed"/>
        <w:tblLook w:firstColumn="1" w:firstRow="1" w:lastColumn="0" w:lastRow="0" w:noHBand="0" w:noVBand="1" w:val="04A0"/>
        <w:tblInd w:w="120" w:type="dxa"/>
      </w:tblPr>
      <w:tblGrid>
        <w:gridCol w:w="1504"/>
        <w:gridCol w:w="7522"/>
      </w:tblGrid>
      <w:tr>
        <w:trPr>
          <w:tblHeader w:val="true"/>
        </w:trPr>
        <w:tc>
          <w:tcPr>
            <w:tcW w:type="dxa" w:w="150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752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1504"/>
            <w:tcMar>
              <w:top w:w="80" w:type="dxa"/>
              <w:start w:w="120" w:type="dxa"/>
              <w:bottom w:w="80" w:type="dxa"/>
              <w:end w:w="120" w:type="dxa"/>
            </w:tcMar>
            <w:vAlign w:val="center"/>
          </w:tcPr>
          <w:p>
            <w:pPr>
              <w:spacing w:before="0" w:after="0" w:line="240" w:lineRule="auto"/>
              <w:jc w:val="left"/>
            </w:pPr>
            <w:r/>
            <w:r>
              <w:rPr>
                <w:rFonts w:ascii="Arial" w:hAnsi="Arial" w:cs="Arial"/>
                <w:sz w:val="18"/>
              </w:rPr>
              <w:t>Territorio</w:t>
            </w:r>
          </w:p>
        </w:tc>
        <w:tc>
          <w:tcPr>
            <w:tcW w:type="dxa" w:w="7522"/>
            <w:tcMar>
              <w:top w:w="80" w:type="dxa"/>
              <w:start w:w="120" w:type="dxa"/>
              <w:bottom w:w="80" w:type="dxa"/>
              <w:end w:w="120" w:type="dxa"/>
            </w:tcMar>
            <w:vAlign w:val="center"/>
          </w:tcPr>
          <w:p>
            <w:pPr>
              <w:spacing w:before="0" w:after="0" w:line="240" w:lineRule="auto"/>
              <w:jc w:val="left"/>
            </w:pPr>
            <w:r/>
            <w:r>
              <w:rPr>
                <w:rFonts w:ascii="Arial" w:hAnsi="Arial" w:cs="Arial"/>
                <w:sz w:val="18"/>
              </w:rPr>
              <w:t>Término municipal en que ejerce competencias; pertenece a una sola provincia</w:t>
            </w:r>
          </w:p>
        </w:tc>
      </w:tr>
      <w:tr>
        <w:tc>
          <w:tcPr>
            <w:tcW w:type="dxa" w:w="1504"/>
            <w:tcMar>
              <w:top w:w="80" w:type="dxa"/>
              <w:start w:w="120" w:type="dxa"/>
              <w:bottom w:w="80" w:type="dxa"/>
              <w:end w:w="120" w:type="dxa"/>
            </w:tcMar>
            <w:vAlign w:val="center"/>
          </w:tcPr>
          <w:p>
            <w:pPr>
              <w:spacing w:before="0" w:after="0" w:line="240" w:lineRule="auto"/>
              <w:jc w:val="left"/>
            </w:pPr>
            <w:r/>
            <w:r>
              <w:rPr>
                <w:rFonts w:ascii="Arial" w:hAnsi="Arial" w:cs="Arial"/>
                <w:sz w:val="18"/>
              </w:rPr>
              <w:t>Población</w:t>
            </w:r>
          </w:p>
        </w:tc>
        <w:tc>
          <w:tcPr>
            <w:tcW w:type="dxa" w:w="7522"/>
            <w:tcMar>
              <w:top w:w="80" w:type="dxa"/>
              <w:start w:w="120" w:type="dxa"/>
              <w:bottom w:w="80" w:type="dxa"/>
              <w:end w:w="120" w:type="dxa"/>
            </w:tcMar>
            <w:vAlign w:val="center"/>
          </w:tcPr>
          <w:p>
            <w:pPr>
              <w:spacing w:before="0" w:after="0" w:line="240" w:lineRule="auto"/>
              <w:jc w:val="left"/>
            </w:pPr>
            <w:r/>
            <w:r>
              <w:rPr>
                <w:rFonts w:ascii="Arial" w:hAnsi="Arial" w:cs="Arial"/>
                <w:sz w:val="18"/>
              </w:rPr>
              <w:t>Conjunto de personas inscritas en el padrón</w:t>
            </w:r>
          </w:p>
        </w:tc>
      </w:tr>
      <w:tr>
        <w:tc>
          <w:tcPr>
            <w:tcW w:type="dxa" w:w="1504"/>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w:t>
            </w:r>
          </w:p>
        </w:tc>
        <w:tc>
          <w:tcPr>
            <w:tcW w:type="dxa" w:w="7522"/>
            <w:tcMar>
              <w:top w:w="80" w:type="dxa"/>
              <w:start w:w="120" w:type="dxa"/>
              <w:bottom w:w="80" w:type="dxa"/>
              <w:end w:w="120" w:type="dxa"/>
            </w:tcMar>
            <w:vAlign w:val="center"/>
          </w:tcPr>
          <w:p>
            <w:pPr>
              <w:spacing w:before="0" w:after="0" w:line="240" w:lineRule="auto"/>
              <w:jc w:val="left"/>
            </w:pPr>
            <w:r/>
            <w:r>
              <w:rPr>
                <w:rFonts w:ascii="Arial" w:hAnsi="Arial" w:cs="Arial"/>
                <w:sz w:val="18"/>
              </w:rPr>
              <w:t>Ayuntamiento u organización del concejo abierto y órganos complementarios</w:t>
            </w:r>
          </w:p>
        </w:tc>
      </w:tr>
    </w:tbl>
    <w:p>
      <w:pPr>
        <w:spacing w:after="40"/>
      </w:pPr>
    </w:p>
    <w:p>
      <w:pPr>
        <w:jc w:val="both"/>
      </w:pPr>
      <w:r>
        <w:rPr>
          <w:rFonts w:ascii="Arial" w:hAnsi="Arial" w:cs="Arial"/>
          <w:sz w:val="22"/>
        </w:rPr>
        <w:t>La creación, supresión y alteración de municipios se regula por legislación autonómica de régimen local, sin que pueda modificarse el límite provincial. La creación exige núcleos territorialmente diferenciados, sostenibilidad financiera y recursos suficientes, y no puede disminuir la calidad de los servicios.</w:t>
      </w:r>
    </w:p>
    <w:p>
      <w:pPr>
        <w:pStyle w:val="Heading2"/>
        <w:keepNext/>
      </w:pPr>
      <w:r>
        <w:rPr>
          <w:rFonts w:ascii="Arial" w:hAnsi="Arial" w:cs="Arial"/>
          <w:sz w:val="25"/>
        </w:rPr>
        <w:t>8.2. Padrón y vecinos</w:t>
      </w:r>
    </w:p>
    <w:p>
      <w:pPr>
        <w:jc w:val="both"/>
      </w:pPr>
      <w:r>
        <w:rPr>
          <w:rFonts w:ascii="Arial" w:hAnsi="Arial" w:cs="Arial"/>
          <w:sz w:val="22"/>
        </w:rPr>
        <w:t>Toda persona que viva en España debe inscribirse en el padrón del municipio donde resida habitualmente; si vive en varios, en aquel donde habite más tiempo al año. Quien está inscrito es vecino y adquiere esa condición en el momento de la inscripción.</w:t>
      </w:r>
    </w:p>
    <w:p>
      <w:pPr>
        <w:jc w:val="both"/>
      </w:pPr>
      <w:r>
        <w:rPr>
          <w:rFonts w:ascii="Arial" w:hAnsi="Arial" w:cs="Arial"/>
          <w:sz w:val="22"/>
        </w:rPr>
        <w:t>El padrón es el registro administrativo donde constan los vecinos y sus datos prueban residencia y domicilio habitual a efectos administrativos. La inscripción de extranjeros no prueba su residencia legal en España ni les concede derechos que no reconozca la legislación de extranjería.</w:t>
      </w:r>
    </w:p>
    <w:p>
      <w:pPr>
        <w:jc w:val="both"/>
      </w:pPr>
      <w:r>
        <w:rPr>
          <w:rFonts w:ascii="Arial" w:hAnsi="Arial" w:cs="Arial"/>
          <w:sz w:val="22"/>
        </w:rPr>
        <w:t>Entre los derechos y deberes vecinales figuran:</w:t>
      </w:r>
    </w:p>
    <w:p>
      <w:pPr>
        <w:pStyle w:val="ListBullet"/>
      </w:pPr>
      <w:r>
        <w:rPr>
          <w:rFonts w:ascii="Arial" w:hAnsi="Arial" w:cs="Arial"/>
          <w:sz w:val="22"/>
        </w:rPr>
        <w:t>Ser elector y elegible conforme a la legislación electoral.</w:t>
      </w:r>
    </w:p>
    <w:p>
      <w:pPr>
        <w:pStyle w:val="ListBullet"/>
      </w:pPr>
      <w:r>
        <w:rPr>
          <w:rFonts w:ascii="Arial" w:hAnsi="Arial" w:cs="Arial"/>
          <w:sz w:val="22"/>
        </w:rPr>
        <w:t>Participar en la gestión municipal.</w:t>
      </w:r>
    </w:p>
    <w:p>
      <w:pPr>
        <w:pStyle w:val="ListBullet"/>
      </w:pPr>
      <w:r>
        <w:rPr>
          <w:rFonts w:ascii="Arial" w:hAnsi="Arial" w:cs="Arial"/>
          <w:sz w:val="22"/>
        </w:rPr>
        <w:t>Utilizar servicios y aprovechamientos comunales.</w:t>
      </w:r>
    </w:p>
    <w:p>
      <w:pPr>
        <w:pStyle w:val="ListBullet"/>
      </w:pPr>
      <w:r>
        <w:rPr>
          <w:rFonts w:ascii="Arial" w:hAnsi="Arial" w:cs="Arial"/>
          <w:sz w:val="22"/>
        </w:rPr>
        <w:t>Contribuir mediante prestaciones legalmente previstas.</w:t>
      </w:r>
    </w:p>
    <w:p>
      <w:pPr>
        <w:pStyle w:val="ListBullet"/>
      </w:pPr>
      <w:r>
        <w:rPr>
          <w:rFonts w:ascii="Arial" w:hAnsi="Arial" w:cs="Arial"/>
          <w:sz w:val="22"/>
        </w:rPr>
        <w:t>Obtener información y dirigir solicitudes.</w:t>
      </w:r>
    </w:p>
    <w:p>
      <w:pPr>
        <w:pStyle w:val="ListBullet"/>
      </w:pPr>
      <w:r>
        <w:rPr>
          <w:rFonts w:ascii="Arial" w:hAnsi="Arial" w:cs="Arial"/>
          <w:sz w:val="22"/>
        </w:rPr>
        <w:t>Pedir consulta popular.</w:t>
      </w:r>
    </w:p>
    <w:p>
      <w:pPr>
        <w:pStyle w:val="ListBullet"/>
      </w:pPr>
      <w:r>
        <w:rPr>
          <w:rFonts w:ascii="Arial" w:hAnsi="Arial" w:cs="Arial"/>
          <w:sz w:val="22"/>
        </w:rPr>
        <w:t>Exigir los servicios obligatorios que constituyan competencia propia municipal.</w:t>
      </w:r>
    </w:p>
    <w:p>
      <w:pPr>
        <w:pStyle w:val="ListBullet"/>
      </w:pPr>
      <w:r>
        <w:rPr>
          <w:rFonts w:ascii="Arial" w:hAnsi="Arial" w:cs="Arial"/>
          <w:sz w:val="22"/>
        </w:rPr>
        <w:t>Ejercer iniciativa popular.</w:t>
      </w:r>
    </w:p>
    <w:p>
      <w:pPr>
        <w:pStyle w:val="Heading2"/>
        <w:keepNext/>
      </w:pPr>
      <w:r>
        <w:rPr>
          <w:rFonts w:ascii="Arial" w:hAnsi="Arial" w:cs="Arial"/>
          <w:sz w:val="25"/>
        </w:rPr>
        <w:t>8.3. Gobierno y órganos</w:t>
      </w:r>
    </w:p>
    <w:p>
      <w:pPr>
        <w:jc w:val="both"/>
      </w:pPr>
      <w:r>
        <w:rPr>
          <w:rFonts w:ascii="Arial" w:hAnsi="Arial" w:cs="Arial"/>
          <w:sz w:val="22"/>
        </w:rPr>
        <w:t>Salvo concejo abierto, el gobierno y administración corresponden al Ayuntamiento, integrado por alcalde y concejales. Los concejales se eligen por sufragio universal, igual, libre, directo y secreto. El alcalde es elegido por los concejales o por los vecinos según la legislación electoral.</w:t>
      </w:r>
    </w:p>
    <w:p>
      <w:pPr>
        <w:jc w:val="both"/>
      </w:pPr>
      <w:r>
        <w:rPr>
          <w:rFonts w:ascii="Arial" w:hAnsi="Arial" w:cs="Arial"/>
          <w:sz w:val="22"/>
        </w:rPr>
        <w:t>Órganos del régimen común:</w:t>
      </w:r>
    </w:p>
    <w:tbl>
      <w:tblPr>
        <w:tblStyle w:val="TableGrid"/>
        <w:tblW w:type="dxa" w:w="9026"/>
        <w:jc w:val="left"/>
        <w:tblLayout w:type="fixed"/>
        <w:tblLook w:firstColumn="1" w:firstRow="1" w:lastColumn="0" w:lastRow="0" w:noHBand="0" w:noVBand="1" w:val="04A0"/>
        <w:tblInd w:w="120" w:type="dxa"/>
      </w:tblPr>
      <w:tblGrid>
        <w:gridCol w:w="3917"/>
        <w:gridCol w:w="5109"/>
      </w:tblGrid>
      <w:tr>
        <w:trPr>
          <w:tblHeader w:val="true"/>
        </w:trPr>
        <w:tc>
          <w:tcPr>
            <w:tcW w:type="dxa" w:w="39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w:t>
            </w:r>
          </w:p>
        </w:tc>
        <w:tc>
          <w:tcPr>
            <w:tcW w:type="dxa" w:w="510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Existencia</w:t>
            </w:r>
          </w:p>
        </w:tc>
      </w:tr>
      <w:tr>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Alcalde, tenientes de alcalde y Pleno</w:t>
            </w:r>
          </w:p>
        </w:tc>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En todos los ayuntamientos</w:t>
            </w:r>
          </w:p>
        </w:tc>
      </w:tr>
      <w:tr>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Junta de Gobierno Local</w:t>
            </w:r>
          </w:p>
        </w:tc>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En municipios de más de 5.000 habitantes; en los demás si lo establece el reglamento o lo acuerda el Pleno</w:t>
            </w:r>
          </w:p>
        </w:tc>
      </w:tr>
      <w:tr>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Comisiones de estudio, informe, consulta y seguimiento</w:t>
            </w:r>
          </w:p>
        </w:tc>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Más de 5.000 habitantes y otros supuestos legales, salvo organización autonómica distinta</w:t>
            </w:r>
          </w:p>
        </w:tc>
      </w:tr>
      <w:tr>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Comisión Especial de Cuentas</w:t>
            </w:r>
          </w:p>
        </w:tc>
        <w:tc>
          <w:tcPr>
            <w:tcW w:type="dxa" w:w="5109"/>
            <w:tcMar>
              <w:top w:w="80" w:type="dxa"/>
              <w:start w:w="120" w:type="dxa"/>
              <w:bottom w:w="80" w:type="dxa"/>
              <w:end w:w="120" w:type="dxa"/>
            </w:tcMar>
            <w:vAlign w:val="center"/>
          </w:tcPr>
          <w:p>
            <w:pPr>
              <w:spacing w:before="0" w:after="0" w:line="240" w:lineRule="auto"/>
              <w:jc w:val="center"/>
            </w:pPr>
            <w:r/>
            <w:r>
              <w:rPr>
                <w:rFonts w:ascii="Arial" w:hAnsi="Arial" w:cs="Arial"/>
                <w:sz w:val="18"/>
              </w:rPr>
              <w:t>En todos</w:t>
            </w:r>
          </w:p>
        </w:tc>
      </w:tr>
      <w:tr>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Comisión Especial de Sugerencias y Reclamaciones</w:t>
            </w:r>
          </w:p>
        </w:tc>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Municipios de gran población y otros cuando se acuerde o regule</w:t>
            </w:r>
          </w:p>
        </w:tc>
      </w:tr>
    </w:tbl>
    <w:p>
      <w:pPr>
        <w:spacing w:after="40"/>
      </w:pPr>
    </w:p>
    <w:p>
      <w:pPr>
        <w:jc w:val="both"/>
      </w:pPr>
      <w:r>
        <w:rPr>
          <w:rFonts w:ascii="Arial" w:hAnsi="Arial" w:cs="Arial"/>
          <w:sz w:val="22"/>
        </w:rPr>
        <w:t xml:space="preserve">El </w:t>
      </w:r>
      <w:r>
        <w:rPr>
          <w:rFonts w:ascii="Arial" w:hAnsi="Arial" w:cs="Arial"/>
          <w:b/>
          <w:sz w:val="22"/>
        </w:rPr>
        <w:t>alcalde</w:t>
      </w:r>
      <w:r>
        <w:rPr>
          <w:rFonts w:ascii="Arial" w:hAnsi="Arial" w:cs="Arial"/>
          <w:sz w:val="22"/>
        </w:rPr>
        <w:t xml:space="preserve"> dirige gobierno y Administración, representa al Ayuntamiento, convoca y preside órganos, impulsa servicios, dicta bandos, ejerce jefatura de personal y las restantes atribuciones legales. Los </w:t>
      </w:r>
      <w:r>
        <w:rPr>
          <w:rFonts w:ascii="Arial" w:hAnsi="Arial" w:cs="Arial"/>
          <w:b/>
          <w:sz w:val="22"/>
        </w:rPr>
        <w:t>tenientes de alcalde</w:t>
      </w:r>
      <w:r>
        <w:rPr>
          <w:rFonts w:ascii="Arial" w:hAnsi="Arial" w:cs="Arial"/>
          <w:sz w:val="22"/>
        </w:rPr>
        <w:t xml:space="preserve"> lo sustituyen por orden en caso de vacante, ausencia o enfermedad.</w:t>
      </w:r>
    </w:p>
    <w:p>
      <w:pPr>
        <w:jc w:val="both"/>
      </w:pPr>
      <w:r>
        <w:rPr>
          <w:rFonts w:ascii="Arial" w:hAnsi="Arial" w:cs="Arial"/>
          <w:sz w:val="22"/>
        </w:rPr>
        <w:t xml:space="preserve">El </w:t>
      </w:r>
      <w:r>
        <w:rPr>
          <w:rFonts w:ascii="Arial" w:hAnsi="Arial" w:cs="Arial"/>
          <w:b/>
          <w:sz w:val="22"/>
        </w:rPr>
        <w:t>Pleno</w:t>
      </w:r>
      <w:r>
        <w:rPr>
          <w:rFonts w:ascii="Arial" w:hAnsi="Arial" w:cs="Arial"/>
          <w:sz w:val="22"/>
        </w:rPr>
        <w:t xml:space="preserve">, integrado por todos los concejales y presidido por el alcalde, controla y fiscaliza órganos de gobierno y adopta las grandes decisiones: organización, ordenanzas, presupuestos, planeamiento y acuerdos que exigen mayoría especial. La </w:t>
      </w:r>
      <w:r>
        <w:rPr>
          <w:rFonts w:ascii="Arial" w:hAnsi="Arial" w:cs="Arial"/>
          <w:b/>
          <w:sz w:val="22"/>
        </w:rPr>
        <w:t>Junta de Gobierno Local</w:t>
      </w:r>
      <w:r>
        <w:rPr>
          <w:rFonts w:ascii="Arial" w:hAnsi="Arial" w:cs="Arial"/>
          <w:sz w:val="22"/>
        </w:rPr>
        <w:t>, compuesta por el alcalde y concejales hasta un tercio del número legal, asiste al alcalde y ejerce atribuciones delegadas o legales.</w:t>
      </w:r>
    </w:p>
    <w:p>
      <w:pPr>
        <w:jc w:val="both"/>
      </w:pPr>
      <w:r>
        <w:rPr>
          <w:rFonts w:ascii="Arial" w:hAnsi="Arial" w:cs="Arial"/>
          <w:sz w:val="22"/>
        </w:rPr>
        <w:t>En concejo abierto gobiernan un alcalde y una asamblea vecinal formada por todos los electores. Se aplica a municipios de tradición voluntaria y a otros cuando concurran los requisitos del artículo 29.</w:t>
      </w:r>
    </w:p>
    <w:p>
      <w:pPr>
        <w:pStyle w:val="Heading2"/>
        <w:keepNext/>
      </w:pPr>
      <w:r>
        <w:rPr>
          <w:rFonts w:ascii="Arial" w:hAnsi="Arial" w:cs="Arial"/>
          <w:sz w:val="25"/>
        </w:rPr>
        <w:t>8.4. Competencias propias municipales</w:t>
      </w:r>
    </w:p>
    <w:p>
      <w:pPr>
        <w:jc w:val="both"/>
      </w:pPr>
      <w:r>
        <w:rPr>
          <w:rFonts w:ascii="Arial" w:hAnsi="Arial" w:cs="Arial"/>
          <w:sz w:val="22"/>
        </w:rPr>
        <w:t>El artículo 25.2 enuncia materias en las que el municipio ejercerá competencias propias en los términos de la legislación estatal y autonómica:</w:t>
      </w:r>
    </w:p>
    <w:p>
      <w:pPr>
        <w:pStyle w:val="ListBullet"/>
      </w:pPr>
      <w:r>
        <w:rPr>
          <w:rFonts w:ascii="Arial" w:hAnsi="Arial" w:cs="Arial"/>
          <w:sz w:val="22"/>
        </w:rPr>
        <w:t>Urbanismo, patrimonio histórico, vivienda pública y conservación de edificios.</w:t>
      </w:r>
    </w:p>
    <w:p>
      <w:pPr>
        <w:pStyle w:val="ListBullet"/>
      </w:pPr>
      <w:r>
        <w:rPr>
          <w:rFonts w:ascii="Arial" w:hAnsi="Arial" w:cs="Arial"/>
          <w:sz w:val="22"/>
        </w:rPr>
        <w:t>Medio ambiente urbano, parques, residuos y contaminación.</w:t>
      </w:r>
    </w:p>
    <w:p>
      <w:pPr>
        <w:pStyle w:val="ListBullet"/>
      </w:pPr>
      <w:r>
        <w:rPr>
          <w:rFonts w:ascii="Arial" w:hAnsi="Arial" w:cs="Arial"/>
          <w:sz w:val="22"/>
        </w:rPr>
        <w:t>Agua potable, alcantarillado y tratamiento de aguas residuales.</w:t>
      </w:r>
    </w:p>
    <w:p>
      <w:pPr>
        <w:pStyle w:val="ListBullet"/>
      </w:pPr>
      <w:r>
        <w:rPr>
          <w:rFonts w:ascii="Arial" w:hAnsi="Arial" w:cs="Arial"/>
          <w:sz w:val="22"/>
        </w:rPr>
        <w:t>Infraestructura viaria y equipamientos.</w:t>
      </w:r>
    </w:p>
    <w:p>
      <w:pPr>
        <w:pStyle w:val="ListBullet"/>
      </w:pPr>
      <w:r>
        <w:rPr>
          <w:rFonts w:ascii="Arial" w:hAnsi="Arial" w:cs="Arial"/>
          <w:sz w:val="22"/>
        </w:rPr>
        <w:t>Atención inmediata ante necesidad o riesgo de exclusión social.</w:t>
      </w:r>
    </w:p>
    <w:p>
      <w:pPr>
        <w:pStyle w:val="ListBullet"/>
      </w:pPr>
      <w:r>
        <w:rPr>
          <w:rFonts w:ascii="Arial" w:hAnsi="Arial" w:cs="Arial"/>
          <w:sz w:val="22"/>
        </w:rPr>
        <w:t>Policía local, protección civil y prevención y extinción de incendios.</w:t>
      </w:r>
    </w:p>
    <w:p>
      <w:pPr>
        <w:pStyle w:val="ListBullet"/>
      </w:pPr>
      <w:r>
        <w:rPr>
          <w:rFonts w:ascii="Arial" w:hAnsi="Arial" w:cs="Arial"/>
          <w:sz w:val="22"/>
        </w:rPr>
        <w:t>Tráfico, estacionamiento, movilidad y transporte colectivo urbano.</w:t>
      </w:r>
    </w:p>
    <w:p>
      <w:pPr>
        <w:pStyle w:val="ListBullet"/>
      </w:pPr>
      <w:r>
        <w:rPr>
          <w:rFonts w:ascii="Arial" w:hAnsi="Arial" w:cs="Arial"/>
          <w:sz w:val="22"/>
        </w:rPr>
        <w:t>Turismo local.</w:t>
      </w:r>
    </w:p>
    <w:p>
      <w:pPr>
        <w:pStyle w:val="ListBullet"/>
      </w:pPr>
      <w:r>
        <w:rPr>
          <w:rFonts w:ascii="Arial" w:hAnsi="Arial" w:cs="Arial"/>
          <w:sz w:val="22"/>
        </w:rPr>
        <w:t>Ferias, mercados, lonjas y comercio ambulante.</w:t>
      </w:r>
    </w:p>
    <w:p>
      <w:pPr>
        <w:pStyle w:val="ListBullet"/>
      </w:pPr>
      <w:r>
        <w:rPr>
          <w:rFonts w:ascii="Arial" w:hAnsi="Arial" w:cs="Arial"/>
          <w:sz w:val="22"/>
        </w:rPr>
        <w:t>Salubridad pública.</w:t>
      </w:r>
    </w:p>
    <w:p>
      <w:pPr>
        <w:pStyle w:val="ListBullet"/>
      </w:pPr>
      <w:r>
        <w:rPr>
          <w:rFonts w:ascii="Arial" w:hAnsi="Arial" w:cs="Arial"/>
          <w:sz w:val="22"/>
        </w:rPr>
        <w:t>Cementerios y actividades funerarias.</w:t>
      </w:r>
    </w:p>
    <w:p>
      <w:pPr>
        <w:pStyle w:val="ListBullet"/>
      </w:pPr>
      <w:r>
        <w:rPr>
          <w:rFonts w:ascii="Arial" w:hAnsi="Arial" w:cs="Arial"/>
          <w:sz w:val="22"/>
        </w:rPr>
        <w:t>Deporte, instalaciones y ocio.</w:t>
      </w:r>
    </w:p>
    <w:p>
      <w:pPr>
        <w:pStyle w:val="ListBullet"/>
      </w:pPr>
      <w:r>
        <w:rPr>
          <w:rFonts w:ascii="Arial" w:hAnsi="Arial" w:cs="Arial"/>
          <w:sz w:val="22"/>
        </w:rPr>
        <w:t>Cultura y equipamientos culturales.</w:t>
      </w:r>
    </w:p>
    <w:p>
      <w:pPr>
        <w:pStyle w:val="ListBullet"/>
      </w:pPr>
      <w:r>
        <w:rPr>
          <w:rFonts w:ascii="Arial" w:hAnsi="Arial" w:cs="Arial"/>
          <w:sz w:val="22"/>
        </w:rPr>
        <w:t>Cooperación en escolaridad obligatoria, solares y conservación de determinados centros públicos.</w:t>
      </w:r>
    </w:p>
    <w:p>
      <w:pPr>
        <w:pStyle w:val="ListBullet"/>
      </w:pPr>
      <w:r>
        <w:rPr>
          <w:rFonts w:ascii="Arial" w:hAnsi="Arial" w:cs="Arial"/>
          <w:sz w:val="22"/>
        </w:rPr>
        <w:t>Participación ciudadana en el uso eficiente y sostenible de tecnologías de la información.</w:t>
      </w:r>
    </w:p>
    <w:p>
      <w:pPr>
        <w:pStyle w:val="ListBullet"/>
      </w:pPr>
      <w:r>
        <w:rPr>
          <w:rFonts w:ascii="Arial" w:hAnsi="Arial" w:cs="Arial"/>
          <w:sz w:val="22"/>
        </w:rPr>
        <w:t>Igualdad entre mujeres y hombres y lucha contra la violencia de género.</w:t>
      </w:r>
    </w:p>
    <w:p>
      <w:pPr>
        <w:jc w:val="both"/>
      </w:pPr>
      <w:r>
        <w:rPr>
          <w:rFonts w:ascii="Arial" w:hAnsi="Arial" w:cs="Arial"/>
          <w:b/>
          <w:sz w:val="22"/>
        </w:rPr>
        <w:t>Novedad de 2026:</w:t>
      </w:r>
      <w:r>
        <w:rPr>
          <w:rFonts w:ascii="Arial" w:hAnsi="Arial" w:cs="Arial"/>
          <w:sz w:val="22"/>
        </w:rPr>
        <w:t xml:space="preserve"> el Real Decreto-ley 7/2026 añadió la letra p), vigente desde el 22 de marzo. Incluye la promoción y participación en comunidades ciudadanas de energía y comunidades de energías renovables, y el impulso de eficiencia energética, electrificación y autoconsumo. Es una materia municipal propia, pero su ejercicio concreto sigue sujeto a la legislación sectorial.</w:t>
      </w:r>
    </w:p>
    <w:p>
      <w:pPr>
        <w:jc w:val="both"/>
      </w:pPr>
      <w:r>
        <w:rPr>
          <w:rFonts w:ascii="Arial" w:hAnsi="Arial" w:cs="Arial"/>
          <w:sz w:val="22"/>
        </w:rPr>
        <w:t>La ley que atribuya una competencia debe valorar descentralización, eficiencia, estabilidad y sostenibilidad, incluir memoria económica, asegurar recursos y evitar atribución simultánea. Desde 2023 debe ponderar específicamente la capacidad de gestión local conforme al principio de diferenciación.</w:t>
      </w:r>
    </w:p>
    <w:p>
      <w:pPr>
        <w:pStyle w:val="Heading2"/>
        <w:keepNext/>
      </w:pPr>
      <w:r>
        <w:rPr>
          <w:rFonts w:ascii="Arial" w:hAnsi="Arial" w:cs="Arial"/>
          <w:sz w:val="25"/>
        </w:rPr>
        <w:t>8.5. Servicios mínimos obligatorios</w:t>
      </w:r>
    </w:p>
    <w:p>
      <w:pPr>
        <w:jc w:val="both"/>
      </w:pPr>
      <w:r>
        <w:rPr>
          <w:rFonts w:ascii="Arial" w:hAnsi="Arial" w:cs="Arial"/>
          <w:sz w:val="22"/>
        </w:rPr>
        <w:t>Las materias del artículo 25 no coinciden con los servicios obligatorios del artículo 26:</w:t>
      </w:r>
    </w:p>
    <w:tbl>
      <w:tblPr>
        <w:tblStyle w:val="TableGrid"/>
        <w:tblW w:type="dxa" w:w="9026"/>
        <w:jc w:val="left"/>
        <w:tblLayout w:type="fixed"/>
        <w:tblLook w:firstColumn="1" w:firstRow="1" w:lastColumn="0" w:lastRow="0" w:noHBand="0" w:noVBand="1" w:val="04A0"/>
        <w:tblInd w:w="120" w:type="dxa"/>
      </w:tblPr>
      <w:tblGrid>
        <w:gridCol w:w="2083"/>
        <w:gridCol w:w="6943"/>
      </w:tblGrid>
      <w:tr>
        <w:trPr>
          <w:tblHeader w:val="true"/>
        </w:trPr>
        <w:tc>
          <w:tcPr>
            <w:tcW w:type="dxa" w:w="20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Población</w:t>
            </w:r>
          </w:p>
        </w:tc>
        <w:tc>
          <w:tcPr>
            <w:tcW w:type="dxa" w:w="694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Servicios que se añaden</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Todos los municipios</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Alumbrado, cementerio, recogida de residuos, limpieza viaria, agua potable, alcantarillado, acceso a núcleos y pavimentación</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Más de 5.000</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Parque público, biblioteca pública y tratamiento de residuos</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Más de 20.000</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civil, evaluación e información de necesidad social y atención inmediata a exclusión, incendios e instalaciones deportivas públicas</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Más de 50.000</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Transporte colectivo urbano de viajeros y medio ambiente urbano</w:t>
            </w:r>
          </w:p>
        </w:tc>
      </w:tr>
    </w:tbl>
    <w:p>
      <w:pPr>
        <w:spacing w:after="40"/>
      </w:pPr>
    </w:p>
    <w:p>
      <w:pPr>
        <w:jc w:val="both"/>
      </w:pPr>
      <w:r>
        <w:rPr>
          <w:rFonts w:ascii="Arial" w:hAnsi="Arial" w:cs="Arial"/>
          <w:sz w:val="22"/>
        </w:rPr>
        <w:t>En municipios de menos de 20.000 habitantes la Diputación o entidad equivalente coordina recogida y tratamiento de residuos, agua y aguas residuales, limpieza, acceso, pavimentación y alumbrado. La fórmula de prestación requiere conformidad de los municipios afectados; deben tenerse presentes los incisos anulados por la STC 111/2016. Coordinación no significa sustitución automática del municipio.</w:t>
      </w:r>
    </w:p>
    <w:p>
      <w:pPr>
        <w:jc w:val="both"/>
      </w:pPr>
      <w:r>
        <w:rPr>
          <w:rFonts w:ascii="Arial" w:hAnsi="Arial" w:cs="Arial"/>
          <w:sz w:val="22"/>
        </w:rPr>
        <w:t>La delegación estatal o autonómica debe mejorar eficiencia, evitar duplicidades, determinar alcance, condiciones y control, durar al menos cinco años, ser aceptada por el municipio y venir acompañada de financiación suficiente. Sin dotación presupuestaria adecuada, la delegación es nula.</w:t>
      </w:r>
    </w:p>
    <w:p>
      <w:pPr>
        <w:pStyle w:val="Heading1"/>
        <w:keepNext/>
      </w:pPr>
      <w:r>
        <w:rPr>
          <w:rFonts w:ascii="Arial" w:hAnsi="Arial" w:cs="Arial"/>
          <w:sz w:val="30"/>
        </w:rPr>
        <w:t>9. La provincia</w:t>
      </w:r>
    </w:p>
    <w:p>
      <w:pPr>
        <w:pStyle w:val="Heading2"/>
        <w:keepNext/>
      </w:pPr>
      <w:r>
        <w:rPr>
          <w:rFonts w:ascii="Arial" w:hAnsi="Arial" w:cs="Arial"/>
          <w:sz w:val="25"/>
        </w:rPr>
        <w:t>9.1. Doble dimensión constitucional</w:t>
      </w:r>
    </w:p>
    <w:p>
      <w:pPr>
        <w:jc w:val="both"/>
      </w:pPr>
      <w:r>
        <w:rPr>
          <w:rFonts w:ascii="Arial" w:hAnsi="Arial" w:cs="Arial"/>
          <w:sz w:val="22"/>
        </w:rPr>
        <w:t>La provincia es:</w:t>
      </w:r>
    </w:p>
    <w:p>
      <w:pPr>
        <w:spacing w:after="40"/>
        <w:ind w:left="369" w:hanging="227"/>
      </w:pPr>
      <w:r>
        <w:rPr>
          <w:rFonts w:ascii="Arial" w:hAnsi="Arial" w:cs="Arial"/>
          <w:sz w:val="22"/>
        </w:rPr>
        <w:t>1. Una entidad local con personalidad jurídica propia, determinada por la agrupación de municipios.</w:t>
      </w:r>
    </w:p>
    <w:p>
      <w:pPr>
        <w:spacing w:after="40"/>
        <w:ind w:left="369" w:hanging="227"/>
      </w:pPr>
      <w:r>
        <w:rPr>
          <w:rFonts w:ascii="Arial" w:hAnsi="Arial" w:cs="Arial"/>
          <w:sz w:val="22"/>
        </w:rPr>
        <w:t>2. Una división territorial para el cumplimiento de actividades del Estado.</w:t>
      </w:r>
    </w:p>
    <w:p>
      <w:pPr>
        <w:jc w:val="both"/>
      </w:pPr>
      <w:r>
        <w:rPr>
          <w:rFonts w:ascii="Arial" w:hAnsi="Arial" w:cs="Arial"/>
          <w:sz w:val="22"/>
        </w:rPr>
        <w:t xml:space="preserve">Cualquier alteración de límites provinciales debe aprobarse por las Cortes Generales mediante </w:t>
      </w:r>
      <w:r>
        <w:rPr>
          <w:rFonts w:ascii="Arial" w:hAnsi="Arial" w:cs="Arial"/>
          <w:b/>
          <w:sz w:val="22"/>
        </w:rPr>
        <w:t>ley orgánica</w:t>
      </w:r>
      <w:r>
        <w:rPr>
          <w:rFonts w:ascii="Arial" w:hAnsi="Arial" w:cs="Arial"/>
          <w:sz w:val="22"/>
        </w:rPr>
        <w:t>. El gobierno y administración autónoma corresponden a Diputaciones u otras corporaciones representativas.</w:t>
      </w:r>
    </w:p>
    <w:p>
      <w:pPr>
        <w:jc w:val="both"/>
      </w:pPr>
      <w:r>
        <w:rPr>
          <w:rFonts w:ascii="Arial" w:hAnsi="Arial" w:cs="Arial"/>
          <w:sz w:val="22"/>
        </w:rPr>
        <w:t>Sus fines son garantizar solidaridad y equilibrio intermunicipales, asegurar la prestación integral y adecuada de servicios municipales y participar en la coordinación de la Administración local con Comunidad y Estado.</w:t>
      </w:r>
    </w:p>
    <w:p>
      <w:pPr>
        <w:pStyle w:val="Heading2"/>
        <w:keepNext/>
      </w:pPr>
      <w:r>
        <w:rPr>
          <w:rFonts w:ascii="Arial" w:hAnsi="Arial" w:cs="Arial"/>
          <w:sz w:val="25"/>
        </w:rPr>
        <w:t>9.2. Organización provincial</w:t>
      </w:r>
    </w:p>
    <w:p>
      <w:pPr>
        <w:jc w:val="both"/>
      </w:pPr>
      <w:r>
        <w:rPr>
          <w:rFonts w:ascii="Arial" w:hAnsi="Arial" w:cs="Arial"/>
          <w:sz w:val="22"/>
        </w:rPr>
        <w:t>En todas las Diputaciones existen:</w:t>
      </w:r>
    </w:p>
    <w:p>
      <w:pPr>
        <w:pStyle w:val="ListBullet"/>
      </w:pPr>
      <w:r>
        <w:rPr>
          <w:rFonts w:ascii="Arial" w:hAnsi="Arial" w:cs="Arial"/>
          <w:sz w:val="22"/>
        </w:rPr>
        <w:t>Presidente.</w:t>
      </w:r>
    </w:p>
    <w:p>
      <w:pPr>
        <w:pStyle w:val="ListBullet"/>
      </w:pPr>
      <w:r>
        <w:rPr>
          <w:rFonts w:ascii="Arial" w:hAnsi="Arial" w:cs="Arial"/>
          <w:sz w:val="22"/>
        </w:rPr>
        <w:t>Vicepresidentes.</w:t>
      </w:r>
    </w:p>
    <w:p>
      <w:pPr>
        <w:pStyle w:val="ListBullet"/>
      </w:pPr>
      <w:r>
        <w:rPr>
          <w:rFonts w:ascii="Arial" w:hAnsi="Arial" w:cs="Arial"/>
          <w:sz w:val="22"/>
        </w:rPr>
        <w:t>Junta de Gobierno.</w:t>
      </w:r>
    </w:p>
    <w:p>
      <w:pPr>
        <w:pStyle w:val="ListBullet"/>
      </w:pPr>
      <w:r>
        <w:rPr>
          <w:rFonts w:ascii="Arial" w:hAnsi="Arial" w:cs="Arial"/>
          <w:sz w:val="22"/>
        </w:rPr>
        <w:t>Pleno.</w:t>
      </w:r>
    </w:p>
    <w:p>
      <w:pPr>
        <w:pStyle w:val="ListBullet"/>
      </w:pPr>
      <w:r>
        <w:rPr>
          <w:rFonts w:ascii="Arial" w:hAnsi="Arial" w:cs="Arial"/>
          <w:sz w:val="22"/>
        </w:rPr>
        <w:t>Órganos de estudio, informe, consulta y seguimiento, salvo forma autonómica diferente.</w:t>
      </w:r>
    </w:p>
    <w:p>
      <w:pPr>
        <w:pStyle w:val="ListBullet"/>
      </w:pPr>
      <w:r>
        <w:rPr>
          <w:rFonts w:ascii="Arial" w:hAnsi="Arial" w:cs="Arial"/>
          <w:sz w:val="22"/>
        </w:rPr>
        <w:t>Comisión Especial de Cuentas por aplicación del régimen local.</w:t>
      </w:r>
    </w:p>
    <w:p>
      <w:pPr>
        <w:jc w:val="both"/>
      </w:pPr>
      <w:r>
        <w:rPr>
          <w:rFonts w:ascii="Arial" w:hAnsi="Arial" w:cs="Arial"/>
          <w:sz w:val="22"/>
        </w:rPr>
        <w:t>El Pleno está compuesto por presidente y diputados provinciales. Los diputados son elegidos indirectamente por los concejales de los partidos judiciales, conforme a la legislación electoral. El Pleno aprueba organización, ordenanzas, presupuestos y planes provinciales y controla al gobierno.</w:t>
      </w:r>
    </w:p>
    <w:p>
      <w:pPr>
        <w:jc w:val="both"/>
      </w:pPr>
      <w:r>
        <w:rPr>
          <w:rFonts w:ascii="Arial" w:hAnsi="Arial" w:cs="Arial"/>
          <w:sz w:val="22"/>
        </w:rPr>
        <w:t>El presidente dirige y representa la Diputación, convoca sus órganos, impulsa servicios y ejerce la jefatura superior de personal. La Junta de Gobierno, integrada por el presidente y un máximo de un tercio de los diputados, lo asiste y ejerce delegaciones. Los vicepresidentes lo sustituyen según el orden de nombramiento.</w:t>
      </w:r>
    </w:p>
    <w:p>
      <w:pPr>
        <w:pStyle w:val="Heading2"/>
        <w:keepNext/>
      </w:pPr>
      <w:r>
        <w:rPr>
          <w:rFonts w:ascii="Arial" w:hAnsi="Arial" w:cs="Arial"/>
          <w:sz w:val="25"/>
        </w:rPr>
        <w:t>9.3. Competencias provinciales</w:t>
      </w:r>
    </w:p>
    <w:p>
      <w:pPr>
        <w:jc w:val="both"/>
      </w:pPr>
      <w:r>
        <w:rPr>
          <w:rFonts w:ascii="Arial" w:hAnsi="Arial" w:cs="Arial"/>
          <w:sz w:val="22"/>
        </w:rPr>
        <w:t>El artículo 36 atribuye, entre otras, las siguientes competencias propias:</w:t>
      </w:r>
    </w:p>
    <w:p>
      <w:pPr>
        <w:pStyle w:val="ListBullet"/>
      </w:pPr>
      <w:r>
        <w:rPr>
          <w:rFonts w:ascii="Arial" w:hAnsi="Arial" w:cs="Arial"/>
          <w:sz w:val="22"/>
        </w:rPr>
        <w:t>Coordinar servicios municipales para asegurar prestación integral.</w:t>
      </w:r>
    </w:p>
    <w:p>
      <w:pPr>
        <w:pStyle w:val="ListBullet"/>
      </w:pPr>
      <w:r>
        <w:rPr>
          <w:rFonts w:ascii="Arial" w:hAnsi="Arial" w:cs="Arial"/>
          <w:sz w:val="22"/>
        </w:rPr>
        <w:t>Prestar asistencia jurídica, económica y técnica, especialmente a municipios de menor capacidad.</w:t>
      </w:r>
    </w:p>
    <w:p>
      <w:pPr>
        <w:pStyle w:val="ListBullet"/>
      </w:pPr>
      <w:r>
        <w:rPr>
          <w:rFonts w:ascii="Arial" w:hAnsi="Arial" w:cs="Arial"/>
          <w:sz w:val="22"/>
        </w:rPr>
        <w:t>Garantizar secretaría e intervención en municipios de menos de 1.000 habitantes.</w:t>
      </w:r>
    </w:p>
    <w:p>
      <w:pPr>
        <w:pStyle w:val="ListBullet"/>
      </w:pPr>
      <w:r>
        <w:rPr>
          <w:rFonts w:ascii="Arial" w:hAnsi="Arial" w:cs="Arial"/>
          <w:sz w:val="22"/>
        </w:rPr>
        <w:t>Prestar servicios supramunicipales y coordinar prestación unificada.</w:t>
      </w:r>
    </w:p>
    <w:p>
      <w:pPr>
        <w:pStyle w:val="ListBullet"/>
      </w:pPr>
      <w:r>
        <w:rPr>
          <w:rFonts w:ascii="Arial" w:hAnsi="Arial" w:cs="Arial"/>
          <w:sz w:val="22"/>
        </w:rPr>
        <w:t>Asumir tratamiento de residuos en municipios de menos de 5.000 habitantes y prevención y extinción de incendios en los de menos de 20.000 cuando estos no los presten.</w:t>
      </w:r>
    </w:p>
    <w:p>
      <w:pPr>
        <w:pStyle w:val="ListBullet"/>
      </w:pPr>
      <w:r>
        <w:rPr>
          <w:rFonts w:ascii="Arial" w:hAnsi="Arial" w:cs="Arial"/>
          <w:sz w:val="22"/>
        </w:rPr>
        <w:t>Cooperar en desarrollo económico y social y planificación provincial.</w:t>
      </w:r>
    </w:p>
    <w:p>
      <w:pPr>
        <w:pStyle w:val="ListBullet"/>
      </w:pPr>
      <w:r>
        <w:rPr>
          <w:rFonts w:ascii="Arial" w:hAnsi="Arial" w:cs="Arial"/>
          <w:sz w:val="22"/>
        </w:rPr>
        <w:t>Apoyar recaudación y gestión financiera de municipios de menos de 20.000.</w:t>
      </w:r>
    </w:p>
    <w:p>
      <w:pPr>
        <w:pStyle w:val="ListBullet"/>
      </w:pPr>
      <w:r>
        <w:rPr>
          <w:rFonts w:ascii="Arial" w:hAnsi="Arial" w:cs="Arial"/>
          <w:sz w:val="22"/>
        </w:rPr>
        <w:t>Prestar administración electrónica y contratación centralizada a municipios de menos de 20.000.</w:t>
      </w:r>
    </w:p>
    <w:p>
      <w:pPr>
        <w:pStyle w:val="ListBullet"/>
      </w:pPr>
      <w:r>
        <w:rPr>
          <w:rFonts w:ascii="Arial" w:hAnsi="Arial" w:cs="Arial"/>
          <w:sz w:val="22"/>
        </w:rPr>
        <w:t>Seguir costes efectivos y ofrecer fórmulas de gestión coordinada eficiente.</w:t>
      </w:r>
    </w:p>
    <w:p>
      <w:pPr>
        <w:pStyle w:val="ListBullet"/>
      </w:pPr>
      <w:r>
        <w:rPr>
          <w:rFonts w:ascii="Arial" w:hAnsi="Arial" w:cs="Arial"/>
          <w:sz w:val="22"/>
        </w:rPr>
        <w:t>Coordinar por convenio el mantenimiento y limpieza de consultorios médicos en municipios de menos de 5.000.</w:t>
      </w:r>
    </w:p>
    <w:p>
      <w:pPr>
        <w:jc w:val="both"/>
      </w:pPr>
      <w:r>
        <w:rPr>
          <w:rFonts w:ascii="Arial" w:hAnsi="Arial" w:cs="Arial"/>
          <w:sz w:val="22"/>
        </w:rPr>
        <w:t>La Diputación aprueba anualmente un plan provincial de cooperación a obras y servicios municipales con participación de los municipios y criterios objetivos y equitativos. También asegura acceso a los servicios mínimos, apoya selección y formación de personal y puede asumir trámites o actividades que los ayuntamientos le encomienden.</w:t>
      </w:r>
    </w:p>
    <w:p>
      <w:pPr>
        <w:pStyle w:val="Heading2"/>
        <w:keepNext/>
      </w:pPr>
      <w:r>
        <w:rPr>
          <w:rFonts w:ascii="Arial" w:hAnsi="Arial" w:cs="Arial"/>
          <w:sz w:val="25"/>
        </w:rPr>
        <w:t>9.4. Regímenes especiales</w:t>
      </w:r>
    </w:p>
    <w:p>
      <w:pPr>
        <w:jc w:val="both"/>
      </w:pPr>
      <w:r>
        <w:rPr>
          <w:rFonts w:ascii="Arial" w:hAnsi="Arial" w:cs="Arial"/>
          <w:sz w:val="22"/>
        </w:rPr>
        <w:t>No en todo el territorio existe una Diputación provincial ordinaria:</w:t>
      </w:r>
    </w:p>
    <w:tbl>
      <w:tblPr>
        <w:tblStyle w:val="TableGrid"/>
        <w:tblW w:type="dxa" w:w="9026"/>
        <w:jc w:val="left"/>
        <w:tblLayout w:type="fixed"/>
        <w:tblLook w:firstColumn="1" w:firstRow="1" w:lastColumn="0" w:lastRow="0" w:noHBand="0" w:noVBand="1" w:val="04A0"/>
        <w:tblInd w:w="120" w:type="dxa"/>
      </w:tblPr>
      <w:tblGrid>
        <w:gridCol w:w="3265"/>
        <w:gridCol w:w="5761"/>
      </w:tblGrid>
      <w:tr>
        <w:trPr>
          <w:tblHeader w:val="true"/>
        </w:trPr>
        <w:tc>
          <w:tcPr>
            <w:tcW w:type="dxa" w:w="326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Territorio</w:t>
            </w:r>
          </w:p>
        </w:tc>
        <w:tc>
          <w:tcPr>
            <w:tcW w:type="dxa" w:w="576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Régimen</w:t>
            </w:r>
          </w:p>
        </w:tc>
      </w:tr>
      <w:tr>
        <w:tc>
          <w:tcPr>
            <w:tcW w:type="dxa" w:w="3265"/>
            <w:tcMar>
              <w:top w:w="80" w:type="dxa"/>
              <w:start w:w="120" w:type="dxa"/>
              <w:bottom w:w="80" w:type="dxa"/>
              <w:end w:w="120" w:type="dxa"/>
            </w:tcMar>
            <w:vAlign w:val="center"/>
          </w:tcPr>
          <w:p>
            <w:pPr>
              <w:spacing w:before="0" w:after="0" w:line="240" w:lineRule="auto"/>
              <w:jc w:val="left"/>
            </w:pPr>
            <w:r/>
            <w:r>
              <w:rPr>
                <w:rFonts w:ascii="Arial" w:hAnsi="Arial" w:cs="Arial"/>
                <w:sz w:val="18"/>
              </w:rPr>
              <w:t>Comunidades uniprovinciales y Navarra</w:t>
            </w:r>
          </w:p>
        </w:tc>
        <w:tc>
          <w:tcPr>
            <w:tcW w:type="dxa" w:w="5761"/>
            <w:tcMar>
              <w:top w:w="80" w:type="dxa"/>
              <w:start w:w="120" w:type="dxa"/>
              <w:bottom w:w="80" w:type="dxa"/>
              <w:end w:w="120" w:type="dxa"/>
            </w:tcMar>
            <w:vAlign w:val="center"/>
          </w:tcPr>
          <w:p>
            <w:pPr>
              <w:spacing w:before="0" w:after="0" w:line="240" w:lineRule="auto"/>
              <w:jc w:val="left"/>
            </w:pPr>
            <w:r/>
            <w:r>
              <w:rPr>
                <w:rFonts w:ascii="Arial" w:hAnsi="Arial" w:cs="Arial"/>
                <w:sz w:val="18"/>
              </w:rPr>
              <w:t>La Comunidad asume competencias, medios y recursos de la Diputación; excepción balear según Estatuto</w:t>
            </w:r>
          </w:p>
        </w:tc>
      </w:tr>
      <w:tr>
        <w:tc>
          <w:tcPr>
            <w:tcW w:type="dxa" w:w="3265"/>
            <w:tcMar>
              <w:top w:w="80" w:type="dxa"/>
              <w:start w:w="120" w:type="dxa"/>
              <w:bottom w:w="80" w:type="dxa"/>
              <w:end w:w="120" w:type="dxa"/>
            </w:tcMar>
            <w:vAlign w:val="center"/>
          </w:tcPr>
          <w:p>
            <w:pPr>
              <w:spacing w:before="0" w:after="0" w:line="240" w:lineRule="auto"/>
              <w:jc w:val="left"/>
            </w:pPr>
            <w:r/>
            <w:r>
              <w:rPr>
                <w:rFonts w:ascii="Arial" w:hAnsi="Arial" w:cs="Arial"/>
                <w:sz w:val="18"/>
              </w:rPr>
              <w:t>Álava, Gipuzkoa y Bizkaia</w:t>
            </w:r>
          </w:p>
        </w:tc>
        <w:tc>
          <w:tcPr>
            <w:tcW w:type="dxa" w:w="5761"/>
            <w:tcMar>
              <w:top w:w="80" w:type="dxa"/>
              <w:start w:w="120" w:type="dxa"/>
              <w:bottom w:w="80" w:type="dxa"/>
              <w:end w:w="120" w:type="dxa"/>
            </w:tcMar>
            <w:vAlign w:val="center"/>
          </w:tcPr>
          <w:p>
            <w:pPr>
              <w:spacing w:before="0" w:after="0" w:line="240" w:lineRule="auto"/>
              <w:jc w:val="left"/>
            </w:pPr>
            <w:r/>
            <w:r>
              <w:rPr>
                <w:rFonts w:ascii="Arial" w:hAnsi="Arial" w:cs="Arial"/>
                <w:sz w:val="18"/>
              </w:rPr>
              <w:t>Órganos forales conservan régimen peculiar; LBRL supletoria</w:t>
            </w:r>
          </w:p>
        </w:tc>
      </w:tr>
      <w:tr>
        <w:tc>
          <w:tcPr>
            <w:tcW w:type="dxa" w:w="3265"/>
            <w:tcMar>
              <w:top w:w="80" w:type="dxa"/>
              <w:start w:w="120" w:type="dxa"/>
              <w:bottom w:w="80" w:type="dxa"/>
              <w:end w:w="120" w:type="dxa"/>
            </w:tcMar>
            <w:vAlign w:val="center"/>
          </w:tcPr>
          <w:p>
            <w:pPr>
              <w:spacing w:before="0" w:after="0" w:line="240" w:lineRule="auto"/>
              <w:jc w:val="left"/>
            </w:pPr>
            <w:r/>
            <w:r>
              <w:rPr>
                <w:rFonts w:ascii="Arial" w:hAnsi="Arial" w:cs="Arial"/>
                <w:sz w:val="18"/>
              </w:rPr>
              <w:t>Canarias</w:t>
            </w:r>
          </w:p>
        </w:tc>
        <w:tc>
          <w:tcPr>
            <w:tcW w:type="dxa" w:w="5761"/>
            <w:tcMar>
              <w:top w:w="80" w:type="dxa"/>
              <w:start w:w="120" w:type="dxa"/>
              <w:bottom w:w="80" w:type="dxa"/>
              <w:end w:w="120" w:type="dxa"/>
            </w:tcMar>
            <w:vAlign w:val="center"/>
          </w:tcPr>
          <w:p>
            <w:pPr>
              <w:spacing w:before="0" w:after="0" w:line="240" w:lineRule="auto"/>
              <w:jc w:val="left"/>
            </w:pPr>
            <w:r/>
            <w:r>
              <w:rPr>
                <w:rFonts w:ascii="Arial" w:hAnsi="Arial" w:cs="Arial"/>
                <w:sz w:val="18"/>
              </w:rPr>
              <w:t>Cabildos gobiernan las islas; subsisten mancomunidades interinsulares como representación provincial</w:t>
            </w:r>
          </w:p>
        </w:tc>
      </w:tr>
      <w:tr>
        <w:tc>
          <w:tcPr>
            <w:tcW w:type="dxa" w:w="3265"/>
            <w:tcMar>
              <w:top w:w="80" w:type="dxa"/>
              <w:start w:w="120" w:type="dxa"/>
              <w:bottom w:w="80" w:type="dxa"/>
              <w:end w:w="120" w:type="dxa"/>
            </w:tcMar>
            <w:vAlign w:val="center"/>
          </w:tcPr>
          <w:p>
            <w:pPr>
              <w:spacing w:before="0" w:after="0" w:line="240" w:lineRule="auto"/>
              <w:jc w:val="left"/>
            </w:pPr>
            <w:r/>
            <w:r>
              <w:rPr>
                <w:rFonts w:ascii="Arial" w:hAnsi="Arial" w:cs="Arial"/>
                <w:sz w:val="18"/>
              </w:rPr>
              <w:t>Illes Balears</w:t>
            </w:r>
          </w:p>
        </w:tc>
        <w:tc>
          <w:tcPr>
            <w:tcW w:type="dxa" w:w="5761"/>
            <w:tcMar>
              <w:top w:w="80" w:type="dxa"/>
              <w:start w:w="120" w:type="dxa"/>
              <w:bottom w:w="80" w:type="dxa"/>
              <w:end w:w="120" w:type="dxa"/>
            </w:tcMar>
            <w:vAlign w:val="center"/>
          </w:tcPr>
          <w:p>
            <w:pPr>
              <w:spacing w:before="0" w:after="0" w:line="240" w:lineRule="auto"/>
              <w:jc w:val="left"/>
            </w:pPr>
            <w:r/>
            <w:r>
              <w:rPr>
                <w:rFonts w:ascii="Arial" w:hAnsi="Arial" w:cs="Arial"/>
                <w:sz w:val="18"/>
              </w:rPr>
              <w:t>Consejos Insulares asumen competencias conforme a LBRL y Estatuto</w:t>
            </w:r>
          </w:p>
        </w:tc>
      </w:tr>
    </w:tbl>
    <w:p>
      <w:pPr>
        <w:spacing w:after="40"/>
      </w:pPr>
    </w:p>
    <w:p>
      <w:pPr>
        <w:jc w:val="both"/>
      </w:pPr>
      <w:r>
        <w:rPr>
          <w:rFonts w:ascii="Arial" w:hAnsi="Arial" w:cs="Arial"/>
          <w:sz w:val="22"/>
        </w:rPr>
        <w:t>La isla es además entidad local territorial en Baleares y Canarias y tiene administración propia en forma de Cabildo o Consejo. Provincia e isla no son conceptos intercambiables.</w:t>
      </w:r>
    </w:p>
    <w:p>
      <w:pPr>
        <w:pStyle w:val="Heading1"/>
        <w:keepNext/>
      </w:pPr>
      <w:r>
        <w:rPr>
          <w:rFonts w:ascii="Arial" w:hAnsi="Arial" w:cs="Arial"/>
          <w:sz w:val="30"/>
        </w:rPr>
        <w:t>10. Reforma constitucional de 2026: alcance territorial</w:t>
      </w:r>
    </w:p>
    <w:p>
      <w:pPr>
        <w:jc w:val="both"/>
      </w:pPr>
      <w:r>
        <w:rPr>
          <w:rFonts w:ascii="Arial" w:hAnsi="Arial" w:cs="Arial"/>
          <w:sz w:val="22"/>
        </w:rPr>
        <w:t xml:space="preserve">La reforma del artículo 69.3, publicada el 20 de mayo de 2026, separó las circunscripciones senatoriales de Ibiza y Formentera. Desde las primeras elecciones al Senado posteriores a la reforma, </w:t>
      </w:r>
      <w:r>
        <w:rPr>
          <w:rFonts w:ascii="Arial" w:hAnsi="Arial" w:cs="Arial"/>
          <w:b/>
          <w:sz w:val="22"/>
        </w:rPr>
        <w:t>Formentera elige un senador propio</w:t>
      </w:r>
      <w:r>
        <w:rPr>
          <w:rFonts w:ascii="Arial" w:hAnsi="Arial" w:cs="Arial"/>
          <w:sz w:val="22"/>
        </w:rPr>
        <w:t xml:space="preserve"> e Ibiza otro. Antes elegían conjuntamente uno.</w:t>
      </w:r>
    </w:p>
    <w:p>
      <w:pPr>
        <w:jc w:val="both"/>
      </w:pPr>
      <w:r>
        <w:rPr>
          <w:rFonts w:ascii="Arial" w:hAnsi="Arial" w:cs="Arial"/>
          <w:sz w:val="22"/>
        </w:rPr>
        <w:t>La redacción vigente asigna tres senadores a Gran Canaria, Mallorca y Tenerife, y uno a Ibiza, Formentera, Menorca, Fuerteventura, La Gomera, El Hierro, Lanzarote y La Palma.</w:t>
      </w:r>
    </w:p>
    <w:p>
      <w:pPr>
        <w:jc w:val="both"/>
      </w:pPr>
      <w:r>
        <w:rPr>
          <w:rFonts w:ascii="Arial" w:hAnsi="Arial" w:cs="Arial"/>
          <w:sz w:val="22"/>
        </w:rPr>
        <w:t>Debe acotarse su efecto:</w:t>
      </w:r>
    </w:p>
    <w:p>
      <w:pPr>
        <w:pStyle w:val="ListBullet"/>
      </w:pPr>
      <w:r>
        <w:rPr>
          <w:rFonts w:ascii="Arial" w:hAnsi="Arial" w:cs="Arial"/>
          <w:sz w:val="22"/>
        </w:rPr>
        <w:t>Afecta a la representación territorial en el Senado.</w:t>
      </w:r>
    </w:p>
    <w:p>
      <w:pPr>
        <w:pStyle w:val="ListBullet"/>
      </w:pPr>
      <w:r>
        <w:rPr>
          <w:rFonts w:ascii="Arial" w:hAnsi="Arial" w:cs="Arial"/>
          <w:sz w:val="22"/>
        </w:rPr>
        <w:t>No reforma el título VIII.</w:t>
      </w:r>
    </w:p>
    <w:p>
      <w:pPr>
        <w:pStyle w:val="ListBullet"/>
      </w:pPr>
      <w:r>
        <w:rPr>
          <w:rFonts w:ascii="Arial" w:hAnsi="Arial" w:cs="Arial"/>
          <w:sz w:val="22"/>
        </w:rPr>
        <w:t>No altera los artículos 137 a 158 ni las competencias Estado-Comunidades.</w:t>
      </w:r>
    </w:p>
    <w:p>
      <w:pPr>
        <w:pStyle w:val="ListBullet"/>
      </w:pPr>
      <w:r>
        <w:rPr>
          <w:rFonts w:ascii="Arial" w:hAnsi="Arial" w:cs="Arial"/>
          <w:sz w:val="22"/>
        </w:rPr>
        <w:t>No crea una provincia nueva.</w:t>
      </w:r>
    </w:p>
    <w:p>
      <w:pPr>
        <w:pStyle w:val="ListBullet"/>
      </w:pPr>
      <w:r>
        <w:rPr>
          <w:rFonts w:ascii="Arial" w:hAnsi="Arial" w:cs="Arial"/>
          <w:sz w:val="22"/>
        </w:rPr>
        <w:t>No modifica la condición de Formentera como isla con Consejo Insular.</w:t>
      </w:r>
    </w:p>
    <w:p>
      <w:pPr>
        <w:jc w:val="both"/>
      </w:pPr>
      <w:r>
        <w:rPr>
          <w:rFonts w:ascii="Arial" w:hAnsi="Arial" w:cs="Arial"/>
          <w:sz w:val="22"/>
        </w:rPr>
        <w:t>La Ley Orgánica 2/2026, de 30 de junio, adaptó la legislación electoral a la nueva circunscripción. La reforma es relevante para la organización territorial, pero no debe exagerarse su alcance.</w:t>
      </w:r>
    </w:p>
    <w:p>
      <w:pPr>
        <w:pStyle w:val="Heading1"/>
        <w:keepNext/>
      </w:pPr>
      <w:r>
        <w:rPr>
          <w:rFonts w:ascii="Arial" w:hAnsi="Arial" w:cs="Arial"/>
          <w:sz w:val="30"/>
        </w:rPr>
        <w:t>11. Cuadros de integración</w:t>
      </w:r>
    </w:p>
    <w:p>
      <w:pPr>
        <w:pStyle w:val="Heading2"/>
        <w:keepNext/>
      </w:pPr>
      <w:r>
        <w:rPr>
          <w:rFonts w:ascii="Arial" w:hAnsi="Arial" w:cs="Arial"/>
          <w:sz w:val="25"/>
        </w:rPr>
        <w:t>11.1. Municipio, provincia y Comunidad Autónoma</w:t>
      </w:r>
    </w:p>
    <w:tbl>
      <w:tblPr>
        <w:tblStyle w:val="TableGrid"/>
        <w:tblW w:type="dxa" w:w="9026"/>
        <w:jc w:val="left"/>
        <w:tblLayout w:type="fixed"/>
        <w:tblLook w:firstColumn="1" w:firstRow="1" w:lastColumn="0" w:lastRow="0" w:noHBand="0" w:noVBand="1" w:val="04A0"/>
        <w:tblInd w:w="120" w:type="dxa"/>
      </w:tblPr>
      <w:tblGrid>
        <w:gridCol w:w="2075"/>
        <w:gridCol w:w="1867"/>
        <w:gridCol w:w="2282"/>
        <w:gridCol w:w="2802"/>
      </w:tblGrid>
      <w:tr>
        <w:trPr>
          <w:tblHeader w:val="true"/>
        </w:trPr>
        <w:tc>
          <w:tcPr>
            <w:tcW w:type="dxa" w:w="20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Rasgo</w:t>
            </w:r>
          </w:p>
        </w:tc>
        <w:tc>
          <w:tcPr>
            <w:tcW w:type="dxa" w:w="186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Municipio</w:t>
            </w:r>
          </w:p>
        </w:tc>
        <w:tc>
          <w:tcPr>
            <w:tcW w:type="dxa" w:w="228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Provincia</w:t>
            </w:r>
          </w:p>
        </w:tc>
        <w:tc>
          <w:tcPr>
            <w:tcW w:type="dxa" w:w="280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Comunidad Autónoma</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Base constitucional</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Arts. 137 y 140</w:t>
            </w:r>
          </w:p>
        </w:tc>
        <w:tc>
          <w:tcPr>
            <w:tcW w:type="dxa" w:w="2282"/>
            <w:tcMar>
              <w:top w:w="80" w:type="dxa"/>
              <w:start w:w="120" w:type="dxa"/>
              <w:bottom w:w="80" w:type="dxa"/>
              <w:end w:w="120" w:type="dxa"/>
            </w:tcMar>
            <w:vAlign w:val="center"/>
          </w:tcPr>
          <w:p>
            <w:pPr>
              <w:spacing w:before="0" w:after="0" w:line="240" w:lineRule="auto"/>
              <w:jc w:val="center"/>
            </w:pPr>
            <w:r/>
            <w:r>
              <w:rPr>
                <w:rFonts w:ascii="Arial" w:hAnsi="Arial" w:cs="Arial"/>
                <w:sz w:val="18"/>
              </w:rPr>
              <w:t>Arts. 137 y 141</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Arts. 2, 137 y 143-158</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Personalidad</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Jurídica plena</w:t>
            </w:r>
          </w:p>
        </w:tc>
        <w:tc>
          <w:tcPr>
            <w:tcW w:type="dxa" w:w="2282"/>
            <w:tcMar>
              <w:top w:w="80" w:type="dxa"/>
              <w:start w:w="120" w:type="dxa"/>
              <w:bottom w:w="80" w:type="dxa"/>
              <w:end w:w="120" w:type="dxa"/>
            </w:tcMar>
            <w:vAlign w:val="center"/>
          </w:tcPr>
          <w:p>
            <w:pPr>
              <w:spacing w:before="0" w:after="0" w:line="240" w:lineRule="auto"/>
              <w:jc w:val="center"/>
            </w:pPr>
            <w:r/>
            <w:r>
              <w:rPr>
                <w:rFonts w:ascii="Arial" w:hAnsi="Arial" w:cs="Arial"/>
                <w:sz w:val="18"/>
              </w:rPr>
              <w:t>Jurídica propia</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Jurídica y autonomía política</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Autonomía</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Local</w:t>
            </w:r>
          </w:p>
        </w:tc>
        <w:tc>
          <w:tcPr>
            <w:tcW w:type="dxa" w:w="2282"/>
            <w:tcMar>
              <w:top w:w="80" w:type="dxa"/>
              <w:start w:w="120" w:type="dxa"/>
              <w:bottom w:w="80" w:type="dxa"/>
              <w:end w:w="120" w:type="dxa"/>
            </w:tcMar>
            <w:vAlign w:val="center"/>
          </w:tcPr>
          <w:p>
            <w:pPr>
              <w:spacing w:before="0" w:after="0" w:line="240" w:lineRule="auto"/>
              <w:jc w:val="center"/>
            </w:pPr>
            <w:r/>
            <w:r>
              <w:rPr>
                <w:rFonts w:ascii="Arial" w:hAnsi="Arial" w:cs="Arial"/>
                <w:sz w:val="18"/>
              </w:rPr>
              <w:t>Local</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Política y administrativa</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Órgano representativo</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Ayuntamiento</w:t>
            </w:r>
          </w:p>
        </w:tc>
        <w:tc>
          <w:tcPr>
            <w:tcW w:type="dxa" w:w="2282"/>
            <w:tcMar>
              <w:top w:w="80" w:type="dxa"/>
              <w:start w:w="120" w:type="dxa"/>
              <w:bottom w:w="80" w:type="dxa"/>
              <w:end w:w="120" w:type="dxa"/>
            </w:tcMar>
            <w:vAlign w:val="center"/>
          </w:tcPr>
          <w:p>
            <w:pPr>
              <w:spacing w:before="0" w:after="0" w:line="240" w:lineRule="auto"/>
              <w:jc w:val="left"/>
            </w:pPr>
            <w:r/>
            <w:r>
              <w:rPr>
                <w:rFonts w:ascii="Arial" w:hAnsi="Arial" w:cs="Arial"/>
                <w:sz w:val="18"/>
              </w:rPr>
              <w:t>Diputación u equivalente</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Asamblea legislativa</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Ejecutivo</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Alcalde/Junta</w:t>
            </w:r>
          </w:p>
        </w:tc>
        <w:tc>
          <w:tcPr>
            <w:tcW w:type="dxa" w:w="2282"/>
            <w:tcMar>
              <w:top w:w="80" w:type="dxa"/>
              <w:start w:w="120" w:type="dxa"/>
              <w:bottom w:w="80" w:type="dxa"/>
              <w:end w:w="120" w:type="dxa"/>
            </w:tcMar>
            <w:vAlign w:val="center"/>
          </w:tcPr>
          <w:p>
            <w:pPr>
              <w:spacing w:before="0" w:after="0" w:line="240" w:lineRule="auto"/>
              <w:jc w:val="left"/>
            </w:pPr>
            <w:r/>
            <w:r>
              <w:rPr>
                <w:rFonts w:ascii="Arial" w:hAnsi="Arial" w:cs="Arial"/>
                <w:sz w:val="18"/>
              </w:rPr>
              <w:t>Presidente/Junta</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Presidente/Consejo de Gobierno</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Potestad legislativa</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282"/>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Sí, en sus competencias</w:t>
            </w:r>
          </w:p>
        </w:tc>
      </w:tr>
      <w:tr>
        <w:tc>
          <w:tcPr>
            <w:tcW w:type="dxa" w:w="2075"/>
            <w:tcMar>
              <w:top w:w="80" w:type="dxa"/>
              <w:start w:w="120" w:type="dxa"/>
              <w:bottom w:w="80" w:type="dxa"/>
              <w:end w:w="120" w:type="dxa"/>
            </w:tcMar>
            <w:vAlign w:val="center"/>
          </w:tcPr>
          <w:p>
            <w:pPr>
              <w:spacing w:before="0" w:after="0" w:line="240" w:lineRule="auto"/>
              <w:jc w:val="left"/>
            </w:pPr>
            <w:r/>
            <w:r>
              <w:rPr>
                <w:rFonts w:ascii="Arial" w:hAnsi="Arial" w:cs="Arial"/>
                <w:sz w:val="18"/>
              </w:rPr>
              <w:t>Norma institucional</w:t>
            </w:r>
          </w:p>
        </w:tc>
        <w:tc>
          <w:tcPr>
            <w:tcW w:type="dxa" w:w="1867"/>
            <w:tcMar>
              <w:top w:w="80" w:type="dxa"/>
              <w:start w:w="120" w:type="dxa"/>
              <w:bottom w:w="80" w:type="dxa"/>
              <w:end w:w="120" w:type="dxa"/>
            </w:tcMar>
            <w:vAlign w:val="center"/>
          </w:tcPr>
          <w:p>
            <w:pPr>
              <w:spacing w:before="0" w:after="0" w:line="240" w:lineRule="auto"/>
              <w:jc w:val="left"/>
            </w:pPr>
            <w:r/>
            <w:r>
              <w:rPr>
                <w:rFonts w:ascii="Arial" w:hAnsi="Arial" w:cs="Arial"/>
                <w:sz w:val="18"/>
              </w:rPr>
              <w:t>Reglamento orgánico</w:t>
            </w:r>
          </w:p>
        </w:tc>
        <w:tc>
          <w:tcPr>
            <w:tcW w:type="dxa" w:w="2282"/>
            <w:tcMar>
              <w:top w:w="80" w:type="dxa"/>
              <w:start w:w="120" w:type="dxa"/>
              <w:bottom w:w="80" w:type="dxa"/>
              <w:end w:w="120" w:type="dxa"/>
            </w:tcMar>
            <w:vAlign w:val="center"/>
          </w:tcPr>
          <w:p>
            <w:pPr>
              <w:spacing w:before="0" w:after="0" w:line="240" w:lineRule="auto"/>
              <w:jc w:val="left"/>
            </w:pPr>
            <w:r/>
            <w:r>
              <w:rPr>
                <w:rFonts w:ascii="Arial" w:hAnsi="Arial" w:cs="Arial"/>
                <w:sz w:val="18"/>
              </w:rPr>
              <w:t>Reglamento orgánico</w:t>
            </w:r>
          </w:p>
        </w:tc>
        <w:tc>
          <w:tcPr>
            <w:tcW w:type="dxa" w:w="2802"/>
            <w:tcMar>
              <w:top w:w="80" w:type="dxa"/>
              <w:start w:w="120" w:type="dxa"/>
              <w:bottom w:w="80" w:type="dxa"/>
              <w:end w:w="120" w:type="dxa"/>
            </w:tcMar>
            <w:vAlign w:val="center"/>
          </w:tcPr>
          <w:p>
            <w:pPr>
              <w:spacing w:before="0" w:after="0" w:line="240" w:lineRule="auto"/>
              <w:jc w:val="left"/>
            </w:pPr>
            <w:r/>
            <w:r>
              <w:rPr>
                <w:rFonts w:ascii="Arial" w:hAnsi="Arial" w:cs="Arial"/>
                <w:sz w:val="18"/>
              </w:rPr>
              <w:t>Estatuto, ley orgánica estatal</w:t>
            </w:r>
          </w:p>
        </w:tc>
      </w:tr>
    </w:tbl>
    <w:p>
      <w:pPr>
        <w:spacing w:after="40"/>
      </w:pPr>
    </w:p>
    <w:p>
      <w:pPr>
        <w:pStyle w:val="Heading2"/>
        <w:keepNext/>
      </w:pPr>
      <w:r>
        <w:rPr>
          <w:rFonts w:ascii="Arial" w:hAnsi="Arial" w:cs="Arial"/>
          <w:sz w:val="25"/>
        </w:rPr>
        <w:t>11.2. Mapa rápido de normas</w:t>
      </w:r>
    </w:p>
    <w:tbl>
      <w:tblPr>
        <w:tblStyle w:val="TableGrid"/>
        <w:tblW w:type="dxa" w:w="9026"/>
        <w:jc w:val="left"/>
        <w:tblLayout w:type="fixed"/>
        <w:tblLook w:firstColumn="1" w:firstRow="1" w:lastColumn="0" w:lastRow="0" w:noHBand="0" w:noVBand="1" w:val="04A0"/>
        <w:tblInd w:w="120" w:type="dxa"/>
      </w:tblPr>
      <w:tblGrid>
        <w:gridCol w:w="5516"/>
        <w:gridCol w:w="3510"/>
      </w:tblGrid>
      <w:tr>
        <w:trPr>
          <w:tblHeader w:val="true"/>
        </w:trPr>
        <w:tc>
          <w:tcPr>
            <w:tcW w:type="dxa" w:w="55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w:t>
            </w:r>
          </w:p>
        </w:tc>
        <w:tc>
          <w:tcPr>
            <w:tcW w:type="dxa" w:w="351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Norma clave</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Principios territoriales</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2, 137-139 CE</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Acceso y Estatutos</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143-147 y 151-152 CE</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Competencias</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148-150 CE y Estatuto</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Controles</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153, 155, 161 CE</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Financiación autonómica</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156-158 CE y LOFCA</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Municipio y provincia</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140-142 CE y LBRL</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Competencias y servicios municipales</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25-27 LBRL</w:t>
            </w:r>
          </w:p>
        </w:tc>
      </w:tr>
      <w:tr>
        <w:tc>
          <w:tcPr>
            <w:tcW w:type="dxa" w:w="5516"/>
            <w:tcMar>
              <w:top w:w="80" w:type="dxa"/>
              <w:start w:w="120" w:type="dxa"/>
              <w:bottom w:w="80" w:type="dxa"/>
              <w:end w:w="120" w:type="dxa"/>
            </w:tcMar>
            <w:vAlign w:val="center"/>
          </w:tcPr>
          <w:p>
            <w:pPr>
              <w:spacing w:before="0" w:after="0" w:line="240" w:lineRule="auto"/>
              <w:jc w:val="left"/>
            </w:pPr>
            <w:r/>
            <w:r>
              <w:rPr>
                <w:rFonts w:ascii="Arial" w:hAnsi="Arial" w:cs="Arial"/>
                <w:sz w:val="18"/>
              </w:rPr>
              <w:t>Provincia</w:t>
            </w:r>
          </w:p>
        </w:tc>
        <w:tc>
          <w:tcPr>
            <w:tcW w:type="dxa" w:w="3510"/>
            <w:tcMar>
              <w:top w:w="80" w:type="dxa"/>
              <w:start w:w="120" w:type="dxa"/>
              <w:bottom w:w="80" w:type="dxa"/>
              <w:end w:w="120" w:type="dxa"/>
            </w:tcMar>
            <w:vAlign w:val="center"/>
          </w:tcPr>
          <w:p>
            <w:pPr>
              <w:spacing w:before="0" w:after="0" w:line="240" w:lineRule="auto"/>
              <w:jc w:val="left"/>
            </w:pPr>
            <w:r/>
            <w:r>
              <w:rPr>
                <w:rFonts w:ascii="Arial" w:hAnsi="Arial" w:cs="Arial"/>
                <w:sz w:val="18"/>
              </w:rPr>
              <w:t>Arts. 31-41 LBRL</w:t>
            </w:r>
          </w:p>
        </w:tc>
      </w:tr>
    </w:tbl>
    <w:p>
      <w:pPr>
        <w:spacing w:after="40"/>
      </w:pPr>
    </w:p>
    <w:p>
      <w:pPr>
        <w:pStyle w:val="Heading1"/>
        <w:keepNext/>
      </w:pPr>
      <w:r>
        <w:rPr>
          <w:rFonts w:ascii="Arial" w:hAnsi="Arial" w:cs="Arial"/>
          <w:sz w:val="30"/>
        </w:rPr>
        <w:t>12. Confusiones frecuentes</w:t>
      </w:r>
    </w:p>
    <w:p>
      <w:pPr>
        <w:spacing w:after="40"/>
        <w:ind w:left="369" w:hanging="227"/>
      </w:pPr>
      <w:r>
        <w:rPr>
          <w:rFonts w:ascii="Arial" w:hAnsi="Arial" w:cs="Arial"/>
          <w:sz w:val="22"/>
        </w:rPr>
        <w:t xml:space="preserve">1. </w:t>
      </w:r>
      <w:r>
        <w:rPr>
          <w:rFonts w:ascii="Arial" w:hAnsi="Arial" w:cs="Arial"/>
          <w:b/>
          <w:sz w:val="22"/>
        </w:rPr>
        <w:t>Autonomía no es soberanía:</w:t>
      </w:r>
      <w:r>
        <w:rPr>
          <w:rFonts w:ascii="Arial" w:hAnsi="Arial" w:cs="Arial"/>
          <w:sz w:val="22"/>
        </w:rPr>
        <w:t xml:space="preserve"> solo el pueblo español es titular de soberanía nacional.</w:t>
      </w:r>
    </w:p>
    <w:p>
      <w:pPr>
        <w:spacing w:after="40"/>
        <w:ind w:left="369" w:hanging="227"/>
      </w:pPr>
      <w:r>
        <w:rPr>
          <w:rFonts w:ascii="Arial" w:hAnsi="Arial" w:cs="Arial"/>
          <w:sz w:val="22"/>
        </w:rPr>
        <w:t xml:space="preserve">2. </w:t>
      </w:r>
      <w:r>
        <w:rPr>
          <w:rFonts w:ascii="Arial" w:hAnsi="Arial" w:cs="Arial"/>
          <w:b/>
          <w:sz w:val="22"/>
        </w:rPr>
        <w:t>Tres niveles, distinta autonomía:</w:t>
      </w:r>
      <w:r>
        <w:rPr>
          <w:rFonts w:ascii="Arial" w:hAnsi="Arial" w:cs="Arial"/>
          <w:sz w:val="22"/>
        </w:rPr>
        <w:t xml:space="preserve"> la autonómica es política; la local no incluye potestad legislativa.</w:t>
      </w:r>
    </w:p>
    <w:p>
      <w:pPr>
        <w:spacing w:after="40"/>
        <w:ind w:left="369" w:hanging="227"/>
      </w:pPr>
      <w:r>
        <w:rPr>
          <w:rFonts w:ascii="Arial" w:hAnsi="Arial" w:cs="Arial"/>
          <w:sz w:val="22"/>
        </w:rPr>
        <w:t xml:space="preserve">3. </w:t>
      </w:r>
      <w:r>
        <w:rPr>
          <w:rFonts w:ascii="Arial" w:hAnsi="Arial" w:cs="Arial"/>
          <w:b/>
          <w:sz w:val="22"/>
        </w:rPr>
        <w:t>Diecisiete más dos:</w:t>
      </w:r>
      <w:r>
        <w:rPr>
          <w:rFonts w:ascii="Arial" w:hAnsi="Arial" w:cs="Arial"/>
          <w:sz w:val="22"/>
        </w:rPr>
        <w:t xml:space="preserve"> hay diecisiete Comunidades y dos ciudades autónomas.</w:t>
      </w:r>
    </w:p>
    <w:p>
      <w:pPr>
        <w:spacing w:after="40"/>
        <w:ind w:left="369" w:hanging="227"/>
      </w:pPr>
      <w:r>
        <w:rPr>
          <w:rFonts w:ascii="Arial" w:hAnsi="Arial" w:cs="Arial"/>
          <w:sz w:val="22"/>
        </w:rPr>
        <w:t xml:space="preserve">4. </w:t>
      </w:r>
      <w:r>
        <w:rPr>
          <w:rFonts w:ascii="Arial" w:hAnsi="Arial" w:cs="Arial"/>
          <w:b/>
          <w:sz w:val="22"/>
        </w:rPr>
        <w:t>Artículo 148:</w:t>
      </w:r>
      <w:r>
        <w:rPr>
          <w:rFonts w:ascii="Arial" w:hAnsi="Arial" w:cs="Arial"/>
          <w:sz w:val="22"/>
        </w:rPr>
        <w:t xml:space="preserve"> ofrece materias asumibles; no las atribuye automáticamente a todas.</w:t>
      </w:r>
    </w:p>
    <w:p>
      <w:pPr>
        <w:spacing w:after="40"/>
        <w:ind w:left="369" w:hanging="227"/>
      </w:pPr>
      <w:r>
        <w:rPr>
          <w:rFonts w:ascii="Arial" w:hAnsi="Arial" w:cs="Arial"/>
          <w:sz w:val="22"/>
        </w:rPr>
        <w:t xml:space="preserve">5. </w:t>
      </w:r>
      <w:r>
        <w:rPr>
          <w:rFonts w:ascii="Arial" w:hAnsi="Arial" w:cs="Arial"/>
          <w:b/>
          <w:sz w:val="22"/>
        </w:rPr>
        <w:t>Artículo 149:</w:t>
      </w:r>
      <w:r>
        <w:rPr>
          <w:rFonts w:ascii="Arial" w:hAnsi="Arial" w:cs="Arial"/>
          <w:sz w:val="22"/>
        </w:rPr>
        <w:t xml:space="preserve"> no todo apartado excluye cualquier actuación autonómica; hay bases-desarrollo y legislación-ejecución.</w:t>
      </w:r>
    </w:p>
    <w:p>
      <w:pPr>
        <w:spacing w:after="40"/>
        <w:ind w:left="369" w:hanging="227"/>
      </w:pPr>
      <w:r>
        <w:rPr>
          <w:rFonts w:ascii="Arial" w:hAnsi="Arial" w:cs="Arial"/>
          <w:sz w:val="22"/>
        </w:rPr>
        <w:t xml:space="preserve">6. </w:t>
      </w:r>
      <w:r>
        <w:rPr>
          <w:rFonts w:ascii="Arial" w:hAnsi="Arial" w:cs="Arial"/>
          <w:b/>
          <w:sz w:val="22"/>
        </w:rPr>
        <w:t>Estatuto:</w:t>
      </w:r>
      <w:r>
        <w:rPr>
          <w:rFonts w:ascii="Arial" w:hAnsi="Arial" w:cs="Arial"/>
          <w:sz w:val="22"/>
        </w:rPr>
        <w:t xml:space="preserve"> es norma institucional básica y ley orgánica estatal, subordinada a la Constitución.</w:t>
      </w:r>
    </w:p>
    <w:p>
      <w:pPr>
        <w:spacing w:after="40"/>
        <w:ind w:left="369" w:hanging="227"/>
      </w:pPr>
      <w:r>
        <w:rPr>
          <w:rFonts w:ascii="Arial" w:hAnsi="Arial" w:cs="Arial"/>
          <w:sz w:val="22"/>
        </w:rPr>
        <w:t xml:space="preserve">7. </w:t>
      </w:r>
      <w:r>
        <w:rPr>
          <w:rFonts w:ascii="Arial" w:hAnsi="Arial" w:cs="Arial"/>
          <w:b/>
          <w:sz w:val="22"/>
        </w:rPr>
        <w:t>Reforma estatutaria:</w:t>
      </w:r>
      <w:r>
        <w:rPr>
          <w:rFonts w:ascii="Arial" w:hAnsi="Arial" w:cs="Arial"/>
          <w:sz w:val="22"/>
        </w:rPr>
        <w:t xml:space="preserve"> no puede hacerla unilateralmente una ley autonómica ni una ley estatal ordinaria.</w:t>
      </w:r>
    </w:p>
    <w:p>
      <w:pPr>
        <w:spacing w:after="40"/>
        <w:ind w:left="369" w:hanging="227"/>
      </w:pPr>
      <w:r>
        <w:rPr>
          <w:rFonts w:ascii="Arial" w:hAnsi="Arial" w:cs="Arial"/>
          <w:sz w:val="22"/>
        </w:rPr>
        <w:t xml:space="preserve">8. </w:t>
      </w:r>
      <w:r>
        <w:rPr>
          <w:rFonts w:ascii="Arial" w:hAnsi="Arial" w:cs="Arial"/>
          <w:b/>
          <w:sz w:val="22"/>
        </w:rPr>
        <w:t>Presidente autonómico y delegado:</w:t>
      </w:r>
      <w:r>
        <w:rPr>
          <w:rFonts w:ascii="Arial" w:hAnsi="Arial" w:cs="Arial"/>
          <w:sz w:val="22"/>
        </w:rPr>
        <w:t xml:space="preserve"> el primero representa a la Comunidad y ordinariamente al Estado; el segundo representa al Gobierno.</w:t>
      </w:r>
    </w:p>
    <w:p>
      <w:pPr>
        <w:spacing w:after="40"/>
        <w:ind w:left="369" w:hanging="227"/>
      </w:pPr>
      <w:r>
        <w:rPr>
          <w:rFonts w:ascii="Arial" w:hAnsi="Arial" w:cs="Arial"/>
          <w:sz w:val="22"/>
        </w:rPr>
        <w:t xml:space="preserve">9. </w:t>
      </w:r>
      <w:r>
        <w:rPr>
          <w:rFonts w:ascii="Arial" w:hAnsi="Arial" w:cs="Arial"/>
          <w:b/>
          <w:sz w:val="22"/>
        </w:rPr>
        <w:t>Tribunal Superior:</w:t>
      </w:r>
      <w:r>
        <w:rPr>
          <w:rFonts w:ascii="Arial" w:hAnsi="Arial" w:cs="Arial"/>
          <w:sz w:val="22"/>
        </w:rPr>
        <w:t xml:space="preserve"> forma parte del Poder Judicial único; no es un poder judicial autonómico.</w:t>
      </w:r>
    </w:p>
    <w:p>
      <w:pPr>
        <w:spacing w:after="40"/>
        <w:ind w:left="369" w:hanging="227"/>
      </w:pPr>
      <w:r>
        <w:rPr>
          <w:rFonts w:ascii="Arial" w:hAnsi="Arial" w:cs="Arial"/>
          <w:sz w:val="22"/>
        </w:rPr>
        <w:t xml:space="preserve">10. </w:t>
      </w:r>
      <w:r>
        <w:rPr>
          <w:rFonts w:ascii="Arial" w:hAnsi="Arial" w:cs="Arial"/>
          <w:b/>
          <w:sz w:val="22"/>
        </w:rPr>
        <w:t>Federación y cooperación:</w:t>
      </w:r>
      <w:r>
        <w:rPr>
          <w:rFonts w:ascii="Arial" w:hAnsi="Arial" w:cs="Arial"/>
          <w:sz w:val="22"/>
        </w:rPr>
        <w:t xml:space="preserve"> la primera está prohibida; convenios y acuerdos son posibles con requisitos.</w:t>
      </w:r>
    </w:p>
    <w:p>
      <w:pPr>
        <w:spacing w:after="40"/>
        <w:ind w:left="369" w:hanging="227"/>
      </w:pPr>
      <w:r>
        <w:rPr>
          <w:rFonts w:ascii="Arial" w:hAnsi="Arial" w:cs="Arial"/>
          <w:sz w:val="22"/>
        </w:rPr>
        <w:t xml:space="preserve">11. </w:t>
      </w:r>
      <w:r>
        <w:rPr>
          <w:rFonts w:ascii="Arial" w:hAnsi="Arial" w:cs="Arial"/>
          <w:b/>
          <w:sz w:val="22"/>
        </w:rPr>
        <w:t>Residualidad:</w:t>
      </w:r>
      <w:r>
        <w:rPr>
          <w:rFonts w:ascii="Arial" w:hAnsi="Arial" w:cs="Arial"/>
          <w:sz w:val="22"/>
        </w:rPr>
        <w:t xml:space="preserve"> lo no asumido por Estatuto corresponde al Estado.</w:t>
      </w:r>
    </w:p>
    <w:p>
      <w:pPr>
        <w:spacing w:after="40"/>
        <w:ind w:left="369" w:hanging="227"/>
      </w:pPr>
      <w:r>
        <w:rPr>
          <w:rFonts w:ascii="Arial" w:hAnsi="Arial" w:cs="Arial"/>
          <w:sz w:val="22"/>
        </w:rPr>
        <w:t xml:space="preserve">12. </w:t>
      </w:r>
      <w:r>
        <w:rPr>
          <w:rFonts w:ascii="Arial" w:hAnsi="Arial" w:cs="Arial"/>
          <w:b/>
          <w:sz w:val="22"/>
        </w:rPr>
        <w:t>Supletoriedad:</w:t>
      </w:r>
      <w:r>
        <w:rPr>
          <w:rFonts w:ascii="Arial" w:hAnsi="Arial" w:cs="Arial"/>
          <w:sz w:val="22"/>
        </w:rPr>
        <w:t xml:space="preserve"> no es un título que permita al Estado legislar sin competencia.</w:t>
      </w:r>
    </w:p>
    <w:p>
      <w:pPr>
        <w:spacing w:after="40"/>
        <w:ind w:left="369" w:hanging="227"/>
      </w:pPr>
      <w:r>
        <w:rPr>
          <w:rFonts w:ascii="Arial" w:hAnsi="Arial" w:cs="Arial"/>
          <w:sz w:val="22"/>
        </w:rPr>
        <w:t xml:space="preserve">13. </w:t>
      </w:r>
      <w:r>
        <w:rPr>
          <w:rFonts w:ascii="Arial" w:hAnsi="Arial" w:cs="Arial"/>
          <w:b/>
          <w:sz w:val="22"/>
        </w:rPr>
        <w:t>Artículo 150.2:</w:t>
      </w:r>
      <w:r>
        <w:rPr>
          <w:rFonts w:ascii="Arial" w:hAnsi="Arial" w:cs="Arial"/>
          <w:sz w:val="22"/>
        </w:rPr>
        <w:t xml:space="preserve"> la transferencia o delegación requiere ley orgánica.</w:t>
      </w:r>
    </w:p>
    <w:p>
      <w:pPr>
        <w:spacing w:after="40"/>
        <w:ind w:left="369" w:hanging="227"/>
      </w:pPr>
      <w:r>
        <w:rPr>
          <w:rFonts w:ascii="Arial" w:hAnsi="Arial" w:cs="Arial"/>
          <w:sz w:val="22"/>
        </w:rPr>
        <w:t xml:space="preserve">14. </w:t>
      </w:r>
      <w:r>
        <w:rPr>
          <w:rFonts w:ascii="Arial" w:hAnsi="Arial" w:cs="Arial"/>
          <w:b/>
          <w:sz w:val="22"/>
        </w:rPr>
        <w:t>Artículo 155:</w:t>
      </w:r>
      <w:r>
        <w:rPr>
          <w:rFonts w:ascii="Arial" w:hAnsi="Arial" w:cs="Arial"/>
          <w:sz w:val="22"/>
        </w:rPr>
        <w:t xml:space="preserve"> exige requerimiento previo y mayoría absoluta del Senado.</w:t>
      </w:r>
    </w:p>
    <w:p>
      <w:pPr>
        <w:spacing w:after="40"/>
        <w:ind w:left="369" w:hanging="227"/>
      </w:pPr>
      <w:r>
        <w:rPr>
          <w:rFonts w:ascii="Arial" w:hAnsi="Arial" w:cs="Arial"/>
          <w:sz w:val="22"/>
        </w:rPr>
        <w:t xml:space="preserve">15. </w:t>
      </w:r>
      <w:r>
        <w:rPr>
          <w:rFonts w:ascii="Arial" w:hAnsi="Arial" w:cs="Arial"/>
          <w:b/>
          <w:sz w:val="22"/>
        </w:rPr>
        <w:t>Municipio:</w:t>
      </w:r>
      <w:r>
        <w:rPr>
          <w:rFonts w:ascii="Arial" w:hAnsi="Arial" w:cs="Arial"/>
          <w:sz w:val="22"/>
        </w:rPr>
        <w:t xml:space="preserve"> elementos territorio, población y organización.</w:t>
      </w:r>
    </w:p>
    <w:p>
      <w:pPr>
        <w:spacing w:after="40"/>
        <w:ind w:left="369" w:hanging="227"/>
      </w:pPr>
      <w:r>
        <w:rPr>
          <w:rFonts w:ascii="Arial" w:hAnsi="Arial" w:cs="Arial"/>
          <w:sz w:val="22"/>
        </w:rPr>
        <w:t xml:space="preserve">16. </w:t>
      </w:r>
      <w:r>
        <w:rPr>
          <w:rFonts w:ascii="Arial" w:hAnsi="Arial" w:cs="Arial"/>
          <w:b/>
          <w:sz w:val="22"/>
        </w:rPr>
        <w:t>Padrón extranjero:</w:t>
      </w:r>
      <w:r>
        <w:rPr>
          <w:rFonts w:ascii="Arial" w:hAnsi="Arial" w:cs="Arial"/>
          <w:sz w:val="22"/>
        </w:rPr>
        <w:t xml:space="preserve"> no prueba residencia legal.</w:t>
      </w:r>
    </w:p>
    <w:p>
      <w:pPr>
        <w:spacing w:after="40"/>
        <w:ind w:left="369" w:hanging="227"/>
      </w:pPr>
      <w:r>
        <w:rPr>
          <w:rFonts w:ascii="Arial" w:hAnsi="Arial" w:cs="Arial"/>
          <w:sz w:val="22"/>
        </w:rPr>
        <w:t xml:space="preserve">17. </w:t>
      </w:r>
      <w:r>
        <w:rPr>
          <w:rFonts w:ascii="Arial" w:hAnsi="Arial" w:cs="Arial"/>
          <w:b/>
          <w:sz w:val="22"/>
        </w:rPr>
        <w:t>Ayuntamiento:</w:t>
      </w:r>
      <w:r>
        <w:rPr>
          <w:rFonts w:ascii="Arial" w:hAnsi="Arial" w:cs="Arial"/>
          <w:sz w:val="22"/>
        </w:rPr>
        <w:t xml:space="preserve"> lo integran alcalde y concejales; no debe confundirse con el término municipal.</w:t>
      </w:r>
    </w:p>
    <w:p>
      <w:pPr>
        <w:spacing w:after="40"/>
        <w:ind w:left="369" w:hanging="227"/>
      </w:pPr>
      <w:r>
        <w:rPr>
          <w:rFonts w:ascii="Arial" w:hAnsi="Arial" w:cs="Arial"/>
          <w:sz w:val="22"/>
        </w:rPr>
        <w:t xml:space="preserve">18. </w:t>
      </w:r>
      <w:r>
        <w:rPr>
          <w:rFonts w:ascii="Arial" w:hAnsi="Arial" w:cs="Arial"/>
          <w:b/>
          <w:sz w:val="22"/>
        </w:rPr>
        <w:t>Junta de Gobierno:</w:t>
      </w:r>
      <w:r>
        <w:rPr>
          <w:rFonts w:ascii="Arial" w:hAnsi="Arial" w:cs="Arial"/>
          <w:sz w:val="22"/>
        </w:rPr>
        <w:t xml:space="preserve"> obligatoria por encima de 5.000 habitantes, no en todos.</w:t>
      </w:r>
    </w:p>
    <w:p>
      <w:pPr>
        <w:spacing w:after="40"/>
        <w:ind w:left="369" w:hanging="227"/>
      </w:pPr>
      <w:r>
        <w:rPr>
          <w:rFonts w:ascii="Arial" w:hAnsi="Arial" w:cs="Arial"/>
          <w:sz w:val="22"/>
        </w:rPr>
        <w:t xml:space="preserve">19. </w:t>
      </w:r>
      <w:r>
        <w:rPr>
          <w:rFonts w:ascii="Arial" w:hAnsi="Arial" w:cs="Arial"/>
          <w:b/>
          <w:sz w:val="22"/>
        </w:rPr>
        <w:t>Comisión de Cuentas:</w:t>
      </w:r>
      <w:r>
        <w:rPr>
          <w:rFonts w:ascii="Arial" w:hAnsi="Arial" w:cs="Arial"/>
          <w:sz w:val="22"/>
        </w:rPr>
        <w:t xml:space="preserve"> existe en todos los municipios.</w:t>
      </w:r>
    </w:p>
    <w:p>
      <w:pPr>
        <w:spacing w:after="40"/>
        <w:ind w:left="369" w:hanging="227"/>
      </w:pPr>
      <w:r>
        <w:rPr>
          <w:rFonts w:ascii="Arial" w:hAnsi="Arial" w:cs="Arial"/>
          <w:sz w:val="22"/>
        </w:rPr>
        <w:t xml:space="preserve">20. </w:t>
      </w:r>
      <w:r>
        <w:rPr>
          <w:rFonts w:ascii="Arial" w:hAnsi="Arial" w:cs="Arial"/>
          <w:b/>
          <w:sz w:val="22"/>
        </w:rPr>
        <w:t>Materia y servicio:</w:t>
      </w:r>
      <w:r>
        <w:rPr>
          <w:rFonts w:ascii="Arial" w:hAnsi="Arial" w:cs="Arial"/>
          <w:sz w:val="22"/>
        </w:rPr>
        <w:t xml:space="preserve"> artículo 25 enumera materias; artículo 26, servicios mínimos.</w:t>
      </w:r>
    </w:p>
    <w:p>
      <w:pPr>
        <w:spacing w:after="40"/>
        <w:ind w:left="369" w:hanging="227"/>
      </w:pPr>
      <w:r>
        <w:rPr>
          <w:rFonts w:ascii="Arial" w:hAnsi="Arial" w:cs="Arial"/>
          <w:sz w:val="22"/>
        </w:rPr>
        <w:t xml:space="preserve">21. </w:t>
      </w:r>
      <w:r>
        <w:rPr>
          <w:rFonts w:ascii="Arial" w:hAnsi="Arial" w:cs="Arial"/>
          <w:b/>
          <w:sz w:val="22"/>
        </w:rPr>
        <w:t>Umbrales:</w:t>
      </w:r>
      <w:r>
        <w:rPr>
          <w:rFonts w:ascii="Arial" w:hAnsi="Arial" w:cs="Arial"/>
          <w:sz w:val="22"/>
        </w:rPr>
        <w:t xml:space="preserve"> los servicios se acumulan al superar 5.000, 20.000 y 50.000 habitantes.</w:t>
      </w:r>
    </w:p>
    <w:p>
      <w:pPr>
        <w:spacing w:after="40"/>
        <w:ind w:left="369" w:hanging="227"/>
      </w:pPr>
      <w:r>
        <w:rPr>
          <w:rFonts w:ascii="Arial" w:hAnsi="Arial" w:cs="Arial"/>
          <w:sz w:val="22"/>
        </w:rPr>
        <w:t xml:space="preserve">22. </w:t>
      </w:r>
      <w:r>
        <w:rPr>
          <w:rFonts w:ascii="Arial" w:hAnsi="Arial" w:cs="Arial"/>
          <w:b/>
          <w:sz w:val="22"/>
        </w:rPr>
        <w:t>Energía 2026:</w:t>
      </w:r>
      <w:r>
        <w:rPr>
          <w:rFonts w:ascii="Arial" w:hAnsi="Arial" w:cs="Arial"/>
          <w:sz w:val="22"/>
        </w:rPr>
        <w:t xml:space="preserve"> es nueva letra p) del artículo 25.2, no nuevo servicio mínimo del artículo 26.</w:t>
      </w:r>
    </w:p>
    <w:p>
      <w:pPr>
        <w:spacing w:after="40"/>
        <w:ind w:left="369" w:hanging="227"/>
      </w:pPr>
      <w:r>
        <w:rPr>
          <w:rFonts w:ascii="Arial" w:hAnsi="Arial" w:cs="Arial"/>
          <w:sz w:val="22"/>
        </w:rPr>
        <w:t xml:space="preserve">23. </w:t>
      </w:r>
      <w:r>
        <w:rPr>
          <w:rFonts w:ascii="Arial" w:hAnsi="Arial" w:cs="Arial"/>
          <w:b/>
          <w:sz w:val="22"/>
        </w:rPr>
        <w:t>Delegación municipal:</w:t>
      </w:r>
      <w:r>
        <w:rPr>
          <w:rFonts w:ascii="Arial" w:hAnsi="Arial" w:cs="Arial"/>
          <w:sz w:val="22"/>
        </w:rPr>
        <w:t xml:space="preserve"> duración mínima de cinco años, aceptación y financiación.</w:t>
      </w:r>
    </w:p>
    <w:p>
      <w:pPr>
        <w:spacing w:after="40"/>
        <w:ind w:left="369" w:hanging="227"/>
      </w:pPr>
      <w:r>
        <w:rPr>
          <w:rFonts w:ascii="Arial" w:hAnsi="Arial" w:cs="Arial"/>
          <w:sz w:val="22"/>
        </w:rPr>
        <w:t xml:space="preserve">24. </w:t>
      </w:r>
      <w:r>
        <w:rPr>
          <w:rFonts w:ascii="Arial" w:hAnsi="Arial" w:cs="Arial"/>
          <w:b/>
          <w:sz w:val="22"/>
        </w:rPr>
        <w:t>Provincia:</w:t>
      </w:r>
      <w:r>
        <w:rPr>
          <w:rFonts w:ascii="Arial" w:hAnsi="Arial" w:cs="Arial"/>
          <w:sz w:val="22"/>
        </w:rPr>
        <w:t xml:space="preserve"> es entidad local y división territorial estatal.</w:t>
      </w:r>
    </w:p>
    <w:p>
      <w:pPr>
        <w:spacing w:after="40"/>
        <w:ind w:left="369" w:hanging="227"/>
      </w:pPr>
      <w:r>
        <w:rPr>
          <w:rFonts w:ascii="Arial" w:hAnsi="Arial" w:cs="Arial"/>
          <w:sz w:val="22"/>
        </w:rPr>
        <w:t xml:space="preserve">25. </w:t>
      </w:r>
      <w:r>
        <w:rPr>
          <w:rFonts w:ascii="Arial" w:hAnsi="Arial" w:cs="Arial"/>
          <w:b/>
          <w:sz w:val="22"/>
        </w:rPr>
        <w:t>Límites provinciales:</w:t>
      </w:r>
      <w:r>
        <w:rPr>
          <w:rFonts w:ascii="Arial" w:hAnsi="Arial" w:cs="Arial"/>
          <w:sz w:val="22"/>
        </w:rPr>
        <w:t xml:space="preserve"> solo se alteran por ley orgánica estatal.</w:t>
      </w:r>
    </w:p>
    <w:p>
      <w:pPr>
        <w:spacing w:after="40"/>
        <w:ind w:left="369" w:hanging="227"/>
      </w:pPr>
      <w:r>
        <w:rPr>
          <w:rFonts w:ascii="Arial" w:hAnsi="Arial" w:cs="Arial"/>
          <w:sz w:val="22"/>
        </w:rPr>
        <w:t xml:space="preserve">26. </w:t>
      </w:r>
      <w:r>
        <w:rPr>
          <w:rFonts w:ascii="Arial" w:hAnsi="Arial" w:cs="Arial"/>
          <w:b/>
          <w:sz w:val="22"/>
        </w:rPr>
        <w:t>Diputación:</w:t>
      </w:r>
      <w:r>
        <w:rPr>
          <w:rFonts w:ascii="Arial" w:hAnsi="Arial" w:cs="Arial"/>
          <w:sz w:val="22"/>
        </w:rPr>
        <w:t xml:space="preserve"> no existe como institución ordinaria en todas las provincias.</w:t>
      </w:r>
    </w:p>
    <w:p>
      <w:pPr>
        <w:spacing w:after="40"/>
        <w:ind w:left="369" w:hanging="227"/>
      </w:pPr>
      <w:r>
        <w:rPr>
          <w:rFonts w:ascii="Arial" w:hAnsi="Arial" w:cs="Arial"/>
          <w:sz w:val="22"/>
        </w:rPr>
        <w:t xml:space="preserve">27. </w:t>
      </w:r>
      <w:r>
        <w:rPr>
          <w:rFonts w:ascii="Arial" w:hAnsi="Arial" w:cs="Arial"/>
          <w:b/>
          <w:sz w:val="22"/>
        </w:rPr>
        <w:t>Islas:</w:t>
      </w:r>
      <w:r>
        <w:rPr>
          <w:rFonts w:ascii="Arial" w:hAnsi="Arial" w:cs="Arial"/>
          <w:sz w:val="22"/>
        </w:rPr>
        <w:t xml:space="preserve"> tienen Cabildos o Consejos y no son automáticamente provincias.</w:t>
      </w:r>
    </w:p>
    <w:p>
      <w:pPr>
        <w:spacing w:after="40"/>
        <w:ind w:left="369" w:hanging="227"/>
      </w:pPr>
      <w:r>
        <w:rPr>
          <w:rFonts w:ascii="Arial" w:hAnsi="Arial" w:cs="Arial"/>
          <w:sz w:val="22"/>
        </w:rPr>
        <w:t xml:space="preserve">28. </w:t>
      </w:r>
      <w:r>
        <w:rPr>
          <w:rFonts w:ascii="Arial" w:hAnsi="Arial" w:cs="Arial"/>
          <w:b/>
          <w:sz w:val="22"/>
        </w:rPr>
        <w:t>Formentera 2026:</w:t>
      </w:r>
      <w:r>
        <w:rPr>
          <w:rFonts w:ascii="Arial" w:hAnsi="Arial" w:cs="Arial"/>
          <w:sz w:val="22"/>
        </w:rPr>
        <w:t xml:space="preserve"> obtiene senador propio, no condición provincial ni nuevas competencias.</w:t>
      </w:r>
    </w:p>
    <w:p>
      <w:pPr>
        <w:pStyle w:val="Heading1"/>
        <w:keepNext/>
      </w:pPr>
      <w:r>
        <w:rPr>
          <w:rFonts w:ascii="Arial" w:hAnsi="Arial" w:cs="Arial"/>
          <w:sz w:val="30"/>
        </w:rPr>
        <w:t>13. Resumen final de memoria</w:t>
      </w:r>
    </w:p>
    <w:p>
      <w:pPr>
        <w:jc w:val="both"/>
      </w:pPr>
      <w:r>
        <w:rPr>
          <w:rFonts w:ascii="Arial" w:hAnsi="Arial" w:cs="Arial"/>
          <w:sz w:val="22"/>
        </w:rPr>
        <w:t>La Constitución combina unidad, autonomía y solidaridad. El Estado se organiza en municipios, provincias y Comunidades Autónomas, todas autónomas para sus intereses, pero solo las Comunidades disponen de potestad legislativa territorial.</w:t>
      </w:r>
    </w:p>
    <w:p>
      <w:pPr>
        <w:jc w:val="both"/>
      </w:pPr>
      <w:r>
        <w:rPr>
          <w:rFonts w:ascii="Arial" w:hAnsi="Arial" w:cs="Arial"/>
          <w:sz w:val="22"/>
        </w:rPr>
        <w:t>El Estatuto es la norma institucional básica de cada Comunidad y una ley orgánica estatal. Debe contener denominación, territorio, instituciones y competencias. La distribución competencial resulta de Constitución más Estatuto: el artículo 148 contiene materias asumibles; el 149 reserva competencias estatales y establece reglas residuales, de prevalencia y supletoriedad; el 150 permite leyes marco, transferencia o delegación y armonización.</w:t>
      </w:r>
    </w:p>
    <w:p>
      <w:pPr>
        <w:jc w:val="both"/>
      </w:pPr>
      <w:r>
        <w:rPr>
          <w:rFonts w:ascii="Arial" w:hAnsi="Arial" w:cs="Arial"/>
          <w:sz w:val="22"/>
        </w:rPr>
        <w:t>Los controles corresponden al Tribunal Constitucional, Gobierno, jurisdicción contenciosa y Tribunal de Cuentas según la materia. El artículo 155 exige requerimiento al presidente autonómico y aprobación por mayoría absoluta del Senado.</w:t>
      </w:r>
    </w:p>
    <w:p>
      <w:pPr>
        <w:jc w:val="both"/>
      </w:pPr>
      <w:r>
        <w:rPr>
          <w:rFonts w:ascii="Arial" w:hAnsi="Arial" w:cs="Arial"/>
          <w:sz w:val="22"/>
        </w:rPr>
        <w:t>El municipio es la entidad básica; sus elementos son territorio, población y organización. Alcalde, tenientes y Pleno existen siempre; la Junta de Gobierno, ordinariamente, en municipios de más de 5.000 habitantes. El artículo 25 enuncia materias propias y el 26 servicios obligatorios por población. Desde marzo de 2026 se incluyen comunidades energéticas y transición energética entre las materias del artículo 25.</w:t>
      </w:r>
    </w:p>
    <w:p>
      <w:pPr>
        <w:jc w:val="both"/>
      </w:pPr>
      <w:r>
        <w:rPr>
          <w:rFonts w:ascii="Arial" w:hAnsi="Arial" w:cs="Arial"/>
          <w:sz w:val="22"/>
        </w:rPr>
        <w:t>La provincia es entidad local y división territorial del Estado. Su Diputación coordina y asiste especialmente a pequeños municipios. Los límites provinciales solo cambian por ley orgánica. Comunidades uniprovinciales, territorios forales e islas tienen regímenes especiales.</w:t>
      </w:r>
    </w:p>
    <w:p>
      <w:pPr>
        <w:jc w:val="both"/>
      </w:pPr>
      <w:r>
        <w:rPr>
          <w:rFonts w:ascii="Arial" w:hAnsi="Arial" w:cs="Arial"/>
          <w:sz w:val="22"/>
        </w:rPr>
        <w:t>La reforma constitucional de mayo de 2026 se limita a que Formentera elija senador propio. No modifica el título VIII ni el reparto competencial.</w:t>
      </w:r>
    </w:p>
    <w:p>
      <w:pPr>
        <w:pStyle w:val="Heading1"/>
        <w:keepNext/>
      </w:pPr>
      <w:r>
        <w:rPr>
          <w:rFonts w:ascii="Arial" w:hAnsi="Arial" w:cs="Arial"/>
          <w:sz w:val="30"/>
        </w:rPr>
        <w:t>14. Datos preguntables</w:t>
      </w:r>
    </w:p>
    <w:p>
      <w:pPr>
        <w:pStyle w:val="ListBullet"/>
      </w:pPr>
      <w:r>
        <w:rPr>
          <w:rFonts w:ascii="Arial" w:hAnsi="Arial" w:cs="Arial"/>
          <w:sz w:val="22"/>
        </w:rPr>
        <w:t>Artículo 2 CE: unidad, autonomía y solidaridad.</w:t>
      </w:r>
    </w:p>
    <w:p>
      <w:pPr>
        <w:pStyle w:val="ListBullet"/>
      </w:pPr>
      <w:r>
        <w:rPr>
          <w:rFonts w:ascii="Arial" w:hAnsi="Arial" w:cs="Arial"/>
          <w:sz w:val="22"/>
        </w:rPr>
        <w:t>Artículo 137 CE: municipio, provincia y Comunidad Autónoma.</w:t>
      </w:r>
    </w:p>
    <w:p>
      <w:pPr>
        <w:pStyle w:val="ListBullet"/>
      </w:pPr>
      <w:r>
        <w:rPr>
          <w:rFonts w:ascii="Arial" w:hAnsi="Arial" w:cs="Arial"/>
          <w:sz w:val="22"/>
        </w:rPr>
        <w:t>Artículo 138 CE: equilibrio y atención al hecho insular; no privilegios.</w:t>
      </w:r>
    </w:p>
    <w:p>
      <w:pPr>
        <w:pStyle w:val="ListBullet"/>
      </w:pPr>
      <w:r>
        <w:rPr>
          <w:rFonts w:ascii="Arial" w:hAnsi="Arial" w:cs="Arial"/>
          <w:sz w:val="22"/>
        </w:rPr>
        <w:t>Artículo 139 CE: igualdad territorial y libre circulación.</w:t>
      </w:r>
    </w:p>
    <w:p>
      <w:pPr>
        <w:pStyle w:val="ListBullet"/>
      </w:pPr>
      <w:r>
        <w:rPr>
          <w:rFonts w:ascii="Arial" w:hAnsi="Arial" w:cs="Arial"/>
          <w:sz w:val="22"/>
        </w:rPr>
        <w:t>Comunidades: 17; ciudades autónomas: Ceuta y Melilla.</w:t>
      </w:r>
    </w:p>
    <w:p>
      <w:pPr>
        <w:pStyle w:val="ListBullet"/>
      </w:pPr>
      <w:r>
        <w:rPr>
          <w:rFonts w:ascii="Arial" w:hAnsi="Arial" w:cs="Arial"/>
          <w:sz w:val="22"/>
        </w:rPr>
        <w:t>Artículo 143: dos tercios de municipios, mayoría del censo, seis meses y repetición tras cinco años.</w:t>
      </w:r>
    </w:p>
    <w:p>
      <w:pPr>
        <w:pStyle w:val="ListBullet"/>
      </w:pPr>
      <w:r>
        <w:rPr>
          <w:rFonts w:ascii="Arial" w:hAnsi="Arial" w:cs="Arial"/>
          <w:sz w:val="22"/>
        </w:rPr>
        <w:t>Artículo 151: tres cuartas partes de municipios y referéndum con mayoría absoluta de electores por provincia.</w:t>
      </w:r>
    </w:p>
    <w:p>
      <w:pPr>
        <w:pStyle w:val="ListBullet"/>
      </w:pPr>
      <w:r>
        <w:rPr>
          <w:rFonts w:ascii="Arial" w:hAnsi="Arial" w:cs="Arial"/>
          <w:sz w:val="22"/>
        </w:rPr>
        <w:t>Artículo 144: intervención de Cortes mediante ley orgánica por interés nacional.</w:t>
      </w:r>
    </w:p>
    <w:p>
      <w:pPr>
        <w:pStyle w:val="ListBullet"/>
      </w:pPr>
      <w:r>
        <w:rPr>
          <w:rFonts w:ascii="Arial" w:hAnsi="Arial" w:cs="Arial"/>
          <w:sz w:val="22"/>
        </w:rPr>
        <w:t>Artículo 145: federación prohibida.</w:t>
      </w:r>
    </w:p>
    <w:p>
      <w:pPr>
        <w:pStyle w:val="ListBullet"/>
      </w:pPr>
      <w:r>
        <w:rPr>
          <w:rFonts w:ascii="Arial" w:hAnsi="Arial" w:cs="Arial"/>
          <w:sz w:val="22"/>
        </w:rPr>
        <w:t>Artículo 147: Estatuto, norma institucional básica.</w:t>
      </w:r>
    </w:p>
    <w:p>
      <w:pPr>
        <w:pStyle w:val="ListBullet"/>
      </w:pPr>
      <w:r>
        <w:rPr>
          <w:rFonts w:ascii="Arial" w:hAnsi="Arial" w:cs="Arial"/>
          <w:sz w:val="22"/>
        </w:rPr>
        <w:t>Contenido estatutario: nombre, territorio, instituciones, competencias y bases de traspaso.</w:t>
      </w:r>
    </w:p>
    <w:p>
      <w:pPr>
        <w:pStyle w:val="ListBullet"/>
      </w:pPr>
      <w:r>
        <w:rPr>
          <w:rFonts w:ascii="Arial" w:hAnsi="Arial" w:cs="Arial"/>
          <w:sz w:val="22"/>
        </w:rPr>
        <w:t>Presidente autonómico: elegido por asamblea, nombrado por el Rey.</w:t>
      </w:r>
    </w:p>
    <w:p>
      <w:pPr>
        <w:pStyle w:val="ListBullet"/>
      </w:pPr>
      <w:r>
        <w:rPr>
          <w:rFonts w:ascii="Arial" w:hAnsi="Arial" w:cs="Arial"/>
          <w:sz w:val="22"/>
        </w:rPr>
        <w:t>Artículo 148: 22 grupos de materias.</w:t>
      </w:r>
    </w:p>
    <w:p>
      <w:pPr>
        <w:pStyle w:val="ListBullet"/>
      </w:pPr>
      <w:r>
        <w:rPr>
          <w:rFonts w:ascii="Arial" w:hAnsi="Arial" w:cs="Arial"/>
          <w:sz w:val="22"/>
        </w:rPr>
        <w:t>Artículo 149.1: 32 reglas estatales.</w:t>
      </w:r>
    </w:p>
    <w:p>
      <w:pPr>
        <w:pStyle w:val="ListBullet"/>
      </w:pPr>
      <w:r>
        <w:rPr>
          <w:rFonts w:ascii="Arial" w:hAnsi="Arial" w:cs="Arial"/>
          <w:sz w:val="22"/>
        </w:rPr>
        <w:t>Artículo 150.1: ley marco.</w:t>
      </w:r>
    </w:p>
    <w:p>
      <w:pPr>
        <w:pStyle w:val="ListBullet"/>
      </w:pPr>
      <w:r>
        <w:rPr>
          <w:rFonts w:ascii="Arial" w:hAnsi="Arial" w:cs="Arial"/>
          <w:sz w:val="22"/>
        </w:rPr>
        <w:t>Artículo 150.2: ley orgánica de transferencia o delegación.</w:t>
      </w:r>
    </w:p>
    <w:p>
      <w:pPr>
        <w:pStyle w:val="ListBullet"/>
      </w:pPr>
      <w:r>
        <w:rPr>
          <w:rFonts w:ascii="Arial" w:hAnsi="Arial" w:cs="Arial"/>
          <w:sz w:val="22"/>
        </w:rPr>
        <w:t>Artículo 150.3: armonización y mayoría absoluta de cada Cámara.</w:t>
      </w:r>
    </w:p>
    <w:p>
      <w:pPr>
        <w:pStyle w:val="ListBullet"/>
      </w:pPr>
      <w:r>
        <w:rPr>
          <w:rFonts w:ascii="Arial" w:hAnsi="Arial" w:cs="Arial"/>
          <w:sz w:val="22"/>
        </w:rPr>
        <w:t>Artículo 153: cuatro controles.</w:t>
      </w:r>
    </w:p>
    <w:p>
      <w:pPr>
        <w:pStyle w:val="ListBullet"/>
      </w:pPr>
      <w:r>
        <w:rPr>
          <w:rFonts w:ascii="Arial" w:hAnsi="Arial" w:cs="Arial"/>
          <w:sz w:val="22"/>
        </w:rPr>
        <w:t>Artículo 155: requerimiento y mayoría absoluta del Senado.</w:t>
      </w:r>
    </w:p>
    <w:p>
      <w:pPr>
        <w:pStyle w:val="ListBullet"/>
      </w:pPr>
      <w:r>
        <w:rPr>
          <w:rFonts w:ascii="Arial" w:hAnsi="Arial" w:cs="Arial"/>
          <w:sz w:val="22"/>
        </w:rPr>
        <w:t>Recursos autonómicos: artículo 157.</w:t>
      </w:r>
    </w:p>
    <w:p>
      <w:pPr>
        <w:pStyle w:val="ListBullet"/>
      </w:pPr>
      <w:r>
        <w:rPr>
          <w:rFonts w:ascii="Arial" w:hAnsi="Arial" w:cs="Arial"/>
          <w:sz w:val="22"/>
        </w:rPr>
        <w:t>Municipio: territorio, población y organización.</w:t>
      </w:r>
    </w:p>
    <w:p>
      <w:pPr>
        <w:pStyle w:val="ListBullet"/>
      </w:pPr>
      <w:r>
        <w:rPr>
          <w:rFonts w:ascii="Arial" w:hAnsi="Arial" w:cs="Arial"/>
          <w:sz w:val="22"/>
        </w:rPr>
        <w:t>Padrón de extranjeros: no prueba residencia legal.</w:t>
      </w:r>
    </w:p>
    <w:p>
      <w:pPr>
        <w:pStyle w:val="ListBullet"/>
      </w:pPr>
      <w:r>
        <w:rPr>
          <w:rFonts w:ascii="Arial" w:hAnsi="Arial" w:cs="Arial"/>
          <w:sz w:val="22"/>
        </w:rPr>
        <w:t>Órganos siempre municipales: alcalde, tenientes, Pleno y Comisión Especial de Cuentas.</w:t>
      </w:r>
    </w:p>
    <w:p>
      <w:pPr>
        <w:pStyle w:val="ListBullet"/>
      </w:pPr>
      <w:r>
        <w:rPr>
          <w:rFonts w:ascii="Arial" w:hAnsi="Arial" w:cs="Arial"/>
          <w:sz w:val="22"/>
        </w:rPr>
        <w:t>Junta de Gobierno: más de 5.000 habitantes, salvo adopción voluntaria debajo.</w:t>
      </w:r>
    </w:p>
    <w:p>
      <w:pPr>
        <w:pStyle w:val="ListBullet"/>
      </w:pPr>
      <w:r>
        <w:rPr>
          <w:rFonts w:ascii="Arial" w:hAnsi="Arial" w:cs="Arial"/>
          <w:sz w:val="22"/>
        </w:rPr>
        <w:t>Servicios para todos: ocho grupos del artículo 26.1.a.</w:t>
      </w:r>
    </w:p>
    <w:p>
      <w:pPr>
        <w:pStyle w:val="ListBullet"/>
      </w:pPr>
      <w:r>
        <w:rPr>
          <w:rFonts w:ascii="Arial" w:hAnsi="Arial" w:cs="Arial"/>
          <w:sz w:val="22"/>
        </w:rPr>
        <w:t>Más de 5.000: parque, biblioteca, tratamiento de residuos.</w:t>
      </w:r>
    </w:p>
    <w:p>
      <w:pPr>
        <w:pStyle w:val="ListBullet"/>
      </w:pPr>
      <w:r>
        <w:rPr>
          <w:rFonts w:ascii="Arial" w:hAnsi="Arial" w:cs="Arial"/>
          <w:sz w:val="22"/>
        </w:rPr>
        <w:t>Más de 20.000: protección civil, atención social inmediata, incendios, instalaciones deportivas.</w:t>
      </w:r>
    </w:p>
    <w:p>
      <w:pPr>
        <w:pStyle w:val="ListBullet"/>
      </w:pPr>
      <w:r>
        <w:rPr>
          <w:rFonts w:ascii="Arial" w:hAnsi="Arial" w:cs="Arial"/>
          <w:sz w:val="22"/>
        </w:rPr>
        <w:t>Más de 50.000: transporte urbano y medio ambiente urbano.</w:t>
      </w:r>
    </w:p>
    <w:p>
      <w:pPr>
        <w:pStyle w:val="ListBullet"/>
      </w:pPr>
      <w:r>
        <w:rPr>
          <w:rFonts w:ascii="Arial" w:hAnsi="Arial" w:cs="Arial"/>
          <w:sz w:val="22"/>
        </w:rPr>
        <w:t>Delegación municipal: mínimo cinco años y financiación; requiere aceptación.</w:t>
      </w:r>
    </w:p>
    <w:p>
      <w:pPr>
        <w:pStyle w:val="ListBullet"/>
      </w:pPr>
      <w:r>
        <w:rPr>
          <w:rFonts w:ascii="Arial" w:hAnsi="Arial" w:cs="Arial"/>
          <w:sz w:val="22"/>
        </w:rPr>
        <w:t>Nueva letra 25.2.p): comunidades energéticas, eficiencia, electrificación y autoconsumo.</w:t>
      </w:r>
    </w:p>
    <w:p>
      <w:pPr>
        <w:pStyle w:val="ListBullet"/>
      </w:pPr>
      <w:r>
        <w:rPr>
          <w:rFonts w:ascii="Arial" w:hAnsi="Arial" w:cs="Arial"/>
          <w:sz w:val="22"/>
        </w:rPr>
        <w:t>Provincia: entidad local, agrupación municipal y división territorial estatal.</w:t>
      </w:r>
    </w:p>
    <w:p>
      <w:pPr>
        <w:pStyle w:val="ListBullet"/>
      </w:pPr>
      <w:r>
        <w:rPr>
          <w:rFonts w:ascii="Arial" w:hAnsi="Arial" w:cs="Arial"/>
          <w:sz w:val="22"/>
        </w:rPr>
        <w:t>Límites provinciales: ley orgánica.</w:t>
      </w:r>
    </w:p>
    <w:p>
      <w:pPr>
        <w:pStyle w:val="ListBullet"/>
      </w:pPr>
      <w:r>
        <w:rPr>
          <w:rFonts w:ascii="Arial" w:hAnsi="Arial" w:cs="Arial"/>
          <w:sz w:val="22"/>
        </w:rPr>
        <w:t>Órganos de toda Diputación: presidente, vicepresidentes, Junta y Pleno.</w:t>
      </w:r>
    </w:p>
    <w:p>
      <w:pPr>
        <w:pStyle w:val="ListBullet"/>
      </w:pPr>
      <w:r>
        <w:rPr>
          <w:rFonts w:ascii="Arial" w:hAnsi="Arial" w:cs="Arial"/>
          <w:sz w:val="22"/>
        </w:rPr>
        <w:t>Menos de 1.000: Diputación garantiza secretaría e intervención.</w:t>
      </w:r>
    </w:p>
    <w:p>
      <w:pPr>
        <w:pStyle w:val="ListBullet"/>
      </w:pPr>
      <w:r>
        <w:rPr>
          <w:rFonts w:ascii="Arial" w:hAnsi="Arial" w:cs="Arial"/>
          <w:sz w:val="22"/>
        </w:rPr>
        <w:t>Menos de 5.000: tratamiento de residuos provincial si el municipio no lo presta.</w:t>
      </w:r>
    </w:p>
    <w:p>
      <w:pPr>
        <w:pStyle w:val="ListBullet"/>
      </w:pPr>
      <w:r>
        <w:rPr>
          <w:rFonts w:ascii="Arial" w:hAnsi="Arial" w:cs="Arial"/>
          <w:sz w:val="22"/>
        </w:rPr>
        <w:t>Menos de 20.000: incendios provincial si el municipio no los presta; apoyo recaudatorio, financiero, electrónico y de contratación.</w:t>
      </w:r>
    </w:p>
    <w:p>
      <w:pPr>
        <w:pStyle w:val="ListBullet"/>
      </w:pPr>
      <w:r>
        <w:rPr>
          <w:rFonts w:ascii="Arial" w:hAnsi="Arial" w:cs="Arial"/>
          <w:sz w:val="22"/>
        </w:rPr>
        <w:t>Formentera: senador propio desde la primera elección posterior a la reforma de 2026.</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G09</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(5).</w:t>
      </w:r>
    </w:p>
    <w:p>
      <w:pPr>
        <w:jc w:val="both"/>
      </w:pPr>
      <w:r>
        <w:rPr>
          <w:rFonts w:ascii="Arial" w:hAnsi="Arial" w:cs="Arial"/>
          <w:b/>
          <w:sz w:val="22"/>
        </w:rPr>
        <w:t>Artículos o preceptos más repetidos:</w:t>
      </w:r>
      <w:r>
        <w:rPr>
          <w:rFonts w:ascii="Arial" w:hAnsi="Arial" w:cs="Arial"/>
          <w:sz w:val="22"/>
        </w:rPr>
        <w:t xml:space="preserve"> 153 (1); 148 (1); 146 (1); 157 (1); 155 (1).</w:t>
      </w:r>
    </w:p>
    <w:p>
      <w:pPr>
        <w:jc w:val="both"/>
      </w:pPr>
      <w:r>
        <w:rPr>
          <w:rFonts w:ascii="Arial" w:hAnsi="Arial" w:cs="Arial"/>
          <w:b/>
          <w:sz w:val="22"/>
        </w:rPr>
        <w:t>Formas de pregunta predominantes:</w:t>
      </w:r>
      <w:r>
        <w:rPr>
          <w:rFonts w:ascii="Arial" w:hAnsi="Arial" w:cs="Arial"/>
          <w:sz w:val="22"/>
        </w:rPr>
        <w:t xml:space="preserve"> Artículos literales (2); Órganos (1); Competencias (1); Requisitos (1).</w:t>
      </w:r>
    </w:p>
    <w:p>
      <w:pPr>
        <w:pStyle w:val="Heading2"/>
        <w:keepNext/>
      </w:pPr>
      <w:r>
        <w:rPr>
          <w:rFonts w:ascii="Arial" w:hAnsi="Arial" w:cs="Arial"/>
          <w:sz w:val="25"/>
        </w:rPr>
        <w:t>Patrones observados</w:t>
      </w:r>
    </w:p>
    <w:p>
      <w:pPr>
        <w:pStyle w:val="ListBullet"/>
      </w:pPr>
      <w:r>
        <w:rPr>
          <w:rFonts w:ascii="Arial" w:hAnsi="Arial" w:cs="Arial"/>
          <w:b/>
          <w:sz w:val="22"/>
        </w:rPr>
        <w:t>2024, teoría 9:</w:t>
      </w:r>
      <w:r>
        <w:rPr>
          <w:rFonts w:ascii="Arial" w:hAnsi="Arial" w:cs="Arial"/>
          <w:sz w:val="22"/>
        </w:rPr>
        <w:t xml:space="preserve"> Según el artículo 153 de la Constitución Española, señale la respuesta INCORRECTA respeto al control de la actividad de los órganos de las comunidades autónomas:</w:t>
      </w:r>
    </w:p>
    <w:p>
      <w:pPr>
        <w:pStyle w:val="ListBullet"/>
      </w:pPr>
      <w:r>
        <w:rPr>
          <w:rFonts w:ascii="Arial" w:hAnsi="Arial" w:cs="Arial"/>
          <w:b/>
          <w:sz w:val="22"/>
        </w:rPr>
        <w:t>2025, teoría 9:</w:t>
      </w:r>
      <w:r>
        <w:rPr>
          <w:rFonts w:ascii="Arial" w:hAnsi="Arial" w:cs="Arial"/>
          <w:sz w:val="22"/>
        </w:rPr>
        <w:t xml:space="preserve"> De acuerdo con lo establecido en el artículo 148 de la Constitución Española, las Comunidades Autónomas podrán asumir competencias en las siguientes materias:</w:t>
      </w:r>
    </w:p>
    <w:p>
      <w:pPr>
        <w:pStyle w:val="ListBullet"/>
      </w:pPr>
      <w:r>
        <w:rPr>
          <w:rFonts w:ascii="Arial" w:hAnsi="Arial" w:cs="Arial"/>
          <w:b/>
          <w:sz w:val="22"/>
        </w:rPr>
        <w:t>2025, teoría 9:</w:t>
      </w:r>
      <w:r>
        <w:rPr>
          <w:rFonts w:ascii="Arial" w:hAnsi="Arial" w:cs="Arial"/>
          <w:sz w:val="22"/>
        </w:rPr>
        <w:t xml:space="preserve"> EI proyecto de Estatuto, conforme al artículo 146 de la Constitución Española:</w:t>
      </w:r>
    </w:p>
    <w:p>
      <w:pPr>
        <w:pStyle w:val="ListBullet"/>
      </w:pPr>
      <w:r>
        <w:rPr>
          <w:rFonts w:ascii="Arial" w:hAnsi="Arial" w:cs="Arial"/>
          <w:b/>
          <w:sz w:val="22"/>
        </w:rPr>
        <w:t>2025, teoría 9:</w:t>
      </w:r>
      <w:r>
        <w:rPr>
          <w:rFonts w:ascii="Arial" w:hAnsi="Arial" w:cs="Arial"/>
          <w:sz w:val="22"/>
        </w:rPr>
        <w:t xml:space="preserve"> Indique cuál de los siguientes NO es un recurso financiero de las Comunidades Autónomas, de acuerdo con lo establecido en el artículo 157 de la Constitución Española:</w:t>
      </w:r>
    </w:p>
    <w:p>
      <w:pPr>
        <w:pStyle w:val="ListBullet"/>
      </w:pPr>
      <w:r>
        <w:rPr>
          <w:rFonts w:ascii="Arial" w:hAnsi="Arial" w:cs="Arial"/>
          <w:b/>
          <w:sz w:val="22"/>
        </w:rPr>
        <w:t>2026, teoría 13:</w:t>
      </w:r>
      <w:r>
        <w:rPr>
          <w:rFonts w:ascii="Arial" w:hAnsi="Arial" w:cs="Arial"/>
          <w:sz w:val="22"/>
        </w:rPr>
        <w:t xml:space="preserve"> Según eI artículo 155 de la Constitución Española, ¿Qué requisito es imprescindible para que el Gobierno pueda adoptar las medidas necesarias para obligar a una comunidad autónoma al cumplimiento forzoso de…</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vigente desde la reforma de 19 de mayo de 2026: https://www.boe.es/buscar/act.php?id=BOE-A-1978-31229</w:t>
      </w:r>
    </w:p>
    <w:p>
      <w:pPr>
        <w:pStyle w:val="ListBullet"/>
        <w:ind w:left="397" w:hanging="198"/>
      </w:pPr>
      <w:r>
        <w:rPr>
          <w:rFonts w:ascii="Arial" w:hAnsi="Arial" w:cs="Arial"/>
          <w:sz w:val="18"/>
        </w:rPr>
        <w:t>Reforma del apartado 3 del artículo 69 de la Constitución Española, de 19 de mayo de 2026: https://www.boe.es/buscar/doc.php?id=BOE-A-2026-10881</w:t>
      </w:r>
    </w:p>
    <w:p>
      <w:pPr>
        <w:pStyle w:val="ListBullet"/>
        <w:ind w:left="397" w:hanging="198"/>
      </w:pPr>
      <w:r>
        <w:rPr>
          <w:rFonts w:ascii="Arial" w:hAnsi="Arial" w:cs="Arial"/>
          <w:sz w:val="18"/>
        </w:rPr>
        <w:t>Ley Orgánica 2/2026, de 30 de junio, de adaptación de la LOREG a la reforma del artículo 69.3: https://www.boe.es/buscar/doc.php?id=BOE-A-2026-14329</w:t>
      </w:r>
    </w:p>
    <w:p>
      <w:pPr>
        <w:pStyle w:val="ListBullet"/>
        <w:ind w:left="397" w:hanging="198"/>
      </w:pPr>
      <w:r>
        <w:rPr>
          <w:rFonts w:ascii="Arial" w:hAnsi="Arial" w:cs="Arial"/>
          <w:sz w:val="18"/>
        </w:rPr>
        <w:t>Ley 7/1985, de 2 de abril, Reguladora de las Bases del Régimen Local, texto consolidado: https://www.boe.es/buscar/act.php?id=BOE-A-1985-5392</w:t>
      </w:r>
    </w:p>
    <w:p>
      <w:pPr>
        <w:pStyle w:val="ListBullet"/>
        <w:ind w:left="397" w:hanging="198"/>
      </w:pPr>
      <w:r>
        <w:rPr>
          <w:rFonts w:ascii="Arial" w:hAnsi="Arial" w:cs="Arial"/>
          <w:sz w:val="18"/>
        </w:rPr>
        <w:t>Real Decreto-ley 7/2026, de 20 de marzo, que añadió la letra p) al artículo 25.2 LBRL: https://www.boe.es/buscar/doc.php?id=BOE-A-2026-6544</w:t>
      </w:r>
    </w:p>
    <w:p>
      <w:pPr>
        <w:pStyle w:val="ListBullet"/>
        <w:ind w:left="397" w:hanging="198"/>
      </w:pPr>
      <w:r>
        <w:rPr>
          <w:rFonts w:ascii="Arial" w:hAnsi="Arial" w:cs="Arial"/>
          <w:sz w:val="18"/>
        </w:rPr>
        <w:t>Real Decreto Legislativo 781/1986, de 18 de abril, texto refundido de disposiciones vigentes en régimen local: https://www.boe.es/buscar/act.php?id=BOE-A-1986-9865</w:t>
      </w:r>
    </w:p>
    <w:p>
      <w:pPr>
        <w:pStyle w:val="ListBullet"/>
        <w:ind w:left="397" w:hanging="198"/>
      </w:pPr>
      <w:r>
        <w:rPr>
          <w:rFonts w:ascii="Arial" w:hAnsi="Arial" w:cs="Arial"/>
          <w:sz w:val="18"/>
        </w:rPr>
        <w:t>Ley Orgánica 8/1980, de 22 de septiembre, de Financiación de las Comunidades Autónomas: https://www.boe.es/buscar/act.php?id=BOE-A-1980-21166</w:t>
      </w:r>
    </w:p>
    <w:p>
      <w:pPr>
        <w:pStyle w:val="ListBullet"/>
        <w:ind w:left="397" w:hanging="198"/>
      </w:pPr>
      <w:r>
        <w:rPr>
          <w:rFonts w:ascii="Arial" w:hAnsi="Arial" w:cs="Arial"/>
          <w:sz w:val="18"/>
        </w:rPr>
        <w:t>Ley Orgánica 2/1979, de 3 de octubre, del Tribunal Constitucional: https://www.boe.es/buscar/act.php?id=BOE-A-1979-23709</w:t>
      </w:r>
    </w:p>
    <w:p>
      <w:pPr>
        <w:pStyle w:val="ListBullet"/>
        <w:ind w:left="397" w:hanging="198"/>
      </w:pPr>
      <w:r>
        <w:rPr>
          <w:rFonts w:ascii="Arial" w:hAnsi="Arial" w:cs="Arial"/>
          <w:sz w:val="18"/>
        </w:rPr>
        <w:t>Real Decreto Legislativo 2/2004, de 5 de marzo, texto refundido de la Ley Reguladora de las Haciendas Locales: https://www.boe.es/buscar/act.php?id=BOE-A-2004-4214</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G09 · Tema 9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9. La organización territorial del Estado. Las Comunidades Autónomas. Los Estatutos de Autonomía. La delimitación de competencias entre el Estad…</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