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40" w:after="80"/>
      </w:pPr>
      <w:r>
        <w:rPr>
          <w:rFonts w:ascii="Arial" w:hAnsi="Arial" w:cs="Arial"/>
          <w:b/>
          <w:color w:val="2F75B5"/>
          <w:sz w:val="18"/>
        </w:rPr>
        <w:t>TEMARIO ESPECÍFICO SEGURIDAD SOCIAL</w:t>
      </w:r>
    </w:p>
    <w:p>
      <w:pPr>
        <w:spacing w:before="0" w:after="160"/>
      </w:pPr>
      <w:r>
        <w:rPr>
          <w:rFonts w:ascii="Arial" w:hAnsi="Arial" w:cs="Arial"/>
          <w:b/>
          <w:color w:val="1F4E79"/>
          <w:sz w:val="26"/>
        </w:rPr>
        <w:t>TEMA 1</w:t>
      </w:r>
    </w:p>
    <w:p>
      <w:pPr>
        <w:keepNext/>
        <w:spacing w:before="0" w:after="280"/>
        <w:pBdr>
          <w:bottom w:val="single" w:sz="12" w:space="1" w:color="2F75B5"/>
        </w:pBdr>
      </w:pPr>
      <w:r>
        <w:rPr>
          <w:rFonts w:ascii="Arial" w:hAnsi="Arial" w:cs="Arial"/>
          <w:b/>
          <w:color w:val="17365D"/>
          <w:sz w:val="40"/>
        </w:rPr>
        <w:t>La Seguridad Social en la Constitución española de 1978. El texto refundido de la Ley General de la Seguridad Social.</w:t>
      </w:r>
    </w:p>
    <w:p>
      <w:pPr>
        <w:spacing w:before="0" w:after="40"/>
      </w:pPr>
      <w:r>
        <w:rPr>
          <w:rFonts w:ascii="Arial" w:hAnsi="Arial" w:cs="Arial"/>
          <w:b/>
          <w:color w:val="333333"/>
          <w:sz w:val="19"/>
        </w:rPr>
        <w:t xml:space="preserve">Cuerpo: </w:t>
      </w:r>
      <w:r>
        <w:rPr>
          <w:rFonts w:ascii="Arial" w:hAnsi="Arial" w:cs="Arial"/>
          <w:color w:val="333333"/>
          <w:sz w:val="19"/>
        </w:rPr>
        <w:t>Cuerpo Administrativo de la Administración de la Seguridad Social</w:t>
      </w:r>
    </w:p>
    <w:p>
      <w:pPr>
        <w:spacing w:before="0" w:after="40"/>
      </w:pPr>
      <w:r>
        <w:rPr>
          <w:rFonts w:ascii="Arial" w:hAnsi="Arial" w:cs="Arial"/>
          <w:b/>
          <w:color w:val="333333"/>
          <w:sz w:val="19"/>
        </w:rPr>
        <w:t xml:space="preserve">Subgrupo y acceso: </w:t>
      </w:r>
      <w:r>
        <w:rPr>
          <w:rFonts w:ascii="Arial" w:hAnsi="Arial" w:cs="Arial"/>
          <w:color w:val="333333"/>
          <w:sz w:val="19"/>
        </w:rPr>
        <w:t>C1 · sistema general de acceso libre</w:t>
      </w:r>
    </w:p>
    <w:p>
      <w:pPr>
        <w:spacing w:before="0" w:after="40"/>
      </w:pPr>
      <w:r>
        <w:rPr>
          <w:rFonts w:ascii="Arial" w:hAnsi="Arial" w:cs="Arial"/>
          <w:b/>
          <w:color w:val="333333"/>
          <w:sz w:val="19"/>
        </w:rPr>
        <w:t xml:space="preserve">Actualización: </w:t>
      </w:r>
      <w:r>
        <w:rPr>
          <w:rFonts w:ascii="Arial" w:hAnsi="Arial" w:cs="Arial"/>
          <w:color w:val="333333"/>
          <w:sz w:val="19"/>
        </w:rPr>
        <w:t>30 de julio de 2026</w:t>
      </w:r>
    </w:p>
    <w:p>
      <w:pPr>
        <w:spacing w:before="0" w:after="40"/>
      </w:pPr>
      <w:r>
        <w:rPr>
          <w:rFonts w:ascii="Arial" w:hAnsi="Arial" w:cs="Arial"/>
          <w:b/>
          <w:color w:val="333333"/>
          <w:sz w:val="19"/>
        </w:rPr>
        <w:t xml:space="preserve">Programa: </w:t>
      </w:r>
      <w:r>
        <w:rPr>
          <w:rFonts w:ascii="Arial" w:hAnsi="Arial" w:cs="Arial"/>
          <w:color w:val="333333"/>
          <w:sz w:val="19"/>
        </w:rPr>
        <w:t>Anexo I de la Resolución de 22 de diciembre de 2025</w:t>
      </w:r>
    </w:p>
    <w:p>
      <w:pPr>
        <w:spacing w:before="320" w:after="100"/>
      </w:pPr>
      <w:r>
        <w:rPr>
          <w:rFonts w:ascii="Arial" w:hAnsi="Arial" w:cs="Arial"/>
          <w:b/>
          <w:color w:val="1F4E79"/>
          <w:sz w:val="17"/>
        </w:rPr>
        <w:t>AVISO DE PROPIEDAD INTELECTUAL</w:t>
      </w:r>
    </w:p>
    <w:p>
      <w:pPr>
        <w:spacing w:before="0" w:after="60" w:line="240" w:lineRule="auto"/>
        <w:ind w:left="198" w:right="198"/>
        <w:shd w:fill="F2F4F7"/>
      </w:pPr>
      <w:r>
        <w:rPr>
          <w:rFonts w:ascii="Arial" w:hAnsi="Arial" w:cs="Arial"/>
          <w:b/>
          <w:color w:val="333333"/>
          <w:sz w:val="16"/>
        </w:rPr>
        <w:t>© 2026 ACADEMIA LORMAN. Todos los derechos reservados.</w:t>
      </w:r>
    </w:p>
    <w:p>
      <w:pPr>
        <w:spacing w:before="0" w:after="60" w:line="240" w:lineRule="auto"/>
        <w:ind w:left="198" w:right="198"/>
        <w:shd w:fill="F2F4F7"/>
      </w:pPr>
      <w:r>
        <w:rPr>
          <w:rFonts w:ascii="Arial" w:hAnsi="Arial" w:cs="Arial"/>
          <w:b w:val="0"/>
          <w:color w:val="333333"/>
          <w:sz w:val="16"/>
        </w:rPr>
        <w:t>Material protegido por el Real Decreto Legislativo 1/1996, de 12 de abril, por el que se aprueba el texto refundido de la Ley de Propiedad Intelectual.</w:t>
      </w:r>
    </w:p>
    <w:p>
      <w:pPr>
        <w:spacing w:before="0" w:after="60" w:line="240" w:lineRule="auto"/>
        <w:ind w:left="198" w:right="198"/>
        <w:shd w:fill="F2F4F7"/>
      </w:pPr>
      <w:r>
        <w:rPr>
          <w:rFonts w:ascii="Arial" w:hAnsi="Arial" w:cs="Arial"/>
          <w:b w:val="0"/>
          <w:color w:val="333333"/>
          <w:sz w:val="16"/>
        </w:rPr>
        <w:t>Queda prohibida su reproducción, distribución, comunicación pública, modificación, venta, cesión, publicación o difusión, total o parcial, sin autorización previa y por escrito de su titular.</w:t>
      </w:r>
    </w:p>
    <w:p>
      <w:pPr>
        <w:spacing w:before="0" w:after="60" w:line="240" w:lineRule="auto"/>
        <w:ind w:left="198" w:right="198"/>
        <w:shd w:fill="F2F4F7"/>
      </w:pPr>
      <w:r>
        <w:rPr>
          <w:rFonts w:ascii="Arial" w:hAnsi="Arial" w:cs="Arial"/>
          <w:b w:val="0"/>
          <w:color w:val="333333"/>
          <w:sz w:val="16"/>
        </w:rPr>
        <w:t>No está permitida su publicación en páginas web, plataformas digitales, redes sociales, grupos de mensajería, aplicaciones, repositorios o servicios de intercambio de archivos.</w:t>
      </w:r>
    </w:p>
    <w:p>
      <w:r>
        <w:br w:type="page"/>
      </w:r>
    </w:p>
    <w:p>
      <w:pPr>
        <w:spacing w:after="100"/>
        <w:ind w:left="340" w:right="227"/>
        <w:shd w:fill="EAF2F8"/>
      </w:pPr>
      <w:r>
        <w:rPr>
          <w:rFonts w:ascii="Arial" w:hAnsi="Arial" w:cs="Arial"/>
          <w:b/>
          <w:sz w:val="20"/>
        </w:rPr>
        <w:t>Contenido actualizado y revisado a fecha de 30 de julio de 2026.</w:t>
      </w:r>
    </w:p>
    <w:p>
      <w:pPr>
        <w:jc w:val="both"/>
      </w:pPr>
      <w:r>
        <w:rPr>
          <w:rFonts w:ascii="Arial" w:hAnsi="Arial" w:cs="Arial"/>
          <w:sz w:val="22"/>
        </w:rPr>
        <w:t xml:space="preserve">La Seguridad Social es un sistema público de protección frente a situaciones de necesidad. Su fundamento constitucional principal está en el artículo 41 de la Constitución —CE— y su norma legal vertebradora es el texto refundido de la Ley General de la Seguridad Social —TRLGSS—, aprobado por Real Decreto Legislativo 8/2015, de 30 de octubre. La exposición integra el marco constitucional, las fuentes, principios, estructura y contenido del texto refundido y la organización administrativa vigente a </w:t>
      </w:r>
      <w:r>
        <w:rPr>
          <w:rFonts w:ascii="Arial" w:hAnsi="Arial" w:cs="Arial"/>
          <w:b/>
          <w:sz w:val="22"/>
        </w:rPr>
        <w:t>30 de julio de 2026</w:t>
      </w:r>
      <w:r>
        <w:rPr>
          <w:rFonts w:ascii="Arial" w:hAnsi="Arial" w:cs="Arial"/>
          <w:sz w:val="22"/>
        </w:rPr>
        <w:t>, incluida la reforma del Real Decreto 616/2026.</w:t>
      </w:r>
    </w:p>
    <w:p>
      <w:pPr>
        <w:pStyle w:val="Heading1"/>
        <w:keepNext/>
      </w:pPr>
      <w:r>
        <w:rPr>
          <w:rFonts w:ascii="Arial" w:hAnsi="Arial" w:cs="Arial"/>
          <w:sz w:val="30"/>
        </w:rPr>
        <w:t>1. El artículo 41 de la Constitución</w:t>
      </w:r>
    </w:p>
    <w:p>
      <w:pPr>
        <w:jc w:val="both"/>
      </w:pPr>
      <w:r>
        <w:rPr>
          <w:rFonts w:ascii="Arial" w:hAnsi="Arial" w:cs="Arial"/>
          <w:sz w:val="22"/>
        </w:rPr>
        <w:t>El artículo 41 dispone:</w:t>
      </w:r>
    </w:p>
    <w:p>
      <w:pPr>
        <w:spacing w:after="100"/>
        <w:ind w:left="340" w:right="227"/>
        <w:shd w:fill="EAF2F8"/>
      </w:pPr>
      <w:r>
        <w:rPr>
          <w:rFonts w:ascii="Arial" w:hAnsi="Arial" w:cs="Arial"/>
          <w:sz w:val="20"/>
        </w:rPr>
        <w:t>Los poderes públicos mantendrán un régimen público de Seguridad Social para todos los ciudadanos, que garantice la asistencia y prestaciones sociales suficientes ante situaciones de necesidad, especialmente en caso de desempleo. La asistencia y prestaciones complementarias serán libres.</w:t>
      </w:r>
    </w:p>
    <w:p>
      <w:pPr>
        <w:jc w:val="both"/>
      </w:pPr>
      <w:r>
        <w:rPr>
          <w:rFonts w:ascii="Arial" w:hAnsi="Arial" w:cs="Arial"/>
          <w:sz w:val="22"/>
        </w:rPr>
        <w:t>De esta formulación se extraen cinco mandatos:</w:t>
      </w:r>
    </w:p>
    <w:p>
      <w:pPr>
        <w:spacing w:after="40"/>
        <w:ind w:left="369" w:hanging="227"/>
      </w:pPr>
      <w:r>
        <w:rPr>
          <w:rFonts w:ascii="Arial" w:hAnsi="Arial" w:cs="Arial"/>
          <w:sz w:val="22"/>
        </w:rPr>
        <w:t xml:space="preserve">1. </w:t>
      </w:r>
      <w:r>
        <w:rPr>
          <w:rFonts w:ascii="Arial" w:hAnsi="Arial" w:cs="Arial"/>
          <w:b/>
          <w:sz w:val="22"/>
        </w:rPr>
        <w:t>Responsabilidad de los poderes públicos.</w:t>
      </w:r>
      <w:r>
        <w:rPr>
          <w:rFonts w:ascii="Arial" w:hAnsi="Arial" w:cs="Arial"/>
          <w:sz w:val="22"/>
        </w:rPr>
        <w:t xml:space="preserve"> No basta una protección enteramente privada o voluntaria.</w:t>
      </w:r>
    </w:p>
    <w:p>
      <w:pPr>
        <w:spacing w:after="40"/>
        <w:ind w:left="369" w:hanging="227"/>
      </w:pPr>
      <w:r>
        <w:rPr>
          <w:rFonts w:ascii="Arial" w:hAnsi="Arial" w:cs="Arial"/>
          <w:sz w:val="22"/>
        </w:rPr>
        <w:t xml:space="preserve">2. </w:t>
      </w:r>
      <w:r>
        <w:rPr>
          <w:rFonts w:ascii="Arial" w:hAnsi="Arial" w:cs="Arial"/>
          <w:b/>
          <w:sz w:val="22"/>
        </w:rPr>
        <w:t>Régimen público.</w:t>
      </w:r>
      <w:r>
        <w:rPr>
          <w:rFonts w:ascii="Arial" w:hAnsi="Arial" w:cs="Arial"/>
          <w:sz w:val="22"/>
        </w:rPr>
        <w:t xml:space="preserve"> La ley puede articular colaboración privada, pero debe conservarse un sistema público reconocible, gobernado y garantizado públicamente.</w:t>
      </w:r>
    </w:p>
    <w:p>
      <w:pPr>
        <w:spacing w:after="40"/>
        <w:ind w:left="369" w:hanging="227"/>
      </w:pPr>
      <w:r>
        <w:rPr>
          <w:rFonts w:ascii="Arial" w:hAnsi="Arial" w:cs="Arial"/>
          <w:sz w:val="22"/>
        </w:rPr>
        <w:t xml:space="preserve">3. </w:t>
      </w:r>
      <w:r>
        <w:rPr>
          <w:rFonts w:ascii="Arial" w:hAnsi="Arial" w:cs="Arial"/>
          <w:b/>
          <w:sz w:val="22"/>
        </w:rPr>
        <w:t>Vocación universal.</w:t>
      </w:r>
      <w:r>
        <w:rPr>
          <w:rFonts w:ascii="Arial" w:hAnsi="Arial" w:cs="Arial"/>
          <w:sz w:val="22"/>
        </w:rPr>
        <w:t xml:space="preserve"> La expresión «todos los ciudadanos» supera el modelo estrictamente profesional vinculado solo al trabajador asalariado.</w:t>
      </w:r>
    </w:p>
    <w:p>
      <w:pPr>
        <w:spacing w:after="40"/>
        <w:ind w:left="369" w:hanging="227"/>
      </w:pPr>
      <w:r>
        <w:rPr>
          <w:rFonts w:ascii="Arial" w:hAnsi="Arial" w:cs="Arial"/>
          <w:sz w:val="22"/>
        </w:rPr>
        <w:t xml:space="preserve">4. </w:t>
      </w:r>
      <w:r>
        <w:rPr>
          <w:rFonts w:ascii="Arial" w:hAnsi="Arial" w:cs="Arial"/>
          <w:b/>
          <w:sz w:val="22"/>
        </w:rPr>
        <w:t>Suficiencia frente a necesidad.</w:t>
      </w:r>
      <w:r>
        <w:rPr>
          <w:rFonts w:ascii="Arial" w:hAnsi="Arial" w:cs="Arial"/>
          <w:sz w:val="22"/>
        </w:rPr>
        <w:t xml:space="preserve"> La acción protectora debe responder adecuadamente a contingencias y situaciones legalmente delimitadas.</w:t>
      </w:r>
    </w:p>
    <w:p>
      <w:pPr>
        <w:spacing w:after="40"/>
        <w:ind w:left="369" w:hanging="227"/>
      </w:pPr>
      <w:r>
        <w:rPr>
          <w:rFonts w:ascii="Arial" w:hAnsi="Arial" w:cs="Arial"/>
          <w:sz w:val="22"/>
        </w:rPr>
        <w:t xml:space="preserve">5. </w:t>
      </w:r>
      <w:r>
        <w:rPr>
          <w:rFonts w:ascii="Arial" w:hAnsi="Arial" w:cs="Arial"/>
          <w:b/>
          <w:sz w:val="22"/>
        </w:rPr>
        <w:t>Libertad de complementación.</w:t>
      </w:r>
      <w:r>
        <w:rPr>
          <w:rFonts w:ascii="Arial" w:hAnsi="Arial" w:cs="Arial"/>
          <w:sz w:val="22"/>
        </w:rPr>
        <w:t xml:space="preserve"> La previsión social complementaria —planes, seguros o mejoras voluntarias— puede coexistir con el nivel público sin sustituirlo.</w:t>
      </w:r>
    </w:p>
    <w:p>
      <w:pPr>
        <w:jc w:val="both"/>
      </w:pPr>
      <w:r>
        <w:rPr>
          <w:rFonts w:ascii="Arial" w:hAnsi="Arial" w:cs="Arial"/>
          <w:sz w:val="22"/>
        </w:rPr>
        <w:t>El desempleo aparece destacado, pero no es la única contingencia constitucionalmente protegida. Enfermedad, nacimiento y cuidado, incapacidad, jubilación, muerte y supervivencia, cargas familiares o carencia de ingresos integran, en los términos legales, el sistema.</w:t>
      </w:r>
    </w:p>
    <w:p>
      <w:pPr>
        <w:pStyle w:val="Heading2"/>
        <w:keepNext/>
      </w:pPr>
      <w:r>
        <w:rPr>
          <w:rFonts w:ascii="Arial" w:hAnsi="Arial" w:cs="Arial"/>
          <w:sz w:val="25"/>
        </w:rPr>
        <w:t>1.1. Naturaleza jurídica</w:t>
      </w:r>
    </w:p>
    <w:p>
      <w:pPr>
        <w:jc w:val="both"/>
      </w:pPr>
      <w:r>
        <w:rPr>
          <w:rFonts w:ascii="Arial" w:hAnsi="Arial" w:cs="Arial"/>
          <w:sz w:val="22"/>
        </w:rPr>
        <w:t xml:space="preserve">El artículo 41 se sitúa en el </w:t>
      </w:r>
      <w:r>
        <w:rPr>
          <w:rFonts w:ascii="Arial" w:hAnsi="Arial" w:cs="Arial"/>
          <w:b/>
          <w:sz w:val="22"/>
        </w:rPr>
        <w:t>capítulo III del título I</w:t>
      </w:r>
      <w:r>
        <w:rPr>
          <w:rFonts w:ascii="Arial" w:hAnsi="Arial" w:cs="Arial"/>
          <w:sz w:val="22"/>
        </w:rPr>
        <w:t>, «De los principios rectores de la política social y económica». No es un derecho fundamental de la sección primera ni disfruta directamente del recurso de amparo o del procedimiento preferente y sumario del artículo 53.2.</w:t>
      </w:r>
    </w:p>
    <w:p>
      <w:pPr>
        <w:jc w:val="both"/>
      </w:pPr>
      <w:r>
        <w:rPr>
          <w:rFonts w:ascii="Arial" w:hAnsi="Arial" w:cs="Arial"/>
          <w:sz w:val="22"/>
        </w:rPr>
        <w:t>Según el artículo 53.3:</w:t>
      </w:r>
    </w:p>
    <w:p>
      <w:pPr>
        <w:pStyle w:val="ListBullet"/>
      </w:pPr>
      <w:r>
        <w:rPr>
          <w:rFonts w:ascii="Arial" w:hAnsi="Arial" w:cs="Arial"/>
          <w:sz w:val="22"/>
        </w:rPr>
        <w:t>su reconocimiento, respeto y protección informan la legislación positiva, la práctica judicial y la actuación de los poderes públicos;</w:t>
      </w:r>
    </w:p>
    <w:p>
      <w:pPr>
        <w:pStyle w:val="ListBullet"/>
      </w:pPr>
      <w:r>
        <w:rPr>
          <w:rFonts w:ascii="Arial" w:hAnsi="Arial" w:cs="Arial"/>
          <w:sz w:val="22"/>
        </w:rPr>
        <w:t>solo puede alegarse ante la jurisdicción ordinaria conforme a las leyes que lo desarrollen.</w:t>
      </w:r>
    </w:p>
    <w:p>
      <w:pPr>
        <w:jc w:val="both"/>
      </w:pPr>
      <w:r>
        <w:rPr>
          <w:rFonts w:ascii="Arial" w:hAnsi="Arial" w:cs="Arial"/>
          <w:sz w:val="22"/>
        </w:rPr>
        <w:t>Esto no lo convierte en una declaración retórica. Vincula al legislador, orienta la interpretación y preserva un núcleo institucional público. Al mismo tiempo, deja un amplio margen para configurar requisitos, cuantías, compatibilidades, financiación y modalidades de protección, siempre que no se vacíe el mandato constitucional ni se infrinjan igualdad, seguridad jurídica u otros límites.</w:t>
      </w:r>
    </w:p>
    <w:p>
      <w:pPr>
        <w:jc w:val="both"/>
      </w:pPr>
      <w:r>
        <w:rPr>
          <w:rFonts w:ascii="Arial" w:hAnsi="Arial" w:cs="Arial"/>
          <w:sz w:val="22"/>
        </w:rPr>
        <w:t xml:space="preserve">Los derechos concretos a prestaciones nacen de la ley y del cumplimiento de sus requisitos. Por ello se habla de </w:t>
      </w:r>
      <w:r>
        <w:rPr>
          <w:rFonts w:ascii="Arial" w:hAnsi="Arial" w:cs="Arial"/>
          <w:b/>
          <w:sz w:val="22"/>
        </w:rPr>
        <w:t>derechos de configuración legal</w:t>
      </w:r>
      <w:r>
        <w:rPr>
          <w:rFonts w:ascii="Arial" w:hAnsi="Arial" w:cs="Arial"/>
          <w:sz w:val="22"/>
        </w:rPr>
        <w:t>: la Constitución garantiza el sistema y dirige su finalidad, mientras el legislador determina la posición jurídica individual.</w:t>
      </w:r>
    </w:p>
    <w:p>
      <w:pPr>
        <w:pStyle w:val="Heading2"/>
        <w:keepNext/>
      </w:pPr>
      <w:r>
        <w:rPr>
          <w:rFonts w:ascii="Arial" w:hAnsi="Arial" w:cs="Arial"/>
          <w:sz w:val="25"/>
        </w:rPr>
        <w:t>1.2. «Suficientes» y «situaciones de necesidad»</w:t>
      </w:r>
    </w:p>
    <w:p>
      <w:pPr>
        <w:jc w:val="both"/>
      </w:pPr>
      <w:r>
        <w:rPr>
          <w:rFonts w:ascii="Arial" w:hAnsi="Arial" w:cs="Arial"/>
          <w:sz w:val="22"/>
        </w:rPr>
        <w:t>La suficiencia no equivale a identidad entre prestación y salario anterior ni a una cuantía constitucionalmente fija. Debe valorarse según naturaleza de la contingencia, nivel contributivo o no contributivo, recursos disponibles, solidaridad y protección del mínimo digno. Las decisiones presupuestarias tienen margen, pero no pueden ser arbitrarias ni destruir el contenido del sistema.</w:t>
      </w:r>
    </w:p>
    <w:p>
      <w:pPr>
        <w:jc w:val="both"/>
      </w:pPr>
      <w:r>
        <w:rPr>
          <w:rFonts w:ascii="Arial" w:hAnsi="Arial" w:cs="Arial"/>
          <w:sz w:val="22"/>
        </w:rPr>
        <w:t>La «situación de necesidad» no exige siempre acreditar pobreza real. En el nivel contributivo la ley tipifica contingencias —por ejemplo, incapacidad temporal o jubilación— y presume o define jurídicamente la necesidad al concurrir requisitos de afiliación y cotización. En el nivel no contributivo sí adquieren especial relevancia residencia, carencia de rentas y demás condiciones legales.</w:t>
      </w:r>
    </w:p>
    <w:p>
      <w:pPr>
        <w:pStyle w:val="Heading2"/>
        <w:keepNext/>
      </w:pPr>
      <w:r>
        <w:rPr>
          <w:rFonts w:ascii="Arial" w:hAnsi="Arial" w:cs="Arial"/>
          <w:sz w:val="25"/>
        </w:rPr>
        <w:t>1.3. Régimen público y protección complementaria</w:t>
      </w:r>
    </w:p>
    <w:p>
      <w:pPr>
        <w:jc w:val="both"/>
      </w:pPr>
      <w:r>
        <w:rPr>
          <w:rFonts w:ascii="Arial" w:hAnsi="Arial" w:cs="Arial"/>
          <w:sz w:val="22"/>
        </w:rPr>
        <w:t xml:space="preserve">La última frase del artículo 41 significa que la asistencia y prestaciones </w:t>
      </w:r>
      <w:r>
        <w:rPr>
          <w:rFonts w:ascii="Arial" w:hAnsi="Arial" w:cs="Arial"/>
          <w:b/>
          <w:sz w:val="22"/>
        </w:rPr>
        <w:t>complementarias son libres</w:t>
      </w:r>
      <w:r>
        <w:rPr>
          <w:rFonts w:ascii="Arial" w:hAnsi="Arial" w:cs="Arial"/>
          <w:sz w:val="22"/>
        </w:rPr>
        <w:t>. El sistema público admite:</w:t>
      </w:r>
    </w:p>
    <w:p>
      <w:pPr>
        <w:pStyle w:val="ListBullet"/>
      </w:pPr>
      <w:r>
        <w:rPr>
          <w:rFonts w:ascii="Arial" w:hAnsi="Arial" w:cs="Arial"/>
          <w:sz w:val="22"/>
        </w:rPr>
        <w:t>mejoras voluntarias de prestaciones;</w:t>
      </w:r>
    </w:p>
    <w:p>
      <w:pPr>
        <w:pStyle w:val="ListBullet"/>
      </w:pPr>
      <w:r>
        <w:rPr>
          <w:rFonts w:ascii="Arial" w:hAnsi="Arial" w:cs="Arial"/>
          <w:sz w:val="22"/>
        </w:rPr>
        <w:t>mutualidades y seguros;</w:t>
      </w:r>
    </w:p>
    <w:p>
      <w:pPr>
        <w:pStyle w:val="ListBullet"/>
      </w:pPr>
      <w:r>
        <w:rPr>
          <w:rFonts w:ascii="Arial" w:hAnsi="Arial" w:cs="Arial"/>
          <w:sz w:val="22"/>
        </w:rPr>
        <w:t>planes y fondos de pensiones;</w:t>
      </w:r>
    </w:p>
    <w:p>
      <w:pPr>
        <w:pStyle w:val="ListBullet"/>
      </w:pPr>
      <w:r>
        <w:rPr>
          <w:rFonts w:ascii="Arial" w:hAnsi="Arial" w:cs="Arial"/>
          <w:sz w:val="22"/>
        </w:rPr>
        <w:t>compromisos empresariales por pensiones;</w:t>
      </w:r>
    </w:p>
    <w:p>
      <w:pPr>
        <w:pStyle w:val="ListBullet"/>
      </w:pPr>
      <w:r>
        <w:rPr>
          <w:rFonts w:ascii="Arial" w:hAnsi="Arial" w:cs="Arial"/>
          <w:sz w:val="22"/>
        </w:rPr>
        <w:t>ayudas adicionales de otras Administraciones dentro de sus competencias.</w:t>
      </w:r>
    </w:p>
    <w:p>
      <w:pPr>
        <w:jc w:val="both"/>
      </w:pPr>
      <w:r>
        <w:rPr>
          <w:rFonts w:ascii="Arial" w:hAnsi="Arial" w:cs="Arial"/>
          <w:sz w:val="22"/>
        </w:rPr>
        <w:t>No significa que toda prestación pública sea voluntaria ni que la afiliación al sistema pueda sustituirse libremente por un seguro privado. La complementariedad se añade al suelo público; no permite renunciar a obligaciones de encuadramiento o cotización.</w:t>
      </w:r>
    </w:p>
    <w:p>
      <w:pPr>
        <w:spacing w:after="100"/>
        <w:ind w:left="340" w:right="227"/>
        <w:shd w:fill="EAF2F8"/>
      </w:pPr>
      <w:r>
        <w:rPr>
          <w:rFonts w:ascii="Arial" w:hAnsi="Arial" w:cs="Arial"/>
          <w:b/>
          <w:sz w:val="20"/>
        </w:rPr>
        <w:t>Trampa frecuente:</w:t>
      </w:r>
      <w:r>
        <w:rPr>
          <w:rFonts w:ascii="Arial" w:hAnsi="Arial" w:cs="Arial"/>
          <w:sz w:val="20"/>
        </w:rPr>
        <w:t xml:space="preserve"> el artículo 41 no proclama que toda prestación sea universal e incondicionada; ordena un régimen público con vocación general cuya cobertura concreta configura la ley.</w:t>
      </w:r>
    </w:p>
    <w:p>
      <w:pPr>
        <w:pStyle w:val="Heading1"/>
        <w:keepNext/>
      </w:pPr>
      <w:r>
        <w:rPr>
          <w:rFonts w:ascii="Arial" w:hAnsi="Arial" w:cs="Arial"/>
          <w:sz w:val="30"/>
        </w:rPr>
        <w:t>2. Preceptos constitucionales concordantes</w:t>
      </w:r>
    </w:p>
    <w:p>
      <w:pPr>
        <w:pStyle w:val="Heading2"/>
        <w:keepNext/>
      </w:pPr>
      <w:r>
        <w:rPr>
          <w:rFonts w:ascii="Arial" w:hAnsi="Arial" w:cs="Arial"/>
          <w:sz w:val="25"/>
        </w:rPr>
        <w:t>2.1. Protección social material</w:t>
      </w:r>
    </w:p>
    <w:tbl>
      <w:tblPr>
        <w:tblStyle w:val="TableGrid"/>
        <w:tblW w:type="dxa" w:w="9026"/>
        <w:jc w:val="left"/>
        <w:tblLayout w:type="fixed"/>
        <w:tblLook w:firstColumn="1" w:firstRow="1" w:lastColumn="0" w:lastRow="0" w:noHBand="0" w:noVBand="1" w:val="04A0"/>
        <w:tblInd w:w="120" w:type="dxa"/>
      </w:tblPr>
      <w:tblGrid>
        <w:gridCol w:w="1289"/>
        <w:gridCol w:w="7737"/>
      </w:tblGrid>
      <w:tr>
        <w:trPr>
          <w:tblHeader w:val="true"/>
        </w:trPr>
        <w:tc>
          <w:tcPr>
            <w:tcW w:type="dxa" w:w="1289"/>
            <w:tcMar>
              <w:top w:w="80" w:type="dxa"/>
              <w:start w:w="120" w:type="dxa"/>
              <w:bottom w:w="80" w:type="dxa"/>
              <w:end w:w="120" w:type="dxa"/>
            </w:tcMar>
            <w:vAlign w:val="center"/>
            <w:shd w:fill="D9EAF7"/>
          </w:tcPr>
          <w:p>
            <w:pPr>
              <w:spacing w:before="0" w:after="0" w:line="240" w:lineRule="auto"/>
              <w:jc w:val="left"/>
            </w:pPr>
            <w:r>
              <w:rPr>
                <w:b/>
                <w:color w:val="17365D"/>
              </w:rPr>
            </w:r>
            <w:r>
              <w:rPr>
                <w:rFonts w:ascii="Arial" w:hAnsi="Arial" w:cs="Arial"/>
                <w:b/>
                <w:color w:val="17365D"/>
                <w:sz w:val="18"/>
              </w:rPr>
              <w:t>Precepto</w:t>
            </w:r>
          </w:p>
        </w:tc>
        <w:tc>
          <w:tcPr>
            <w:tcW w:type="dxa" w:w="7737"/>
            <w:tcMar>
              <w:top w:w="80" w:type="dxa"/>
              <w:start w:w="120" w:type="dxa"/>
              <w:bottom w:w="80" w:type="dxa"/>
              <w:end w:w="120" w:type="dxa"/>
            </w:tcMar>
            <w:vAlign w:val="center"/>
            <w:shd w:fill="D9EAF7"/>
          </w:tcPr>
          <w:p>
            <w:pPr>
              <w:spacing w:before="0" w:after="0" w:line="240" w:lineRule="auto"/>
              <w:jc w:val="left"/>
            </w:pPr>
            <w:r>
              <w:rPr>
                <w:b/>
                <w:color w:val="17365D"/>
              </w:rPr>
            </w:r>
            <w:r>
              <w:rPr>
                <w:rFonts w:ascii="Arial" w:hAnsi="Arial" w:cs="Arial"/>
                <w:b/>
                <w:color w:val="17365D"/>
                <w:sz w:val="18"/>
              </w:rPr>
              <w:t>Mandato relacionado</w:t>
            </w:r>
          </w:p>
        </w:tc>
      </w:tr>
      <w:tr>
        <w:tc>
          <w:tcPr>
            <w:tcW w:type="dxa" w:w="1289"/>
            <w:tcMar>
              <w:top w:w="80" w:type="dxa"/>
              <w:start w:w="120" w:type="dxa"/>
              <w:bottom w:w="80" w:type="dxa"/>
              <w:end w:w="120" w:type="dxa"/>
            </w:tcMar>
            <w:vAlign w:val="center"/>
          </w:tcPr>
          <w:p>
            <w:pPr>
              <w:spacing w:before="0" w:after="0" w:line="240" w:lineRule="auto"/>
              <w:jc w:val="left"/>
            </w:pPr>
            <w:r/>
            <w:r>
              <w:rPr>
                <w:rFonts w:ascii="Arial" w:hAnsi="Arial" w:cs="Arial"/>
                <w:sz w:val="18"/>
              </w:rPr>
              <w:t>Artículo 39</w:t>
            </w:r>
          </w:p>
        </w:tc>
        <w:tc>
          <w:tcPr>
            <w:tcW w:type="dxa" w:w="7737"/>
            <w:tcMar>
              <w:top w:w="80" w:type="dxa"/>
              <w:start w:w="120" w:type="dxa"/>
              <w:bottom w:w="80" w:type="dxa"/>
              <w:end w:w="120" w:type="dxa"/>
            </w:tcMar>
            <w:vAlign w:val="center"/>
          </w:tcPr>
          <w:p>
            <w:pPr>
              <w:spacing w:before="0" w:after="0" w:line="240" w:lineRule="auto"/>
              <w:jc w:val="left"/>
            </w:pPr>
            <w:r/>
            <w:r>
              <w:rPr>
                <w:rFonts w:ascii="Arial" w:hAnsi="Arial" w:cs="Arial"/>
                <w:sz w:val="18"/>
              </w:rPr>
              <w:t>Protección social, económica y jurídica de la familia y protección integral de hijos y madres</w:t>
            </w:r>
          </w:p>
        </w:tc>
      </w:tr>
      <w:tr>
        <w:tc>
          <w:tcPr>
            <w:tcW w:type="dxa" w:w="1289"/>
            <w:tcMar>
              <w:top w:w="80" w:type="dxa"/>
              <w:start w:w="120" w:type="dxa"/>
              <w:bottom w:w="80" w:type="dxa"/>
              <w:end w:w="120" w:type="dxa"/>
            </w:tcMar>
            <w:vAlign w:val="center"/>
          </w:tcPr>
          <w:p>
            <w:pPr>
              <w:spacing w:before="0" w:after="0" w:line="240" w:lineRule="auto"/>
              <w:jc w:val="left"/>
            </w:pPr>
            <w:r/>
            <w:r>
              <w:rPr>
                <w:rFonts w:ascii="Arial" w:hAnsi="Arial" w:cs="Arial"/>
                <w:sz w:val="18"/>
              </w:rPr>
              <w:t>Artículo 42</w:t>
            </w:r>
          </w:p>
        </w:tc>
        <w:tc>
          <w:tcPr>
            <w:tcW w:type="dxa" w:w="7737"/>
            <w:tcMar>
              <w:top w:w="80" w:type="dxa"/>
              <w:start w:w="120" w:type="dxa"/>
              <w:bottom w:w="80" w:type="dxa"/>
              <w:end w:w="120" w:type="dxa"/>
            </w:tcMar>
            <w:vAlign w:val="center"/>
          </w:tcPr>
          <w:p>
            <w:pPr>
              <w:spacing w:before="0" w:after="0" w:line="240" w:lineRule="auto"/>
              <w:jc w:val="left"/>
            </w:pPr>
            <w:r/>
            <w:r>
              <w:rPr>
                <w:rFonts w:ascii="Arial" w:hAnsi="Arial" w:cs="Arial"/>
                <w:sz w:val="18"/>
              </w:rPr>
              <w:t>Salvaguarda de derechos económicos y sociales de trabajadores españoles en el extranjero y orientación al retorno</w:t>
            </w:r>
          </w:p>
        </w:tc>
      </w:tr>
      <w:tr>
        <w:tc>
          <w:tcPr>
            <w:tcW w:type="dxa" w:w="1289"/>
            <w:tcMar>
              <w:top w:w="80" w:type="dxa"/>
              <w:start w:w="120" w:type="dxa"/>
              <w:bottom w:w="80" w:type="dxa"/>
              <w:end w:w="120" w:type="dxa"/>
            </w:tcMar>
            <w:vAlign w:val="center"/>
          </w:tcPr>
          <w:p>
            <w:pPr>
              <w:spacing w:before="0" w:after="0" w:line="240" w:lineRule="auto"/>
              <w:jc w:val="left"/>
            </w:pPr>
            <w:r/>
            <w:r>
              <w:rPr>
                <w:rFonts w:ascii="Arial" w:hAnsi="Arial" w:cs="Arial"/>
                <w:sz w:val="18"/>
              </w:rPr>
              <w:t>Artículo 43</w:t>
            </w:r>
          </w:p>
        </w:tc>
        <w:tc>
          <w:tcPr>
            <w:tcW w:type="dxa" w:w="7737"/>
            <w:tcMar>
              <w:top w:w="80" w:type="dxa"/>
              <w:start w:w="120" w:type="dxa"/>
              <w:bottom w:w="80" w:type="dxa"/>
              <w:end w:w="120" w:type="dxa"/>
            </w:tcMar>
            <w:vAlign w:val="center"/>
          </w:tcPr>
          <w:p>
            <w:pPr>
              <w:spacing w:before="0" w:after="0" w:line="240" w:lineRule="auto"/>
              <w:jc w:val="left"/>
            </w:pPr>
            <w:r/>
            <w:r>
              <w:rPr>
                <w:rFonts w:ascii="Arial" w:hAnsi="Arial" w:cs="Arial"/>
                <w:sz w:val="18"/>
              </w:rPr>
              <w:t>Derecho a la protección de la salud y organización pública de medidas, prestaciones y servicios</w:t>
            </w:r>
          </w:p>
        </w:tc>
      </w:tr>
      <w:tr>
        <w:tc>
          <w:tcPr>
            <w:tcW w:type="dxa" w:w="1289"/>
            <w:tcMar>
              <w:top w:w="80" w:type="dxa"/>
              <w:start w:w="120" w:type="dxa"/>
              <w:bottom w:w="80" w:type="dxa"/>
              <w:end w:w="120" w:type="dxa"/>
            </w:tcMar>
            <w:vAlign w:val="center"/>
          </w:tcPr>
          <w:p>
            <w:pPr>
              <w:spacing w:before="0" w:after="0" w:line="240" w:lineRule="auto"/>
              <w:jc w:val="left"/>
            </w:pPr>
            <w:r/>
            <w:r>
              <w:rPr>
                <w:rFonts w:ascii="Arial" w:hAnsi="Arial" w:cs="Arial"/>
                <w:sz w:val="18"/>
              </w:rPr>
              <w:t>Artículo 49</w:t>
            </w:r>
          </w:p>
        </w:tc>
        <w:tc>
          <w:tcPr>
            <w:tcW w:type="dxa" w:w="7737"/>
            <w:tcMar>
              <w:top w:w="80" w:type="dxa"/>
              <w:start w:w="120" w:type="dxa"/>
              <w:bottom w:w="80" w:type="dxa"/>
              <w:end w:w="120" w:type="dxa"/>
            </w:tcMar>
            <w:vAlign w:val="center"/>
          </w:tcPr>
          <w:p>
            <w:pPr>
              <w:spacing w:before="0" w:after="0" w:line="240" w:lineRule="auto"/>
              <w:jc w:val="left"/>
            </w:pPr>
            <w:r/>
            <w:r>
              <w:rPr>
                <w:rFonts w:ascii="Arial" w:hAnsi="Arial" w:cs="Arial"/>
                <w:sz w:val="18"/>
              </w:rPr>
              <w:t>Autonomía e inclusión social de las personas con discapacidad en entornos universalmente accesibles</w:t>
            </w:r>
          </w:p>
        </w:tc>
      </w:tr>
      <w:tr>
        <w:tc>
          <w:tcPr>
            <w:tcW w:type="dxa" w:w="1289"/>
            <w:tcMar>
              <w:top w:w="80" w:type="dxa"/>
              <w:start w:w="120" w:type="dxa"/>
              <w:bottom w:w="80" w:type="dxa"/>
              <w:end w:w="120" w:type="dxa"/>
            </w:tcMar>
            <w:vAlign w:val="center"/>
          </w:tcPr>
          <w:p>
            <w:pPr>
              <w:spacing w:before="0" w:after="0" w:line="240" w:lineRule="auto"/>
              <w:jc w:val="left"/>
            </w:pPr>
            <w:r/>
            <w:r>
              <w:rPr>
                <w:rFonts w:ascii="Arial" w:hAnsi="Arial" w:cs="Arial"/>
                <w:sz w:val="18"/>
              </w:rPr>
              <w:t>Artículo 50</w:t>
            </w:r>
          </w:p>
        </w:tc>
        <w:tc>
          <w:tcPr>
            <w:tcW w:type="dxa" w:w="7737"/>
            <w:tcMar>
              <w:top w:w="80" w:type="dxa"/>
              <w:start w:w="120" w:type="dxa"/>
              <w:bottom w:w="80" w:type="dxa"/>
              <w:end w:w="120" w:type="dxa"/>
            </w:tcMar>
            <w:vAlign w:val="center"/>
          </w:tcPr>
          <w:p>
            <w:pPr>
              <w:spacing w:before="0" w:after="0" w:line="240" w:lineRule="auto"/>
              <w:jc w:val="left"/>
            </w:pPr>
            <w:r/>
            <w:r>
              <w:rPr>
                <w:rFonts w:ascii="Arial" w:hAnsi="Arial" w:cs="Arial"/>
                <w:sz w:val="18"/>
              </w:rPr>
              <w:t>Pensiones adecuadas y periódicamente actualizadas y servicios sociales para el bienestar de las personas mayores</w:t>
            </w:r>
          </w:p>
        </w:tc>
      </w:tr>
    </w:tbl>
    <w:p>
      <w:pPr>
        <w:spacing w:after="40"/>
      </w:pPr>
    </w:p>
    <w:p>
      <w:pPr>
        <w:jc w:val="both"/>
      </w:pPr>
      <w:r>
        <w:rPr>
          <w:rFonts w:ascii="Arial" w:hAnsi="Arial" w:cs="Arial"/>
          <w:sz w:val="22"/>
        </w:rPr>
        <w:t xml:space="preserve">El artículo 43 y el sistema sanitario mantienen relación histórica con la Seguridad Social, pero </w:t>
      </w:r>
      <w:r>
        <w:rPr>
          <w:rFonts w:ascii="Arial" w:hAnsi="Arial" w:cs="Arial"/>
          <w:b/>
          <w:sz w:val="22"/>
        </w:rPr>
        <w:t>sanidad y Seguridad Social no son conceptos idénticos</w:t>
      </w:r>
      <w:r>
        <w:rPr>
          <w:rFonts w:ascii="Arial" w:hAnsi="Arial" w:cs="Arial"/>
          <w:sz w:val="22"/>
        </w:rPr>
        <w:t>. La asistencia sanitaria se integra en la acción protectora del artículo 42 TRLGSS, mientras la organización del Sistema Nacional de Salud posee legislación, financiación y distribución competencial propias.</w:t>
      </w:r>
    </w:p>
    <w:p>
      <w:pPr>
        <w:jc w:val="both"/>
      </w:pPr>
      <w:r>
        <w:rPr>
          <w:rFonts w:ascii="Arial" w:hAnsi="Arial" w:cs="Arial"/>
          <w:sz w:val="22"/>
        </w:rPr>
        <w:t>El artículo 50 añade dos garantías: suficiencia económica mediante pensiones adecuadas y actualizadas, y promoción del bienestar mediante servicios sociales sobre salud, vivienda, cultura y ocio. La actualización periódica no obliga constitucionalmente a una fórmula matemática única, aunque la legislación vigente establezca su mecanismo.</w:t>
      </w:r>
    </w:p>
    <w:p>
      <w:pPr>
        <w:pStyle w:val="Heading2"/>
        <w:keepNext/>
      </w:pPr>
      <w:r>
        <w:rPr>
          <w:rFonts w:ascii="Arial" w:hAnsi="Arial" w:cs="Arial"/>
          <w:sz w:val="25"/>
        </w:rPr>
        <w:t>2.2. Igualdad, tutela y deber de contribuir</w:t>
      </w:r>
    </w:p>
    <w:p>
      <w:pPr>
        <w:jc w:val="both"/>
      </w:pPr>
      <w:r>
        <w:rPr>
          <w:rFonts w:ascii="Arial" w:hAnsi="Arial" w:cs="Arial"/>
          <w:sz w:val="22"/>
        </w:rPr>
        <w:t>El artículo 14 impide diferencias carentes de justificación objetiva y proporcionada. El legislador puede distinguir entre regímenes, contingencias o carreras de seguro si existe razón legítima, pero no discriminar arbitrariamente.</w:t>
      </w:r>
    </w:p>
    <w:p>
      <w:pPr>
        <w:jc w:val="both"/>
      </w:pPr>
      <w:r>
        <w:rPr>
          <w:rFonts w:ascii="Arial" w:hAnsi="Arial" w:cs="Arial"/>
          <w:sz w:val="22"/>
        </w:rPr>
        <w:t>El artículo 24 garantiza tutela judicial efectiva en controversias sobre prestaciones, encuadramiento, cotización o recaudación, conforme a la distribución entre orden social y contencioso-administrativo. El artículo 9.3 aporta legalidad, seguridad jurídica, interdicción de arbitrariedad e irretroactividad sancionadora desfavorable.</w:t>
      </w:r>
    </w:p>
    <w:p>
      <w:pPr>
        <w:jc w:val="both"/>
      </w:pPr>
      <w:r>
        <w:rPr>
          <w:rFonts w:ascii="Arial" w:hAnsi="Arial" w:cs="Arial"/>
          <w:sz w:val="22"/>
        </w:rPr>
        <w:t>El artículo 31.1, aunque se refiere al sistema tributario, expresa capacidad económica, igualdad y progresividad. Las cotizaciones son recursos públicos de naturaleza específica, no impuestos en sentido estricto, pero su regulación debe respetar legalidad y sostenibilidad.</w:t>
      </w:r>
    </w:p>
    <w:p>
      <w:pPr>
        <w:pStyle w:val="Heading2"/>
        <w:keepNext/>
      </w:pPr>
      <w:r>
        <w:rPr>
          <w:rFonts w:ascii="Arial" w:hAnsi="Arial" w:cs="Arial"/>
          <w:sz w:val="25"/>
        </w:rPr>
        <w:t>2.3. Participación</w:t>
      </w:r>
    </w:p>
    <w:p>
      <w:pPr>
        <w:jc w:val="both"/>
      </w:pPr>
      <w:r>
        <w:rPr>
          <w:rFonts w:ascii="Arial" w:hAnsi="Arial" w:cs="Arial"/>
          <w:sz w:val="22"/>
        </w:rPr>
        <w:t>El artículo 129.1 ordena que la ley establezca formas de participación de los interesados en la Seguridad Social y en la actividad de organismos públicos cuya función afecte directamente a la calidad de vida o bienestar general. El TRLGSS desarrolla este mandato mediante órganos de control y vigilancia con representación sindical, empresarial y de la Administración.</w:t>
      </w:r>
    </w:p>
    <w:p>
      <w:pPr>
        <w:jc w:val="both"/>
      </w:pPr>
      <w:r>
        <w:rPr>
          <w:rFonts w:ascii="Arial" w:hAnsi="Arial" w:cs="Arial"/>
          <w:sz w:val="22"/>
        </w:rPr>
        <w:t>La participación no convierte a las organizaciones sociales en titulares de la gestión ni elimina la dirección y tutela pública. Es participación institucional en control, vigilancia, consulta y propuesta.</w:t>
      </w:r>
    </w:p>
    <w:p>
      <w:pPr>
        <w:pStyle w:val="Heading2"/>
        <w:keepNext/>
      </w:pPr>
      <w:r>
        <w:rPr>
          <w:rFonts w:ascii="Arial" w:hAnsi="Arial" w:cs="Arial"/>
          <w:sz w:val="25"/>
        </w:rPr>
        <w:t>2.4. Distribución de competencias</w:t>
      </w:r>
    </w:p>
    <w:p>
      <w:pPr>
        <w:jc w:val="both"/>
      </w:pPr>
      <w:r>
        <w:rPr>
          <w:rFonts w:ascii="Arial" w:hAnsi="Arial" w:cs="Arial"/>
          <w:sz w:val="22"/>
        </w:rPr>
        <w:t>El artículo 149.1.17.ª atribuye al Estado competencia exclusiva sobre:</w:t>
      </w:r>
    </w:p>
    <w:p>
      <w:pPr>
        <w:pStyle w:val="ListBullet"/>
      </w:pPr>
      <w:r>
        <w:rPr>
          <w:rFonts w:ascii="Arial" w:hAnsi="Arial" w:cs="Arial"/>
          <w:b/>
          <w:sz w:val="22"/>
        </w:rPr>
        <w:t>legislación básica</w:t>
      </w:r>
      <w:r>
        <w:rPr>
          <w:rFonts w:ascii="Arial" w:hAnsi="Arial" w:cs="Arial"/>
          <w:sz w:val="22"/>
        </w:rPr>
        <w:t xml:space="preserve"> de la Seguridad Social;</w:t>
      </w:r>
    </w:p>
    <w:p>
      <w:pPr>
        <w:pStyle w:val="ListBullet"/>
      </w:pPr>
      <w:r>
        <w:rPr>
          <w:rFonts w:ascii="Arial" w:hAnsi="Arial" w:cs="Arial"/>
          <w:b/>
          <w:sz w:val="22"/>
        </w:rPr>
        <w:t>régimen económico</w:t>
      </w:r>
      <w:r>
        <w:rPr>
          <w:rFonts w:ascii="Arial" w:hAnsi="Arial" w:cs="Arial"/>
          <w:sz w:val="22"/>
        </w:rPr>
        <w:t xml:space="preserve"> de la Seguridad Social;</w:t>
      </w:r>
    </w:p>
    <w:p>
      <w:pPr>
        <w:jc w:val="both"/>
      </w:pPr>
      <w:r>
        <w:rPr>
          <w:rFonts w:ascii="Arial" w:hAnsi="Arial" w:cs="Arial"/>
          <w:sz w:val="22"/>
        </w:rPr>
        <w:t>sin perjuicio de la ejecución de sus servicios por las comunidades autónomas.</w:t>
      </w:r>
    </w:p>
    <w:p>
      <w:pPr>
        <w:jc w:val="both"/>
      </w:pPr>
      <w:r>
        <w:rPr>
          <w:rFonts w:ascii="Arial" w:hAnsi="Arial" w:cs="Arial"/>
          <w:sz w:val="22"/>
        </w:rPr>
        <w:t>La distinción es decisiva. En legislación básica cabe desarrollo y ejecución autonómica conforme a estatutos y transferencias. El régimen económico posee una reserva estatal más intensa, destinada a asegurar unidad financiera, igualdad y caja única. Ello no impide funciones ejecutivas autonómicas compatibles, pero preserva la titularidad y control de los recursos del sistema.</w:t>
      </w:r>
    </w:p>
    <w:p>
      <w:pPr>
        <w:jc w:val="both"/>
      </w:pPr>
      <w:r>
        <w:rPr>
          <w:rFonts w:ascii="Arial" w:hAnsi="Arial" w:cs="Arial"/>
          <w:sz w:val="22"/>
        </w:rPr>
        <w:t>No toda medida social autonómica se integra en Seguridad Social. Las comunidades pueden ejercer competencias en asistencia social o servicios sociales y conceder ayudas propias. Para calificarlas hay que atender a finalidad, estructura, financiación y título competencial, no solo a su nombre.</w:t>
      </w:r>
    </w:p>
    <w:p>
      <w:pPr>
        <w:pStyle w:val="Heading1"/>
        <w:keepNext/>
      </w:pPr>
      <w:r>
        <w:rPr>
          <w:rFonts w:ascii="Arial" w:hAnsi="Arial" w:cs="Arial"/>
          <w:sz w:val="30"/>
        </w:rPr>
        <w:t>3. Fuentes del Derecho de la Seguridad Social</w:t>
      </w:r>
    </w:p>
    <w:p>
      <w:pPr>
        <w:pStyle w:val="Heading2"/>
        <w:keepNext/>
      </w:pPr>
      <w:r>
        <w:rPr>
          <w:rFonts w:ascii="Arial" w:hAnsi="Arial" w:cs="Arial"/>
          <w:sz w:val="25"/>
        </w:rPr>
        <w:t>3.1. Fuentes internas</w:t>
      </w:r>
    </w:p>
    <w:p>
      <w:pPr>
        <w:jc w:val="both"/>
      </w:pPr>
      <w:r>
        <w:rPr>
          <w:rFonts w:ascii="Arial" w:hAnsi="Arial" w:cs="Arial"/>
          <w:sz w:val="22"/>
        </w:rPr>
        <w:t>El sistema se ordena por:</w:t>
      </w:r>
    </w:p>
    <w:p>
      <w:pPr>
        <w:spacing w:after="40"/>
        <w:ind w:left="369" w:hanging="227"/>
      </w:pPr>
      <w:r>
        <w:rPr>
          <w:rFonts w:ascii="Arial" w:hAnsi="Arial" w:cs="Arial"/>
          <w:sz w:val="22"/>
        </w:rPr>
        <w:t xml:space="preserve">1. </w:t>
      </w:r>
      <w:r>
        <w:rPr>
          <w:rFonts w:ascii="Arial" w:hAnsi="Arial" w:cs="Arial"/>
          <w:b/>
          <w:sz w:val="22"/>
        </w:rPr>
        <w:t>Constitución</w:t>
      </w:r>
      <w:r>
        <w:rPr>
          <w:rFonts w:ascii="Arial" w:hAnsi="Arial" w:cs="Arial"/>
          <w:sz w:val="22"/>
        </w:rPr>
        <w:t>, especialmente artículos 41 y 149.1.17.ª.</w:t>
      </w:r>
    </w:p>
    <w:p>
      <w:pPr>
        <w:spacing w:after="40"/>
        <w:ind w:left="369" w:hanging="227"/>
      </w:pPr>
      <w:r>
        <w:rPr>
          <w:rFonts w:ascii="Arial" w:hAnsi="Arial" w:cs="Arial"/>
          <w:sz w:val="22"/>
        </w:rPr>
        <w:t xml:space="preserve">2. </w:t>
      </w:r>
      <w:r>
        <w:rPr>
          <w:rFonts w:ascii="Arial" w:hAnsi="Arial" w:cs="Arial"/>
          <w:b/>
          <w:sz w:val="22"/>
        </w:rPr>
        <w:t>Leyes y normas con rango de ley</w:t>
      </w:r>
      <w:r>
        <w:rPr>
          <w:rFonts w:ascii="Arial" w:hAnsi="Arial" w:cs="Arial"/>
          <w:sz w:val="22"/>
        </w:rPr>
        <w:t>: TRLGSS; legislación sobre protección social del sector marítimo-pesquero; ingreso mínimo vital; mutuas; presupuestos; y reales decretos-leyes cuando concurren sus requisitos.</w:t>
      </w:r>
    </w:p>
    <w:p>
      <w:pPr>
        <w:spacing w:after="40"/>
        <w:ind w:left="369" w:hanging="227"/>
      </w:pPr>
      <w:r>
        <w:rPr>
          <w:rFonts w:ascii="Arial" w:hAnsi="Arial" w:cs="Arial"/>
          <w:sz w:val="22"/>
        </w:rPr>
        <w:t xml:space="preserve">3. </w:t>
      </w:r>
      <w:r>
        <w:rPr>
          <w:rFonts w:ascii="Arial" w:hAnsi="Arial" w:cs="Arial"/>
          <w:b/>
          <w:sz w:val="22"/>
        </w:rPr>
        <w:t>Reglamentos</w:t>
      </w:r>
      <w:r>
        <w:rPr>
          <w:rFonts w:ascii="Arial" w:hAnsi="Arial" w:cs="Arial"/>
          <w:sz w:val="22"/>
        </w:rPr>
        <w:t xml:space="preserve"> generales y especiales sobre afiliación, cotización, recaudación, prestaciones, gestión y colaboración.</w:t>
      </w:r>
    </w:p>
    <w:p>
      <w:pPr>
        <w:spacing w:after="40"/>
        <w:ind w:left="369" w:hanging="227"/>
      </w:pPr>
      <w:r>
        <w:rPr>
          <w:rFonts w:ascii="Arial" w:hAnsi="Arial" w:cs="Arial"/>
          <w:sz w:val="22"/>
        </w:rPr>
        <w:t xml:space="preserve">4. </w:t>
      </w:r>
      <w:r>
        <w:rPr>
          <w:rFonts w:ascii="Arial" w:hAnsi="Arial" w:cs="Arial"/>
          <w:b/>
          <w:sz w:val="22"/>
        </w:rPr>
        <w:t>Convenios colectivos, contratos y mejoras voluntarias</w:t>
      </w:r>
      <w:r>
        <w:rPr>
          <w:rFonts w:ascii="Arial" w:hAnsi="Arial" w:cs="Arial"/>
          <w:sz w:val="22"/>
        </w:rPr>
        <w:t>, dentro de la ley, sin poder renunciar a derechos indisponibles ni alterar obligaciones públicas.</w:t>
      </w:r>
    </w:p>
    <w:p>
      <w:pPr>
        <w:spacing w:after="40"/>
        <w:ind w:left="369" w:hanging="227"/>
      </w:pPr>
      <w:r>
        <w:rPr>
          <w:rFonts w:ascii="Arial" w:hAnsi="Arial" w:cs="Arial"/>
          <w:sz w:val="22"/>
        </w:rPr>
        <w:t xml:space="preserve">5. </w:t>
      </w:r>
      <w:r>
        <w:rPr>
          <w:rFonts w:ascii="Arial" w:hAnsi="Arial" w:cs="Arial"/>
          <w:b/>
          <w:sz w:val="22"/>
        </w:rPr>
        <w:t>Jurisprudencia</w:t>
      </w:r>
      <w:r>
        <w:rPr>
          <w:rFonts w:ascii="Arial" w:hAnsi="Arial" w:cs="Arial"/>
          <w:sz w:val="22"/>
        </w:rPr>
        <w:t>, que complementa el ordenamiento al interpretar y aplicar las fuentes, y doctrina constitucional.</w:t>
      </w:r>
    </w:p>
    <w:p>
      <w:pPr>
        <w:jc w:val="both"/>
      </w:pPr>
      <w:r>
        <w:rPr>
          <w:rFonts w:ascii="Arial" w:hAnsi="Arial" w:cs="Arial"/>
          <w:sz w:val="22"/>
        </w:rPr>
        <w:t>La costumbre tiene un papel muy reducido por el carácter público, legal y reglado de afiliación, cotización y prestaciones. Los actos administrativos, instrucciones y criterios de gestión aplican el Derecho, pero no pueden crear contra legem requisitos o prestaciones.</w:t>
      </w:r>
    </w:p>
    <w:p>
      <w:pPr>
        <w:jc w:val="both"/>
      </w:pPr>
      <w:r>
        <w:rPr>
          <w:rFonts w:ascii="Arial" w:hAnsi="Arial" w:cs="Arial"/>
          <w:sz w:val="22"/>
        </w:rPr>
        <w:t xml:space="preserve">El artículo 3 TRLGSS declara nulo todo pacto individual o colectivo por el que el trabajador renuncie a los derechos que la ley le confiere. Esta </w:t>
      </w:r>
      <w:r>
        <w:rPr>
          <w:rFonts w:ascii="Arial" w:hAnsi="Arial" w:cs="Arial"/>
          <w:b/>
          <w:sz w:val="22"/>
        </w:rPr>
        <w:t>irrenunciabilidad</w:t>
      </w:r>
      <w:r>
        <w:rPr>
          <w:rFonts w:ascii="Arial" w:hAnsi="Arial" w:cs="Arial"/>
          <w:sz w:val="22"/>
        </w:rPr>
        <w:t xml:space="preserve"> no impide desistir de una solicitud concreta o elegir entre derechos cuando la ley lo permite; impide disponer anticipadamente del contenido protector imperativo.</w:t>
      </w:r>
    </w:p>
    <w:p>
      <w:pPr>
        <w:pStyle w:val="Heading2"/>
        <w:keepNext/>
      </w:pPr>
      <w:r>
        <w:rPr>
          <w:rFonts w:ascii="Arial" w:hAnsi="Arial" w:cs="Arial"/>
          <w:sz w:val="25"/>
        </w:rPr>
        <w:t>3.2. Fuentes internacionales y de la Unión Europea</w:t>
      </w:r>
    </w:p>
    <w:p>
      <w:pPr>
        <w:jc w:val="both"/>
      </w:pPr>
      <w:r>
        <w:rPr>
          <w:rFonts w:ascii="Arial" w:hAnsi="Arial" w:cs="Arial"/>
          <w:sz w:val="22"/>
        </w:rPr>
        <w:t>Los tratados internacionales válidamente celebrados y publicados forman parte del ordenamiento. Los convenios bilaterales y multilaterales coordinan legislaciones, evitan desprotección y permiten totalizar períodos, exportar prestaciones o determinar legislación aplicable.</w:t>
      </w:r>
    </w:p>
    <w:p>
      <w:pPr>
        <w:jc w:val="both"/>
      </w:pPr>
      <w:r>
        <w:rPr>
          <w:rFonts w:ascii="Arial" w:hAnsi="Arial" w:cs="Arial"/>
          <w:sz w:val="22"/>
        </w:rPr>
        <w:t xml:space="preserve">En la Unión Europea son centrales los Reglamentos (CE) 883/2004 y 987/2009 sobre coordinación de sistemas. </w:t>
      </w:r>
      <w:r>
        <w:rPr>
          <w:rFonts w:ascii="Arial" w:hAnsi="Arial" w:cs="Arial"/>
          <w:b/>
          <w:sz w:val="22"/>
        </w:rPr>
        <w:t>Coordinan, no unifican</w:t>
      </w:r>
      <w:r>
        <w:rPr>
          <w:rFonts w:ascii="Arial" w:hAnsi="Arial" w:cs="Arial"/>
          <w:sz w:val="22"/>
        </w:rPr>
        <w:t>: cada Estado conserva su sistema, pero se aplican igualdad de trato, determinación de una sola legislación, totalización y conservación o exportación en los términos europeos. También influyen directivas sobre igualdad, desplazamientos y derechos sociales.</w:t>
      </w:r>
    </w:p>
    <w:p>
      <w:pPr>
        <w:jc w:val="both"/>
      </w:pPr>
      <w:r>
        <w:rPr>
          <w:rFonts w:ascii="Arial" w:hAnsi="Arial" w:cs="Arial"/>
          <w:sz w:val="22"/>
        </w:rPr>
        <w:t>Los reglamentos europeos son directamente aplicables y prevalecen en caso de contradicción con la norma interna dentro de su competencia. La Carta de Derechos Fundamentales de la Unión y la jurisprudencia del Tribunal de Justicia orientan el ámbito cubierto por el Derecho de la Unión.</w:t>
      </w:r>
    </w:p>
    <w:p>
      <w:pPr>
        <w:pStyle w:val="Heading1"/>
        <w:keepNext/>
      </w:pPr>
      <w:r>
        <w:rPr>
          <w:rFonts w:ascii="Arial" w:hAnsi="Arial" w:cs="Arial"/>
          <w:sz w:val="30"/>
        </w:rPr>
        <w:t>4. El Real Decreto Legislativo 8/2015</w:t>
      </w:r>
    </w:p>
    <w:p>
      <w:pPr>
        <w:pStyle w:val="Heading2"/>
        <w:keepNext/>
      </w:pPr>
      <w:r>
        <w:rPr>
          <w:rFonts w:ascii="Arial" w:hAnsi="Arial" w:cs="Arial"/>
          <w:sz w:val="25"/>
        </w:rPr>
        <w:t>4.1. Origen y función de la refundición</w:t>
      </w:r>
    </w:p>
    <w:p>
      <w:pPr>
        <w:jc w:val="both"/>
      </w:pPr>
      <w:r>
        <w:rPr>
          <w:rFonts w:ascii="Arial" w:hAnsi="Arial" w:cs="Arial"/>
          <w:sz w:val="22"/>
        </w:rPr>
        <w:t xml:space="preserve">El Real Decreto Legislativo 8/2015 fue aprobado al amparo de la delegación otorgada por la Ley 20/2014. Su finalidad fue </w:t>
      </w:r>
      <w:r>
        <w:rPr>
          <w:rFonts w:ascii="Arial" w:hAnsi="Arial" w:cs="Arial"/>
          <w:b/>
          <w:sz w:val="22"/>
        </w:rPr>
        <w:t>integrar, regularizar, aclarar y armonizar</w:t>
      </w:r>
      <w:r>
        <w:rPr>
          <w:rFonts w:ascii="Arial" w:hAnsi="Arial" w:cs="Arial"/>
          <w:sz w:val="22"/>
        </w:rPr>
        <w:t xml:space="preserve"> el texto refundido de 1994 y numerosas disposiciones legales relacionadas. Se publicó el 31 de octubre de 2015 y entró en vigor, con carácter general, el </w:t>
      </w:r>
      <w:r>
        <w:rPr>
          <w:rFonts w:ascii="Arial" w:hAnsi="Arial" w:cs="Arial"/>
          <w:b/>
          <w:sz w:val="22"/>
        </w:rPr>
        <w:t>2 de enero de 2016</w:t>
      </w:r>
      <w:r>
        <w:rPr>
          <w:rFonts w:ascii="Arial" w:hAnsi="Arial" w:cs="Arial"/>
          <w:sz w:val="22"/>
        </w:rPr>
        <w:t>.</w:t>
      </w:r>
    </w:p>
    <w:p>
      <w:pPr>
        <w:jc w:val="both"/>
      </w:pPr>
      <w:r>
        <w:rPr>
          <w:rFonts w:ascii="Arial" w:hAnsi="Arial" w:cs="Arial"/>
          <w:sz w:val="22"/>
        </w:rPr>
        <w:t>El real decreto legislativo contiene un artículo único que aprueba el texto refundido y las disposiciones necesarias sobre entrada en vigor y derogación. El TRLGSS es una norma con rango de ley, pero su carácter refundido limita el ejercicio delegado a los términos autorizados; no es un reglamento.</w:t>
      </w:r>
    </w:p>
    <w:p>
      <w:pPr>
        <w:jc w:val="both"/>
      </w:pPr>
      <w:r>
        <w:rPr>
          <w:rFonts w:ascii="Arial" w:hAnsi="Arial" w:cs="Arial"/>
          <w:sz w:val="22"/>
        </w:rPr>
        <w:t>Desde 2015 ha recibido numerosas reformas. Por eso debe estudiarse en texto consolidado y comprobarse la fecha de vigencia de cada cambio. Los rótulos ministeriales históricos que aún aparezcan en algún artículo se interpretan conforme a la estructura ministerial vigente.</w:t>
      </w:r>
    </w:p>
    <w:p>
      <w:pPr>
        <w:pStyle w:val="Heading2"/>
        <w:keepNext/>
      </w:pPr>
      <w:r>
        <w:rPr>
          <w:rFonts w:ascii="Arial" w:hAnsi="Arial" w:cs="Arial"/>
          <w:sz w:val="25"/>
        </w:rPr>
        <w:t>4.2. Estructura general</w:t>
      </w:r>
    </w:p>
    <w:p>
      <w:pPr>
        <w:jc w:val="both"/>
      </w:pPr>
      <w:r>
        <w:rPr>
          <w:rFonts w:ascii="Arial" w:hAnsi="Arial" w:cs="Arial"/>
          <w:sz w:val="22"/>
        </w:rPr>
        <w:t>El texto articulado se organiza en seis títulos, seguidos de disposiciones adicionales, transitorias y finales:</w:t>
      </w:r>
    </w:p>
    <w:tbl>
      <w:tblPr>
        <w:tblStyle w:val="TableGrid"/>
        <w:tblW w:type="dxa" w:w="9026"/>
        <w:jc w:val="left"/>
        <w:tblLayout w:type="fixed"/>
        <w:tblLook w:firstColumn="1" w:firstRow="1" w:lastColumn="0" w:lastRow="0" w:noHBand="0" w:noVBand="1" w:val="04A0"/>
        <w:tblInd w:w="120" w:type="dxa"/>
      </w:tblPr>
      <w:tblGrid>
        <w:gridCol w:w="1062"/>
        <w:gridCol w:w="7964"/>
      </w:tblGrid>
      <w:tr>
        <w:trPr>
          <w:tblHeader w:val="true"/>
        </w:trPr>
        <w:tc>
          <w:tcPr>
            <w:tcW w:type="dxa" w:w="1062"/>
            <w:tcMar>
              <w:top w:w="80" w:type="dxa"/>
              <w:start w:w="120" w:type="dxa"/>
              <w:bottom w:w="80" w:type="dxa"/>
              <w:end w:w="120" w:type="dxa"/>
            </w:tcMar>
            <w:vAlign w:val="center"/>
            <w:shd w:fill="D9EAF7"/>
          </w:tcPr>
          <w:p>
            <w:pPr>
              <w:spacing w:before="0" w:after="0" w:line="240" w:lineRule="auto"/>
              <w:jc w:val="left"/>
            </w:pPr>
            <w:r>
              <w:rPr>
                <w:b/>
                <w:color w:val="17365D"/>
              </w:rPr>
            </w:r>
            <w:r>
              <w:rPr>
                <w:rFonts w:ascii="Arial" w:hAnsi="Arial" w:cs="Arial"/>
                <w:b/>
                <w:color w:val="17365D"/>
                <w:sz w:val="18"/>
              </w:rPr>
              <w:t>Título</w:t>
            </w:r>
          </w:p>
        </w:tc>
        <w:tc>
          <w:tcPr>
            <w:tcW w:type="dxa" w:w="7964"/>
            <w:tcMar>
              <w:top w:w="80" w:type="dxa"/>
              <w:start w:w="120" w:type="dxa"/>
              <w:bottom w:w="80" w:type="dxa"/>
              <w:end w:w="120" w:type="dxa"/>
            </w:tcMar>
            <w:vAlign w:val="center"/>
            <w:shd w:fill="D9EAF7"/>
          </w:tcPr>
          <w:p>
            <w:pPr>
              <w:spacing w:before="0" w:after="0" w:line="240" w:lineRule="auto"/>
              <w:jc w:val="center"/>
            </w:pPr>
            <w:r>
              <w:rPr>
                <w:b/>
                <w:color w:val="17365D"/>
              </w:rPr>
            </w:r>
            <w:r>
              <w:rPr>
                <w:rFonts w:ascii="Arial" w:hAnsi="Arial" w:cs="Arial"/>
                <w:b/>
                <w:color w:val="17365D"/>
                <w:sz w:val="18"/>
              </w:rPr>
              <w:t>Contenido</w:t>
            </w:r>
          </w:p>
        </w:tc>
      </w:tr>
      <w:tr>
        <w:tc>
          <w:tcPr>
            <w:tcW w:type="dxa" w:w="1062"/>
            <w:tcMar>
              <w:top w:w="80" w:type="dxa"/>
              <w:start w:w="120" w:type="dxa"/>
              <w:bottom w:w="80" w:type="dxa"/>
              <w:end w:w="120" w:type="dxa"/>
            </w:tcMar>
            <w:vAlign w:val="center"/>
          </w:tcPr>
          <w:p>
            <w:pPr>
              <w:spacing w:before="0" w:after="0" w:line="240" w:lineRule="auto"/>
              <w:jc w:val="left"/>
            </w:pPr>
            <w:r/>
            <w:r>
              <w:rPr>
                <w:rFonts w:ascii="Arial" w:hAnsi="Arial" w:cs="Arial"/>
                <w:sz w:val="18"/>
              </w:rPr>
              <w:t>I</w:t>
            </w:r>
          </w:p>
        </w:tc>
        <w:tc>
          <w:tcPr>
            <w:tcW w:type="dxa" w:w="7964"/>
            <w:tcMar>
              <w:top w:w="80" w:type="dxa"/>
              <w:start w:w="120" w:type="dxa"/>
              <w:bottom w:w="80" w:type="dxa"/>
              <w:end w:w="120" w:type="dxa"/>
            </w:tcMar>
            <w:vAlign w:val="center"/>
          </w:tcPr>
          <w:p>
            <w:pPr>
              <w:spacing w:before="0" w:after="0" w:line="240" w:lineRule="auto"/>
              <w:jc w:val="left"/>
            </w:pPr>
            <w:r/>
            <w:r>
              <w:rPr>
                <w:rFonts w:ascii="Arial" w:hAnsi="Arial" w:cs="Arial"/>
                <w:sz w:val="18"/>
              </w:rPr>
              <w:t>Normas generales del sistema de la Seguridad Social</w:t>
            </w:r>
          </w:p>
        </w:tc>
      </w:tr>
      <w:tr>
        <w:tc>
          <w:tcPr>
            <w:tcW w:type="dxa" w:w="1062"/>
            <w:tcMar>
              <w:top w:w="80" w:type="dxa"/>
              <w:start w:w="120" w:type="dxa"/>
              <w:bottom w:w="80" w:type="dxa"/>
              <w:end w:w="120" w:type="dxa"/>
            </w:tcMar>
            <w:vAlign w:val="center"/>
          </w:tcPr>
          <w:p>
            <w:pPr>
              <w:spacing w:before="0" w:after="0" w:line="240" w:lineRule="auto"/>
              <w:jc w:val="left"/>
            </w:pPr>
            <w:r/>
            <w:r>
              <w:rPr>
                <w:rFonts w:ascii="Arial" w:hAnsi="Arial" w:cs="Arial"/>
                <w:sz w:val="18"/>
              </w:rPr>
              <w:t>II</w:t>
            </w:r>
          </w:p>
        </w:tc>
        <w:tc>
          <w:tcPr>
            <w:tcW w:type="dxa" w:w="7964"/>
            <w:tcMar>
              <w:top w:w="80" w:type="dxa"/>
              <w:start w:w="120" w:type="dxa"/>
              <w:bottom w:w="80" w:type="dxa"/>
              <w:end w:w="120" w:type="dxa"/>
            </w:tcMar>
            <w:vAlign w:val="center"/>
          </w:tcPr>
          <w:p>
            <w:pPr>
              <w:spacing w:before="0" w:after="0" w:line="240" w:lineRule="auto"/>
              <w:jc w:val="left"/>
            </w:pPr>
            <w:r/>
            <w:r>
              <w:rPr>
                <w:rFonts w:ascii="Arial" w:hAnsi="Arial" w:cs="Arial"/>
                <w:sz w:val="18"/>
              </w:rPr>
              <w:t>Régimen General de la Seguridad Social</w:t>
            </w:r>
          </w:p>
        </w:tc>
      </w:tr>
      <w:tr>
        <w:tc>
          <w:tcPr>
            <w:tcW w:type="dxa" w:w="1062"/>
            <w:tcMar>
              <w:top w:w="80" w:type="dxa"/>
              <w:start w:w="120" w:type="dxa"/>
              <w:bottom w:w="80" w:type="dxa"/>
              <w:end w:w="120" w:type="dxa"/>
            </w:tcMar>
            <w:vAlign w:val="center"/>
          </w:tcPr>
          <w:p>
            <w:pPr>
              <w:spacing w:before="0" w:after="0" w:line="240" w:lineRule="auto"/>
              <w:jc w:val="left"/>
            </w:pPr>
            <w:r/>
            <w:r>
              <w:rPr>
                <w:rFonts w:ascii="Arial" w:hAnsi="Arial" w:cs="Arial"/>
                <w:sz w:val="18"/>
              </w:rPr>
              <w:t>III</w:t>
            </w:r>
          </w:p>
        </w:tc>
        <w:tc>
          <w:tcPr>
            <w:tcW w:type="dxa" w:w="7964"/>
            <w:tcMar>
              <w:top w:w="80" w:type="dxa"/>
              <w:start w:w="120" w:type="dxa"/>
              <w:bottom w:w="80" w:type="dxa"/>
              <w:end w:w="120" w:type="dxa"/>
            </w:tcMar>
            <w:vAlign w:val="center"/>
          </w:tcPr>
          <w:p>
            <w:pPr>
              <w:spacing w:before="0" w:after="0" w:line="240" w:lineRule="auto"/>
              <w:jc w:val="left"/>
            </w:pPr>
            <w:r/>
            <w:r>
              <w:rPr>
                <w:rFonts w:ascii="Arial" w:hAnsi="Arial" w:cs="Arial"/>
                <w:sz w:val="18"/>
              </w:rPr>
              <w:t>Protección por desempleo</w:t>
            </w:r>
          </w:p>
        </w:tc>
      </w:tr>
      <w:tr>
        <w:tc>
          <w:tcPr>
            <w:tcW w:type="dxa" w:w="1062"/>
            <w:tcMar>
              <w:top w:w="80" w:type="dxa"/>
              <w:start w:w="120" w:type="dxa"/>
              <w:bottom w:w="80" w:type="dxa"/>
              <w:end w:w="120" w:type="dxa"/>
            </w:tcMar>
            <w:vAlign w:val="center"/>
          </w:tcPr>
          <w:p>
            <w:pPr>
              <w:spacing w:before="0" w:after="0" w:line="240" w:lineRule="auto"/>
              <w:jc w:val="left"/>
            </w:pPr>
            <w:r/>
            <w:r>
              <w:rPr>
                <w:rFonts w:ascii="Arial" w:hAnsi="Arial" w:cs="Arial"/>
                <w:sz w:val="18"/>
              </w:rPr>
              <w:t>IV</w:t>
            </w:r>
          </w:p>
        </w:tc>
        <w:tc>
          <w:tcPr>
            <w:tcW w:type="dxa" w:w="7964"/>
            <w:tcMar>
              <w:top w:w="80" w:type="dxa"/>
              <w:start w:w="120" w:type="dxa"/>
              <w:bottom w:w="80" w:type="dxa"/>
              <w:end w:w="120" w:type="dxa"/>
            </w:tcMar>
            <w:vAlign w:val="center"/>
          </w:tcPr>
          <w:p>
            <w:pPr>
              <w:spacing w:before="0" w:after="0" w:line="240" w:lineRule="auto"/>
              <w:jc w:val="left"/>
            </w:pPr>
            <w:r/>
            <w:r>
              <w:rPr>
                <w:rFonts w:ascii="Arial" w:hAnsi="Arial" w:cs="Arial"/>
                <w:sz w:val="18"/>
              </w:rPr>
              <w:t>Régimen Especial de la Seguridad Social de los Trabajadores por Cuenta Propia o Autónomos</w:t>
            </w:r>
          </w:p>
        </w:tc>
      </w:tr>
      <w:tr>
        <w:tc>
          <w:tcPr>
            <w:tcW w:type="dxa" w:w="1062"/>
            <w:tcMar>
              <w:top w:w="80" w:type="dxa"/>
              <w:start w:w="120" w:type="dxa"/>
              <w:bottom w:w="80" w:type="dxa"/>
              <w:end w:w="120" w:type="dxa"/>
            </w:tcMar>
            <w:vAlign w:val="center"/>
          </w:tcPr>
          <w:p>
            <w:pPr>
              <w:spacing w:before="0" w:after="0" w:line="240" w:lineRule="auto"/>
              <w:jc w:val="left"/>
            </w:pPr>
            <w:r/>
            <w:r>
              <w:rPr>
                <w:rFonts w:ascii="Arial" w:hAnsi="Arial" w:cs="Arial"/>
                <w:sz w:val="18"/>
              </w:rPr>
              <w:t>V</w:t>
            </w:r>
          </w:p>
        </w:tc>
        <w:tc>
          <w:tcPr>
            <w:tcW w:type="dxa" w:w="7964"/>
            <w:tcMar>
              <w:top w:w="80" w:type="dxa"/>
              <w:start w:w="120" w:type="dxa"/>
              <w:bottom w:w="80" w:type="dxa"/>
              <w:end w:w="120" w:type="dxa"/>
            </w:tcMar>
            <w:vAlign w:val="center"/>
          </w:tcPr>
          <w:p>
            <w:pPr>
              <w:spacing w:before="0" w:after="0" w:line="240" w:lineRule="auto"/>
              <w:jc w:val="left"/>
            </w:pPr>
            <w:r/>
            <w:r>
              <w:rPr>
                <w:rFonts w:ascii="Arial" w:hAnsi="Arial" w:cs="Arial"/>
                <w:sz w:val="18"/>
              </w:rPr>
              <w:t>Protección por cese de actividad</w:t>
            </w:r>
          </w:p>
        </w:tc>
      </w:tr>
      <w:tr>
        <w:tc>
          <w:tcPr>
            <w:tcW w:type="dxa" w:w="1062"/>
            <w:tcMar>
              <w:top w:w="80" w:type="dxa"/>
              <w:start w:w="120" w:type="dxa"/>
              <w:bottom w:w="80" w:type="dxa"/>
              <w:end w:w="120" w:type="dxa"/>
            </w:tcMar>
            <w:vAlign w:val="center"/>
          </w:tcPr>
          <w:p>
            <w:pPr>
              <w:spacing w:before="0" w:after="0" w:line="240" w:lineRule="auto"/>
              <w:jc w:val="left"/>
            </w:pPr>
            <w:r/>
            <w:r>
              <w:rPr>
                <w:rFonts w:ascii="Arial" w:hAnsi="Arial" w:cs="Arial"/>
                <w:sz w:val="18"/>
              </w:rPr>
              <w:t>VI</w:t>
            </w:r>
          </w:p>
        </w:tc>
        <w:tc>
          <w:tcPr>
            <w:tcW w:type="dxa" w:w="7964"/>
            <w:tcMar>
              <w:top w:w="80" w:type="dxa"/>
              <w:start w:w="120" w:type="dxa"/>
              <w:bottom w:w="80" w:type="dxa"/>
              <w:end w:w="120" w:type="dxa"/>
            </w:tcMar>
            <w:vAlign w:val="center"/>
          </w:tcPr>
          <w:p>
            <w:pPr>
              <w:spacing w:before="0" w:after="0" w:line="240" w:lineRule="auto"/>
              <w:jc w:val="left"/>
            </w:pPr>
            <w:r/>
            <w:r>
              <w:rPr>
                <w:rFonts w:ascii="Arial" w:hAnsi="Arial" w:cs="Arial"/>
                <w:sz w:val="18"/>
              </w:rPr>
              <w:t>Prestaciones no contributivas</w:t>
            </w:r>
          </w:p>
        </w:tc>
      </w:tr>
    </w:tbl>
    <w:p>
      <w:pPr>
        <w:spacing w:after="40"/>
      </w:pPr>
    </w:p>
    <w:p>
      <w:pPr>
        <w:jc w:val="both"/>
      </w:pPr>
      <w:r>
        <w:rPr>
          <w:rFonts w:ascii="Arial" w:hAnsi="Arial" w:cs="Arial"/>
          <w:sz w:val="22"/>
        </w:rPr>
        <w:t xml:space="preserve">El </w:t>
      </w:r>
      <w:r>
        <w:rPr>
          <w:rFonts w:ascii="Arial" w:hAnsi="Arial" w:cs="Arial"/>
          <w:b/>
          <w:sz w:val="22"/>
        </w:rPr>
        <w:t>título I</w:t>
      </w:r>
      <w:r>
        <w:rPr>
          <w:rFonts w:ascii="Arial" w:hAnsi="Arial" w:cs="Arial"/>
          <w:sz w:val="22"/>
        </w:rPr>
        <w:t xml:space="preserve"> contiene los elementos comunes: principios, campo de aplicación, estructura por regímenes, afiliación y cotización, recaudación, acción protectora, gestión, colaboración, régimen económico, presupuesto, patrimonio, Fondo de Reserva y procedimientos.</w:t>
      </w:r>
    </w:p>
    <w:p>
      <w:pPr>
        <w:jc w:val="both"/>
      </w:pPr>
      <w:r>
        <w:rPr>
          <w:rFonts w:ascii="Arial" w:hAnsi="Arial" w:cs="Arial"/>
          <w:sz w:val="22"/>
        </w:rPr>
        <w:t xml:space="preserve">El </w:t>
      </w:r>
      <w:r>
        <w:rPr>
          <w:rFonts w:ascii="Arial" w:hAnsi="Arial" w:cs="Arial"/>
          <w:b/>
          <w:sz w:val="22"/>
        </w:rPr>
        <w:t>título II</w:t>
      </w:r>
      <w:r>
        <w:rPr>
          <w:rFonts w:ascii="Arial" w:hAnsi="Arial" w:cs="Arial"/>
          <w:sz w:val="22"/>
        </w:rPr>
        <w:t xml:space="preserve"> desarrolla el Régimen General: ámbito, inscripción, afiliación, altas y bajas, cotización, recaudación y prestaciones por incapacidad temporal, nacimiento y cuidado, riesgos durante embarazo y lactancia, cuidado de menores, incapacidad permanente, jubilación, muerte y supervivencia, familia y sistemas especiales.</w:t>
      </w:r>
    </w:p>
    <w:p>
      <w:pPr>
        <w:jc w:val="both"/>
      </w:pPr>
      <w:r>
        <w:rPr>
          <w:rFonts w:ascii="Arial" w:hAnsi="Arial" w:cs="Arial"/>
          <w:sz w:val="22"/>
        </w:rPr>
        <w:t xml:space="preserve">El </w:t>
      </w:r>
      <w:r>
        <w:rPr>
          <w:rFonts w:ascii="Arial" w:hAnsi="Arial" w:cs="Arial"/>
          <w:b/>
          <w:sz w:val="22"/>
        </w:rPr>
        <w:t>título III</w:t>
      </w:r>
      <w:r>
        <w:rPr>
          <w:rFonts w:ascii="Arial" w:hAnsi="Arial" w:cs="Arial"/>
          <w:sz w:val="22"/>
        </w:rPr>
        <w:t xml:space="preserve"> regula desempleo en niveles contributivo y asistencial: personas protegidas, situación legal, requisitos, duración, cuantía, suspensión, extinción, incompatibilidades, cotización y gestión. El </w:t>
      </w:r>
      <w:r>
        <w:rPr>
          <w:rFonts w:ascii="Arial" w:hAnsi="Arial" w:cs="Arial"/>
          <w:b/>
          <w:sz w:val="22"/>
        </w:rPr>
        <w:t>título IV</w:t>
      </w:r>
      <w:r>
        <w:rPr>
          <w:rFonts w:ascii="Arial" w:hAnsi="Arial" w:cs="Arial"/>
          <w:sz w:val="22"/>
        </w:rPr>
        <w:t xml:space="preserve"> ordena el RETA; el </w:t>
      </w:r>
      <w:r>
        <w:rPr>
          <w:rFonts w:ascii="Arial" w:hAnsi="Arial" w:cs="Arial"/>
          <w:b/>
          <w:sz w:val="22"/>
        </w:rPr>
        <w:t>V</w:t>
      </w:r>
      <w:r>
        <w:rPr>
          <w:rFonts w:ascii="Arial" w:hAnsi="Arial" w:cs="Arial"/>
          <w:sz w:val="22"/>
        </w:rPr>
        <w:t xml:space="preserve">, el cese de actividad de autónomos; el </w:t>
      </w:r>
      <w:r>
        <w:rPr>
          <w:rFonts w:ascii="Arial" w:hAnsi="Arial" w:cs="Arial"/>
          <w:b/>
          <w:sz w:val="22"/>
        </w:rPr>
        <w:t>VI</w:t>
      </w:r>
      <w:r>
        <w:rPr>
          <w:rFonts w:ascii="Arial" w:hAnsi="Arial" w:cs="Arial"/>
          <w:sz w:val="22"/>
        </w:rPr>
        <w:t>, prestaciones familiares no contributivas y pensiones no contributivas, sin perjuicio de otras prestaciones reguladas por legislación específica.</w:t>
      </w:r>
    </w:p>
    <w:p>
      <w:pPr>
        <w:jc w:val="both"/>
      </w:pPr>
      <w:r>
        <w:rPr>
          <w:rFonts w:ascii="Arial" w:hAnsi="Arial" w:cs="Arial"/>
          <w:sz w:val="22"/>
        </w:rPr>
        <w:t>Las disposiciones adicionales y transitorias son esenciales: contienen regímenes singulares, inclusiones, compatibilidades, reglas de transición de jubilación, prácticas formativas y adaptaciones temporales. No son anexos secundarios y tienen el mismo rango que el articulado.</w:t>
      </w:r>
    </w:p>
    <w:p>
      <w:pPr>
        <w:pStyle w:val="Heading1"/>
        <w:keepNext/>
      </w:pPr>
      <w:r>
        <w:rPr>
          <w:rFonts w:ascii="Arial" w:hAnsi="Arial" w:cs="Arial"/>
          <w:sz w:val="30"/>
        </w:rPr>
        <w:t>5. Principios y fines del TRLGSS</w:t>
      </w:r>
    </w:p>
    <w:p>
      <w:pPr>
        <w:pStyle w:val="Heading2"/>
        <w:keepNext/>
      </w:pPr>
      <w:r>
        <w:rPr>
          <w:rFonts w:ascii="Arial" w:hAnsi="Arial" w:cs="Arial"/>
          <w:sz w:val="25"/>
        </w:rPr>
        <w:t>5.1. Derecho y principios</w:t>
      </w:r>
    </w:p>
    <w:p>
      <w:pPr>
        <w:jc w:val="both"/>
      </w:pPr>
      <w:r>
        <w:rPr>
          <w:rFonts w:ascii="Arial" w:hAnsi="Arial" w:cs="Arial"/>
          <w:sz w:val="22"/>
        </w:rPr>
        <w:t>El artículo 1 remite el derecho de los españoles establecido en el artículo 41 CE a lo dispuesto en la ley. El artículo 2 define cuatro principios:</w:t>
      </w:r>
    </w:p>
    <w:p>
      <w:pPr>
        <w:pStyle w:val="ListBullet"/>
      </w:pPr>
      <w:r>
        <w:rPr>
          <w:rFonts w:ascii="Arial" w:hAnsi="Arial" w:cs="Arial"/>
          <w:b/>
          <w:sz w:val="22"/>
        </w:rPr>
        <w:t>universalidad</w:t>
      </w:r>
      <w:r>
        <w:rPr>
          <w:rFonts w:ascii="Arial" w:hAnsi="Arial" w:cs="Arial"/>
          <w:sz w:val="22"/>
        </w:rPr>
        <w:t>: extensión personal más allá de la relación laboral clásica;</w:t>
      </w:r>
    </w:p>
    <w:p>
      <w:pPr>
        <w:pStyle w:val="ListBullet"/>
      </w:pPr>
      <w:r>
        <w:rPr>
          <w:rFonts w:ascii="Arial" w:hAnsi="Arial" w:cs="Arial"/>
          <w:b/>
          <w:sz w:val="22"/>
        </w:rPr>
        <w:t>unidad</w:t>
      </w:r>
      <w:r>
        <w:rPr>
          <w:rFonts w:ascii="Arial" w:hAnsi="Arial" w:cs="Arial"/>
          <w:sz w:val="22"/>
        </w:rPr>
        <w:t>: integración del sistema y coherencia de reglas esenciales;</w:t>
      </w:r>
    </w:p>
    <w:p>
      <w:pPr>
        <w:pStyle w:val="ListBullet"/>
      </w:pPr>
      <w:r>
        <w:rPr>
          <w:rFonts w:ascii="Arial" w:hAnsi="Arial" w:cs="Arial"/>
          <w:b/>
          <w:sz w:val="22"/>
        </w:rPr>
        <w:t>solidaridad</w:t>
      </w:r>
      <w:r>
        <w:rPr>
          <w:rFonts w:ascii="Arial" w:hAnsi="Arial" w:cs="Arial"/>
          <w:sz w:val="22"/>
        </w:rPr>
        <w:t>: redistribución entre generaciones, territorios, sectores y situaciones;</w:t>
      </w:r>
    </w:p>
    <w:p>
      <w:pPr>
        <w:pStyle w:val="ListBullet"/>
      </w:pPr>
      <w:r>
        <w:rPr>
          <w:rFonts w:ascii="Arial" w:hAnsi="Arial" w:cs="Arial"/>
          <w:b/>
          <w:sz w:val="22"/>
        </w:rPr>
        <w:t>igualdad</w:t>
      </w:r>
      <w:r>
        <w:rPr>
          <w:rFonts w:ascii="Arial" w:hAnsi="Arial" w:cs="Arial"/>
          <w:sz w:val="22"/>
        </w:rPr>
        <w:t>: protección sin diferencias arbitrarias.</w:t>
      </w:r>
    </w:p>
    <w:p>
      <w:pPr>
        <w:jc w:val="both"/>
      </w:pPr>
      <w:r>
        <w:rPr>
          <w:rFonts w:ascii="Arial" w:hAnsi="Arial" w:cs="Arial"/>
          <w:sz w:val="22"/>
        </w:rPr>
        <w:t xml:space="preserve">El sistema se configura mediante acción protectora en modalidades </w:t>
      </w:r>
      <w:r>
        <w:rPr>
          <w:rFonts w:ascii="Arial" w:hAnsi="Arial" w:cs="Arial"/>
          <w:b/>
          <w:sz w:val="22"/>
        </w:rPr>
        <w:t>contributiva y no contributiva</w:t>
      </w:r>
      <w:r>
        <w:rPr>
          <w:rFonts w:ascii="Arial" w:hAnsi="Arial" w:cs="Arial"/>
          <w:sz w:val="22"/>
        </w:rPr>
        <w:t>. El Estado garantiza a las personas incluidas, y a familiares o asimilados a su cargo, protección adecuada frente a las contingencias previstas si cumplen los requisitos.</w:t>
      </w:r>
    </w:p>
    <w:p>
      <w:pPr>
        <w:jc w:val="both"/>
      </w:pPr>
      <w:r>
        <w:rPr>
          <w:rFonts w:ascii="Arial" w:hAnsi="Arial" w:cs="Arial"/>
          <w:sz w:val="22"/>
        </w:rPr>
        <w:t>Universalidad no elimina contributividad; unidad no significa uniformidad absoluta; solidaridad no permite desconocer requisitos legales; igualdad no obliga a prestaciones idénticas en situaciones diferentes.</w:t>
      </w:r>
    </w:p>
    <w:p>
      <w:pPr>
        <w:pStyle w:val="Heading2"/>
        <w:keepNext/>
      </w:pPr>
      <w:r>
        <w:rPr>
          <w:rFonts w:ascii="Arial" w:hAnsi="Arial" w:cs="Arial"/>
          <w:sz w:val="25"/>
        </w:rPr>
        <w:t>5.2. Funciones públicas y ausencia de lucro</w:t>
      </w:r>
    </w:p>
    <w:p>
      <w:pPr>
        <w:jc w:val="both"/>
      </w:pPr>
      <w:r>
        <w:rPr>
          <w:rFonts w:ascii="Arial" w:hAnsi="Arial" w:cs="Arial"/>
          <w:sz w:val="22"/>
        </w:rPr>
        <w:t xml:space="preserve">Corresponden al Estado la ordenación, jurisdicción e inspección de la Seguridad Social. Trabajadores y empresarios colaboran en su gestión en los términos legales, sin perjuicio de la participación del artículo 129.1 CE. La ordenación de la Seguridad Social no puede servir de fundamento a operaciones de </w:t>
      </w:r>
      <w:r>
        <w:rPr>
          <w:rFonts w:ascii="Arial" w:hAnsi="Arial" w:cs="Arial"/>
          <w:b/>
          <w:sz w:val="22"/>
        </w:rPr>
        <w:t>lucro mercantil</w:t>
      </w:r>
      <w:r>
        <w:rPr>
          <w:rFonts w:ascii="Arial" w:hAnsi="Arial" w:cs="Arial"/>
          <w:sz w:val="22"/>
        </w:rPr>
        <w:t>.</w:t>
      </w:r>
    </w:p>
    <w:p>
      <w:pPr>
        <w:jc w:val="both"/>
      </w:pPr>
      <w:r>
        <w:rPr>
          <w:rFonts w:ascii="Arial" w:hAnsi="Arial" w:cs="Arial"/>
          <w:sz w:val="22"/>
        </w:rPr>
        <w:t>El departamento competente propone reglamentos generales, ejerce potestades atribuidas, desarrolla funciones económico-financieras y dirige y tutela entidades gestoras, servicios comunes y colaboradores, respetando competencias de Hacienda, órganos de control y otros departamentos.</w:t>
      </w:r>
    </w:p>
    <w:p>
      <w:pPr>
        <w:jc w:val="both"/>
      </w:pPr>
      <w:r>
        <w:rPr>
          <w:rFonts w:ascii="Arial" w:hAnsi="Arial" w:cs="Arial"/>
          <w:sz w:val="22"/>
        </w:rPr>
        <w:t>El Gobierno debe coordinar organismos, servicios y entidades del sistema con los que cumplen funciones afines de previsión social, sanidad, educación y asistencia. Coordinación no supone absorción de todas esas políticas por Seguridad Social.</w:t>
      </w:r>
    </w:p>
    <w:p>
      <w:pPr>
        <w:pStyle w:val="Heading1"/>
        <w:keepNext/>
      </w:pPr>
      <w:r>
        <w:rPr>
          <w:rFonts w:ascii="Arial" w:hAnsi="Arial" w:cs="Arial"/>
          <w:sz w:val="30"/>
        </w:rPr>
        <w:t>6. Campo de aplicación y estructura del sistema</w:t>
      </w:r>
    </w:p>
    <w:p>
      <w:pPr>
        <w:pStyle w:val="Heading2"/>
        <w:keepNext/>
      </w:pPr>
      <w:r>
        <w:rPr>
          <w:rFonts w:ascii="Arial" w:hAnsi="Arial" w:cs="Arial"/>
          <w:sz w:val="25"/>
        </w:rPr>
        <w:t>6.1. Ámbito personal</w:t>
      </w:r>
    </w:p>
    <w:p>
      <w:pPr>
        <w:jc w:val="both"/>
      </w:pPr>
      <w:r>
        <w:rPr>
          <w:rFonts w:ascii="Arial" w:hAnsi="Arial" w:cs="Arial"/>
          <w:sz w:val="22"/>
        </w:rPr>
        <w:t>En la modalidad contributiva quedan comprendidos españoles residentes y extranjeros que residan o se encuentren legalmente en España, cuando ejerzan actividad en territorio nacional y pertenezcan a las categorías legales: trabajadores por cuenta ajena, trabajadores por cuenta propia, socios trabajadores de cooperativas, estudiantes y funcionarios públicos, civiles o militares, con las particularidades correspondientes.</w:t>
      </w:r>
    </w:p>
    <w:p>
      <w:pPr>
        <w:jc w:val="both"/>
      </w:pPr>
      <w:r>
        <w:rPr>
          <w:rFonts w:ascii="Arial" w:hAnsi="Arial" w:cs="Arial"/>
          <w:sz w:val="22"/>
        </w:rPr>
        <w:t>En la modalidad no contributiva están incluidos españoles residentes en España y extranjeros con residencia legal en los términos de la legislación de extranjería y tratados. El Gobierno puede establecer medidas para españoles no residentes y reglas específicas para ciertos colectivos.</w:t>
      </w:r>
    </w:p>
    <w:p>
      <w:pPr>
        <w:jc w:val="both"/>
      </w:pPr>
      <w:r>
        <w:rPr>
          <w:rFonts w:ascii="Arial" w:hAnsi="Arial" w:cs="Arial"/>
          <w:sz w:val="22"/>
        </w:rPr>
        <w:t>Territorialidad, residencia y actividad admiten excepciones por convenios internacionales, Derecho de la Unión y reglas de desplazamiento. La inclusión no depende simplemente de nacionalidad.</w:t>
      </w:r>
    </w:p>
    <w:p>
      <w:pPr>
        <w:pStyle w:val="Heading2"/>
        <w:keepNext/>
      </w:pPr>
      <w:r>
        <w:rPr>
          <w:rFonts w:ascii="Arial" w:hAnsi="Arial" w:cs="Arial"/>
          <w:sz w:val="25"/>
        </w:rPr>
        <w:t>6.2. Regímenes</w:t>
      </w:r>
    </w:p>
    <w:p>
      <w:pPr>
        <w:jc w:val="both"/>
      </w:pPr>
      <w:r>
        <w:rPr>
          <w:rFonts w:ascii="Arial" w:hAnsi="Arial" w:cs="Arial"/>
          <w:sz w:val="22"/>
        </w:rPr>
        <w:t>El sistema se integra por:</w:t>
      </w:r>
    </w:p>
    <w:p>
      <w:pPr>
        <w:pStyle w:val="ListBullet"/>
      </w:pPr>
      <w:r>
        <w:rPr>
          <w:rFonts w:ascii="Arial" w:hAnsi="Arial" w:cs="Arial"/>
          <w:b/>
          <w:sz w:val="22"/>
        </w:rPr>
        <w:t>Régimen General</w:t>
      </w:r>
      <w:r>
        <w:rPr>
          <w:rFonts w:ascii="Arial" w:hAnsi="Arial" w:cs="Arial"/>
          <w:sz w:val="22"/>
        </w:rPr>
        <w:t>;</w:t>
      </w:r>
    </w:p>
    <w:p>
      <w:pPr>
        <w:pStyle w:val="ListBullet"/>
      </w:pPr>
      <w:r>
        <w:rPr>
          <w:rFonts w:ascii="Arial" w:hAnsi="Arial" w:cs="Arial"/>
          <w:b/>
          <w:sz w:val="22"/>
        </w:rPr>
        <w:t>regímenes especiales</w:t>
      </w:r>
      <w:r>
        <w:rPr>
          <w:rFonts w:ascii="Arial" w:hAnsi="Arial" w:cs="Arial"/>
          <w:sz w:val="22"/>
        </w:rPr>
        <w:t>.</w:t>
      </w:r>
    </w:p>
    <w:p>
      <w:pPr>
        <w:jc w:val="both"/>
      </w:pPr>
      <w:r>
        <w:rPr>
          <w:rFonts w:ascii="Arial" w:hAnsi="Arial" w:cs="Arial"/>
          <w:sz w:val="22"/>
        </w:rPr>
        <w:t>La tendencia legal es a la unidad y homogeneidad compatibles con las peculiaridades. Entre los regímenes especiales se encuentran el de trabajadores por cuenta propia o autónomos, trabajadores del mar, minería del carbón, estudiantes y los de funcionarios que subsisten conforme a sus leyes. Algunos colectivos se integran en sistemas especiales dentro del Régimen General, como empleados de hogar y trabajadores agrarios por cuenta ajena.</w:t>
      </w:r>
    </w:p>
    <w:p>
      <w:pPr>
        <w:jc w:val="both"/>
      </w:pPr>
      <w:r>
        <w:rPr>
          <w:rFonts w:ascii="Arial" w:hAnsi="Arial" w:cs="Arial"/>
          <w:sz w:val="22"/>
        </w:rPr>
        <w:t>Régimen especial y sistema especial no son sinónimos. Un sistema especial adapta afiliación, cotización o recaudación dentro de un régimen sin constituir necesariamente otro régimen.</w:t>
      </w:r>
    </w:p>
    <w:p>
      <w:pPr>
        <w:jc w:val="both"/>
      </w:pPr>
      <w:r>
        <w:rPr>
          <w:rFonts w:ascii="Arial" w:hAnsi="Arial" w:cs="Arial"/>
          <w:sz w:val="22"/>
        </w:rPr>
        <w:t xml:space="preserve">La prohibición de inclusión múltiple obligatoria impide que, por el </w:t>
      </w:r>
      <w:r>
        <w:rPr>
          <w:rFonts w:ascii="Arial" w:hAnsi="Arial" w:cs="Arial"/>
          <w:b/>
          <w:sz w:val="22"/>
        </w:rPr>
        <w:t>mismo trabajo</w:t>
      </w:r>
      <w:r>
        <w:rPr>
          <w:rFonts w:ascii="Arial" w:hAnsi="Arial" w:cs="Arial"/>
          <w:sz w:val="22"/>
        </w:rPr>
        <w:t>, una persona esté obligatoriamente en regímenes de previsión distintos de los del sistema. No impide pluriactividad por trabajos diferentes ni la protección complementaria voluntaria.</w:t>
      </w:r>
    </w:p>
    <w:p>
      <w:pPr>
        <w:pStyle w:val="Heading1"/>
        <w:keepNext/>
      </w:pPr>
      <w:r>
        <w:rPr>
          <w:rFonts w:ascii="Arial" w:hAnsi="Arial" w:cs="Arial"/>
          <w:sz w:val="30"/>
        </w:rPr>
        <w:t>7. Acción protectora</w:t>
      </w:r>
    </w:p>
    <w:p>
      <w:pPr>
        <w:jc w:val="both"/>
      </w:pPr>
      <w:r>
        <w:rPr>
          <w:rFonts w:ascii="Arial" w:hAnsi="Arial" w:cs="Arial"/>
          <w:sz w:val="22"/>
        </w:rPr>
        <w:t>El artículo 42 TRLGSS incluye:</w:t>
      </w:r>
    </w:p>
    <w:p>
      <w:pPr>
        <w:pStyle w:val="ListBullet"/>
      </w:pPr>
      <w:r>
        <w:rPr>
          <w:rFonts w:ascii="Arial" w:hAnsi="Arial" w:cs="Arial"/>
          <w:sz w:val="22"/>
        </w:rPr>
        <w:t>asistencia sanitaria en maternidad, enfermedad común o profesional y accidente, laboral o no;</w:t>
      </w:r>
    </w:p>
    <w:p>
      <w:pPr>
        <w:pStyle w:val="ListBullet"/>
      </w:pPr>
      <w:r>
        <w:rPr>
          <w:rFonts w:ascii="Arial" w:hAnsi="Arial" w:cs="Arial"/>
          <w:sz w:val="22"/>
        </w:rPr>
        <w:t>recuperación profesional;</w:t>
      </w:r>
    </w:p>
    <w:p>
      <w:pPr>
        <w:pStyle w:val="ListBullet"/>
      </w:pPr>
      <w:r>
        <w:rPr>
          <w:rFonts w:ascii="Arial" w:hAnsi="Arial" w:cs="Arial"/>
          <w:sz w:val="22"/>
        </w:rPr>
        <w:t>prestaciones económicas por incapacidad temporal; nacimiento y cuidado; riesgo durante embarazo o lactancia; corresponsabilidad en cuidado del lactante; cuidado de menores con cáncer u otra enfermedad grave; incapacidad contributiva y no contributiva; jubilación contributiva y no contributiva; desempleo contributivo y asistencial; cese de actividad; viudedad, orfandad y favor de familiares; auxilio por defunción; indemnizaciones por muerte profesional; e ingreso mínimo vital;</w:t>
      </w:r>
    </w:p>
    <w:p>
      <w:pPr>
        <w:pStyle w:val="ListBullet"/>
      </w:pPr>
      <w:r>
        <w:rPr>
          <w:rFonts w:ascii="Arial" w:hAnsi="Arial" w:cs="Arial"/>
          <w:sz w:val="22"/>
        </w:rPr>
        <w:t>prestaciones familiares contributivas y no contributivas;</w:t>
      </w:r>
    </w:p>
    <w:p>
      <w:pPr>
        <w:pStyle w:val="ListBullet"/>
      </w:pPr>
      <w:r>
        <w:rPr>
          <w:rFonts w:ascii="Arial" w:hAnsi="Arial" w:cs="Arial"/>
          <w:sz w:val="22"/>
        </w:rPr>
        <w:t>servicios sociales que se establezcan;</w:t>
      </w:r>
    </w:p>
    <w:p>
      <w:pPr>
        <w:pStyle w:val="ListBullet"/>
      </w:pPr>
      <w:r>
        <w:rPr>
          <w:rFonts w:ascii="Arial" w:hAnsi="Arial" w:cs="Arial"/>
          <w:sz w:val="22"/>
        </w:rPr>
        <w:t>asistencia social como complemento.</w:t>
      </w:r>
    </w:p>
    <w:p>
      <w:pPr>
        <w:jc w:val="both"/>
      </w:pPr>
      <w:r>
        <w:rPr>
          <w:rFonts w:ascii="Arial" w:hAnsi="Arial" w:cs="Arial"/>
          <w:sz w:val="22"/>
        </w:rPr>
        <w:t>Las prestaciones pueden ser contributivas o no contributivas. Las primeras se conectan normalmente con afiliación y cotización; las segundas atienden necesidad y residencia con financiación estatal. Una misma finalidad puede adoptar modalidades distintas.</w:t>
      </w:r>
    </w:p>
    <w:p>
      <w:pPr>
        <w:jc w:val="both"/>
      </w:pPr>
      <w:r>
        <w:rPr>
          <w:rFonts w:ascii="Arial" w:hAnsi="Arial" w:cs="Arial"/>
          <w:sz w:val="22"/>
        </w:rPr>
        <w:t>La acción protectora legal fija el ámbito de extensión posible del Régimen General, especiales y prestaciones no contributivas. Toda prestación pública destinada a complementar, ampliar o modificar las contributivas forma parte del sistema y se somete a los principios del artículo 2, sin perjuicio de ayudas autonómicas de otra naturaleza.</w:t>
      </w:r>
    </w:p>
    <w:p>
      <w:pPr>
        <w:jc w:val="both"/>
      </w:pPr>
      <w:r>
        <w:rPr>
          <w:rFonts w:ascii="Arial" w:hAnsi="Arial" w:cs="Arial"/>
          <w:sz w:val="22"/>
        </w:rPr>
        <w:t>Las prestaciones son indisponibles en los términos legales y gozan de garantías frente a cesión, retención, compensación o embargo, con excepciones como alimentos y obligaciones con la Seguridad Social. La responsabilidad en orden a las prestaciones puede recaer en entidades gestoras, mutuas o empresarios según afiliación, alta, cotización y colaboración.</w:t>
      </w:r>
    </w:p>
    <w:p>
      <w:pPr>
        <w:pStyle w:val="Heading1"/>
        <w:keepNext/>
      </w:pPr>
      <w:r>
        <w:rPr>
          <w:rFonts w:ascii="Arial" w:hAnsi="Arial" w:cs="Arial"/>
          <w:sz w:val="30"/>
        </w:rPr>
        <w:t>8. Financiación y régimen económico</w:t>
      </w:r>
    </w:p>
    <w:p>
      <w:pPr>
        <w:jc w:val="both"/>
      </w:pPr>
      <w:r>
        <w:rPr>
          <w:rFonts w:ascii="Arial" w:hAnsi="Arial" w:cs="Arial"/>
          <w:sz w:val="22"/>
        </w:rPr>
        <w:t>El sistema combina:</w:t>
      </w:r>
    </w:p>
    <w:p>
      <w:pPr>
        <w:pStyle w:val="ListBullet"/>
      </w:pPr>
      <w:r>
        <w:rPr>
          <w:rFonts w:ascii="Arial" w:hAnsi="Arial" w:cs="Arial"/>
          <w:b/>
          <w:sz w:val="22"/>
        </w:rPr>
        <w:t>cotizaciones</w:t>
      </w:r>
      <w:r>
        <w:rPr>
          <w:rFonts w:ascii="Arial" w:hAnsi="Arial" w:cs="Arial"/>
          <w:sz w:val="22"/>
        </w:rPr>
        <w:t xml:space="preserve"> de empresas y personas trabajadoras;</w:t>
      </w:r>
    </w:p>
    <w:p>
      <w:pPr>
        <w:pStyle w:val="ListBullet"/>
      </w:pPr>
      <w:r>
        <w:rPr>
          <w:rFonts w:ascii="Arial" w:hAnsi="Arial" w:cs="Arial"/>
          <w:sz w:val="22"/>
        </w:rPr>
        <w:t>aportaciones del Estado consignadas en presupuestos;</w:t>
      </w:r>
    </w:p>
    <w:p>
      <w:pPr>
        <w:pStyle w:val="ListBullet"/>
      </w:pPr>
      <w:r>
        <w:rPr>
          <w:rFonts w:ascii="Arial" w:hAnsi="Arial" w:cs="Arial"/>
          <w:sz w:val="22"/>
        </w:rPr>
        <w:t>recargos, sanciones y otros recursos;</w:t>
      </w:r>
    </w:p>
    <w:p>
      <w:pPr>
        <w:pStyle w:val="ListBullet"/>
      </w:pPr>
      <w:r>
        <w:rPr>
          <w:rFonts w:ascii="Arial" w:hAnsi="Arial" w:cs="Arial"/>
          <w:sz w:val="22"/>
        </w:rPr>
        <w:t>frutos, rentas e intereses de sus recursos patrimoniales;</w:t>
      </w:r>
    </w:p>
    <w:p>
      <w:pPr>
        <w:pStyle w:val="ListBullet"/>
      </w:pPr>
      <w:r>
        <w:rPr>
          <w:rFonts w:ascii="Arial" w:hAnsi="Arial" w:cs="Arial"/>
          <w:sz w:val="22"/>
        </w:rPr>
        <w:t>cualesquiera otros ingresos previstos.</w:t>
      </w:r>
    </w:p>
    <w:p>
      <w:pPr>
        <w:jc w:val="both"/>
      </w:pPr>
      <w:r>
        <w:rPr>
          <w:rFonts w:ascii="Arial" w:hAnsi="Arial" w:cs="Arial"/>
          <w:sz w:val="22"/>
        </w:rPr>
        <w:t>Las prestaciones contributivas se financian básicamente con cotizaciones y demás recursos generales del sistema. La protección no contributiva se financia mediante aportaciones del Estado al presupuesto de la Seguridad Social. Tienen naturaleza no contributiva, en los términos legales, la asistencia sanitaria y servicios sociales salvo los derivados de contingencias profesionales, las pensiones no contributivas, determinadas prestaciones familiares, complementos a mínimos e ingreso mínimo vital.</w:t>
      </w:r>
    </w:p>
    <w:p>
      <w:pPr>
        <w:jc w:val="both"/>
      </w:pPr>
      <w:r>
        <w:rPr>
          <w:rFonts w:ascii="Arial" w:hAnsi="Arial" w:cs="Arial"/>
          <w:sz w:val="22"/>
        </w:rPr>
        <w:t>La separación de fuentes pretende que las cotizaciones soporten protección contributiva y los impuestos, protección no contributiva de ciudadanía. No elimina mecanismos solidarios ni impide transferencias estatales para equilibrio y cumplimiento de obligaciones.</w:t>
      </w:r>
    </w:p>
    <w:p>
      <w:pPr>
        <w:jc w:val="both"/>
      </w:pPr>
      <w:r>
        <w:rPr>
          <w:rFonts w:ascii="Arial" w:hAnsi="Arial" w:cs="Arial"/>
          <w:sz w:val="22"/>
        </w:rPr>
        <w:t xml:space="preserve">El método financiero general de pensiones es el </w:t>
      </w:r>
      <w:r>
        <w:rPr>
          <w:rFonts w:ascii="Arial" w:hAnsi="Arial" w:cs="Arial"/>
          <w:b/>
          <w:sz w:val="22"/>
        </w:rPr>
        <w:t>reparto</w:t>
      </w:r>
      <w:r>
        <w:rPr>
          <w:rFonts w:ascii="Arial" w:hAnsi="Arial" w:cs="Arial"/>
          <w:sz w:val="22"/>
        </w:rPr>
        <w:t>: los ingresos corrientes financian prestaciones corrientes, con reservas de estabilización y Fondo de Reserva en los términos legales. No debe confundirse con una cuenta individual de capitalización en la que cada cotizante sea propietario de sus cuotas.</w:t>
      </w:r>
    </w:p>
    <w:p>
      <w:pPr>
        <w:jc w:val="both"/>
      </w:pPr>
      <w:r>
        <w:rPr>
          <w:rFonts w:ascii="Arial" w:hAnsi="Arial" w:cs="Arial"/>
          <w:sz w:val="22"/>
        </w:rPr>
        <w:t xml:space="preserve">La </w:t>
      </w:r>
      <w:r>
        <w:rPr>
          <w:rFonts w:ascii="Arial" w:hAnsi="Arial" w:cs="Arial"/>
          <w:b/>
          <w:sz w:val="22"/>
        </w:rPr>
        <w:t>caja única</w:t>
      </w:r>
      <w:r>
        <w:rPr>
          <w:rFonts w:ascii="Arial" w:hAnsi="Arial" w:cs="Arial"/>
          <w:sz w:val="22"/>
        </w:rPr>
        <w:t>, encomendada a la Tesorería General, unifica recursos financieros y pagos. Es instrumento de solidaridad y unidad del régimen económico. Las cuotas, bienes, derechos y recursos del sistema son patrimonio público afectado a sus fines; no pertenecen a cada entidad gestora como patrimonio libremente disponible.</w:t>
      </w:r>
    </w:p>
    <w:p>
      <w:pPr>
        <w:jc w:val="both"/>
      </w:pPr>
      <w:r>
        <w:rPr>
          <w:rFonts w:ascii="Arial" w:hAnsi="Arial" w:cs="Arial"/>
          <w:sz w:val="22"/>
        </w:rPr>
        <w:t>El Presupuesto de la Seguridad Social se integra en los Presupuestos Generales del Estado. Se rige por el TRLGSS y la Ley General Presupuestaria. Intervención, contabilidad, control financiero y auditoría garantizan legalidad, regularidad y buena gestión.</w:t>
      </w:r>
    </w:p>
    <w:p>
      <w:pPr>
        <w:pStyle w:val="Heading1"/>
        <w:keepNext/>
      </w:pPr>
      <w:r>
        <w:rPr>
          <w:rFonts w:ascii="Arial" w:hAnsi="Arial" w:cs="Arial"/>
          <w:sz w:val="30"/>
        </w:rPr>
        <w:t>9. Gestión: principios generales</w:t>
      </w:r>
    </w:p>
    <w:p>
      <w:pPr>
        <w:jc w:val="both"/>
      </w:pPr>
      <w:r>
        <w:rPr>
          <w:rFonts w:ascii="Arial" w:hAnsi="Arial" w:cs="Arial"/>
          <w:sz w:val="22"/>
        </w:rPr>
        <w:t>El artículo 66.1 establece que la gestión y administración se realizan bajo dirección y tutela de los respectivos departamentos ministeriales y conforme a:</w:t>
      </w:r>
    </w:p>
    <w:p>
      <w:pPr>
        <w:spacing w:after="40"/>
        <w:ind w:left="369" w:hanging="227"/>
      </w:pPr>
      <w:r>
        <w:rPr>
          <w:rFonts w:ascii="Arial" w:hAnsi="Arial" w:cs="Arial"/>
          <w:sz w:val="22"/>
        </w:rPr>
        <w:t>1. simplificación;</w:t>
      </w:r>
    </w:p>
    <w:p>
      <w:pPr>
        <w:spacing w:after="40"/>
        <w:ind w:left="369" w:hanging="227"/>
      </w:pPr>
      <w:r>
        <w:rPr>
          <w:rFonts w:ascii="Arial" w:hAnsi="Arial" w:cs="Arial"/>
          <w:sz w:val="22"/>
        </w:rPr>
        <w:t>2. racionalización;</w:t>
      </w:r>
    </w:p>
    <w:p>
      <w:pPr>
        <w:spacing w:after="40"/>
        <w:ind w:left="369" w:hanging="227"/>
      </w:pPr>
      <w:r>
        <w:rPr>
          <w:rFonts w:ascii="Arial" w:hAnsi="Arial" w:cs="Arial"/>
          <w:sz w:val="22"/>
        </w:rPr>
        <w:t>3. economía de costes;</w:t>
      </w:r>
    </w:p>
    <w:p>
      <w:pPr>
        <w:spacing w:after="40"/>
        <w:ind w:left="369" w:hanging="227"/>
      </w:pPr>
      <w:r>
        <w:rPr>
          <w:rFonts w:ascii="Arial" w:hAnsi="Arial" w:cs="Arial"/>
          <w:sz w:val="22"/>
        </w:rPr>
        <w:t>4. solidaridad financiera;</w:t>
      </w:r>
    </w:p>
    <w:p>
      <w:pPr>
        <w:spacing w:after="40"/>
        <w:ind w:left="369" w:hanging="227"/>
      </w:pPr>
      <w:r>
        <w:rPr>
          <w:rFonts w:ascii="Arial" w:hAnsi="Arial" w:cs="Arial"/>
          <w:sz w:val="22"/>
        </w:rPr>
        <w:t>5. unidad de caja;</w:t>
      </w:r>
    </w:p>
    <w:p>
      <w:pPr>
        <w:spacing w:after="40"/>
        <w:ind w:left="369" w:hanging="227"/>
      </w:pPr>
      <w:r>
        <w:rPr>
          <w:rFonts w:ascii="Arial" w:hAnsi="Arial" w:cs="Arial"/>
          <w:sz w:val="22"/>
        </w:rPr>
        <w:t>6. eficacia social;</w:t>
      </w:r>
    </w:p>
    <w:p>
      <w:pPr>
        <w:spacing w:after="40"/>
        <w:ind w:left="369" w:hanging="227"/>
      </w:pPr>
      <w:r>
        <w:rPr>
          <w:rFonts w:ascii="Arial" w:hAnsi="Arial" w:cs="Arial"/>
          <w:sz w:val="22"/>
        </w:rPr>
        <w:t>7. descentralización.</w:t>
      </w:r>
    </w:p>
    <w:p>
      <w:pPr>
        <w:jc w:val="both"/>
      </w:pPr>
      <w:r>
        <w:rPr>
          <w:rFonts w:ascii="Arial" w:hAnsi="Arial" w:cs="Arial"/>
          <w:sz w:val="22"/>
        </w:rPr>
        <w:t>La descentralización acerca la actividad a ámbitos territoriales; no rompe la unidad jurídica y financiera. Las entidades desarrollan actividad a través de direcciones provinciales y centros de atención, conforme a sus normas de estructura.</w:t>
      </w:r>
    </w:p>
    <w:p>
      <w:pPr>
        <w:jc w:val="both"/>
      </w:pPr>
      <w:r>
        <w:rPr>
          <w:rFonts w:ascii="Arial" w:hAnsi="Arial" w:cs="Arial"/>
          <w:sz w:val="22"/>
        </w:rPr>
        <w:t>Conviene separar cuatro categorías:</w:t>
      </w:r>
    </w:p>
    <w:tbl>
      <w:tblPr>
        <w:tblStyle w:val="TableGrid"/>
        <w:tblW w:type="dxa" w:w="9026"/>
        <w:jc w:val="left"/>
        <w:tblLayout w:type="fixed"/>
        <w:tblLook w:firstColumn="1" w:firstRow="1" w:lastColumn="0" w:lastRow="0" w:noHBand="0" w:noVBand="1" w:val="04A0"/>
        <w:tblInd w:w="120" w:type="dxa"/>
      </w:tblPr>
      <w:tblGrid>
        <w:gridCol w:w="2214"/>
        <w:gridCol w:w="4258"/>
        <w:gridCol w:w="2554"/>
      </w:tblGrid>
      <w:tr>
        <w:trPr>
          <w:tblHeader w:val="true"/>
        </w:trPr>
        <w:tc>
          <w:tcPr>
            <w:tcW w:type="dxa" w:w="2214"/>
            <w:tcMar>
              <w:top w:w="80" w:type="dxa"/>
              <w:start w:w="120" w:type="dxa"/>
              <w:bottom w:w="80" w:type="dxa"/>
              <w:end w:w="120" w:type="dxa"/>
            </w:tcMar>
            <w:vAlign w:val="center"/>
            <w:shd w:fill="D9EAF7"/>
          </w:tcPr>
          <w:p>
            <w:pPr>
              <w:spacing w:before="0" w:after="0" w:line="240" w:lineRule="auto"/>
              <w:jc w:val="left"/>
            </w:pPr>
            <w:r>
              <w:rPr>
                <w:b/>
                <w:color w:val="17365D"/>
              </w:rPr>
            </w:r>
            <w:r>
              <w:rPr>
                <w:rFonts w:ascii="Arial" w:hAnsi="Arial" w:cs="Arial"/>
                <w:b/>
                <w:color w:val="17365D"/>
                <w:sz w:val="18"/>
              </w:rPr>
              <w:t>Categoría</w:t>
            </w:r>
          </w:p>
        </w:tc>
        <w:tc>
          <w:tcPr>
            <w:tcW w:type="dxa" w:w="4258"/>
            <w:tcMar>
              <w:top w:w="80" w:type="dxa"/>
              <w:start w:w="120" w:type="dxa"/>
              <w:bottom w:w="80" w:type="dxa"/>
              <w:end w:w="120" w:type="dxa"/>
            </w:tcMar>
            <w:vAlign w:val="center"/>
            <w:shd w:fill="D9EAF7"/>
          </w:tcPr>
          <w:p>
            <w:pPr>
              <w:spacing w:before="0" w:after="0" w:line="240" w:lineRule="auto"/>
              <w:jc w:val="center"/>
            </w:pPr>
            <w:r>
              <w:rPr>
                <w:b/>
                <w:color w:val="17365D"/>
              </w:rPr>
            </w:r>
            <w:r>
              <w:rPr>
                <w:rFonts w:ascii="Arial" w:hAnsi="Arial" w:cs="Arial"/>
                <w:b/>
                <w:color w:val="17365D"/>
                <w:sz w:val="18"/>
              </w:rPr>
              <w:t>Función</w:t>
            </w:r>
          </w:p>
        </w:tc>
        <w:tc>
          <w:tcPr>
            <w:tcW w:type="dxa" w:w="2554"/>
            <w:tcMar>
              <w:top w:w="80" w:type="dxa"/>
              <w:start w:w="120" w:type="dxa"/>
              <w:bottom w:w="80" w:type="dxa"/>
              <w:end w:w="120" w:type="dxa"/>
            </w:tcMar>
            <w:vAlign w:val="center"/>
            <w:shd w:fill="D9EAF7"/>
          </w:tcPr>
          <w:p>
            <w:pPr>
              <w:spacing w:before="0" w:after="0" w:line="240" w:lineRule="auto"/>
              <w:jc w:val="center"/>
            </w:pPr>
            <w:r>
              <w:rPr>
                <w:b/>
                <w:color w:val="17365D"/>
              </w:rPr>
            </w:r>
            <w:r>
              <w:rPr>
                <w:rFonts w:ascii="Arial" w:hAnsi="Arial" w:cs="Arial"/>
                <w:b/>
                <w:color w:val="17365D"/>
                <w:sz w:val="18"/>
              </w:rPr>
              <w:t>Ejemplos</w:t>
            </w:r>
          </w:p>
        </w:tc>
      </w:tr>
      <w:tr>
        <w:tc>
          <w:tcPr>
            <w:tcW w:type="dxa" w:w="2214"/>
            <w:tcMar>
              <w:top w:w="80" w:type="dxa"/>
              <w:start w:w="120" w:type="dxa"/>
              <w:bottom w:w="80" w:type="dxa"/>
              <w:end w:w="120" w:type="dxa"/>
            </w:tcMar>
            <w:vAlign w:val="center"/>
          </w:tcPr>
          <w:p>
            <w:pPr>
              <w:spacing w:before="0" w:after="0" w:line="240" w:lineRule="auto"/>
              <w:jc w:val="left"/>
            </w:pPr>
            <w:r/>
            <w:r>
              <w:rPr>
                <w:rFonts w:ascii="Arial" w:hAnsi="Arial" w:cs="Arial"/>
                <w:sz w:val="18"/>
              </w:rPr>
              <w:t>Entidad gestora</w:t>
            </w:r>
          </w:p>
        </w:tc>
        <w:tc>
          <w:tcPr>
            <w:tcW w:type="dxa" w:w="4258"/>
            <w:tcMar>
              <w:top w:w="80" w:type="dxa"/>
              <w:start w:w="120" w:type="dxa"/>
              <w:bottom w:w="80" w:type="dxa"/>
              <w:end w:w="120" w:type="dxa"/>
            </w:tcMar>
            <w:vAlign w:val="center"/>
          </w:tcPr>
          <w:p>
            <w:pPr>
              <w:spacing w:before="0" w:after="0" w:line="240" w:lineRule="auto"/>
              <w:jc w:val="left"/>
            </w:pPr>
            <w:r/>
            <w:r>
              <w:rPr>
                <w:rFonts w:ascii="Arial" w:hAnsi="Arial" w:cs="Arial"/>
                <w:sz w:val="18"/>
              </w:rPr>
              <w:t>Reconoce o administra prestaciones y servicios asignados</w:t>
            </w:r>
          </w:p>
        </w:tc>
        <w:tc>
          <w:tcPr>
            <w:tcW w:type="dxa" w:w="2554"/>
            <w:tcMar>
              <w:top w:w="80" w:type="dxa"/>
              <w:start w:w="120" w:type="dxa"/>
              <w:bottom w:w="80" w:type="dxa"/>
              <w:end w:w="120" w:type="dxa"/>
            </w:tcMar>
            <w:vAlign w:val="center"/>
          </w:tcPr>
          <w:p>
            <w:pPr>
              <w:spacing w:before="0" w:after="0" w:line="240" w:lineRule="auto"/>
              <w:jc w:val="left"/>
            </w:pPr>
            <w:r/>
            <w:r>
              <w:rPr>
                <w:rFonts w:ascii="Arial" w:hAnsi="Arial" w:cs="Arial"/>
                <w:sz w:val="18"/>
              </w:rPr>
              <w:t>INSS, INGESA, IMSERSO, ISM en su ámbito</w:t>
            </w:r>
          </w:p>
        </w:tc>
      </w:tr>
      <w:tr>
        <w:tc>
          <w:tcPr>
            <w:tcW w:type="dxa" w:w="2214"/>
            <w:tcMar>
              <w:top w:w="80" w:type="dxa"/>
              <w:start w:w="120" w:type="dxa"/>
              <w:bottom w:w="80" w:type="dxa"/>
              <w:end w:w="120" w:type="dxa"/>
            </w:tcMar>
            <w:vAlign w:val="center"/>
          </w:tcPr>
          <w:p>
            <w:pPr>
              <w:spacing w:before="0" w:after="0" w:line="240" w:lineRule="auto"/>
              <w:jc w:val="left"/>
            </w:pPr>
            <w:r/>
            <w:r>
              <w:rPr>
                <w:rFonts w:ascii="Arial" w:hAnsi="Arial" w:cs="Arial"/>
                <w:sz w:val="18"/>
              </w:rPr>
              <w:t>Servicio común</w:t>
            </w:r>
          </w:p>
        </w:tc>
        <w:tc>
          <w:tcPr>
            <w:tcW w:type="dxa" w:w="4258"/>
            <w:tcMar>
              <w:top w:w="80" w:type="dxa"/>
              <w:start w:w="120" w:type="dxa"/>
              <w:bottom w:w="80" w:type="dxa"/>
              <w:end w:w="120" w:type="dxa"/>
            </w:tcMar>
            <w:vAlign w:val="center"/>
          </w:tcPr>
          <w:p>
            <w:pPr>
              <w:spacing w:before="0" w:after="0" w:line="240" w:lineRule="auto"/>
              <w:jc w:val="left"/>
            </w:pPr>
            <w:r/>
            <w:r>
              <w:rPr>
                <w:rFonts w:ascii="Arial" w:hAnsi="Arial" w:cs="Arial"/>
                <w:sz w:val="18"/>
              </w:rPr>
              <w:t>Presta funciones transversales al sistema</w:t>
            </w:r>
          </w:p>
        </w:tc>
        <w:tc>
          <w:tcPr>
            <w:tcW w:type="dxa" w:w="2554"/>
            <w:tcMar>
              <w:top w:w="80" w:type="dxa"/>
              <w:start w:w="120" w:type="dxa"/>
              <w:bottom w:w="80" w:type="dxa"/>
              <w:end w:w="120" w:type="dxa"/>
            </w:tcMar>
            <w:vAlign w:val="center"/>
          </w:tcPr>
          <w:p>
            <w:pPr>
              <w:spacing w:before="0" w:after="0" w:line="240" w:lineRule="auto"/>
              <w:jc w:val="left"/>
            </w:pPr>
            <w:r/>
            <w:r>
              <w:rPr>
                <w:rFonts w:ascii="Arial" w:hAnsi="Arial" w:cs="Arial"/>
                <w:sz w:val="18"/>
              </w:rPr>
              <w:t>TGSS, GISS, Servicio Jurídico</w:t>
            </w:r>
          </w:p>
        </w:tc>
      </w:tr>
      <w:tr>
        <w:tc>
          <w:tcPr>
            <w:tcW w:type="dxa" w:w="2214"/>
            <w:tcMar>
              <w:top w:w="80" w:type="dxa"/>
              <w:start w:w="120" w:type="dxa"/>
              <w:bottom w:w="80" w:type="dxa"/>
              <w:end w:w="120" w:type="dxa"/>
            </w:tcMar>
            <w:vAlign w:val="center"/>
          </w:tcPr>
          <w:p>
            <w:pPr>
              <w:spacing w:before="0" w:after="0" w:line="240" w:lineRule="auto"/>
              <w:jc w:val="left"/>
            </w:pPr>
            <w:r/>
            <w:r>
              <w:rPr>
                <w:rFonts w:ascii="Arial" w:hAnsi="Arial" w:cs="Arial"/>
                <w:sz w:val="18"/>
              </w:rPr>
              <w:t>Órgano de ordenación o control</w:t>
            </w:r>
          </w:p>
        </w:tc>
        <w:tc>
          <w:tcPr>
            <w:tcW w:type="dxa" w:w="4258"/>
            <w:tcMar>
              <w:top w:w="80" w:type="dxa"/>
              <w:start w:w="120" w:type="dxa"/>
              <w:bottom w:w="80" w:type="dxa"/>
              <w:end w:w="120" w:type="dxa"/>
            </w:tcMar>
            <w:vAlign w:val="center"/>
          </w:tcPr>
          <w:p>
            <w:pPr>
              <w:spacing w:before="0" w:after="0" w:line="240" w:lineRule="auto"/>
              <w:jc w:val="left"/>
            </w:pPr>
            <w:r/>
            <w:r>
              <w:rPr>
                <w:rFonts w:ascii="Arial" w:hAnsi="Arial" w:cs="Arial"/>
                <w:sz w:val="18"/>
              </w:rPr>
              <w:t>Dirige política, elabora normas o controla</w:t>
            </w:r>
          </w:p>
        </w:tc>
        <w:tc>
          <w:tcPr>
            <w:tcW w:type="dxa" w:w="2554"/>
            <w:tcMar>
              <w:top w:w="80" w:type="dxa"/>
              <w:start w:w="120" w:type="dxa"/>
              <w:bottom w:w="80" w:type="dxa"/>
              <w:end w:w="120" w:type="dxa"/>
            </w:tcMar>
            <w:vAlign w:val="center"/>
          </w:tcPr>
          <w:p>
            <w:pPr>
              <w:spacing w:before="0" w:after="0" w:line="240" w:lineRule="auto"/>
              <w:jc w:val="left"/>
            </w:pPr>
            <w:r/>
            <w:r>
              <w:rPr>
                <w:rFonts w:ascii="Arial" w:hAnsi="Arial" w:cs="Arial"/>
                <w:sz w:val="18"/>
              </w:rPr>
              <w:t>Secretaría de Estado, DGOSS, IGSS</w:t>
            </w:r>
          </w:p>
        </w:tc>
      </w:tr>
      <w:tr>
        <w:tc>
          <w:tcPr>
            <w:tcW w:type="dxa" w:w="2214"/>
            <w:tcMar>
              <w:top w:w="80" w:type="dxa"/>
              <w:start w:w="120" w:type="dxa"/>
              <w:bottom w:w="80" w:type="dxa"/>
              <w:end w:w="120" w:type="dxa"/>
            </w:tcMar>
            <w:vAlign w:val="center"/>
          </w:tcPr>
          <w:p>
            <w:pPr>
              <w:spacing w:before="0" w:after="0" w:line="240" w:lineRule="auto"/>
              <w:jc w:val="left"/>
            </w:pPr>
            <w:r/>
            <w:r>
              <w:rPr>
                <w:rFonts w:ascii="Arial" w:hAnsi="Arial" w:cs="Arial"/>
                <w:sz w:val="18"/>
              </w:rPr>
              <w:t>Colaborador</w:t>
            </w:r>
          </w:p>
        </w:tc>
        <w:tc>
          <w:tcPr>
            <w:tcW w:type="dxa" w:w="4258"/>
            <w:tcMar>
              <w:top w:w="80" w:type="dxa"/>
              <w:start w:w="120" w:type="dxa"/>
              <w:bottom w:w="80" w:type="dxa"/>
              <w:end w:w="120" w:type="dxa"/>
            </w:tcMar>
            <w:vAlign w:val="center"/>
          </w:tcPr>
          <w:p>
            <w:pPr>
              <w:spacing w:before="0" w:after="0" w:line="240" w:lineRule="auto"/>
              <w:jc w:val="left"/>
            </w:pPr>
            <w:r/>
            <w:r>
              <w:rPr>
                <w:rFonts w:ascii="Arial" w:hAnsi="Arial" w:cs="Arial"/>
                <w:sz w:val="18"/>
              </w:rPr>
              <w:t>Participa en gestión sin convertirse en entidad gestora</w:t>
            </w:r>
          </w:p>
        </w:tc>
        <w:tc>
          <w:tcPr>
            <w:tcW w:type="dxa" w:w="2554"/>
            <w:tcMar>
              <w:top w:w="80" w:type="dxa"/>
              <w:start w:w="120" w:type="dxa"/>
              <w:bottom w:w="80" w:type="dxa"/>
              <w:end w:w="120" w:type="dxa"/>
            </w:tcMar>
            <w:vAlign w:val="center"/>
          </w:tcPr>
          <w:p>
            <w:pPr>
              <w:spacing w:before="0" w:after="0" w:line="240" w:lineRule="auto"/>
              <w:jc w:val="left"/>
            </w:pPr>
            <w:r/>
            <w:r>
              <w:rPr>
                <w:rFonts w:ascii="Arial" w:hAnsi="Arial" w:cs="Arial"/>
                <w:sz w:val="18"/>
              </w:rPr>
              <w:t>Mutuas y empresas</w:t>
            </w:r>
          </w:p>
        </w:tc>
      </w:tr>
    </w:tbl>
    <w:p>
      <w:pPr>
        <w:spacing w:after="40"/>
      </w:pPr>
    </w:p>
    <w:p>
      <w:pPr>
        <w:jc w:val="both"/>
      </w:pPr>
      <w:r>
        <w:rPr>
          <w:rFonts w:ascii="Arial" w:hAnsi="Arial" w:cs="Arial"/>
          <w:sz w:val="22"/>
        </w:rPr>
        <w:t>La clasificación se obtiene de varias normas. El artículo 66 enumera tres entidades; la Ley 47/2015 configura además al ISM como entidad gestora del Régimen del Mar; los artículos 73 y 74 bis y las normas organizativas regulan servicios comunes; y el Real Decreto 501/2024, reformado en 2026, establece la organización ministerial vigente.</w:t>
      </w:r>
    </w:p>
    <w:p>
      <w:pPr>
        <w:pStyle w:val="Heading1"/>
        <w:keepNext/>
      </w:pPr>
      <w:r>
        <w:rPr>
          <w:rFonts w:ascii="Arial" w:hAnsi="Arial" w:cs="Arial"/>
          <w:sz w:val="30"/>
        </w:rPr>
        <w:t>10. Entidades gestoras</w:t>
      </w:r>
    </w:p>
    <w:p>
      <w:pPr>
        <w:pStyle w:val="Heading2"/>
        <w:keepNext/>
      </w:pPr>
      <w:r>
        <w:rPr>
          <w:rFonts w:ascii="Arial" w:hAnsi="Arial" w:cs="Arial"/>
          <w:sz w:val="25"/>
        </w:rPr>
        <w:t>10.1. Enumeración del artículo 66 TRLGSS</w:t>
      </w:r>
    </w:p>
    <w:p>
      <w:pPr>
        <w:jc w:val="both"/>
      </w:pPr>
      <w:r>
        <w:rPr>
          <w:rFonts w:ascii="Arial" w:hAnsi="Arial" w:cs="Arial"/>
          <w:sz w:val="22"/>
        </w:rPr>
        <w:t>El artículo 66.1 enumera:</w:t>
      </w:r>
    </w:p>
    <w:p>
      <w:pPr>
        <w:pStyle w:val="Heading3"/>
        <w:keepNext/>
      </w:pPr>
      <w:r>
        <w:rPr>
          <w:rFonts w:ascii="Arial" w:hAnsi="Arial" w:cs="Arial"/>
          <w:sz w:val="23"/>
        </w:rPr>
        <w:t>a) Instituto Nacional de la Seguridad Social —INSS—</w:t>
      </w:r>
    </w:p>
    <w:p>
      <w:pPr>
        <w:jc w:val="both"/>
      </w:pPr>
      <w:r>
        <w:rPr>
          <w:rFonts w:ascii="Arial" w:hAnsi="Arial" w:cs="Arial"/>
          <w:sz w:val="22"/>
        </w:rPr>
        <w:t xml:space="preserve">Gestiona y administra las </w:t>
      </w:r>
      <w:r>
        <w:rPr>
          <w:rFonts w:ascii="Arial" w:hAnsi="Arial" w:cs="Arial"/>
          <w:b/>
          <w:sz w:val="22"/>
        </w:rPr>
        <w:t>prestaciones económicas</w:t>
      </w:r>
      <w:r>
        <w:rPr>
          <w:rFonts w:ascii="Arial" w:hAnsi="Arial" w:cs="Arial"/>
          <w:sz w:val="22"/>
        </w:rPr>
        <w:t xml:space="preserve"> del sistema, salvo las atribuidas al IMSERSO. En su normativa específica se le encomiendan el reconocimiento y control de pensiones y subsidios contributivos y el reconocimiento del derecho a asistencia sanitaria cuando proceda.</w:t>
      </w:r>
    </w:p>
    <w:p>
      <w:pPr>
        <w:jc w:val="both"/>
      </w:pPr>
      <w:r>
        <w:rPr>
          <w:rFonts w:ascii="Arial" w:hAnsi="Arial" w:cs="Arial"/>
          <w:sz w:val="22"/>
        </w:rPr>
        <w:t>No gestiona la afiliación, las altas o la recaudación —funciones de TGSS— ni el desempleo ordinario gestionado por el servicio público de empleo competente. Tampoco debe confundirse el reconocimiento del derecho sanitario con la prestación material de la asistencia por los servicios de salud.</w:t>
      </w:r>
    </w:p>
    <w:p>
      <w:pPr>
        <w:pStyle w:val="Heading3"/>
        <w:keepNext/>
      </w:pPr>
      <w:r>
        <w:rPr>
          <w:rFonts w:ascii="Arial" w:hAnsi="Arial" w:cs="Arial"/>
          <w:sz w:val="23"/>
        </w:rPr>
        <w:t>b) Instituto Nacional de Gestión Sanitaria —INGESA—</w:t>
      </w:r>
    </w:p>
    <w:p>
      <w:pPr>
        <w:jc w:val="both"/>
      </w:pPr>
      <w:r>
        <w:rPr>
          <w:rFonts w:ascii="Arial" w:hAnsi="Arial" w:cs="Arial"/>
          <w:sz w:val="22"/>
        </w:rPr>
        <w:t>Administra y gestiona servicios sanitarios. Tras las transferencias sanitarias, mantiene funciones materiales principalmente en Ceuta y Melilla, bajo adscripción al departamento competente en sanidad. Sigue siendo entidad gestora enumerada en el TRLGSS aunque no figure adscrita a la Secretaría de Estado de Seguridad Social del Real Decreto 501/2024.</w:t>
      </w:r>
    </w:p>
    <w:p>
      <w:pPr>
        <w:pStyle w:val="Heading3"/>
        <w:keepNext/>
      </w:pPr>
      <w:r>
        <w:rPr>
          <w:rFonts w:ascii="Arial" w:hAnsi="Arial" w:cs="Arial"/>
          <w:sz w:val="23"/>
        </w:rPr>
        <w:t>c) Instituto de Mayores y Servicios Sociales —IMSERSO—</w:t>
      </w:r>
    </w:p>
    <w:p>
      <w:pPr>
        <w:jc w:val="both"/>
      </w:pPr>
      <w:r>
        <w:rPr>
          <w:rFonts w:ascii="Arial" w:hAnsi="Arial" w:cs="Arial"/>
          <w:sz w:val="22"/>
        </w:rPr>
        <w:t>Gestiona pensiones no contributivas de incapacidad y jubilación, así como servicios complementarios de las prestaciones del sistema, sin perjuicio de la gestión asumida por comunidades autónomas. Está adscrito al departamento competente en derechos sociales.</w:t>
      </w:r>
    </w:p>
    <w:p>
      <w:pPr>
        <w:jc w:val="both"/>
      </w:pPr>
      <w:r>
        <w:rPr>
          <w:rFonts w:ascii="Arial" w:hAnsi="Arial" w:cs="Arial"/>
          <w:sz w:val="22"/>
        </w:rPr>
        <w:t xml:space="preserve">La reforma terminológica de 2025 sustituyó las referencias a «invalidez no contributiva» por </w:t>
      </w:r>
      <w:r>
        <w:rPr>
          <w:rFonts w:ascii="Arial" w:hAnsi="Arial" w:cs="Arial"/>
          <w:b/>
          <w:sz w:val="22"/>
        </w:rPr>
        <w:t>incapacidad no contributiva</w:t>
      </w:r>
      <w:r>
        <w:rPr>
          <w:rFonts w:ascii="Arial" w:hAnsi="Arial" w:cs="Arial"/>
          <w:sz w:val="22"/>
        </w:rPr>
        <w:t>. Una pregunta que reproduzca la terminología histórica debe resolverse atendiendo a la redacción vigente.</w:t>
      </w:r>
    </w:p>
    <w:p>
      <w:pPr>
        <w:jc w:val="both"/>
      </w:pPr>
      <w:r>
        <w:rPr>
          <w:rFonts w:ascii="Arial" w:hAnsi="Arial" w:cs="Arial"/>
          <w:sz w:val="22"/>
        </w:rPr>
        <w:t>Las tres entidades coordinan su actuación para racionalizar y homogeneizar la utilización de instalaciones sanitarias. Tienen naturaleza de entidades de Derecho público y capacidad jurídica para cumplir sus fines. El Gobierno reglamenta su estructura y competencias y actúan descentralizadamente.</w:t>
      </w:r>
    </w:p>
    <w:p>
      <w:pPr>
        <w:pStyle w:val="Heading2"/>
        <w:keepNext/>
      </w:pPr>
      <w:r>
        <w:rPr>
          <w:rFonts w:ascii="Arial" w:hAnsi="Arial" w:cs="Arial"/>
          <w:sz w:val="25"/>
        </w:rPr>
        <w:t>10.2. Instituto Social de la Marina —ISM—</w:t>
      </w:r>
    </w:p>
    <w:p>
      <w:pPr>
        <w:jc w:val="both"/>
      </w:pPr>
      <w:r>
        <w:rPr>
          <w:rFonts w:ascii="Arial" w:hAnsi="Arial" w:cs="Arial"/>
          <w:sz w:val="22"/>
        </w:rPr>
        <w:t xml:space="preserve">El ISM no aparece en la lista literal de tres letras del artículo 66.1, pero el artículo 42 de la </w:t>
      </w:r>
      <w:r>
        <w:rPr>
          <w:rFonts w:ascii="Arial" w:hAnsi="Arial" w:cs="Arial"/>
          <w:b/>
          <w:sz w:val="22"/>
        </w:rPr>
        <w:t>Ley 47/2015</w:t>
      </w:r>
      <w:r>
        <w:rPr>
          <w:rFonts w:ascii="Arial" w:hAnsi="Arial" w:cs="Arial"/>
          <w:sz w:val="22"/>
        </w:rPr>
        <w:t xml:space="preserve"> lo configura como entidad de Derecho público, con personalidad jurídica propia y ámbito nacional, con doble dimensión:</w:t>
      </w:r>
    </w:p>
    <w:p>
      <w:pPr>
        <w:pStyle w:val="ListBullet"/>
      </w:pPr>
      <w:r>
        <w:rPr>
          <w:rFonts w:ascii="Arial" w:hAnsi="Arial" w:cs="Arial"/>
          <w:sz w:val="22"/>
        </w:rPr>
        <w:t>organismo encargado de la protección social específica del sector marítimo-pesquero;</w:t>
      </w:r>
    </w:p>
    <w:p>
      <w:pPr>
        <w:pStyle w:val="ListBullet"/>
      </w:pPr>
      <w:r>
        <w:rPr>
          <w:rFonts w:ascii="Arial" w:hAnsi="Arial" w:cs="Arial"/>
          <w:sz w:val="22"/>
        </w:rPr>
        <w:t>entidad gestora del Régimen Especial de la Seguridad Social de los Trabajadores del Mar.</w:t>
      </w:r>
    </w:p>
    <w:p>
      <w:pPr>
        <w:jc w:val="both"/>
      </w:pPr>
      <w:r>
        <w:rPr>
          <w:rFonts w:ascii="Arial" w:hAnsi="Arial" w:cs="Arial"/>
          <w:sz w:val="22"/>
        </w:rPr>
        <w:t>Como entidad gestora reconoce y administra las prestaciones de ese régimen. Colabora con TGSS en inscripción de empresas, afiliación, altas, bajas, variaciones, cotización y recaudación voluntaria. Además gestiona sanidad marítima, servicios asistenciales y formación profesional marítima y sanitaria.</w:t>
      </w:r>
    </w:p>
    <w:p>
      <w:pPr>
        <w:spacing w:after="100"/>
        <w:ind w:left="340" w:right="227"/>
        <w:shd w:fill="EAF2F8"/>
      </w:pPr>
      <w:r>
        <w:rPr>
          <w:rFonts w:ascii="Arial" w:hAnsi="Arial" w:cs="Arial"/>
          <w:b/>
          <w:sz w:val="20"/>
        </w:rPr>
        <w:t>Trampa frecuente:</w:t>
      </w:r>
      <w:r>
        <w:rPr>
          <w:rFonts w:ascii="Arial" w:hAnsi="Arial" w:cs="Arial"/>
          <w:sz w:val="20"/>
        </w:rPr>
        <w:t xml:space="preserve"> afirmar que «solo existen las tres entidades del artículo 66» omite al ISM, cuya condición de entidad gestora deriva de su ley especial.</w:t>
      </w:r>
    </w:p>
    <w:p>
      <w:pPr>
        <w:pStyle w:val="Heading2"/>
        <w:keepNext/>
      </w:pPr>
      <w:r>
        <w:rPr>
          <w:rFonts w:ascii="Arial" w:hAnsi="Arial" w:cs="Arial"/>
          <w:sz w:val="25"/>
        </w:rPr>
        <w:t>10.3. Participación en las entidades</w:t>
      </w:r>
    </w:p>
    <w:p>
      <w:pPr>
        <w:jc w:val="both"/>
      </w:pPr>
      <w:r>
        <w:rPr>
          <w:rFonts w:ascii="Arial" w:hAnsi="Arial" w:cs="Arial"/>
          <w:sz w:val="22"/>
        </w:rPr>
        <w:t>El artículo 69 faculta al Gobierno para regular participación en control y vigilancia desde nivel estatal al local. En los órganos figuran, fundamentalmente por partes iguales, representantes de:</w:t>
      </w:r>
    </w:p>
    <w:p>
      <w:pPr>
        <w:pStyle w:val="ListBullet"/>
      </w:pPr>
      <w:r>
        <w:rPr>
          <w:rFonts w:ascii="Arial" w:hAnsi="Arial" w:cs="Arial"/>
          <w:sz w:val="22"/>
        </w:rPr>
        <w:t>organizaciones sindicales;</w:t>
      </w:r>
    </w:p>
    <w:p>
      <w:pPr>
        <w:pStyle w:val="ListBullet"/>
      </w:pPr>
      <w:r>
        <w:rPr>
          <w:rFonts w:ascii="Arial" w:hAnsi="Arial" w:cs="Arial"/>
          <w:sz w:val="22"/>
        </w:rPr>
        <w:t>organizaciones empresariales;</w:t>
      </w:r>
    </w:p>
    <w:p>
      <w:pPr>
        <w:pStyle w:val="ListBullet"/>
      </w:pPr>
      <w:r>
        <w:rPr>
          <w:rFonts w:ascii="Arial" w:hAnsi="Arial" w:cs="Arial"/>
          <w:sz w:val="22"/>
        </w:rPr>
        <w:t>Administración Pública.</w:t>
      </w:r>
    </w:p>
    <w:p>
      <w:pPr>
        <w:jc w:val="both"/>
      </w:pPr>
      <w:r>
        <w:rPr>
          <w:rFonts w:ascii="Arial" w:hAnsi="Arial" w:cs="Arial"/>
          <w:sz w:val="22"/>
        </w:rPr>
        <w:t>La estructura habitual comprende Consejo General, Comisión Ejecutiva y comisiones ejecutivas provinciales, con adaptaciones por entidad. Son órganos de participación, no órganos que sustituyan la competencia resolutoria de las direcciones.</w:t>
      </w:r>
    </w:p>
    <w:p>
      <w:pPr>
        <w:pStyle w:val="Heading1"/>
        <w:keepNext/>
      </w:pPr>
      <w:r>
        <w:rPr>
          <w:rFonts w:ascii="Arial" w:hAnsi="Arial" w:cs="Arial"/>
          <w:sz w:val="30"/>
        </w:rPr>
        <w:t>11. Servicios comunes</w:t>
      </w:r>
    </w:p>
    <w:p>
      <w:pPr>
        <w:jc w:val="both"/>
      </w:pPr>
      <w:r>
        <w:rPr>
          <w:rFonts w:ascii="Arial" w:hAnsi="Arial" w:cs="Arial"/>
          <w:sz w:val="22"/>
        </w:rPr>
        <w:t>El artículo 73 atribuye al Gobierno, a propuesta del ministerio competente, la creación de servicios comunes y la regulación de su estructura y competencias. Su rasgo funcional es prestar apoyo transversal a entidades y al conjunto del sistema.</w:t>
      </w:r>
    </w:p>
    <w:p>
      <w:pPr>
        <w:pStyle w:val="Heading2"/>
        <w:keepNext/>
      </w:pPr>
      <w:r>
        <w:rPr>
          <w:rFonts w:ascii="Arial" w:hAnsi="Arial" w:cs="Arial"/>
          <w:sz w:val="25"/>
        </w:rPr>
        <w:t>11.1. Tesorería General de la Seguridad Social —TGSS—</w:t>
      </w:r>
    </w:p>
    <w:p>
      <w:pPr>
        <w:jc w:val="both"/>
      </w:pPr>
      <w:r>
        <w:rPr>
          <w:rFonts w:ascii="Arial" w:hAnsi="Arial" w:cs="Arial"/>
          <w:sz w:val="22"/>
        </w:rPr>
        <w:t xml:space="preserve">El artículo 74 la define como </w:t>
      </w:r>
      <w:r>
        <w:rPr>
          <w:rFonts w:ascii="Arial" w:hAnsi="Arial" w:cs="Arial"/>
          <w:b/>
          <w:sz w:val="22"/>
        </w:rPr>
        <w:t>servicio común con personalidad jurídica propia</w:t>
      </w:r>
      <w:r>
        <w:rPr>
          <w:rFonts w:ascii="Arial" w:hAnsi="Arial" w:cs="Arial"/>
          <w:sz w:val="22"/>
        </w:rPr>
        <w:t>. En ella se unifican todos los recursos financieros, presupuestarios y extrapresupuestarios, por solidaridad financiera y caja única. Le corresponden:</w:t>
      </w:r>
    </w:p>
    <w:p>
      <w:pPr>
        <w:pStyle w:val="ListBullet"/>
      </w:pPr>
      <w:r>
        <w:rPr>
          <w:rFonts w:ascii="Arial" w:hAnsi="Arial" w:cs="Arial"/>
          <w:sz w:val="22"/>
        </w:rPr>
        <w:t>inscripción de empresas;</w:t>
      </w:r>
    </w:p>
    <w:p>
      <w:pPr>
        <w:pStyle w:val="ListBullet"/>
      </w:pPr>
      <w:r>
        <w:rPr>
          <w:rFonts w:ascii="Arial" w:hAnsi="Arial" w:cs="Arial"/>
          <w:sz w:val="22"/>
        </w:rPr>
        <w:t>afiliación, altas, bajas y variaciones de datos;</w:t>
      </w:r>
    </w:p>
    <w:p>
      <w:pPr>
        <w:pStyle w:val="ListBullet"/>
      </w:pPr>
      <w:r>
        <w:rPr>
          <w:rFonts w:ascii="Arial" w:hAnsi="Arial" w:cs="Arial"/>
          <w:sz w:val="22"/>
        </w:rPr>
        <w:t>gestión de la cotización y liquidación;</w:t>
      </w:r>
    </w:p>
    <w:p>
      <w:pPr>
        <w:pStyle w:val="ListBullet"/>
      </w:pPr>
      <w:r>
        <w:rPr>
          <w:rFonts w:ascii="Arial" w:hAnsi="Arial" w:cs="Arial"/>
          <w:sz w:val="22"/>
        </w:rPr>
        <w:t>recaudación voluntaria y ejecutiva;</w:t>
      </w:r>
    </w:p>
    <w:p>
      <w:pPr>
        <w:pStyle w:val="ListBullet"/>
      </w:pPr>
      <w:r>
        <w:rPr>
          <w:rFonts w:ascii="Arial" w:hAnsi="Arial" w:cs="Arial"/>
          <w:sz w:val="22"/>
        </w:rPr>
        <w:t>custodia de fondos, valores y créditos;</w:t>
      </w:r>
    </w:p>
    <w:p>
      <w:pPr>
        <w:pStyle w:val="ListBullet"/>
      </w:pPr>
      <w:r>
        <w:rPr>
          <w:rFonts w:ascii="Arial" w:hAnsi="Arial" w:cs="Arial"/>
          <w:sz w:val="22"/>
        </w:rPr>
        <w:t>pago de obligaciones del sistema;</w:t>
      </w:r>
    </w:p>
    <w:p>
      <w:pPr>
        <w:pStyle w:val="ListBullet"/>
      </w:pPr>
      <w:r>
        <w:rPr>
          <w:rFonts w:ascii="Arial" w:hAnsi="Arial" w:cs="Arial"/>
          <w:sz w:val="22"/>
        </w:rPr>
        <w:t>titularidad y gestión del patrimonio único en los términos legales;</w:t>
      </w:r>
    </w:p>
    <w:p>
      <w:pPr>
        <w:pStyle w:val="ListBullet"/>
      </w:pPr>
      <w:r>
        <w:rPr>
          <w:rFonts w:ascii="Arial" w:hAnsi="Arial" w:cs="Arial"/>
          <w:sz w:val="22"/>
        </w:rPr>
        <w:t>ordenación de pagos y funciones comunes atribuidas.</w:t>
      </w:r>
    </w:p>
    <w:p>
      <w:pPr>
        <w:jc w:val="both"/>
      </w:pPr>
      <w:r>
        <w:rPr>
          <w:rFonts w:ascii="Arial" w:hAnsi="Arial" w:cs="Arial"/>
          <w:sz w:val="22"/>
        </w:rPr>
        <w:t>La TGSS no reconoce normalmente la pensión de jubilación —INSS o ISM—, aunque materialice pagos. «Pagar» y «reconocer el derecho» son competencias distintas.</w:t>
      </w:r>
    </w:p>
    <w:p>
      <w:pPr>
        <w:pStyle w:val="Heading2"/>
        <w:keepNext/>
      </w:pPr>
      <w:r>
        <w:rPr>
          <w:rFonts w:ascii="Arial" w:hAnsi="Arial" w:cs="Arial"/>
          <w:sz w:val="25"/>
        </w:rPr>
        <w:t>11.2. Gerencia de Informática de la Seguridad Social —GISS—</w:t>
      </w:r>
    </w:p>
    <w:p>
      <w:pPr>
        <w:jc w:val="both"/>
      </w:pPr>
      <w:r>
        <w:rPr>
          <w:rFonts w:ascii="Arial" w:hAnsi="Arial" w:cs="Arial"/>
          <w:sz w:val="22"/>
        </w:rPr>
        <w:t xml:space="preserve">El artículo 74 bis configura la GISS como servicio común para gestión y administración de tecnologías de la información y comunicaciones, con </w:t>
      </w:r>
      <w:r>
        <w:rPr>
          <w:rFonts w:ascii="Arial" w:hAnsi="Arial" w:cs="Arial"/>
          <w:b/>
          <w:sz w:val="22"/>
        </w:rPr>
        <w:t>personalidad jurídica propia y plena capacidad de obrar</w:t>
      </w:r>
      <w:r>
        <w:rPr>
          <w:rFonts w:ascii="Arial" w:hAnsi="Arial" w:cs="Arial"/>
          <w:sz w:val="22"/>
        </w:rPr>
        <w:t>. El Real Decreto 501/2024 la adscribe a la Secretaría de Estado con nivel orgánico de subdirección general.</w:t>
      </w:r>
    </w:p>
    <w:p>
      <w:pPr>
        <w:jc w:val="both"/>
      </w:pPr>
      <w:r>
        <w:rPr>
          <w:rFonts w:ascii="Arial" w:hAnsi="Arial" w:cs="Arial"/>
          <w:sz w:val="22"/>
        </w:rPr>
        <w:t>Entre sus funciones se encuentran transformación digital, creación y desarrollo de sistemas, redes, bases corporativas, seguridad, compatibilidad e interoperabilidad, inventario de recursos y contratación tecnológica. Depende funcionalmente de los órganos, entidades y servicios para los programas que afectan a sus competencias.</w:t>
      </w:r>
    </w:p>
    <w:p>
      <w:pPr>
        <w:jc w:val="both"/>
      </w:pPr>
      <w:r>
        <w:rPr>
          <w:rFonts w:ascii="Arial" w:hAnsi="Arial" w:cs="Arial"/>
          <w:sz w:val="22"/>
        </w:rPr>
        <w:t>No es una subdirección de la TGSS ni una mera empresa informática. Su rango orgánico de subdirección general no elimina su personalidad jurídica ni su naturaleza de servicio común.</w:t>
      </w:r>
    </w:p>
    <w:p>
      <w:pPr>
        <w:pStyle w:val="Heading2"/>
        <w:keepNext/>
      </w:pPr>
      <w:r>
        <w:rPr>
          <w:rFonts w:ascii="Arial" w:hAnsi="Arial" w:cs="Arial"/>
          <w:sz w:val="25"/>
        </w:rPr>
        <w:t>11.3. Servicio Jurídico de la Administración de la Seguridad Social —SJASS—</w:t>
      </w:r>
    </w:p>
    <w:p>
      <w:pPr>
        <w:jc w:val="both"/>
      </w:pPr>
      <w:r>
        <w:rPr>
          <w:rFonts w:ascii="Arial" w:hAnsi="Arial" w:cs="Arial"/>
          <w:sz w:val="22"/>
        </w:rPr>
        <w:t>El Servicio Jurídico presta asistencia jurídica —asesoramiento, representación y defensa— a entidades gestoras, servicios comunes y otros organismos o entidades públicas que integran la Administración de la Seguridad Social. Lo forman:</w:t>
      </w:r>
    </w:p>
    <w:p>
      <w:pPr>
        <w:pStyle w:val="ListBullet"/>
      </w:pPr>
      <w:r>
        <w:rPr>
          <w:rFonts w:ascii="Arial" w:hAnsi="Arial" w:cs="Arial"/>
          <w:sz w:val="22"/>
        </w:rPr>
        <w:t>la Dirección del Servicio Jurídico;</w:t>
      </w:r>
    </w:p>
    <w:p>
      <w:pPr>
        <w:pStyle w:val="ListBullet"/>
      </w:pPr>
      <w:r>
        <w:rPr>
          <w:rFonts w:ascii="Arial" w:hAnsi="Arial" w:cs="Arial"/>
          <w:sz w:val="22"/>
        </w:rPr>
        <w:t>los servicios jurídicos delegados.</w:t>
      </w:r>
    </w:p>
    <w:p>
      <w:pPr>
        <w:jc w:val="both"/>
      </w:pPr>
      <w:r>
        <w:rPr>
          <w:rFonts w:ascii="Arial" w:hAnsi="Arial" w:cs="Arial"/>
          <w:sz w:val="22"/>
        </w:rPr>
        <w:t xml:space="preserve">Es un </w:t>
      </w:r>
      <w:r>
        <w:rPr>
          <w:rFonts w:ascii="Arial" w:hAnsi="Arial" w:cs="Arial"/>
          <w:b/>
          <w:sz w:val="22"/>
        </w:rPr>
        <w:t>servicio común sin personalidad jurídica</w:t>
      </w:r>
      <w:r>
        <w:rPr>
          <w:rFonts w:ascii="Arial" w:hAnsi="Arial" w:cs="Arial"/>
          <w:sz w:val="22"/>
        </w:rPr>
        <w:t>. Su presupuesto se integra en el de TGSS como centro de gestión independiente, sin perjuicio de la dependencia directa de la Secretaría de Estado.</w:t>
      </w:r>
    </w:p>
    <w:p>
      <w:pPr>
        <w:pStyle w:val="Heading3"/>
        <w:keepNext/>
      </w:pPr>
      <w:r>
        <w:rPr>
          <w:rFonts w:ascii="Arial" w:hAnsi="Arial" w:cs="Arial"/>
          <w:sz w:val="23"/>
        </w:rPr>
        <w:t>Reforma del Real Decreto 616/2026</w:t>
      </w:r>
    </w:p>
    <w:p>
      <w:pPr>
        <w:jc w:val="both"/>
      </w:pPr>
      <w:r>
        <w:rPr>
          <w:rFonts w:ascii="Arial" w:hAnsi="Arial" w:cs="Arial"/>
          <w:sz w:val="22"/>
        </w:rPr>
        <w:t>El Real Decreto 616/2026, de 22 de julio:</w:t>
      </w:r>
    </w:p>
    <w:p>
      <w:pPr>
        <w:pStyle w:val="ListBullet"/>
      </w:pPr>
      <w:r>
        <w:rPr>
          <w:rFonts w:ascii="Arial" w:hAnsi="Arial" w:cs="Arial"/>
          <w:sz w:val="22"/>
        </w:rPr>
        <w:t xml:space="preserve">fue publicado el </w:t>
      </w:r>
      <w:r>
        <w:rPr>
          <w:rFonts w:ascii="Arial" w:hAnsi="Arial" w:cs="Arial"/>
          <w:b/>
          <w:sz w:val="22"/>
        </w:rPr>
        <w:t>23 de julio de 2026</w:t>
      </w:r>
      <w:r>
        <w:rPr>
          <w:rFonts w:ascii="Arial" w:hAnsi="Arial" w:cs="Arial"/>
          <w:sz w:val="22"/>
        </w:rPr>
        <w:t>;</w:t>
      </w:r>
    </w:p>
    <w:p>
      <w:pPr>
        <w:pStyle w:val="ListBullet"/>
      </w:pPr>
      <w:r>
        <w:rPr>
          <w:rFonts w:ascii="Arial" w:hAnsi="Arial" w:cs="Arial"/>
          <w:sz w:val="22"/>
        </w:rPr>
        <w:t xml:space="preserve">entró en vigor el </w:t>
      </w:r>
      <w:r>
        <w:rPr>
          <w:rFonts w:ascii="Arial" w:hAnsi="Arial" w:cs="Arial"/>
          <w:b/>
          <w:sz w:val="22"/>
        </w:rPr>
        <w:t>24 de julio de 2026</w:t>
      </w:r>
      <w:r>
        <w:rPr>
          <w:rFonts w:ascii="Arial" w:hAnsi="Arial" w:cs="Arial"/>
          <w:sz w:val="22"/>
        </w:rPr>
        <w:t>;</w:t>
      </w:r>
    </w:p>
    <w:p>
      <w:pPr>
        <w:pStyle w:val="ListBullet"/>
      </w:pPr>
      <w:r>
        <w:rPr>
          <w:rFonts w:ascii="Arial" w:hAnsi="Arial" w:cs="Arial"/>
          <w:sz w:val="22"/>
        </w:rPr>
        <w:t xml:space="preserve">elevó el nivel orgánico de la Dirección del Servicio Jurídico de </w:t>
      </w:r>
      <w:r>
        <w:rPr>
          <w:rFonts w:ascii="Arial" w:hAnsi="Arial" w:cs="Arial"/>
          <w:b/>
          <w:sz w:val="22"/>
        </w:rPr>
        <w:t>subdirección general a dirección general</w:t>
      </w:r>
      <w:r>
        <w:rPr>
          <w:rFonts w:ascii="Arial" w:hAnsi="Arial" w:cs="Arial"/>
          <w:sz w:val="22"/>
        </w:rPr>
        <w:t>;</w:t>
      </w:r>
    </w:p>
    <w:p>
      <w:pPr>
        <w:pStyle w:val="ListBullet"/>
      </w:pPr>
      <w:r>
        <w:rPr>
          <w:rFonts w:ascii="Arial" w:hAnsi="Arial" w:cs="Arial"/>
          <w:sz w:val="22"/>
        </w:rPr>
        <w:t>mantuvo su condición de servicio común y su ausencia de personalidad jurídica;</w:t>
      </w:r>
    </w:p>
    <w:p>
      <w:pPr>
        <w:pStyle w:val="ListBullet"/>
      </w:pPr>
      <w:r>
        <w:rPr>
          <w:rFonts w:ascii="Arial" w:hAnsi="Arial" w:cs="Arial"/>
          <w:sz w:val="22"/>
        </w:rPr>
        <w:t>adscribió el Servicio Jurídico a la Secretaría de Estado con rango de dirección general;</w:t>
      </w:r>
    </w:p>
    <w:p>
      <w:pPr>
        <w:pStyle w:val="ListBullet"/>
      </w:pPr>
      <w:r>
        <w:rPr>
          <w:rFonts w:ascii="Arial" w:hAnsi="Arial" w:cs="Arial"/>
          <w:sz w:val="22"/>
        </w:rPr>
        <w:t>mantuvo las unidades de la Dirección con nivel de subdirección general.</w:t>
      </w:r>
    </w:p>
    <w:p>
      <w:pPr>
        <w:jc w:val="both"/>
      </w:pPr>
      <w:r>
        <w:rPr>
          <w:rFonts w:ascii="Arial" w:hAnsi="Arial" w:cs="Arial"/>
          <w:sz w:val="22"/>
        </w:rPr>
        <w:t>La reforma fue organizativa. No convirtió al Servicio Jurídico en entidad gestora, no le otorgó personalidad jurídica y no transfirió sus funciones a TGSS. Su asistencia alcanza entidades adscritas a distintos departamentos: el ámbito de Seguridad Social, INGESA en Sanidad e IMSERSO en Derechos Sociales.</w:t>
      </w:r>
    </w:p>
    <w:p>
      <w:pPr>
        <w:pStyle w:val="Heading2"/>
        <w:keepNext/>
      </w:pPr>
      <w:r>
        <w:rPr>
          <w:rFonts w:ascii="Arial" w:hAnsi="Arial" w:cs="Arial"/>
          <w:sz w:val="25"/>
        </w:rPr>
        <w:t>11.4. Intervención General de la Seguridad Social —IGSS—</w:t>
      </w:r>
    </w:p>
    <w:p>
      <w:pPr>
        <w:jc w:val="both"/>
      </w:pPr>
      <w:r>
        <w:rPr>
          <w:rFonts w:ascii="Arial" w:hAnsi="Arial" w:cs="Arial"/>
          <w:sz w:val="22"/>
        </w:rPr>
        <w:t>La IGSS, regulada actualmente por el Real Decreto 412/2025, tiene rango de dirección general, está adscrita a la Secretaría de Estado y depende funcionalmente de la Intervención General de la Administración del Estado. Es:</w:t>
      </w:r>
    </w:p>
    <w:p>
      <w:pPr>
        <w:pStyle w:val="ListBullet"/>
      </w:pPr>
      <w:r>
        <w:rPr>
          <w:rFonts w:ascii="Arial" w:hAnsi="Arial" w:cs="Arial"/>
          <w:sz w:val="22"/>
        </w:rPr>
        <w:t>órgano de control interno de las entidades del sistema;</w:t>
      </w:r>
    </w:p>
    <w:p>
      <w:pPr>
        <w:pStyle w:val="ListBullet"/>
      </w:pPr>
      <w:r>
        <w:rPr>
          <w:rFonts w:ascii="Arial" w:hAnsi="Arial" w:cs="Arial"/>
          <w:sz w:val="22"/>
        </w:rPr>
        <w:t>órgano de dirección y gestión de su contabilidad;</w:t>
      </w:r>
    </w:p>
    <w:p>
      <w:pPr>
        <w:pStyle w:val="ListBullet"/>
      </w:pPr>
      <w:r>
        <w:rPr>
          <w:rFonts w:ascii="Arial" w:hAnsi="Arial" w:cs="Arial"/>
          <w:sz w:val="22"/>
        </w:rPr>
        <w:t>centro de gestión de la contabilidad de entidades gestoras y servicios comunes.</w:t>
      </w:r>
    </w:p>
    <w:p>
      <w:pPr>
        <w:jc w:val="both"/>
      </w:pPr>
      <w:r>
        <w:rPr>
          <w:rFonts w:ascii="Arial" w:hAnsi="Arial" w:cs="Arial"/>
          <w:sz w:val="22"/>
        </w:rPr>
        <w:t xml:space="preserve">Ejerce función interventora, control financiero permanente y auditoría pública. El Real Decreto 501/2024 la presenta como </w:t>
      </w:r>
      <w:r>
        <w:rPr>
          <w:rFonts w:ascii="Arial" w:hAnsi="Arial" w:cs="Arial"/>
          <w:b/>
          <w:sz w:val="22"/>
        </w:rPr>
        <w:t>órgano de control</w:t>
      </w:r>
      <w:r>
        <w:rPr>
          <w:rFonts w:ascii="Arial" w:hAnsi="Arial" w:cs="Arial"/>
          <w:sz w:val="22"/>
        </w:rPr>
        <w:t>, no como uno de los servicios comunes enumerados en los artículos 74 y 74 bis. Por ello, en una clasificación rigurosa debe distinguirse de TGSS, GISS y SJASS, aunque actúe transversalmente sobre todo el sistema.</w:t>
      </w:r>
    </w:p>
    <w:p>
      <w:pPr>
        <w:spacing w:after="100"/>
        <w:ind w:left="340" w:right="227"/>
        <w:shd w:fill="EAF2F8"/>
      </w:pPr>
      <w:r>
        <w:rPr>
          <w:rFonts w:ascii="Arial" w:hAnsi="Arial" w:cs="Arial"/>
          <w:b/>
          <w:sz w:val="20"/>
        </w:rPr>
        <w:t>Trampa frecuente:</w:t>
      </w:r>
      <w:r>
        <w:rPr>
          <w:rFonts w:ascii="Arial" w:hAnsi="Arial" w:cs="Arial"/>
          <w:sz w:val="20"/>
        </w:rPr>
        <w:t xml:space="preserve"> que IGSS y SJASS tengan rango de dirección general no las convierte en entidades gestoras; el rango describe nivel orgánico, no naturaleza funcional.</w:t>
      </w:r>
    </w:p>
    <w:p>
      <w:pPr>
        <w:pStyle w:val="Heading1"/>
        <w:keepNext/>
      </w:pPr>
      <w:r>
        <w:rPr>
          <w:rFonts w:ascii="Arial" w:hAnsi="Arial" w:cs="Arial"/>
          <w:sz w:val="30"/>
        </w:rPr>
        <w:t>12. Colaboración en la gestión</w:t>
      </w:r>
    </w:p>
    <w:p>
      <w:pPr>
        <w:pStyle w:val="Heading2"/>
        <w:keepNext/>
      </w:pPr>
      <w:r>
        <w:rPr>
          <w:rFonts w:ascii="Arial" w:hAnsi="Arial" w:cs="Arial"/>
          <w:sz w:val="25"/>
        </w:rPr>
        <w:t>12.1. Mutuas colaboradoras con la Seguridad Social</w:t>
      </w:r>
    </w:p>
    <w:p>
      <w:pPr>
        <w:jc w:val="both"/>
      </w:pPr>
      <w:r>
        <w:rPr>
          <w:rFonts w:ascii="Arial" w:hAnsi="Arial" w:cs="Arial"/>
          <w:sz w:val="22"/>
        </w:rPr>
        <w:t>Son asociaciones privadas de empresarios, autorizadas e inscritas, sin ánimo de lucro, que colaboran en la gestión bajo dirección y tutela pública. Su ámbito incluye, en los términos del TRLGSS:</w:t>
      </w:r>
    </w:p>
    <w:p>
      <w:pPr>
        <w:pStyle w:val="ListBullet"/>
      </w:pPr>
      <w:r>
        <w:rPr>
          <w:rFonts w:ascii="Arial" w:hAnsi="Arial" w:cs="Arial"/>
          <w:sz w:val="22"/>
        </w:rPr>
        <w:t>prestaciones y asistencia de contingencias profesionales;</w:t>
      </w:r>
    </w:p>
    <w:p>
      <w:pPr>
        <w:pStyle w:val="ListBullet"/>
      </w:pPr>
      <w:r>
        <w:rPr>
          <w:rFonts w:ascii="Arial" w:hAnsi="Arial" w:cs="Arial"/>
          <w:sz w:val="22"/>
        </w:rPr>
        <w:t>prestación económica de incapacidad temporal por contingencias comunes;</w:t>
      </w:r>
    </w:p>
    <w:p>
      <w:pPr>
        <w:pStyle w:val="ListBullet"/>
      </w:pPr>
      <w:r>
        <w:rPr>
          <w:rFonts w:ascii="Arial" w:hAnsi="Arial" w:cs="Arial"/>
          <w:sz w:val="22"/>
        </w:rPr>
        <w:t>riesgo durante embarazo y lactancia;</w:t>
      </w:r>
    </w:p>
    <w:p>
      <w:pPr>
        <w:pStyle w:val="ListBullet"/>
      </w:pPr>
      <w:r>
        <w:rPr>
          <w:rFonts w:ascii="Arial" w:hAnsi="Arial" w:cs="Arial"/>
          <w:sz w:val="22"/>
        </w:rPr>
        <w:t>cuidado de menores afectados por cáncer u otra enfermedad grave;</w:t>
      </w:r>
    </w:p>
    <w:p>
      <w:pPr>
        <w:pStyle w:val="ListBullet"/>
      </w:pPr>
      <w:r>
        <w:rPr>
          <w:rFonts w:ascii="Arial" w:hAnsi="Arial" w:cs="Arial"/>
          <w:sz w:val="22"/>
        </w:rPr>
        <w:t>cese de actividad de trabajadores autónomos;</w:t>
      </w:r>
    </w:p>
    <w:p>
      <w:pPr>
        <w:pStyle w:val="ListBullet"/>
      </w:pPr>
      <w:r>
        <w:rPr>
          <w:rFonts w:ascii="Arial" w:hAnsi="Arial" w:cs="Arial"/>
          <w:sz w:val="22"/>
        </w:rPr>
        <w:t>demás funciones legalmente atribuidas.</w:t>
      </w:r>
    </w:p>
    <w:p>
      <w:pPr>
        <w:jc w:val="both"/>
      </w:pPr>
      <w:r>
        <w:rPr>
          <w:rFonts w:ascii="Arial" w:hAnsi="Arial" w:cs="Arial"/>
          <w:sz w:val="22"/>
        </w:rPr>
        <w:t>Gestionan recursos y prestaciones públicas; las cuotas puestas a su disposición forman parte del patrimonio de la Seguridad Social. No reparten beneficios. Están sometidas a tutela ministerial, control de IGSS, inspección, contabilidad pública y rendición al Tribunal de Cuentas.</w:t>
      </w:r>
    </w:p>
    <w:p>
      <w:pPr>
        <w:jc w:val="both"/>
      </w:pPr>
      <w:r>
        <w:rPr>
          <w:rFonts w:ascii="Arial" w:hAnsi="Arial" w:cs="Arial"/>
          <w:sz w:val="22"/>
        </w:rPr>
        <w:t>La asociación del empresario y adhesión del autónomo se rigen por la ley. La mutua no es una aseguradora privada ordinaria ni una entidad gestora pública. Su colaboración no rompe la titularidad pública del sistema.</w:t>
      </w:r>
    </w:p>
    <w:p>
      <w:pPr>
        <w:pStyle w:val="Heading2"/>
        <w:keepNext/>
      </w:pPr>
      <w:r>
        <w:rPr>
          <w:rFonts w:ascii="Arial" w:hAnsi="Arial" w:cs="Arial"/>
          <w:sz w:val="25"/>
        </w:rPr>
        <w:t>12.2. Empresas</w:t>
      </w:r>
    </w:p>
    <w:p>
      <w:pPr>
        <w:jc w:val="both"/>
      </w:pPr>
      <w:r>
        <w:rPr>
          <w:rFonts w:ascii="Arial" w:hAnsi="Arial" w:cs="Arial"/>
          <w:sz w:val="22"/>
        </w:rPr>
        <w:t>Las empresas pueden colaborar respecto de su propio personal:</w:t>
      </w:r>
    </w:p>
    <w:p>
      <w:pPr>
        <w:pStyle w:val="ListBullet"/>
      </w:pPr>
      <w:r>
        <w:rPr>
          <w:rFonts w:ascii="Arial" w:hAnsi="Arial" w:cs="Arial"/>
          <w:sz w:val="22"/>
        </w:rPr>
        <w:t>asumiendo directamente, cuando se autorice, determinadas prestaciones y asistencia derivadas de contingencias profesionales;</w:t>
      </w:r>
    </w:p>
    <w:p>
      <w:pPr>
        <w:pStyle w:val="ListBullet"/>
      </w:pPr>
      <w:r>
        <w:rPr>
          <w:rFonts w:ascii="Arial" w:hAnsi="Arial" w:cs="Arial"/>
          <w:sz w:val="22"/>
        </w:rPr>
        <w:t>pagando por delegación, a cargo de la entidad responsable, prestaciones económicas como la incapacidad temporal;</w:t>
      </w:r>
    </w:p>
    <w:p>
      <w:pPr>
        <w:pStyle w:val="ListBullet"/>
      </w:pPr>
      <w:r>
        <w:rPr>
          <w:rFonts w:ascii="Arial" w:hAnsi="Arial" w:cs="Arial"/>
          <w:sz w:val="22"/>
        </w:rPr>
        <w:t>mediante modalidades obligatorias que establezca la normativa.</w:t>
      </w:r>
    </w:p>
    <w:p>
      <w:pPr>
        <w:jc w:val="both"/>
      </w:pPr>
      <w:r>
        <w:rPr>
          <w:rFonts w:ascii="Arial" w:hAnsi="Arial" w:cs="Arial"/>
          <w:sz w:val="22"/>
        </w:rPr>
        <w:t xml:space="preserve">El </w:t>
      </w:r>
      <w:r>
        <w:rPr>
          <w:rFonts w:ascii="Arial" w:hAnsi="Arial" w:cs="Arial"/>
          <w:b/>
          <w:sz w:val="22"/>
        </w:rPr>
        <w:t>pago delegado</w:t>
      </w:r>
      <w:r>
        <w:rPr>
          <w:rFonts w:ascii="Arial" w:hAnsi="Arial" w:cs="Arial"/>
          <w:sz w:val="22"/>
        </w:rPr>
        <w:t xml:space="preserve"> no significa que la empresa reconozca el derecho ni soporte definitivamente su coste: anticipa el pago y lo compensa en la liquidación conforme a la ley. La colaboración voluntaria que asume prestaciones a cargo propio tiene requisitos y alcance diferentes.</w:t>
      </w:r>
    </w:p>
    <w:p>
      <w:pPr>
        <w:pStyle w:val="Heading1"/>
        <w:keepNext/>
      </w:pPr>
      <w:r>
        <w:rPr>
          <w:rFonts w:ascii="Arial" w:hAnsi="Arial" w:cs="Arial"/>
          <w:sz w:val="30"/>
        </w:rPr>
        <w:t>13. Organización administrativa vigente</w:t>
      </w:r>
    </w:p>
    <w:p>
      <w:pPr>
        <w:pStyle w:val="Heading2"/>
        <w:keepNext/>
      </w:pPr>
      <w:r>
        <w:rPr>
          <w:rFonts w:ascii="Arial" w:hAnsi="Arial" w:cs="Arial"/>
          <w:sz w:val="25"/>
        </w:rPr>
        <w:t>13.1. Secretaría de Estado de la Seguridad Social y Pensiones</w:t>
      </w:r>
    </w:p>
    <w:p>
      <w:pPr>
        <w:jc w:val="both"/>
      </w:pPr>
      <w:r>
        <w:rPr>
          <w:rFonts w:ascii="Arial" w:hAnsi="Arial" w:cs="Arial"/>
          <w:sz w:val="22"/>
        </w:rPr>
        <w:t>Dentro del Ministerio de Inclusión, Seguridad Social y Migraciones, la Secretaría de Estado ejerce, entre otras funciones:</w:t>
      </w:r>
    </w:p>
    <w:p>
      <w:pPr>
        <w:pStyle w:val="ListBullet"/>
      </w:pPr>
      <w:r>
        <w:rPr>
          <w:rFonts w:ascii="Arial" w:hAnsi="Arial" w:cs="Arial"/>
          <w:sz w:val="22"/>
        </w:rPr>
        <w:t>dirección y tutela de entidades gestoras y servicios comunes adscritos;</w:t>
      </w:r>
    </w:p>
    <w:p>
      <w:pPr>
        <w:pStyle w:val="ListBullet"/>
      </w:pPr>
      <w:r>
        <w:rPr>
          <w:rFonts w:ascii="Arial" w:hAnsi="Arial" w:cs="Arial"/>
          <w:sz w:val="22"/>
        </w:rPr>
        <w:t>impulso de ordenación jurídica;</w:t>
      </w:r>
    </w:p>
    <w:p>
      <w:pPr>
        <w:pStyle w:val="ListBullet"/>
      </w:pPr>
      <w:r>
        <w:rPr>
          <w:rFonts w:ascii="Arial" w:hAnsi="Arial" w:cs="Arial"/>
          <w:sz w:val="22"/>
        </w:rPr>
        <w:t>planificación y análisis económico-financiero;</w:t>
      </w:r>
    </w:p>
    <w:p>
      <w:pPr>
        <w:pStyle w:val="ListBullet"/>
      </w:pPr>
      <w:r>
        <w:rPr>
          <w:rFonts w:ascii="Arial" w:hAnsi="Arial" w:cs="Arial"/>
          <w:sz w:val="22"/>
        </w:rPr>
        <w:t>dirección y coordinación de recursos y gastos;</w:t>
      </w:r>
    </w:p>
    <w:p>
      <w:pPr>
        <w:pStyle w:val="ListBullet"/>
      </w:pPr>
      <w:r>
        <w:rPr>
          <w:rFonts w:ascii="Arial" w:hAnsi="Arial" w:cs="Arial"/>
          <w:sz w:val="22"/>
        </w:rPr>
        <w:t>planificación y tutela de colaboradores;</w:t>
      </w:r>
    </w:p>
    <w:p>
      <w:pPr>
        <w:pStyle w:val="ListBullet"/>
      </w:pPr>
      <w:r>
        <w:rPr>
          <w:rFonts w:ascii="Arial" w:hAnsi="Arial" w:cs="Arial"/>
          <w:sz w:val="22"/>
        </w:rPr>
        <w:t>superior dirección y coordinación de asistencia jurídica.</w:t>
      </w:r>
    </w:p>
    <w:p>
      <w:pPr>
        <w:jc w:val="both"/>
      </w:pPr>
      <w:r>
        <w:rPr>
          <w:rFonts w:ascii="Arial" w:hAnsi="Arial" w:cs="Arial"/>
          <w:sz w:val="22"/>
        </w:rPr>
        <w:t xml:space="preserve">De ella depende como órgano directivo la </w:t>
      </w:r>
      <w:r>
        <w:rPr>
          <w:rFonts w:ascii="Arial" w:hAnsi="Arial" w:cs="Arial"/>
          <w:b/>
          <w:sz w:val="22"/>
        </w:rPr>
        <w:t>Dirección General de Ordenación de la Seguridad Social —DGOSS—</w:t>
      </w:r>
      <w:r>
        <w:rPr>
          <w:rFonts w:ascii="Arial" w:hAnsi="Arial" w:cs="Arial"/>
          <w:sz w:val="22"/>
        </w:rPr>
        <w:t>. Están adscritas, con rango de dirección general, la IGSS y, desde el 24 de julio de 2026, el SJASS.</w:t>
      </w:r>
    </w:p>
    <w:p>
      <w:pPr>
        <w:jc w:val="both"/>
      </w:pPr>
      <w:r>
        <w:rPr>
          <w:rFonts w:ascii="Arial" w:hAnsi="Arial" w:cs="Arial"/>
          <w:sz w:val="22"/>
        </w:rPr>
        <w:t>Quedan adscritos a la Secretaría de Estado el INSS, ISM, TGSS, GISS y SJASS. Esta lista organizativa no reproduce la lista completa de entidades gestoras del artículo 66 porque INGESA e IMSERSO dependen de otros departamentos.</w:t>
      </w:r>
    </w:p>
    <w:p>
      <w:pPr>
        <w:pStyle w:val="Heading2"/>
        <w:keepNext/>
      </w:pPr>
      <w:r>
        <w:rPr>
          <w:rFonts w:ascii="Arial" w:hAnsi="Arial" w:cs="Arial"/>
          <w:sz w:val="25"/>
        </w:rPr>
        <w:t>13.2. Dirección General de Ordenación</w:t>
      </w:r>
    </w:p>
    <w:p>
      <w:pPr>
        <w:jc w:val="both"/>
      </w:pPr>
      <w:r>
        <w:rPr>
          <w:rFonts w:ascii="Arial" w:hAnsi="Arial" w:cs="Arial"/>
          <w:sz w:val="22"/>
        </w:rPr>
        <w:t>La DGOSS realiza ordenación jurídica, estudia y propone normas, tramita ciertas sanciones y coeficientes reductores, elabora el anteproyecto de presupuesto, realiza previsiones, seguimiento económico y estadístico, tutela mutuas y empresas colaboradoras y trabaja sobre previsión social complementaria.</w:t>
      </w:r>
    </w:p>
    <w:p>
      <w:pPr>
        <w:jc w:val="both"/>
      </w:pPr>
      <w:r>
        <w:rPr>
          <w:rFonts w:ascii="Arial" w:hAnsi="Arial" w:cs="Arial"/>
          <w:sz w:val="22"/>
        </w:rPr>
        <w:t xml:space="preserve">No debe confundirse </w:t>
      </w:r>
      <w:r>
        <w:rPr>
          <w:rFonts w:ascii="Arial" w:hAnsi="Arial" w:cs="Arial"/>
          <w:b/>
          <w:sz w:val="22"/>
        </w:rPr>
        <w:t>ordenar y tutelar</w:t>
      </w:r>
      <w:r>
        <w:rPr>
          <w:rFonts w:ascii="Arial" w:hAnsi="Arial" w:cs="Arial"/>
          <w:sz w:val="22"/>
        </w:rPr>
        <w:t xml:space="preserve"> con gestionar individualmente todas las prestaciones. La DGOSS fija criterios y ejerce funciones ministeriales; INSS, ISM u otras entidades reconocen prestaciones de su competencia; TGSS gestiona afiliación, cotización y recaudación.</w:t>
      </w:r>
    </w:p>
    <w:p>
      <w:pPr>
        <w:pStyle w:val="Heading2"/>
        <w:keepNext/>
      </w:pPr>
      <w:r>
        <w:rPr>
          <w:rFonts w:ascii="Arial" w:hAnsi="Arial" w:cs="Arial"/>
          <w:sz w:val="25"/>
        </w:rPr>
        <w:t>13.3. Mapa de adscripción y naturaleza</w:t>
      </w:r>
    </w:p>
    <w:tbl>
      <w:tblPr>
        <w:tblStyle w:val="TableGrid"/>
        <w:tblW w:type="dxa" w:w="9026"/>
        <w:jc w:val="left"/>
        <w:tblLayout w:type="fixed"/>
        <w:tblLook w:firstColumn="1" w:firstRow="1" w:lastColumn="0" w:lastRow="0" w:noHBand="0" w:noVBand="1" w:val="04A0"/>
        <w:tblInd w:w="120" w:type="dxa"/>
      </w:tblPr>
      <w:tblGrid>
        <w:gridCol w:w="900"/>
        <w:gridCol w:w="2383"/>
        <w:gridCol w:w="1516"/>
        <w:gridCol w:w="4227"/>
      </w:tblGrid>
      <w:tr>
        <w:trPr>
          <w:tblHeader w:val="true"/>
        </w:trPr>
        <w:tc>
          <w:tcPr>
            <w:tcW w:type="dxa" w:w="900"/>
            <w:tcMar>
              <w:top w:w="80" w:type="dxa"/>
              <w:start w:w="120" w:type="dxa"/>
              <w:bottom w:w="80" w:type="dxa"/>
              <w:end w:w="120" w:type="dxa"/>
            </w:tcMar>
            <w:vAlign w:val="center"/>
            <w:shd w:fill="D9EAF7"/>
          </w:tcPr>
          <w:p>
            <w:pPr>
              <w:spacing w:before="0" w:after="0" w:line="240" w:lineRule="auto"/>
              <w:jc w:val="left"/>
            </w:pPr>
            <w:r>
              <w:rPr>
                <w:b/>
                <w:color w:val="17365D"/>
              </w:rPr>
            </w:r>
            <w:r>
              <w:rPr>
                <w:rFonts w:ascii="Arial" w:hAnsi="Arial" w:cs="Arial"/>
                <w:b/>
                <w:color w:val="17365D"/>
                <w:sz w:val="18"/>
              </w:rPr>
              <w:t>Institución</w:t>
            </w:r>
          </w:p>
        </w:tc>
        <w:tc>
          <w:tcPr>
            <w:tcW w:type="dxa" w:w="2383"/>
            <w:tcMar>
              <w:top w:w="80" w:type="dxa"/>
              <w:start w:w="120" w:type="dxa"/>
              <w:bottom w:w="80" w:type="dxa"/>
              <w:end w:w="120" w:type="dxa"/>
            </w:tcMar>
            <w:vAlign w:val="center"/>
            <w:shd w:fill="D9EAF7"/>
          </w:tcPr>
          <w:p>
            <w:pPr>
              <w:spacing w:before="0" w:after="0" w:line="240" w:lineRule="auto"/>
              <w:jc w:val="left"/>
            </w:pPr>
            <w:r>
              <w:rPr>
                <w:b/>
                <w:color w:val="17365D"/>
              </w:rPr>
            </w:r>
            <w:r>
              <w:rPr>
                <w:rFonts w:ascii="Arial" w:hAnsi="Arial" w:cs="Arial"/>
                <w:b/>
                <w:color w:val="17365D"/>
                <w:sz w:val="18"/>
              </w:rPr>
              <w:t>Naturaleza principal</w:t>
            </w:r>
          </w:p>
        </w:tc>
        <w:tc>
          <w:tcPr>
            <w:tcW w:type="dxa" w:w="1516"/>
            <w:tcMar>
              <w:top w:w="80" w:type="dxa"/>
              <w:start w:w="120" w:type="dxa"/>
              <w:bottom w:w="80" w:type="dxa"/>
              <w:end w:w="120" w:type="dxa"/>
            </w:tcMar>
            <w:vAlign w:val="center"/>
            <w:shd w:fill="D9EAF7"/>
          </w:tcPr>
          <w:p>
            <w:pPr>
              <w:spacing w:before="0" w:after="0" w:line="240" w:lineRule="auto"/>
              <w:jc w:val="left"/>
            </w:pPr>
            <w:r>
              <w:rPr>
                <w:b/>
                <w:color w:val="17365D"/>
              </w:rPr>
            </w:r>
            <w:r>
              <w:rPr>
                <w:rFonts w:ascii="Arial" w:hAnsi="Arial" w:cs="Arial"/>
                <w:b/>
                <w:color w:val="17365D"/>
                <w:sz w:val="18"/>
              </w:rPr>
              <w:t>Personalidad propia</w:t>
            </w:r>
          </w:p>
        </w:tc>
        <w:tc>
          <w:tcPr>
            <w:tcW w:type="dxa" w:w="4227"/>
            <w:tcMar>
              <w:top w:w="80" w:type="dxa"/>
              <w:start w:w="120" w:type="dxa"/>
              <w:bottom w:w="80" w:type="dxa"/>
              <w:end w:w="120" w:type="dxa"/>
            </w:tcMar>
            <w:vAlign w:val="center"/>
            <w:shd w:fill="D9EAF7"/>
          </w:tcPr>
          <w:p>
            <w:pPr>
              <w:spacing w:before="0" w:after="0" w:line="240" w:lineRule="auto"/>
              <w:jc w:val="left"/>
            </w:pPr>
            <w:r>
              <w:rPr>
                <w:b/>
                <w:color w:val="17365D"/>
              </w:rPr>
            </w:r>
            <w:r>
              <w:rPr>
                <w:rFonts w:ascii="Arial" w:hAnsi="Arial" w:cs="Arial"/>
                <w:b/>
                <w:color w:val="17365D"/>
                <w:sz w:val="18"/>
              </w:rPr>
              <w:t>Situación organizativa relevante</w:t>
            </w:r>
          </w:p>
        </w:tc>
      </w:tr>
      <w:tr>
        <w:tc>
          <w:tcPr>
            <w:tcW w:type="dxa" w:w="900"/>
            <w:tcMar>
              <w:top w:w="80" w:type="dxa"/>
              <w:start w:w="120" w:type="dxa"/>
              <w:bottom w:w="80" w:type="dxa"/>
              <w:end w:w="120" w:type="dxa"/>
            </w:tcMar>
            <w:vAlign w:val="center"/>
          </w:tcPr>
          <w:p>
            <w:pPr>
              <w:spacing w:before="0" w:after="0" w:line="240" w:lineRule="auto"/>
              <w:jc w:val="left"/>
            </w:pPr>
            <w:r/>
            <w:r>
              <w:rPr>
                <w:rFonts w:ascii="Arial" w:hAnsi="Arial" w:cs="Arial"/>
                <w:sz w:val="18"/>
              </w:rPr>
              <w:t>INSS</w:t>
            </w:r>
          </w:p>
        </w:tc>
        <w:tc>
          <w:tcPr>
            <w:tcW w:type="dxa" w:w="2383"/>
            <w:tcMar>
              <w:top w:w="80" w:type="dxa"/>
              <w:start w:w="120" w:type="dxa"/>
              <w:bottom w:w="80" w:type="dxa"/>
              <w:end w:w="120" w:type="dxa"/>
            </w:tcMar>
            <w:vAlign w:val="center"/>
          </w:tcPr>
          <w:p>
            <w:pPr>
              <w:spacing w:before="0" w:after="0" w:line="240" w:lineRule="auto"/>
              <w:jc w:val="center"/>
            </w:pPr>
            <w:r/>
            <w:r>
              <w:rPr>
                <w:rFonts w:ascii="Arial" w:hAnsi="Arial" w:cs="Arial"/>
                <w:sz w:val="18"/>
              </w:rPr>
              <w:t>Entidad gestora</w:t>
            </w:r>
          </w:p>
        </w:tc>
        <w:tc>
          <w:tcPr>
            <w:tcW w:type="dxa" w:w="1516"/>
            <w:tcMar>
              <w:top w:w="80" w:type="dxa"/>
              <w:start w:w="120" w:type="dxa"/>
              <w:bottom w:w="80" w:type="dxa"/>
              <w:end w:w="120" w:type="dxa"/>
            </w:tcMar>
            <w:vAlign w:val="center"/>
          </w:tcPr>
          <w:p>
            <w:pPr>
              <w:spacing w:before="0" w:after="0" w:line="240" w:lineRule="auto"/>
              <w:jc w:val="center"/>
            </w:pPr>
            <w:r/>
            <w:r>
              <w:rPr>
                <w:rFonts w:ascii="Arial" w:hAnsi="Arial" w:cs="Arial"/>
                <w:sz w:val="18"/>
              </w:rPr>
              <w:t>Sí</w:t>
            </w:r>
          </w:p>
        </w:tc>
        <w:tc>
          <w:tcPr>
            <w:tcW w:type="dxa" w:w="4227"/>
            <w:tcMar>
              <w:top w:w="80" w:type="dxa"/>
              <w:start w:w="120" w:type="dxa"/>
              <w:bottom w:w="80" w:type="dxa"/>
              <w:end w:w="120" w:type="dxa"/>
            </w:tcMar>
            <w:vAlign w:val="center"/>
          </w:tcPr>
          <w:p>
            <w:pPr>
              <w:spacing w:before="0" w:after="0" w:line="240" w:lineRule="auto"/>
              <w:jc w:val="left"/>
            </w:pPr>
            <w:r/>
            <w:r>
              <w:rPr>
                <w:rFonts w:ascii="Arial" w:hAnsi="Arial" w:cs="Arial"/>
                <w:sz w:val="18"/>
              </w:rPr>
              <w:t>Adscrito a Secretaría de Estado</w:t>
            </w:r>
          </w:p>
        </w:tc>
      </w:tr>
      <w:tr>
        <w:tc>
          <w:tcPr>
            <w:tcW w:type="dxa" w:w="900"/>
            <w:tcMar>
              <w:top w:w="80" w:type="dxa"/>
              <w:start w:w="120" w:type="dxa"/>
              <w:bottom w:w="80" w:type="dxa"/>
              <w:end w:w="120" w:type="dxa"/>
            </w:tcMar>
            <w:vAlign w:val="center"/>
          </w:tcPr>
          <w:p>
            <w:pPr>
              <w:spacing w:before="0" w:after="0" w:line="240" w:lineRule="auto"/>
              <w:jc w:val="left"/>
            </w:pPr>
            <w:r/>
            <w:r>
              <w:rPr>
                <w:rFonts w:ascii="Arial" w:hAnsi="Arial" w:cs="Arial"/>
                <w:sz w:val="18"/>
              </w:rPr>
              <w:t>INGESA</w:t>
            </w:r>
          </w:p>
        </w:tc>
        <w:tc>
          <w:tcPr>
            <w:tcW w:type="dxa" w:w="2383"/>
            <w:tcMar>
              <w:top w:w="80" w:type="dxa"/>
              <w:start w:w="120" w:type="dxa"/>
              <w:bottom w:w="80" w:type="dxa"/>
              <w:end w:w="120" w:type="dxa"/>
            </w:tcMar>
            <w:vAlign w:val="center"/>
          </w:tcPr>
          <w:p>
            <w:pPr>
              <w:spacing w:before="0" w:after="0" w:line="240" w:lineRule="auto"/>
              <w:jc w:val="left"/>
            </w:pPr>
            <w:r/>
            <w:r>
              <w:rPr>
                <w:rFonts w:ascii="Arial" w:hAnsi="Arial" w:cs="Arial"/>
                <w:sz w:val="18"/>
              </w:rPr>
              <w:t>Entidad gestora sanitaria</w:t>
            </w:r>
          </w:p>
        </w:tc>
        <w:tc>
          <w:tcPr>
            <w:tcW w:type="dxa" w:w="1516"/>
            <w:tcMar>
              <w:top w:w="80" w:type="dxa"/>
              <w:start w:w="120" w:type="dxa"/>
              <w:bottom w:w="80" w:type="dxa"/>
              <w:end w:w="120" w:type="dxa"/>
            </w:tcMar>
            <w:vAlign w:val="center"/>
          </w:tcPr>
          <w:p>
            <w:pPr>
              <w:spacing w:before="0" w:after="0" w:line="240" w:lineRule="auto"/>
              <w:jc w:val="center"/>
            </w:pPr>
            <w:r/>
            <w:r>
              <w:rPr>
                <w:rFonts w:ascii="Arial" w:hAnsi="Arial" w:cs="Arial"/>
                <w:sz w:val="18"/>
              </w:rPr>
              <w:t>Sí</w:t>
            </w:r>
          </w:p>
        </w:tc>
        <w:tc>
          <w:tcPr>
            <w:tcW w:type="dxa" w:w="4227"/>
            <w:tcMar>
              <w:top w:w="80" w:type="dxa"/>
              <w:start w:w="120" w:type="dxa"/>
              <w:bottom w:w="80" w:type="dxa"/>
              <w:end w:w="120" w:type="dxa"/>
            </w:tcMar>
            <w:vAlign w:val="center"/>
          </w:tcPr>
          <w:p>
            <w:pPr>
              <w:spacing w:before="0" w:after="0" w:line="240" w:lineRule="auto"/>
              <w:jc w:val="left"/>
            </w:pPr>
            <w:r/>
            <w:r>
              <w:rPr>
                <w:rFonts w:ascii="Arial" w:hAnsi="Arial" w:cs="Arial"/>
                <w:sz w:val="18"/>
              </w:rPr>
              <w:t>Adscrito al departamento de Sanidad</w:t>
            </w:r>
          </w:p>
        </w:tc>
      </w:tr>
      <w:tr>
        <w:tc>
          <w:tcPr>
            <w:tcW w:type="dxa" w:w="900"/>
            <w:tcMar>
              <w:top w:w="80" w:type="dxa"/>
              <w:start w:w="120" w:type="dxa"/>
              <w:bottom w:w="80" w:type="dxa"/>
              <w:end w:w="120" w:type="dxa"/>
            </w:tcMar>
            <w:vAlign w:val="center"/>
          </w:tcPr>
          <w:p>
            <w:pPr>
              <w:spacing w:before="0" w:after="0" w:line="240" w:lineRule="auto"/>
              <w:jc w:val="left"/>
            </w:pPr>
            <w:r/>
            <w:r>
              <w:rPr>
                <w:rFonts w:ascii="Arial" w:hAnsi="Arial" w:cs="Arial"/>
                <w:sz w:val="18"/>
              </w:rPr>
              <w:t>IMSERSO</w:t>
            </w:r>
          </w:p>
        </w:tc>
        <w:tc>
          <w:tcPr>
            <w:tcW w:type="dxa" w:w="2383"/>
            <w:tcMar>
              <w:top w:w="80" w:type="dxa"/>
              <w:start w:w="120" w:type="dxa"/>
              <w:bottom w:w="80" w:type="dxa"/>
              <w:end w:w="120" w:type="dxa"/>
            </w:tcMar>
            <w:vAlign w:val="center"/>
          </w:tcPr>
          <w:p>
            <w:pPr>
              <w:spacing w:before="0" w:after="0" w:line="240" w:lineRule="auto"/>
              <w:jc w:val="center"/>
            </w:pPr>
            <w:r/>
            <w:r>
              <w:rPr>
                <w:rFonts w:ascii="Arial" w:hAnsi="Arial" w:cs="Arial"/>
                <w:sz w:val="18"/>
              </w:rPr>
              <w:t>Entidad gestora</w:t>
            </w:r>
          </w:p>
        </w:tc>
        <w:tc>
          <w:tcPr>
            <w:tcW w:type="dxa" w:w="1516"/>
            <w:tcMar>
              <w:top w:w="80" w:type="dxa"/>
              <w:start w:w="120" w:type="dxa"/>
              <w:bottom w:w="80" w:type="dxa"/>
              <w:end w:w="120" w:type="dxa"/>
            </w:tcMar>
            <w:vAlign w:val="center"/>
          </w:tcPr>
          <w:p>
            <w:pPr>
              <w:spacing w:before="0" w:after="0" w:line="240" w:lineRule="auto"/>
              <w:jc w:val="center"/>
            </w:pPr>
            <w:r/>
            <w:r>
              <w:rPr>
                <w:rFonts w:ascii="Arial" w:hAnsi="Arial" w:cs="Arial"/>
                <w:sz w:val="18"/>
              </w:rPr>
              <w:t>Sí</w:t>
            </w:r>
          </w:p>
        </w:tc>
        <w:tc>
          <w:tcPr>
            <w:tcW w:type="dxa" w:w="4227"/>
            <w:tcMar>
              <w:top w:w="80" w:type="dxa"/>
              <w:start w:w="120" w:type="dxa"/>
              <w:bottom w:w="80" w:type="dxa"/>
              <w:end w:w="120" w:type="dxa"/>
            </w:tcMar>
            <w:vAlign w:val="center"/>
          </w:tcPr>
          <w:p>
            <w:pPr>
              <w:spacing w:before="0" w:after="0" w:line="240" w:lineRule="auto"/>
              <w:jc w:val="left"/>
            </w:pPr>
            <w:r/>
            <w:r>
              <w:rPr>
                <w:rFonts w:ascii="Arial" w:hAnsi="Arial" w:cs="Arial"/>
                <w:sz w:val="18"/>
              </w:rPr>
              <w:t>Adscrito al departamento de Derechos Sociales</w:t>
            </w:r>
          </w:p>
        </w:tc>
      </w:tr>
      <w:tr>
        <w:tc>
          <w:tcPr>
            <w:tcW w:type="dxa" w:w="900"/>
            <w:tcMar>
              <w:top w:w="80" w:type="dxa"/>
              <w:start w:w="120" w:type="dxa"/>
              <w:bottom w:w="80" w:type="dxa"/>
              <w:end w:w="120" w:type="dxa"/>
            </w:tcMar>
            <w:vAlign w:val="center"/>
          </w:tcPr>
          <w:p>
            <w:pPr>
              <w:spacing w:before="0" w:after="0" w:line="240" w:lineRule="auto"/>
              <w:jc w:val="left"/>
            </w:pPr>
            <w:r/>
            <w:r>
              <w:rPr>
                <w:rFonts w:ascii="Arial" w:hAnsi="Arial" w:cs="Arial"/>
                <w:sz w:val="18"/>
              </w:rPr>
              <w:t>ISM</w:t>
            </w:r>
          </w:p>
        </w:tc>
        <w:tc>
          <w:tcPr>
            <w:tcW w:type="dxa" w:w="2383"/>
            <w:tcMar>
              <w:top w:w="80" w:type="dxa"/>
              <w:start w:w="120" w:type="dxa"/>
              <w:bottom w:w="80" w:type="dxa"/>
              <w:end w:w="120" w:type="dxa"/>
            </w:tcMar>
            <w:vAlign w:val="center"/>
          </w:tcPr>
          <w:p>
            <w:pPr>
              <w:spacing w:before="0" w:after="0" w:line="240" w:lineRule="auto"/>
              <w:jc w:val="left"/>
            </w:pPr>
            <w:r/>
            <w:r>
              <w:rPr>
                <w:rFonts w:ascii="Arial" w:hAnsi="Arial" w:cs="Arial"/>
                <w:sz w:val="18"/>
              </w:rPr>
              <w:t>Entidad gestora y organismo sectorial</w:t>
            </w:r>
          </w:p>
        </w:tc>
        <w:tc>
          <w:tcPr>
            <w:tcW w:type="dxa" w:w="1516"/>
            <w:tcMar>
              <w:top w:w="80" w:type="dxa"/>
              <w:start w:w="120" w:type="dxa"/>
              <w:bottom w:w="80" w:type="dxa"/>
              <w:end w:w="120" w:type="dxa"/>
            </w:tcMar>
            <w:vAlign w:val="center"/>
          </w:tcPr>
          <w:p>
            <w:pPr>
              <w:spacing w:before="0" w:after="0" w:line="240" w:lineRule="auto"/>
              <w:jc w:val="center"/>
            </w:pPr>
            <w:r/>
            <w:r>
              <w:rPr>
                <w:rFonts w:ascii="Arial" w:hAnsi="Arial" w:cs="Arial"/>
                <w:sz w:val="18"/>
              </w:rPr>
              <w:t>Sí</w:t>
            </w:r>
          </w:p>
        </w:tc>
        <w:tc>
          <w:tcPr>
            <w:tcW w:type="dxa" w:w="4227"/>
            <w:tcMar>
              <w:top w:w="80" w:type="dxa"/>
              <w:start w:w="120" w:type="dxa"/>
              <w:bottom w:w="80" w:type="dxa"/>
              <w:end w:w="120" w:type="dxa"/>
            </w:tcMar>
            <w:vAlign w:val="center"/>
          </w:tcPr>
          <w:p>
            <w:pPr>
              <w:spacing w:before="0" w:after="0" w:line="240" w:lineRule="auto"/>
              <w:jc w:val="left"/>
            </w:pPr>
            <w:r/>
            <w:r>
              <w:rPr>
                <w:rFonts w:ascii="Arial" w:hAnsi="Arial" w:cs="Arial"/>
                <w:sz w:val="18"/>
              </w:rPr>
              <w:t>Adscrito a Secretaría de Estado</w:t>
            </w:r>
          </w:p>
        </w:tc>
      </w:tr>
      <w:tr>
        <w:tc>
          <w:tcPr>
            <w:tcW w:type="dxa" w:w="900"/>
            <w:tcMar>
              <w:top w:w="80" w:type="dxa"/>
              <w:start w:w="120" w:type="dxa"/>
              <w:bottom w:w="80" w:type="dxa"/>
              <w:end w:w="120" w:type="dxa"/>
            </w:tcMar>
            <w:vAlign w:val="center"/>
          </w:tcPr>
          <w:p>
            <w:pPr>
              <w:spacing w:before="0" w:after="0" w:line="240" w:lineRule="auto"/>
              <w:jc w:val="left"/>
            </w:pPr>
            <w:r/>
            <w:r>
              <w:rPr>
                <w:rFonts w:ascii="Arial" w:hAnsi="Arial" w:cs="Arial"/>
                <w:sz w:val="18"/>
              </w:rPr>
              <w:t>TGSS</w:t>
            </w:r>
          </w:p>
        </w:tc>
        <w:tc>
          <w:tcPr>
            <w:tcW w:type="dxa" w:w="2383"/>
            <w:tcMar>
              <w:top w:w="80" w:type="dxa"/>
              <w:start w:w="120" w:type="dxa"/>
              <w:bottom w:w="80" w:type="dxa"/>
              <w:end w:w="120" w:type="dxa"/>
            </w:tcMar>
            <w:vAlign w:val="center"/>
          </w:tcPr>
          <w:p>
            <w:pPr>
              <w:spacing w:before="0" w:after="0" w:line="240" w:lineRule="auto"/>
              <w:jc w:val="center"/>
            </w:pPr>
            <w:r/>
            <w:r>
              <w:rPr>
                <w:rFonts w:ascii="Arial" w:hAnsi="Arial" w:cs="Arial"/>
                <w:sz w:val="18"/>
              </w:rPr>
              <w:t>Servicio común</w:t>
            </w:r>
          </w:p>
        </w:tc>
        <w:tc>
          <w:tcPr>
            <w:tcW w:type="dxa" w:w="1516"/>
            <w:tcMar>
              <w:top w:w="80" w:type="dxa"/>
              <w:start w:w="120" w:type="dxa"/>
              <w:bottom w:w="80" w:type="dxa"/>
              <w:end w:w="120" w:type="dxa"/>
            </w:tcMar>
            <w:vAlign w:val="center"/>
          </w:tcPr>
          <w:p>
            <w:pPr>
              <w:spacing w:before="0" w:after="0" w:line="240" w:lineRule="auto"/>
              <w:jc w:val="center"/>
            </w:pPr>
            <w:r/>
            <w:r>
              <w:rPr>
                <w:rFonts w:ascii="Arial" w:hAnsi="Arial" w:cs="Arial"/>
                <w:sz w:val="18"/>
              </w:rPr>
              <w:t>Sí</w:t>
            </w:r>
          </w:p>
        </w:tc>
        <w:tc>
          <w:tcPr>
            <w:tcW w:type="dxa" w:w="4227"/>
            <w:tcMar>
              <w:top w:w="80" w:type="dxa"/>
              <w:start w:w="120" w:type="dxa"/>
              <w:bottom w:w="80" w:type="dxa"/>
              <w:end w:w="120" w:type="dxa"/>
            </w:tcMar>
            <w:vAlign w:val="center"/>
          </w:tcPr>
          <w:p>
            <w:pPr>
              <w:spacing w:before="0" w:after="0" w:line="240" w:lineRule="auto"/>
              <w:jc w:val="left"/>
            </w:pPr>
            <w:r/>
            <w:r>
              <w:rPr>
                <w:rFonts w:ascii="Arial" w:hAnsi="Arial" w:cs="Arial"/>
                <w:sz w:val="18"/>
              </w:rPr>
              <w:t>Adscrito a Secretaría de Estado</w:t>
            </w:r>
          </w:p>
        </w:tc>
      </w:tr>
      <w:tr>
        <w:tc>
          <w:tcPr>
            <w:tcW w:type="dxa" w:w="900"/>
            <w:tcMar>
              <w:top w:w="80" w:type="dxa"/>
              <w:start w:w="120" w:type="dxa"/>
              <w:bottom w:w="80" w:type="dxa"/>
              <w:end w:w="120" w:type="dxa"/>
            </w:tcMar>
            <w:vAlign w:val="center"/>
          </w:tcPr>
          <w:p>
            <w:pPr>
              <w:spacing w:before="0" w:after="0" w:line="240" w:lineRule="auto"/>
              <w:jc w:val="left"/>
            </w:pPr>
            <w:r/>
            <w:r>
              <w:rPr>
                <w:rFonts w:ascii="Arial" w:hAnsi="Arial" w:cs="Arial"/>
                <w:sz w:val="18"/>
              </w:rPr>
              <w:t>GISS</w:t>
            </w:r>
          </w:p>
        </w:tc>
        <w:tc>
          <w:tcPr>
            <w:tcW w:type="dxa" w:w="2383"/>
            <w:tcMar>
              <w:top w:w="80" w:type="dxa"/>
              <w:start w:w="120" w:type="dxa"/>
              <w:bottom w:w="80" w:type="dxa"/>
              <w:end w:w="120" w:type="dxa"/>
            </w:tcMar>
            <w:vAlign w:val="center"/>
          </w:tcPr>
          <w:p>
            <w:pPr>
              <w:spacing w:before="0" w:after="0" w:line="240" w:lineRule="auto"/>
              <w:jc w:val="left"/>
            </w:pPr>
            <w:r/>
            <w:r>
              <w:rPr>
                <w:rFonts w:ascii="Arial" w:hAnsi="Arial" w:cs="Arial"/>
                <w:sz w:val="18"/>
              </w:rPr>
              <w:t>Servicio común TIC</w:t>
            </w:r>
          </w:p>
        </w:tc>
        <w:tc>
          <w:tcPr>
            <w:tcW w:type="dxa" w:w="1516"/>
            <w:tcMar>
              <w:top w:w="80" w:type="dxa"/>
              <w:start w:w="120" w:type="dxa"/>
              <w:bottom w:w="80" w:type="dxa"/>
              <w:end w:w="120" w:type="dxa"/>
            </w:tcMar>
            <w:vAlign w:val="center"/>
          </w:tcPr>
          <w:p>
            <w:pPr>
              <w:spacing w:before="0" w:after="0" w:line="240" w:lineRule="auto"/>
              <w:jc w:val="center"/>
            </w:pPr>
            <w:r/>
            <w:r>
              <w:rPr>
                <w:rFonts w:ascii="Arial" w:hAnsi="Arial" w:cs="Arial"/>
                <w:sz w:val="18"/>
              </w:rPr>
              <w:t>Sí</w:t>
            </w:r>
          </w:p>
        </w:tc>
        <w:tc>
          <w:tcPr>
            <w:tcW w:type="dxa" w:w="4227"/>
            <w:tcMar>
              <w:top w:w="80" w:type="dxa"/>
              <w:start w:w="120" w:type="dxa"/>
              <w:bottom w:w="80" w:type="dxa"/>
              <w:end w:w="120" w:type="dxa"/>
            </w:tcMar>
            <w:vAlign w:val="center"/>
          </w:tcPr>
          <w:p>
            <w:pPr>
              <w:spacing w:before="0" w:after="0" w:line="240" w:lineRule="auto"/>
              <w:jc w:val="left"/>
            </w:pPr>
            <w:r/>
            <w:r>
              <w:rPr>
                <w:rFonts w:ascii="Arial" w:hAnsi="Arial" w:cs="Arial"/>
                <w:sz w:val="18"/>
              </w:rPr>
              <w:t>Adscrita a Secretaría de Estado; nivel de subdirección general</w:t>
            </w:r>
          </w:p>
        </w:tc>
      </w:tr>
      <w:tr>
        <w:tc>
          <w:tcPr>
            <w:tcW w:type="dxa" w:w="900"/>
            <w:tcMar>
              <w:top w:w="80" w:type="dxa"/>
              <w:start w:w="120" w:type="dxa"/>
              <w:bottom w:w="80" w:type="dxa"/>
              <w:end w:w="120" w:type="dxa"/>
            </w:tcMar>
            <w:vAlign w:val="center"/>
          </w:tcPr>
          <w:p>
            <w:pPr>
              <w:spacing w:before="0" w:after="0" w:line="240" w:lineRule="auto"/>
              <w:jc w:val="left"/>
            </w:pPr>
            <w:r/>
            <w:r>
              <w:rPr>
                <w:rFonts w:ascii="Arial" w:hAnsi="Arial" w:cs="Arial"/>
                <w:sz w:val="18"/>
              </w:rPr>
              <w:t>SJASS</w:t>
            </w:r>
          </w:p>
        </w:tc>
        <w:tc>
          <w:tcPr>
            <w:tcW w:type="dxa" w:w="2383"/>
            <w:tcMar>
              <w:top w:w="80" w:type="dxa"/>
              <w:start w:w="120" w:type="dxa"/>
              <w:bottom w:w="80" w:type="dxa"/>
              <w:end w:w="120" w:type="dxa"/>
            </w:tcMar>
            <w:vAlign w:val="center"/>
          </w:tcPr>
          <w:p>
            <w:pPr>
              <w:spacing w:before="0" w:after="0" w:line="240" w:lineRule="auto"/>
              <w:jc w:val="left"/>
            </w:pPr>
            <w:r/>
            <w:r>
              <w:rPr>
                <w:rFonts w:ascii="Arial" w:hAnsi="Arial" w:cs="Arial"/>
                <w:sz w:val="18"/>
              </w:rPr>
              <w:t>Servicio común jurídico</w:t>
            </w:r>
          </w:p>
        </w:tc>
        <w:tc>
          <w:tcPr>
            <w:tcW w:type="dxa" w:w="1516"/>
            <w:tcMar>
              <w:top w:w="80" w:type="dxa"/>
              <w:start w:w="120" w:type="dxa"/>
              <w:bottom w:w="80" w:type="dxa"/>
              <w:end w:w="120" w:type="dxa"/>
            </w:tcMar>
            <w:vAlign w:val="center"/>
          </w:tcPr>
          <w:p>
            <w:pPr>
              <w:spacing w:before="0" w:after="0" w:line="240" w:lineRule="auto"/>
              <w:jc w:val="center"/>
            </w:pPr>
            <w:r/>
            <w:r>
              <w:rPr>
                <w:rFonts w:ascii="Arial" w:hAnsi="Arial" w:cs="Arial"/>
                <w:b/>
                <w:sz w:val="18"/>
              </w:rPr>
              <w:t>No</w:t>
            </w:r>
          </w:p>
        </w:tc>
        <w:tc>
          <w:tcPr>
            <w:tcW w:type="dxa" w:w="4227"/>
            <w:tcMar>
              <w:top w:w="80" w:type="dxa"/>
              <w:start w:w="120" w:type="dxa"/>
              <w:bottom w:w="80" w:type="dxa"/>
              <w:end w:w="120" w:type="dxa"/>
            </w:tcMar>
            <w:vAlign w:val="center"/>
          </w:tcPr>
          <w:p>
            <w:pPr>
              <w:spacing w:before="0" w:after="0" w:line="240" w:lineRule="auto"/>
              <w:jc w:val="left"/>
            </w:pPr>
            <w:r/>
            <w:r>
              <w:rPr>
                <w:rFonts w:ascii="Arial" w:hAnsi="Arial" w:cs="Arial"/>
                <w:sz w:val="18"/>
              </w:rPr>
              <w:t>Adscrito a Secretaría de Estado; nivel de dirección general desde 24-7-2026</w:t>
            </w:r>
          </w:p>
        </w:tc>
      </w:tr>
      <w:tr>
        <w:tc>
          <w:tcPr>
            <w:tcW w:type="dxa" w:w="900"/>
            <w:tcMar>
              <w:top w:w="80" w:type="dxa"/>
              <w:start w:w="120" w:type="dxa"/>
              <w:bottom w:w="80" w:type="dxa"/>
              <w:end w:w="120" w:type="dxa"/>
            </w:tcMar>
            <w:vAlign w:val="center"/>
          </w:tcPr>
          <w:p>
            <w:pPr>
              <w:spacing w:before="0" w:after="0" w:line="240" w:lineRule="auto"/>
              <w:jc w:val="left"/>
            </w:pPr>
            <w:r/>
            <w:r>
              <w:rPr>
                <w:rFonts w:ascii="Arial" w:hAnsi="Arial" w:cs="Arial"/>
                <w:sz w:val="18"/>
              </w:rPr>
              <w:t>IGSS</w:t>
            </w:r>
          </w:p>
        </w:tc>
        <w:tc>
          <w:tcPr>
            <w:tcW w:type="dxa" w:w="2383"/>
            <w:tcMar>
              <w:top w:w="80" w:type="dxa"/>
              <w:start w:w="120" w:type="dxa"/>
              <w:bottom w:w="80" w:type="dxa"/>
              <w:end w:w="120" w:type="dxa"/>
            </w:tcMar>
            <w:vAlign w:val="center"/>
          </w:tcPr>
          <w:p>
            <w:pPr>
              <w:spacing w:before="0" w:after="0" w:line="240" w:lineRule="auto"/>
              <w:jc w:val="left"/>
            </w:pPr>
            <w:r/>
            <w:r>
              <w:rPr>
                <w:rFonts w:ascii="Arial" w:hAnsi="Arial" w:cs="Arial"/>
                <w:sz w:val="18"/>
              </w:rPr>
              <w:t>Órgano de control y contabilidad</w:t>
            </w:r>
          </w:p>
        </w:tc>
        <w:tc>
          <w:tcPr>
            <w:tcW w:type="dxa" w:w="1516"/>
            <w:tcMar>
              <w:top w:w="80" w:type="dxa"/>
              <w:start w:w="120" w:type="dxa"/>
              <w:bottom w:w="80" w:type="dxa"/>
              <w:end w:w="120" w:type="dxa"/>
            </w:tcMar>
            <w:vAlign w:val="center"/>
          </w:tcPr>
          <w:p>
            <w:pPr>
              <w:spacing w:before="0" w:after="0" w:line="240" w:lineRule="auto"/>
              <w:jc w:val="left"/>
            </w:pPr>
            <w:r/>
            <w:r>
              <w:rPr>
                <w:rFonts w:ascii="Arial" w:hAnsi="Arial" w:cs="Arial"/>
                <w:sz w:val="18"/>
              </w:rPr>
              <w:t>No como entidad separada</w:t>
            </w:r>
          </w:p>
        </w:tc>
        <w:tc>
          <w:tcPr>
            <w:tcW w:type="dxa" w:w="4227"/>
            <w:tcMar>
              <w:top w:w="80" w:type="dxa"/>
              <w:start w:w="120" w:type="dxa"/>
              <w:bottom w:w="80" w:type="dxa"/>
              <w:end w:w="120" w:type="dxa"/>
            </w:tcMar>
            <w:vAlign w:val="center"/>
          </w:tcPr>
          <w:p>
            <w:pPr>
              <w:spacing w:before="0" w:after="0" w:line="240" w:lineRule="auto"/>
              <w:jc w:val="left"/>
            </w:pPr>
            <w:r/>
            <w:r>
              <w:rPr>
                <w:rFonts w:ascii="Arial" w:hAnsi="Arial" w:cs="Arial"/>
                <w:sz w:val="18"/>
              </w:rPr>
              <w:t>Adscrita con rango de dirección general; dependencia funcional de IGAE</w:t>
            </w:r>
          </w:p>
        </w:tc>
      </w:tr>
      <w:tr>
        <w:tc>
          <w:tcPr>
            <w:tcW w:type="dxa" w:w="900"/>
            <w:tcMar>
              <w:top w:w="80" w:type="dxa"/>
              <w:start w:w="120" w:type="dxa"/>
              <w:bottom w:w="80" w:type="dxa"/>
              <w:end w:w="120" w:type="dxa"/>
            </w:tcMar>
            <w:vAlign w:val="center"/>
          </w:tcPr>
          <w:p>
            <w:pPr>
              <w:spacing w:before="0" w:after="0" w:line="240" w:lineRule="auto"/>
              <w:jc w:val="left"/>
            </w:pPr>
            <w:r/>
            <w:r>
              <w:rPr>
                <w:rFonts w:ascii="Arial" w:hAnsi="Arial" w:cs="Arial"/>
                <w:sz w:val="18"/>
              </w:rPr>
              <w:t>DGOSS</w:t>
            </w:r>
          </w:p>
        </w:tc>
        <w:tc>
          <w:tcPr>
            <w:tcW w:type="dxa" w:w="2383"/>
            <w:tcMar>
              <w:top w:w="80" w:type="dxa"/>
              <w:start w:w="120" w:type="dxa"/>
              <w:bottom w:w="80" w:type="dxa"/>
              <w:end w:w="120" w:type="dxa"/>
            </w:tcMar>
            <w:vAlign w:val="center"/>
          </w:tcPr>
          <w:p>
            <w:pPr>
              <w:spacing w:before="0" w:after="0" w:line="240" w:lineRule="auto"/>
              <w:jc w:val="left"/>
            </w:pPr>
            <w:r/>
            <w:r>
              <w:rPr>
                <w:rFonts w:ascii="Arial" w:hAnsi="Arial" w:cs="Arial"/>
                <w:sz w:val="18"/>
              </w:rPr>
              <w:t>Órgano directivo ministerial</w:t>
            </w:r>
          </w:p>
        </w:tc>
        <w:tc>
          <w:tcPr>
            <w:tcW w:type="dxa" w:w="1516"/>
            <w:tcMar>
              <w:top w:w="80" w:type="dxa"/>
              <w:start w:w="120" w:type="dxa"/>
              <w:bottom w:w="80" w:type="dxa"/>
              <w:end w:w="120" w:type="dxa"/>
            </w:tcMar>
            <w:vAlign w:val="center"/>
          </w:tcPr>
          <w:p>
            <w:pPr>
              <w:spacing w:before="0" w:after="0" w:line="240" w:lineRule="auto"/>
              <w:jc w:val="center"/>
            </w:pPr>
            <w:r/>
            <w:r>
              <w:rPr>
                <w:rFonts w:ascii="Arial" w:hAnsi="Arial" w:cs="Arial"/>
                <w:sz w:val="18"/>
              </w:rPr>
              <w:t>No</w:t>
            </w:r>
          </w:p>
        </w:tc>
        <w:tc>
          <w:tcPr>
            <w:tcW w:type="dxa" w:w="4227"/>
            <w:tcMar>
              <w:top w:w="80" w:type="dxa"/>
              <w:start w:w="120" w:type="dxa"/>
              <w:bottom w:w="80" w:type="dxa"/>
              <w:end w:w="120" w:type="dxa"/>
            </w:tcMar>
            <w:vAlign w:val="center"/>
          </w:tcPr>
          <w:p>
            <w:pPr>
              <w:spacing w:before="0" w:after="0" w:line="240" w:lineRule="auto"/>
              <w:jc w:val="left"/>
            </w:pPr>
            <w:r/>
            <w:r>
              <w:rPr>
                <w:rFonts w:ascii="Arial" w:hAnsi="Arial" w:cs="Arial"/>
                <w:sz w:val="18"/>
              </w:rPr>
              <w:t>Depende de Secretaría de Estado</w:t>
            </w:r>
          </w:p>
        </w:tc>
      </w:tr>
      <w:tr>
        <w:tc>
          <w:tcPr>
            <w:tcW w:type="dxa" w:w="900"/>
            <w:tcMar>
              <w:top w:w="80" w:type="dxa"/>
              <w:start w:w="120" w:type="dxa"/>
              <w:bottom w:w="80" w:type="dxa"/>
              <w:end w:w="120" w:type="dxa"/>
            </w:tcMar>
            <w:vAlign w:val="center"/>
          </w:tcPr>
          <w:p>
            <w:pPr>
              <w:spacing w:before="0" w:after="0" w:line="240" w:lineRule="auto"/>
              <w:jc w:val="left"/>
            </w:pPr>
            <w:r/>
            <w:r>
              <w:rPr>
                <w:rFonts w:ascii="Arial" w:hAnsi="Arial" w:cs="Arial"/>
                <w:sz w:val="18"/>
              </w:rPr>
              <w:t>Mutuas</w:t>
            </w:r>
          </w:p>
        </w:tc>
        <w:tc>
          <w:tcPr>
            <w:tcW w:type="dxa" w:w="2383"/>
            <w:tcMar>
              <w:top w:w="80" w:type="dxa"/>
              <w:start w:w="120" w:type="dxa"/>
              <w:bottom w:w="80" w:type="dxa"/>
              <w:end w:w="120" w:type="dxa"/>
            </w:tcMar>
            <w:vAlign w:val="center"/>
          </w:tcPr>
          <w:p>
            <w:pPr>
              <w:spacing w:before="0" w:after="0" w:line="240" w:lineRule="auto"/>
              <w:jc w:val="left"/>
            </w:pPr>
            <w:r/>
            <w:r>
              <w:rPr>
                <w:rFonts w:ascii="Arial" w:hAnsi="Arial" w:cs="Arial"/>
                <w:sz w:val="18"/>
              </w:rPr>
              <w:t>Colaboradoras privadas sin lucro</w:t>
            </w:r>
          </w:p>
        </w:tc>
        <w:tc>
          <w:tcPr>
            <w:tcW w:type="dxa" w:w="1516"/>
            <w:tcMar>
              <w:top w:w="80" w:type="dxa"/>
              <w:start w:w="120" w:type="dxa"/>
              <w:bottom w:w="80" w:type="dxa"/>
              <w:end w:w="120" w:type="dxa"/>
            </w:tcMar>
            <w:vAlign w:val="center"/>
          </w:tcPr>
          <w:p>
            <w:pPr>
              <w:spacing w:before="0" w:after="0" w:line="240" w:lineRule="auto"/>
              <w:jc w:val="center"/>
            </w:pPr>
            <w:r/>
            <w:r>
              <w:rPr>
                <w:rFonts w:ascii="Arial" w:hAnsi="Arial" w:cs="Arial"/>
                <w:sz w:val="18"/>
              </w:rPr>
              <w:t>Sí</w:t>
            </w:r>
          </w:p>
        </w:tc>
        <w:tc>
          <w:tcPr>
            <w:tcW w:type="dxa" w:w="4227"/>
            <w:tcMar>
              <w:top w:w="80" w:type="dxa"/>
              <w:start w:w="120" w:type="dxa"/>
              <w:bottom w:w="80" w:type="dxa"/>
              <w:end w:w="120" w:type="dxa"/>
            </w:tcMar>
            <w:vAlign w:val="center"/>
          </w:tcPr>
          <w:p>
            <w:pPr>
              <w:spacing w:before="0" w:after="0" w:line="240" w:lineRule="auto"/>
              <w:jc w:val="left"/>
            </w:pPr>
            <w:r/>
            <w:r>
              <w:rPr>
                <w:rFonts w:ascii="Arial" w:hAnsi="Arial" w:cs="Arial"/>
                <w:sz w:val="18"/>
              </w:rPr>
              <w:t>Bajo dirección, tutela y control públicos</w:t>
            </w:r>
          </w:p>
        </w:tc>
      </w:tr>
    </w:tbl>
    <w:p>
      <w:pPr>
        <w:spacing w:after="40"/>
      </w:pPr>
    </w:p>
    <w:p>
      <w:pPr>
        <w:pStyle w:val="Heading1"/>
        <w:keepNext/>
      </w:pPr>
      <w:r>
        <w:rPr>
          <w:rFonts w:ascii="Arial" w:hAnsi="Arial" w:cs="Arial"/>
          <w:sz w:val="30"/>
        </w:rPr>
        <w:t>14. Normas comunes de gestión</w:t>
      </w:r>
    </w:p>
    <w:p>
      <w:pPr>
        <w:jc w:val="both"/>
      </w:pPr>
      <w:r>
        <w:rPr>
          <w:rFonts w:ascii="Arial" w:hAnsi="Arial" w:cs="Arial"/>
          <w:sz w:val="22"/>
        </w:rPr>
        <w:t>Los nombres de entidades gestoras y servicios comunes y la expresión «Seguridad Social» están protegidos frente a usos indebidos. Las entidades y servicios disfrutan de exenciones y beneficios en la medida legalmente establecida.</w:t>
      </w:r>
    </w:p>
    <w:p>
      <w:pPr>
        <w:jc w:val="both"/>
      </w:pPr>
      <w:r>
        <w:rPr>
          <w:rFonts w:ascii="Arial" w:hAnsi="Arial" w:cs="Arial"/>
          <w:sz w:val="22"/>
        </w:rPr>
        <w:t xml:space="preserve">Los datos, informes y antecedentes obtenidos por la Administración de la Seguridad Social tienen carácter </w:t>
      </w:r>
      <w:r>
        <w:rPr>
          <w:rFonts w:ascii="Arial" w:hAnsi="Arial" w:cs="Arial"/>
          <w:b/>
          <w:sz w:val="22"/>
        </w:rPr>
        <w:t>reservado</w:t>
      </w:r>
      <w:r>
        <w:rPr>
          <w:rFonts w:ascii="Arial" w:hAnsi="Arial" w:cs="Arial"/>
          <w:sz w:val="22"/>
        </w:rPr>
        <w:t xml:space="preserve"> y solo se utilizan para fines institucionales, salvo cesiones autorizadas. El deber de reserva alcanza autoridades y personal y continúa después del cese. La protección de datos convive con obligaciones de suministro de información por Administraciones, entidades financieras, empleadores y otros sujetos para reconocer, mantener y controlar derechos y obligaciones.</w:t>
      </w:r>
    </w:p>
    <w:p>
      <w:pPr>
        <w:jc w:val="both"/>
      </w:pPr>
      <w:r>
        <w:rPr>
          <w:rFonts w:ascii="Arial" w:hAnsi="Arial" w:cs="Arial"/>
          <w:sz w:val="22"/>
        </w:rPr>
        <w:t>Las entidades pueden utilizar actuación automatizada en procedimientos de prestaciones, afiliación, cotización y recaudación, con los requisitos de la Ley 40/2015. Digitalización no modifica quién es competente ni reduce garantías de motivación, audiencia y recurso.</w:t>
      </w:r>
    </w:p>
    <w:p>
      <w:pPr>
        <w:pStyle w:val="Heading1"/>
        <w:keepNext/>
      </w:pPr>
      <w:r>
        <w:rPr>
          <w:rFonts w:ascii="Arial" w:hAnsi="Arial" w:cs="Arial"/>
          <w:sz w:val="30"/>
        </w:rPr>
        <w:t>15. Trampas frecuentes de examen</w:t>
      </w:r>
    </w:p>
    <w:p>
      <w:pPr>
        <w:spacing w:after="40"/>
        <w:ind w:left="369" w:hanging="227"/>
      </w:pPr>
      <w:r>
        <w:rPr>
          <w:rFonts w:ascii="Arial" w:hAnsi="Arial" w:cs="Arial"/>
          <w:sz w:val="22"/>
        </w:rPr>
        <w:t xml:space="preserve">1. </w:t>
      </w:r>
      <w:r>
        <w:rPr>
          <w:rFonts w:ascii="Arial" w:hAnsi="Arial" w:cs="Arial"/>
          <w:b/>
          <w:sz w:val="22"/>
        </w:rPr>
        <w:t>Artículo 41 CE:</w:t>
      </w:r>
      <w:r>
        <w:rPr>
          <w:rFonts w:ascii="Arial" w:hAnsi="Arial" w:cs="Arial"/>
          <w:sz w:val="22"/>
        </w:rPr>
        <w:t xml:space="preserve"> principio rector, no derecho fundamental susceptible de amparo directo.</w:t>
      </w:r>
    </w:p>
    <w:p>
      <w:pPr>
        <w:spacing w:after="40"/>
        <w:ind w:left="369" w:hanging="227"/>
      </w:pPr>
      <w:r>
        <w:rPr>
          <w:rFonts w:ascii="Arial" w:hAnsi="Arial" w:cs="Arial"/>
          <w:sz w:val="22"/>
        </w:rPr>
        <w:t xml:space="preserve">2. </w:t>
      </w:r>
      <w:r>
        <w:rPr>
          <w:rFonts w:ascii="Arial" w:hAnsi="Arial" w:cs="Arial"/>
          <w:b/>
          <w:sz w:val="22"/>
        </w:rPr>
        <w:t>Todos los ciudadanos:</w:t>
      </w:r>
      <w:r>
        <w:rPr>
          <w:rFonts w:ascii="Arial" w:hAnsi="Arial" w:cs="Arial"/>
          <w:sz w:val="22"/>
        </w:rPr>
        <w:t xml:space="preserve"> vocación universal, no prestación automática sin requisitos.</w:t>
      </w:r>
    </w:p>
    <w:p>
      <w:pPr>
        <w:spacing w:after="40"/>
        <w:ind w:left="369" w:hanging="227"/>
      </w:pPr>
      <w:r>
        <w:rPr>
          <w:rFonts w:ascii="Arial" w:hAnsi="Arial" w:cs="Arial"/>
          <w:sz w:val="22"/>
        </w:rPr>
        <w:t xml:space="preserve">3. </w:t>
      </w:r>
      <w:r>
        <w:rPr>
          <w:rFonts w:ascii="Arial" w:hAnsi="Arial" w:cs="Arial"/>
          <w:b/>
          <w:sz w:val="22"/>
        </w:rPr>
        <w:t>Complementarias libres:</w:t>
      </w:r>
      <w:r>
        <w:rPr>
          <w:rFonts w:ascii="Arial" w:hAnsi="Arial" w:cs="Arial"/>
          <w:sz w:val="22"/>
        </w:rPr>
        <w:t xml:space="preserve"> pueden añadirse al sistema público, no sustituir obligaciones legales.</w:t>
      </w:r>
    </w:p>
    <w:p>
      <w:pPr>
        <w:spacing w:after="40"/>
        <w:ind w:left="369" w:hanging="227"/>
      </w:pPr>
      <w:r>
        <w:rPr>
          <w:rFonts w:ascii="Arial" w:hAnsi="Arial" w:cs="Arial"/>
          <w:sz w:val="22"/>
        </w:rPr>
        <w:t xml:space="preserve">4. </w:t>
      </w:r>
      <w:r>
        <w:rPr>
          <w:rFonts w:ascii="Arial" w:hAnsi="Arial" w:cs="Arial"/>
          <w:b/>
          <w:sz w:val="22"/>
        </w:rPr>
        <w:t>Artículo 149.1.17.ª:</w:t>
      </w:r>
      <w:r>
        <w:rPr>
          <w:rFonts w:ascii="Arial" w:hAnsi="Arial" w:cs="Arial"/>
          <w:sz w:val="22"/>
        </w:rPr>
        <w:t xml:space="preserve"> legislación básica y régimen económico son estatales; las comunidades pueden ejecutar servicios.</w:t>
      </w:r>
    </w:p>
    <w:p>
      <w:pPr>
        <w:spacing w:after="40"/>
        <w:ind w:left="369" w:hanging="227"/>
      </w:pPr>
      <w:r>
        <w:rPr>
          <w:rFonts w:ascii="Arial" w:hAnsi="Arial" w:cs="Arial"/>
          <w:sz w:val="22"/>
        </w:rPr>
        <w:t xml:space="preserve">5. </w:t>
      </w:r>
      <w:r>
        <w:rPr>
          <w:rFonts w:ascii="Arial" w:hAnsi="Arial" w:cs="Arial"/>
          <w:b/>
          <w:sz w:val="22"/>
        </w:rPr>
        <w:t>Coordinación europea:</w:t>
      </w:r>
      <w:r>
        <w:rPr>
          <w:rFonts w:ascii="Arial" w:hAnsi="Arial" w:cs="Arial"/>
          <w:sz w:val="22"/>
        </w:rPr>
        <w:t xml:space="preserve"> coordina sistemas nacionales, no crea uno idéntico para todos.</w:t>
      </w:r>
    </w:p>
    <w:p>
      <w:pPr>
        <w:spacing w:after="40"/>
        <w:ind w:left="369" w:hanging="227"/>
      </w:pPr>
      <w:r>
        <w:rPr>
          <w:rFonts w:ascii="Arial" w:hAnsi="Arial" w:cs="Arial"/>
          <w:sz w:val="22"/>
        </w:rPr>
        <w:t xml:space="preserve">6. </w:t>
      </w:r>
      <w:r>
        <w:rPr>
          <w:rFonts w:ascii="Arial" w:hAnsi="Arial" w:cs="Arial"/>
          <w:b/>
          <w:sz w:val="22"/>
        </w:rPr>
        <w:t>Seis títulos:</w:t>
      </w:r>
      <w:r>
        <w:rPr>
          <w:rFonts w:ascii="Arial" w:hAnsi="Arial" w:cs="Arial"/>
          <w:sz w:val="22"/>
        </w:rPr>
        <w:t xml:space="preserve"> el VI se dedica a prestaciones no contributivas.</w:t>
      </w:r>
    </w:p>
    <w:p>
      <w:pPr>
        <w:spacing w:after="40"/>
        <w:ind w:left="369" w:hanging="227"/>
      </w:pPr>
      <w:r>
        <w:rPr>
          <w:rFonts w:ascii="Arial" w:hAnsi="Arial" w:cs="Arial"/>
          <w:sz w:val="22"/>
        </w:rPr>
        <w:t xml:space="preserve">7. </w:t>
      </w:r>
      <w:r>
        <w:rPr>
          <w:rFonts w:ascii="Arial" w:hAnsi="Arial" w:cs="Arial"/>
          <w:b/>
          <w:sz w:val="22"/>
        </w:rPr>
        <w:t>Cuatro principios del artículo 2:</w:t>
      </w:r>
      <w:r>
        <w:rPr>
          <w:rFonts w:ascii="Arial" w:hAnsi="Arial" w:cs="Arial"/>
          <w:sz w:val="22"/>
        </w:rPr>
        <w:t xml:space="preserve"> universalidad, unidad, solidaridad e igualdad.</w:t>
      </w:r>
    </w:p>
    <w:p>
      <w:pPr>
        <w:spacing w:after="40"/>
        <w:ind w:left="369" w:hanging="227"/>
      </w:pPr>
      <w:r>
        <w:rPr>
          <w:rFonts w:ascii="Arial" w:hAnsi="Arial" w:cs="Arial"/>
          <w:sz w:val="22"/>
        </w:rPr>
        <w:t xml:space="preserve">8. </w:t>
      </w:r>
      <w:r>
        <w:rPr>
          <w:rFonts w:ascii="Arial" w:hAnsi="Arial" w:cs="Arial"/>
          <w:b/>
          <w:sz w:val="22"/>
        </w:rPr>
        <w:t>Régimen General + especiales:</w:t>
      </w:r>
      <w:r>
        <w:rPr>
          <w:rFonts w:ascii="Arial" w:hAnsi="Arial" w:cs="Arial"/>
          <w:sz w:val="22"/>
        </w:rPr>
        <w:t xml:space="preserve"> un sistema especial no es necesariamente un régimen distinto.</w:t>
      </w:r>
    </w:p>
    <w:p>
      <w:pPr>
        <w:spacing w:after="40"/>
        <w:ind w:left="369" w:hanging="227"/>
      </w:pPr>
      <w:r>
        <w:rPr>
          <w:rFonts w:ascii="Arial" w:hAnsi="Arial" w:cs="Arial"/>
          <w:sz w:val="22"/>
        </w:rPr>
        <w:t xml:space="preserve">9. </w:t>
      </w:r>
      <w:r>
        <w:rPr>
          <w:rFonts w:ascii="Arial" w:hAnsi="Arial" w:cs="Arial"/>
          <w:b/>
          <w:sz w:val="22"/>
        </w:rPr>
        <w:t>INSS reconoce prestaciones; TGSS afilia, recauda y paga.</w:t>
      </w:r>
    </w:p>
    <w:p>
      <w:pPr>
        <w:spacing w:after="40"/>
        <w:ind w:left="369" w:hanging="227"/>
      </w:pPr>
      <w:r>
        <w:rPr>
          <w:rFonts w:ascii="Arial" w:hAnsi="Arial" w:cs="Arial"/>
          <w:sz w:val="22"/>
        </w:rPr>
        <w:t xml:space="preserve">10. </w:t>
      </w:r>
      <w:r>
        <w:rPr>
          <w:rFonts w:ascii="Arial" w:hAnsi="Arial" w:cs="Arial"/>
          <w:b/>
          <w:sz w:val="22"/>
        </w:rPr>
        <w:t>Artículo 66 enumera tres</w:t>
      </w:r>
      <w:r>
        <w:rPr>
          <w:rFonts w:ascii="Arial" w:hAnsi="Arial" w:cs="Arial"/>
          <w:sz w:val="22"/>
        </w:rPr>
        <w:t>, pero el ISM es entidad gestora por la Ley 47/2015.</w:t>
      </w:r>
    </w:p>
    <w:p>
      <w:pPr>
        <w:spacing w:after="40"/>
        <w:ind w:left="369" w:hanging="227"/>
      </w:pPr>
      <w:r>
        <w:rPr>
          <w:rFonts w:ascii="Arial" w:hAnsi="Arial" w:cs="Arial"/>
          <w:sz w:val="22"/>
        </w:rPr>
        <w:t xml:space="preserve">11. </w:t>
      </w:r>
      <w:r>
        <w:rPr>
          <w:rFonts w:ascii="Arial" w:hAnsi="Arial" w:cs="Arial"/>
          <w:b/>
          <w:sz w:val="22"/>
        </w:rPr>
        <w:t>Mutua es colaboradora</w:t>
      </w:r>
      <w:r>
        <w:rPr>
          <w:rFonts w:ascii="Arial" w:hAnsi="Arial" w:cs="Arial"/>
          <w:sz w:val="22"/>
        </w:rPr>
        <w:t>, no entidad gestora ni aseguradora mercantil ordinaria.</w:t>
      </w:r>
    </w:p>
    <w:p>
      <w:pPr>
        <w:spacing w:after="40"/>
        <w:ind w:left="369" w:hanging="227"/>
      </w:pPr>
      <w:r>
        <w:rPr>
          <w:rFonts w:ascii="Arial" w:hAnsi="Arial" w:cs="Arial"/>
          <w:sz w:val="22"/>
        </w:rPr>
        <w:t xml:space="preserve">12. </w:t>
      </w:r>
      <w:r>
        <w:rPr>
          <w:rFonts w:ascii="Arial" w:hAnsi="Arial" w:cs="Arial"/>
          <w:b/>
          <w:sz w:val="22"/>
        </w:rPr>
        <w:t>GISS:</w:t>
      </w:r>
      <w:r>
        <w:rPr>
          <w:rFonts w:ascii="Arial" w:hAnsi="Arial" w:cs="Arial"/>
          <w:sz w:val="22"/>
        </w:rPr>
        <w:t xml:space="preserve"> servicio común con personalidad jurídica propia y nivel de subdirección general.</w:t>
      </w:r>
    </w:p>
    <w:p>
      <w:pPr>
        <w:spacing w:after="40"/>
        <w:ind w:left="369" w:hanging="227"/>
      </w:pPr>
      <w:r>
        <w:rPr>
          <w:rFonts w:ascii="Arial" w:hAnsi="Arial" w:cs="Arial"/>
          <w:sz w:val="22"/>
        </w:rPr>
        <w:t xml:space="preserve">13. </w:t>
      </w:r>
      <w:r>
        <w:rPr>
          <w:rFonts w:ascii="Arial" w:hAnsi="Arial" w:cs="Arial"/>
          <w:b/>
          <w:sz w:val="22"/>
        </w:rPr>
        <w:t>SJASS:</w:t>
      </w:r>
      <w:r>
        <w:rPr>
          <w:rFonts w:ascii="Arial" w:hAnsi="Arial" w:cs="Arial"/>
          <w:sz w:val="22"/>
        </w:rPr>
        <w:t xml:space="preserve"> servicio común sin personalidad, rango de dirección general desde 24 de julio de 2026.</w:t>
      </w:r>
    </w:p>
    <w:p>
      <w:pPr>
        <w:spacing w:after="40"/>
        <w:ind w:left="369" w:hanging="227"/>
      </w:pPr>
      <w:r>
        <w:rPr>
          <w:rFonts w:ascii="Arial" w:hAnsi="Arial" w:cs="Arial"/>
          <w:sz w:val="22"/>
        </w:rPr>
        <w:t xml:space="preserve">14. </w:t>
      </w:r>
      <w:r>
        <w:rPr>
          <w:rFonts w:ascii="Arial" w:hAnsi="Arial" w:cs="Arial"/>
          <w:b/>
          <w:sz w:val="22"/>
        </w:rPr>
        <w:t>IGSS:</w:t>
      </w:r>
      <w:r>
        <w:rPr>
          <w:rFonts w:ascii="Arial" w:hAnsi="Arial" w:cs="Arial"/>
          <w:sz w:val="22"/>
        </w:rPr>
        <w:t xml:space="preserve"> órgano de control y contabilidad con rango de dirección general y dependencia funcional de IGAE.</w:t>
      </w:r>
    </w:p>
    <w:p>
      <w:pPr>
        <w:spacing w:after="40"/>
        <w:ind w:left="369" w:hanging="227"/>
      </w:pPr>
      <w:r>
        <w:rPr>
          <w:rFonts w:ascii="Arial" w:hAnsi="Arial" w:cs="Arial"/>
          <w:sz w:val="22"/>
        </w:rPr>
        <w:t xml:space="preserve">15. </w:t>
      </w:r>
      <w:r>
        <w:rPr>
          <w:rFonts w:ascii="Arial" w:hAnsi="Arial" w:cs="Arial"/>
          <w:b/>
          <w:sz w:val="22"/>
        </w:rPr>
        <w:t>Rango orgánico no determina naturaleza.</w:t>
      </w:r>
      <w:r>
        <w:rPr>
          <w:rFonts w:ascii="Arial" w:hAnsi="Arial" w:cs="Arial"/>
          <w:sz w:val="22"/>
        </w:rPr>
        <w:t xml:space="preserve"> Dirección general puede ser órgano, y un servicio común puede tener ese nivel.</w:t>
      </w:r>
    </w:p>
    <w:p>
      <w:pPr>
        <w:spacing w:after="40"/>
        <w:ind w:left="369" w:hanging="227"/>
      </w:pPr>
      <w:r>
        <w:rPr>
          <w:rFonts w:ascii="Arial" w:hAnsi="Arial" w:cs="Arial"/>
          <w:sz w:val="22"/>
        </w:rPr>
        <w:t xml:space="preserve">16. </w:t>
      </w:r>
      <w:r>
        <w:rPr>
          <w:rFonts w:ascii="Arial" w:hAnsi="Arial" w:cs="Arial"/>
          <w:b/>
          <w:sz w:val="22"/>
        </w:rPr>
        <w:t>Caja única:</w:t>
      </w:r>
      <w:r>
        <w:rPr>
          <w:rFonts w:ascii="Arial" w:hAnsi="Arial" w:cs="Arial"/>
          <w:sz w:val="22"/>
        </w:rPr>
        <w:t xml:space="preserve"> TGSS unifica recursos; no significa que reconozca todas las prestaciones.</w:t>
      </w:r>
    </w:p>
    <w:p>
      <w:pPr>
        <w:spacing w:after="40"/>
        <w:ind w:left="369" w:hanging="227"/>
      </w:pPr>
      <w:r>
        <w:rPr>
          <w:rFonts w:ascii="Arial" w:hAnsi="Arial" w:cs="Arial"/>
          <w:sz w:val="22"/>
        </w:rPr>
        <w:t xml:space="preserve">17. </w:t>
      </w:r>
      <w:r>
        <w:rPr>
          <w:rFonts w:ascii="Arial" w:hAnsi="Arial" w:cs="Arial"/>
          <w:b/>
          <w:sz w:val="22"/>
        </w:rPr>
        <w:t>INGESA e IMSERSO</w:t>
      </w:r>
      <w:r>
        <w:rPr>
          <w:rFonts w:ascii="Arial" w:hAnsi="Arial" w:cs="Arial"/>
          <w:sz w:val="22"/>
        </w:rPr>
        <w:t xml:space="preserve"> siguen en el artículo 66 aunque estén adscritos a departamentos diferentes del de Seguridad Social.</w:t>
      </w:r>
    </w:p>
    <w:p>
      <w:pPr>
        <w:spacing w:after="40"/>
        <w:ind w:left="369" w:hanging="227"/>
      </w:pPr>
      <w:r>
        <w:rPr>
          <w:rFonts w:ascii="Arial" w:hAnsi="Arial" w:cs="Arial"/>
          <w:sz w:val="22"/>
        </w:rPr>
        <w:t xml:space="preserve">18. </w:t>
      </w:r>
      <w:r>
        <w:rPr>
          <w:rFonts w:ascii="Arial" w:hAnsi="Arial" w:cs="Arial"/>
          <w:b/>
          <w:sz w:val="22"/>
        </w:rPr>
        <w:t>Incapacidad no contributiva</w:t>
      </w:r>
      <w:r>
        <w:rPr>
          <w:rFonts w:ascii="Arial" w:hAnsi="Arial" w:cs="Arial"/>
          <w:sz w:val="22"/>
        </w:rPr>
        <w:t xml:space="preserve"> es la terminología vigente tras la reforma de 2025.</w:t>
      </w:r>
    </w:p>
    <w:p>
      <w:pPr>
        <w:pStyle w:val="Heading1"/>
        <w:keepNext/>
      </w:pPr>
      <w:r>
        <w:rPr>
          <w:rFonts w:ascii="Arial" w:hAnsi="Arial" w:cs="Arial"/>
          <w:sz w:val="30"/>
        </w:rPr>
        <w:t>16. Resumen de repaso</w:t>
      </w:r>
    </w:p>
    <w:p>
      <w:pPr>
        <w:jc w:val="both"/>
      </w:pPr>
      <w:r>
        <w:rPr>
          <w:rFonts w:ascii="Arial" w:hAnsi="Arial" w:cs="Arial"/>
          <w:sz w:val="22"/>
        </w:rPr>
        <w:t>El artículo 41 CE obliga a mantener un régimen público para todos los ciudadanos, con asistencia y prestaciones suficientes ante necesidad y protección especial del desempleo. Es un principio rector sujeto al artículo 53.3. Se completa con protección familiar, emigración, salud, discapacidad y pensiones, participación y distribución competencial.</w:t>
      </w:r>
    </w:p>
    <w:p>
      <w:pPr>
        <w:jc w:val="both"/>
      </w:pPr>
      <w:r>
        <w:rPr>
          <w:rFonts w:ascii="Arial" w:hAnsi="Arial" w:cs="Arial"/>
          <w:sz w:val="22"/>
        </w:rPr>
        <w:t>El TRLGSS, aprobado por RDL 8/2015 y vigente desde 2 de enero de 2016, integra y armoniza la legislación general. Sus seis títulos regulan normas comunes, Régimen General, desempleo, RETA, cese de actividad y prestaciones no contributivas. El sistema se fundamenta en universalidad, unidad, solidaridad e igualdad y articula niveles contributivo y no contributivo.</w:t>
      </w:r>
    </w:p>
    <w:p>
      <w:pPr>
        <w:jc w:val="both"/>
      </w:pPr>
      <w:r>
        <w:rPr>
          <w:rFonts w:ascii="Arial" w:hAnsi="Arial" w:cs="Arial"/>
          <w:sz w:val="22"/>
        </w:rPr>
        <w:t>La gestión se somete a simplificación, racionalización, economía, solidaridad financiera, caja única, eficacia social y descentralización. El artículo 66 enumera INSS, INGESA e IMSERSO; la ley especial añade ISM. TGSS, GISS y SJASS son servicios comunes con diferencias decisivas de personalidad y rango. IGSS controla y dirige la contabilidad. Mutuas y empresas colaboran bajo tutela pública.</w:t>
      </w:r>
    </w:p>
    <w:p>
      <w:pPr>
        <w:jc w:val="both"/>
      </w:pPr>
      <w:r>
        <w:rPr>
          <w:rFonts w:ascii="Arial" w:hAnsi="Arial" w:cs="Arial"/>
          <w:sz w:val="22"/>
        </w:rPr>
        <w:t>La organización vigente sitúa en la Secretaría de Estado a DGOSS, INSS, ISM, TGSS, GISS y SJASS, y adscribe con rango de dirección general a IGSS y SJASS. El RD 616/2026 solo elevó el Servicio Jurídico a dirección general: conservó su condición de servicio común sin personalidad y la integración presupuestaria en TGSS.</w:t>
      </w:r>
    </w:p>
    <w:p>
      <w:pPr>
        <w:pStyle w:val="Heading1"/>
        <w:keepNext/>
      </w:pPr>
      <w:r>
        <w:rPr>
          <w:rFonts w:ascii="Arial" w:hAnsi="Arial" w:cs="Arial"/>
          <w:sz w:val="30"/>
        </w:rPr>
        <w:t>17. Datos preguntables</w:t>
      </w:r>
    </w:p>
    <w:p>
      <w:pPr>
        <w:pStyle w:val="ListBullet"/>
      </w:pPr>
      <w:r>
        <w:rPr>
          <w:rFonts w:ascii="Arial" w:hAnsi="Arial" w:cs="Arial"/>
          <w:sz w:val="22"/>
        </w:rPr>
        <w:t xml:space="preserve">Artículo constitucional central: </w:t>
      </w:r>
      <w:r>
        <w:rPr>
          <w:rFonts w:ascii="Arial" w:hAnsi="Arial" w:cs="Arial"/>
          <w:b/>
          <w:sz w:val="22"/>
        </w:rPr>
        <w:t>41 CE</w:t>
      </w:r>
      <w:r>
        <w:rPr>
          <w:rFonts w:ascii="Arial" w:hAnsi="Arial" w:cs="Arial"/>
          <w:sz w:val="22"/>
        </w:rPr>
        <w:t>.</w:t>
      </w:r>
    </w:p>
    <w:p>
      <w:pPr>
        <w:pStyle w:val="ListBullet"/>
      </w:pPr>
      <w:r>
        <w:rPr>
          <w:rFonts w:ascii="Arial" w:hAnsi="Arial" w:cs="Arial"/>
          <w:sz w:val="22"/>
        </w:rPr>
        <w:t xml:space="preserve">Título constitucional: </w:t>
      </w:r>
      <w:r>
        <w:rPr>
          <w:rFonts w:ascii="Arial" w:hAnsi="Arial" w:cs="Arial"/>
          <w:b/>
          <w:sz w:val="22"/>
        </w:rPr>
        <w:t>I</w:t>
      </w:r>
      <w:r>
        <w:rPr>
          <w:rFonts w:ascii="Arial" w:hAnsi="Arial" w:cs="Arial"/>
          <w:sz w:val="22"/>
        </w:rPr>
        <w:t xml:space="preserve">, capítulo </w:t>
      </w:r>
      <w:r>
        <w:rPr>
          <w:rFonts w:ascii="Arial" w:hAnsi="Arial" w:cs="Arial"/>
          <w:b/>
          <w:sz w:val="22"/>
        </w:rPr>
        <w:t>III</w:t>
      </w:r>
      <w:r>
        <w:rPr>
          <w:rFonts w:ascii="Arial" w:hAnsi="Arial" w:cs="Arial"/>
          <w:sz w:val="22"/>
        </w:rPr>
        <w:t>.</w:t>
      </w:r>
    </w:p>
    <w:p>
      <w:pPr>
        <w:pStyle w:val="ListBullet"/>
      </w:pPr>
      <w:r>
        <w:rPr>
          <w:rFonts w:ascii="Arial" w:hAnsi="Arial" w:cs="Arial"/>
          <w:sz w:val="22"/>
        </w:rPr>
        <w:t xml:space="preserve">Competencia estatal: artículo </w:t>
      </w:r>
      <w:r>
        <w:rPr>
          <w:rFonts w:ascii="Arial" w:hAnsi="Arial" w:cs="Arial"/>
          <w:b/>
          <w:sz w:val="22"/>
        </w:rPr>
        <w:t>149.1.17.ª</w:t>
      </w:r>
      <w:r>
        <w:rPr>
          <w:rFonts w:ascii="Arial" w:hAnsi="Arial" w:cs="Arial"/>
          <w:sz w:val="22"/>
        </w:rPr>
        <w:t>.</w:t>
      </w:r>
    </w:p>
    <w:p>
      <w:pPr>
        <w:pStyle w:val="ListBullet"/>
      </w:pPr>
      <w:r>
        <w:rPr>
          <w:rFonts w:ascii="Arial" w:hAnsi="Arial" w:cs="Arial"/>
          <w:sz w:val="22"/>
        </w:rPr>
        <w:t xml:space="preserve">Participación: artículo </w:t>
      </w:r>
      <w:r>
        <w:rPr>
          <w:rFonts w:ascii="Arial" w:hAnsi="Arial" w:cs="Arial"/>
          <w:b/>
          <w:sz w:val="22"/>
        </w:rPr>
        <w:t>129.1 CE</w:t>
      </w:r>
      <w:r>
        <w:rPr>
          <w:rFonts w:ascii="Arial" w:hAnsi="Arial" w:cs="Arial"/>
          <w:sz w:val="22"/>
        </w:rPr>
        <w:t>.</w:t>
      </w:r>
    </w:p>
    <w:p>
      <w:pPr>
        <w:pStyle w:val="ListBullet"/>
      </w:pPr>
      <w:r>
        <w:rPr>
          <w:rFonts w:ascii="Arial" w:hAnsi="Arial" w:cs="Arial"/>
          <w:sz w:val="22"/>
        </w:rPr>
        <w:t xml:space="preserve">Principios TRLGSS: </w:t>
      </w:r>
      <w:r>
        <w:rPr>
          <w:rFonts w:ascii="Arial" w:hAnsi="Arial" w:cs="Arial"/>
          <w:b/>
          <w:sz w:val="22"/>
        </w:rPr>
        <w:t>cuatro</w:t>
      </w:r>
      <w:r>
        <w:rPr>
          <w:rFonts w:ascii="Arial" w:hAnsi="Arial" w:cs="Arial"/>
          <w:sz w:val="22"/>
        </w:rPr>
        <w:t xml:space="preserve"> —universalidad, unidad, solidaridad e igualdad—.</w:t>
      </w:r>
    </w:p>
    <w:p>
      <w:pPr>
        <w:pStyle w:val="ListBullet"/>
      </w:pPr>
      <w:r>
        <w:rPr>
          <w:rFonts w:ascii="Arial" w:hAnsi="Arial" w:cs="Arial"/>
          <w:sz w:val="22"/>
        </w:rPr>
        <w:t xml:space="preserve">Entrada en vigor general del texto refundido: </w:t>
      </w:r>
      <w:r>
        <w:rPr>
          <w:rFonts w:ascii="Arial" w:hAnsi="Arial" w:cs="Arial"/>
          <w:b/>
          <w:sz w:val="22"/>
        </w:rPr>
        <w:t>2 de enero de 2016</w:t>
      </w:r>
      <w:r>
        <w:rPr>
          <w:rFonts w:ascii="Arial" w:hAnsi="Arial" w:cs="Arial"/>
          <w:sz w:val="22"/>
        </w:rPr>
        <w:t>.</w:t>
      </w:r>
    </w:p>
    <w:p>
      <w:pPr>
        <w:pStyle w:val="ListBullet"/>
      </w:pPr>
      <w:r>
        <w:rPr>
          <w:rFonts w:ascii="Arial" w:hAnsi="Arial" w:cs="Arial"/>
          <w:sz w:val="22"/>
        </w:rPr>
        <w:t xml:space="preserve">Títulos del TRLGSS: </w:t>
      </w:r>
      <w:r>
        <w:rPr>
          <w:rFonts w:ascii="Arial" w:hAnsi="Arial" w:cs="Arial"/>
          <w:b/>
          <w:sz w:val="22"/>
        </w:rPr>
        <w:t>seis</w:t>
      </w:r>
      <w:r>
        <w:rPr>
          <w:rFonts w:ascii="Arial" w:hAnsi="Arial" w:cs="Arial"/>
          <w:sz w:val="22"/>
        </w:rPr>
        <w:t>.</w:t>
      </w:r>
    </w:p>
    <w:p>
      <w:pPr>
        <w:pStyle w:val="ListBullet"/>
      </w:pPr>
      <w:r>
        <w:rPr>
          <w:rFonts w:ascii="Arial" w:hAnsi="Arial" w:cs="Arial"/>
          <w:sz w:val="22"/>
        </w:rPr>
        <w:t xml:space="preserve">Entidades enumeradas literalmente en el artículo 66: </w:t>
      </w:r>
      <w:r>
        <w:rPr>
          <w:rFonts w:ascii="Arial" w:hAnsi="Arial" w:cs="Arial"/>
          <w:b/>
          <w:sz w:val="22"/>
        </w:rPr>
        <w:t>tres</w:t>
      </w:r>
      <w:r>
        <w:rPr>
          <w:rFonts w:ascii="Arial" w:hAnsi="Arial" w:cs="Arial"/>
          <w:sz w:val="22"/>
        </w:rPr>
        <w:t>.</w:t>
      </w:r>
    </w:p>
    <w:p>
      <w:pPr>
        <w:pStyle w:val="ListBullet"/>
      </w:pPr>
      <w:r>
        <w:rPr>
          <w:rFonts w:ascii="Arial" w:hAnsi="Arial" w:cs="Arial"/>
          <w:sz w:val="22"/>
        </w:rPr>
        <w:t xml:space="preserve">Entidad gestora del Régimen del Mar: </w:t>
      </w:r>
      <w:r>
        <w:rPr>
          <w:rFonts w:ascii="Arial" w:hAnsi="Arial" w:cs="Arial"/>
          <w:b/>
          <w:sz w:val="22"/>
        </w:rPr>
        <w:t>ISM</w:t>
      </w:r>
      <w:r>
        <w:rPr>
          <w:rFonts w:ascii="Arial" w:hAnsi="Arial" w:cs="Arial"/>
          <w:sz w:val="22"/>
        </w:rPr>
        <w:t>.</w:t>
      </w:r>
    </w:p>
    <w:p>
      <w:pPr>
        <w:pStyle w:val="ListBullet"/>
      </w:pPr>
      <w:r>
        <w:rPr>
          <w:rFonts w:ascii="Arial" w:hAnsi="Arial" w:cs="Arial"/>
          <w:sz w:val="22"/>
        </w:rPr>
        <w:t xml:space="preserve">Servicio que aplica caja única: </w:t>
      </w:r>
      <w:r>
        <w:rPr>
          <w:rFonts w:ascii="Arial" w:hAnsi="Arial" w:cs="Arial"/>
          <w:b/>
          <w:sz w:val="22"/>
        </w:rPr>
        <w:t>TGSS</w:t>
      </w:r>
      <w:r>
        <w:rPr>
          <w:rFonts w:ascii="Arial" w:hAnsi="Arial" w:cs="Arial"/>
          <w:sz w:val="22"/>
        </w:rPr>
        <w:t>.</w:t>
      </w:r>
    </w:p>
    <w:p>
      <w:pPr>
        <w:pStyle w:val="ListBullet"/>
      </w:pPr>
      <w:r>
        <w:rPr>
          <w:rFonts w:ascii="Arial" w:hAnsi="Arial" w:cs="Arial"/>
          <w:sz w:val="22"/>
        </w:rPr>
        <w:t xml:space="preserve">TGSS y GISS: servicios comunes con </w:t>
      </w:r>
      <w:r>
        <w:rPr>
          <w:rFonts w:ascii="Arial" w:hAnsi="Arial" w:cs="Arial"/>
          <w:b/>
          <w:sz w:val="22"/>
        </w:rPr>
        <w:t>personalidad jurídica propia</w:t>
      </w:r>
      <w:r>
        <w:rPr>
          <w:rFonts w:ascii="Arial" w:hAnsi="Arial" w:cs="Arial"/>
          <w:sz w:val="22"/>
        </w:rPr>
        <w:t>.</w:t>
      </w:r>
    </w:p>
    <w:p>
      <w:pPr>
        <w:pStyle w:val="ListBullet"/>
      </w:pPr>
      <w:r>
        <w:rPr>
          <w:rFonts w:ascii="Arial" w:hAnsi="Arial" w:cs="Arial"/>
          <w:sz w:val="22"/>
        </w:rPr>
        <w:t xml:space="preserve">SJASS: servicio común </w:t>
      </w:r>
      <w:r>
        <w:rPr>
          <w:rFonts w:ascii="Arial" w:hAnsi="Arial" w:cs="Arial"/>
          <w:b/>
          <w:sz w:val="22"/>
        </w:rPr>
        <w:t>sin personalidad jurídica</w:t>
      </w:r>
      <w:r>
        <w:rPr>
          <w:rFonts w:ascii="Arial" w:hAnsi="Arial" w:cs="Arial"/>
          <w:sz w:val="22"/>
        </w:rPr>
        <w:t>.</w:t>
      </w:r>
    </w:p>
    <w:p>
      <w:pPr>
        <w:pStyle w:val="ListBullet"/>
      </w:pPr>
      <w:r>
        <w:rPr>
          <w:rFonts w:ascii="Arial" w:hAnsi="Arial" w:cs="Arial"/>
          <w:sz w:val="22"/>
        </w:rPr>
        <w:t xml:space="preserve">Publicación RD 616/2026: </w:t>
      </w:r>
      <w:r>
        <w:rPr>
          <w:rFonts w:ascii="Arial" w:hAnsi="Arial" w:cs="Arial"/>
          <w:b/>
          <w:sz w:val="22"/>
        </w:rPr>
        <w:t>23 de julio de 2026</w:t>
      </w:r>
      <w:r>
        <w:rPr>
          <w:rFonts w:ascii="Arial" w:hAnsi="Arial" w:cs="Arial"/>
          <w:sz w:val="22"/>
        </w:rPr>
        <w:t>.</w:t>
      </w:r>
    </w:p>
    <w:p>
      <w:pPr>
        <w:pStyle w:val="ListBullet"/>
      </w:pPr>
      <w:r>
        <w:rPr>
          <w:rFonts w:ascii="Arial" w:hAnsi="Arial" w:cs="Arial"/>
          <w:sz w:val="22"/>
        </w:rPr>
        <w:t xml:space="preserve">Entrada en vigor RD 616/2026: </w:t>
      </w:r>
      <w:r>
        <w:rPr>
          <w:rFonts w:ascii="Arial" w:hAnsi="Arial" w:cs="Arial"/>
          <w:b/>
          <w:sz w:val="22"/>
        </w:rPr>
        <w:t>24 de julio de 2026</w:t>
      </w:r>
      <w:r>
        <w:rPr>
          <w:rFonts w:ascii="Arial" w:hAnsi="Arial" w:cs="Arial"/>
          <w:sz w:val="22"/>
        </w:rPr>
        <w:t>.</w:t>
      </w:r>
    </w:p>
    <w:p>
      <w:pPr>
        <w:pStyle w:val="ListBullet"/>
      </w:pPr>
      <w:r>
        <w:rPr>
          <w:rFonts w:ascii="Arial" w:hAnsi="Arial" w:cs="Arial"/>
          <w:sz w:val="22"/>
        </w:rPr>
        <w:t xml:space="preserve">Nuevo rango SJASS: </w:t>
      </w:r>
      <w:r>
        <w:rPr>
          <w:rFonts w:ascii="Arial" w:hAnsi="Arial" w:cs="Arial"/>
          <w:b/>
          <w:sz w:val="22"/>
        </w:rPr>
        <w:t>dirección general</w:t>
      </w:r>
      <w:r>
        <w:rPr>
          <w:rFonts w:ascii="Arial" w:hAnsi="Arial" w:cs="Arial"/>
          <w:sz w:val="22"/>
        </w:rPr>
        <w:t>.</w:t>
      </w:r>
    </w:p>
    <w:p>
      <w:pPr>
        <w:pStyle w:val="ListBullet"/>
      </w:pPr>
      <w:r>
        <w:rPr>
          <w:rFonts w:ascii="Arial" w:hAnsi="Arial" w:cs="Arial"/>
          <w:sz w:val="22"/>
        </w:rPr>
        <w:t xml:space="preserve">Unidades de la Dirección del SJASS: nivel de </w:t>
      </w:r>
      <w:r>
        <w:rPr>
          <w:rFonts w:ascii="Arial" w:hAnsi="Arial" w:cs="Arial"/>
          <w:b/>
          <w:sz w:val="22"/>
        </w:rPr>
        <w:t>subdirección general</w:t>
      </w:r>
      <w:r>
        <w:rPr>
          <w:rFonts w:ascii="Arial" w:hAnsi="Arial" w:cs="Arial"/>
          <w:sz w:val="22"/>
        </w:rPr>
        <w:t>.</w:t>
      </w:r>
    </w:p>
    <w:p>
      <w:pPr>
        <w:pStyle w:val="ListBullet"/>
      </w:pPr>
      <w:r>
        <w:rPr>
          <w:rFonts w:ascii="Arial" w:hAnsi="Arial" w:cs="Arial"/>
          <w:sz w:val="22"/>
        </w:rPr>
        <w:t xml:space="preserve">Dependencia funcional de IGSS: </w:t>
      </w:r>
      <w:r>
        <w:rPr>
          <w:rFonts w:ascii="Arial" w:hAnsi="Arial" w:cs="Arial"/>
          <w:b/>
          <w:sz w:val="22"/>
        </w:rPr>
        <w:t>Intervención General de la Administración del Estado</w:t>
      </w:r>
      <w:r>
        <w:rPr>
          <w:rFonts w:ascii="Arial" w:hAnsi="Arial" w:cs="Arial"/>
          <w:sz w:val="22"/>
        </w:rPr>
        <w:t>.</w:t>
      </w:r>
    </w:p>
    <w:p>
      <w:pPr>
        <w:pStyle w:val="Heading1"/>
        <w:keepNext/>
      </w:pPr>
      <w:r>
        <w:rPr>
          <w:rFonts w:ascii="Arial" w:hAnsi="Arial" w:cs="Arial"/>
          <w:sz w:val="30"/>
        </w:rPr>
        <w:t>18. Fuentes oficiales</w:t>
      </w:r>
    </w:p>
    <w:p>
      <w:pPr>
        <w:pStyle w:val="ListBullet"/>
      </w:pPr>
      <w:r>
        <w:rPr>
          <w:rFonts w:ascii="Arial" w:hAnsi="Arial" w:cs="Arial"/>
          <w:sz w:val="22"/>
        </w:rPr>
        <w:t>Constitución Española (https://www.boe.es/buscar/act.php?id=BOE-A-1978-31229).</w:t>
      </w:r>
    </w:p>
    <w:p>
      <w:pPr>
        <w:pStyle w:val="ListBullet"/>
      </w:pPr>
      <w:r>
        <w:rPr>
          <w:rFonts w:ascii="Arial" w:hAnsi="Arial" w:cs="Arial"/>
          <w:sz w:val="22"/>
        </w:rPr>
        <w:t>Real Decreto Legislativo 8/2015, texto refundido de la Ley General de la Seguridad Social (https://www.boe.es/buscar/act.php?id=BOE-A-2015-11724).</w:t>
      </w:r>
    </w:p>
    <w:p>
      <w:pPr>
        <w:pStyle w:val="ListBullet"/>
      </w:pPr>
      <w:r>
        <w:rPr>
          <w:rFonts w:ascii="Arial" w:hAnsi="Arial" w:cs="Arial"/>
          <w:sz w:val="22"/>
        </w:rPr>
        <w:t>Ley 47/2015, protección social de las personas trabajadoras del sector marítimo-pesquero (https://www.boe.es/buscar/act.php?id=BOE-A-2015-11346).</w:t>
      </w:r>
    </w:p>
    <w:p>
      <w:pPr>
        <w:pStyle w:val="ListBullet"/>
      </w:pPr>
      <w:r>
        <w:rPr>
          <w:rFonts w:ascii="Arial" w:hAnsi="Arial" w:cs="Arial"/>
          <w:sz w:val="22"/>
        </w:rPr>
        <w:t>Real Decreto 501/2024, estructura del Ministerio de Inclusión, Seguridad Social y Migraciones (https://www.boe.es/buscar/act.php?id=BOE-A-2024-10237).</w:t>
      </w:r>
    </w:p>
    <w:p>
      <w:pPr>
        <w:pStyle w:val="ListBullet"/>
      </w:pPr>
      <w:r>
        <w:rPr>
          <w:rFonts w:ascii="Arial" w:hAnsi="Arial" w:cs="Arial"/>
          <w:sz w:val="22"/>
        </w:rPr>
        <w:t>Real Decreto 412/2025, naturaleza, estructura y funciones de la IGSS (https://www.boe.es/eli/es/rd/2025/05/27/412).</w:t>
      </w:r>
    </w:p>
    <w:p>
      <w:pPr>
        <w:pStyle w:val="ListBullet"/>
      </w:pPr>
      <w:r>
        <w:rPr>
          <w:rFonts w:ascii="Arial" w:hAnsi="Arial" w:cs="Arial"/>
          <w:sz w:val="22"/>
        </w:rPr>
        <w:t>Real Decreto 616/2026, reforma del Servicio Jurídico de la Administración de la Seguridad Social (https://www.boe.es/eli/es/rd/2026/07/22/616).</w:t>
      </w:r>
    </w:p>
    <w:p>
      <w:pPr>
        <w:pStyle w:val="ListBullet"/>
      </w:pPr>
      <w:r>
        <w:rPr>
          <w:rFonts w:ascii="Arial" w:hAnsi="Arial" w:cs="Arial"/>
          <w:sz w:val="22"/>
        </w:rPr>
        <w:t>Reglamento (CE) 883/2004, coordinación de sistemas de Seguridad Social (https://eur-lex.europa.eu/legal-content/ES/TXT/?uri=CELEX:02004R0883-20190731).</w:t>
      </w:r>
    </w:p>
    <w:p>
      <w:pPr>
        <w:pStyle w:val="Heading1"/>
        <w:keepNext/>
      </w:pPr>
      <w:r>
        <w:rPr>
          <w:rFonts w:ascii="Arial" w:hAnsi="Arial" w:cs="Arial"/>
          <w:sz w:val="30"/>
        </w:rPr>
        <w:t>Antecedentes de examen y puntos especialmente preguntados</w:t>
      </w:r>
    </w:p>
    <w:p>
      <w:pPr>
        <w:jc w:val="both"/>
      </w:pPr>
      <w:r>
        <w:rPr>
          <w:rFonts w:ascii="Arial" w:hAnsi="Arial" w:cs="Arial"/>
          <w:sz w:val="22"/>
        </w:rPr>
        <w:t xml:space="preserve">El análisis se ha realizado sobre las preguntas oficiales de acceso libre publicadas para las convocatorias 2023, 2024 y 2025, con fecha de corte </w:t>
      </w:r>
      <w:r>
        <w:rPr>
          <w:rFonts w:ascii="Arial" w:hAnsi="Arial" w:cs="Arial"/>
          <w:b/>
          <w:sz w:val="22"/>
        </w:rPr>
        <w:t>30 de julio de 2026</w:t>
      </w:r>
      <w:r>
        <w:rPr>
          <w:rFonts w:ascii="Arial" w:hAnsi="Arial" w:cs="Arial"/>
          <w:sz w:val="22"/>
        </w:rPr>
        <w:t xml:space="preserve">. La base conserva las variantes necesarias para la trazabilidad, pero el recuento de frecuencia usa </w:t>
      </w:r>
      <w:r>
        <w:rPr>
          <w:rFonts w:ascii="Arial" w:hAnsi="Arial" w:cs="Arial"/>
          <w:b/>
          <w:sz w:val="22"/>
        </w:rPr>
        <w:t>una sola variante canónica por sesión</w:t>
      </w:r>
      <w:r>
        <w:rPr>
          <w:rFonts w:ascii="Arial" w:hAnsi="Arial" w:cs="Arial"/>
          <w:sz w:val="22"/>
        </w:rPr>
        <w:t>, de modo que los modelos o colores que únicamente permutan el orden o las opciones no se cuentan dos veces. Este criterio permite medir repeticiones reales entre sesiones sin inflar artificialmente la presencia del tema.</w:t>
      </w:r>
    </w:p>
    <w:tbl>
      <w:tblPr>
        <w:tblStyle w:val="TableGrid"/>
        <w:tblW w:type="dxa" w:w="9026"/>
        <w:jc w:val="left"/>
        <w:tblLayout w:type="fixed"/>
        <w:tblLook w:firstColumn="1" w:firstRow="1" w:lastColumn="0" w:lastRow="0" w:noHBand="0" w:noVBand="1" w:val="04A0"/>
        <w:tblInd w:w="120" w:type="dxa"/>
      </w:tblPr>
      <w:tblGrid>
        <w:gridCol w:w="6838"/>
        <w:gridCol w:w="2188"/>
      </w:tblGrid>
      <w:tr>
        <w:trPr>
          <w:tblHeader w:val="true"/>
        </w:trPr>
        <w:tc>
          <w:tcPr>
            <w:tcW w:type="dxa" w:w="6838"/>
            <w:tcMar>
              <w:top w:w="80" w:type="dxa"/>
              <w:start w:w="120" w:type="dxa"/>
              <w:bottom w:w="80" w:type="dxa"/>
              <w:end w:w="120" w:type="dxa"/>
            </w:tcMar>
            <w:vAlign w:val="center"/>
            <w:shd w:fill="D9EAF7"/>
          </w:tcPr>
          <w:p>
            <w:pPr>
              <w:spacing w:before="0" w:after="0" w:line="240" w:lineRule="auto"/>
              <w:jc w:val="left"/>
            </w:pPr>
            <w:r>
              <w:rPr>
                <w:b/>
                <w:color w:val="17365D"/>
              </w:rPr>
            </w:r>
            <w:r>
              <w:rPr>
                <w:rFonts w:ascii="Arial" w:hAnsi="Arial" w:cs="Arial"/>
                <w:b/>
                <w:color w:val="17365D"/>
                <w:sz w:val="18"/>
              </w:rPr>
              <w:t>Indicador</w:t>
            </w:r>
          </w:p>
        </w:tc>
        <w:tc>
          <w:tcPr>
            <w:tcW w:type="dxa" w:w="2188"/>
            <w:tcMar>
              <w:top w:w="80" w:type="dxa"/>
              <w:start w:w="120" w:type="dxa"/>
              <w:bottom w:w="80" w:type="dxa"/>
              <w:end w:w="120" w:type="dxa"/>
            </w:tcMar>
            <w:vAlign w:val="center"/>
            <w:shd w:fill="D9EAF7"/>
          </w:tcPr>
          <w:p>
            <w:pPr>
              <w:spacing w:before="0" w:after="0" w:line="240" w:lineRule="auto"/>
              <w:jc w:val="left"/>
            </w:pPr>
            <w:r>
              <w:rPr>
                <w:b/>
                <w:color w:val="17365D"/>
              </w:rPr>
            </w:r>
            <w:r>
              <w:rPr>
                <w:rFonts w:ascii="Arial" w:hAnsi="Arial" w:cs="Arial"/>
                <w:b/>
                <w:color w:val="17365D"/>
                <w:sz w:val="18"/>
              </w:rPr>
              <w:t>Resultado para S01</w:t>
            </w:r>
          </w:p>
        </w:tc>
      </w:tr>
      <w:tr>
        <w:tc>
          <w:tcPr>
            <w:tcW w:type="dxa" w:w="6838"/>
            <w:tcMar>
              <w:top w:w="80" w:type="dxa"/>
              <w:start w:w="120" w:type="dxa"/>
              <w:bottom w:w="80" w:type="dxa"/>
              <w:end w:w="120" w:type="dxa"/>
            </w:tcMar>
            <w:vAlign w:val="center"/>
          </w:tcPr>
          <w:p>
            <w:pPr>
              <w:spacing w:before="0" w:after="0" w:line="240" w:lineRule="auto"/>
              <w:jc w:val="left"/>
            </w:pPr>
            <w:r/>
            <w:r>
              <w:rPr>
                <w:rFonts w:ascii="Arial" w:hAnsi="Arial" w:cs="Arial"/>
                <w:sz w:val="18"/>
              </w:rPr>
              <w:t>Preguntas canónicas atribuidas</w:t>
            </w:r>
          </w:p>
        </w:tc>
        <w:tc>
          <w:tcPr>
            <w:tcW w:type="dxa" w:w="2188"/>
            <w:tcMar>
              <w:top w:w="80" w:type="dxa"/>
              <w:start w:w="120" w:type="dxa"/>
              <w:bottom w:w="80" w:type="dxa"/>
              <w:end w:w="120" w:type="dxa"/>
            </w:tcMar>
            <w:vAlign w:val="center"/>
          </w:tcPr>
          <w:p>
            <w:pPr>
              <w:spacing w:before="0" w:after="0" w:line="240" w:lineRule="auto"/>
              <w:jc w:val="center"/>
            </w:pPr>
            <w:r/>
            <w:r>
              <w:rPr>
                <w:rFonts w:ascii="Arial" w:hAnsi="Arial" w:cs="Arial"/>
                <w:sz w:val="18"/>
              </w:rPr>
              <w:t>11</w:t>
            </w:r>
          </w:p>
        </w:tc>
      </w:tr>
      <w:tr>
        <w:tc>
          <w:tcPr>
            <w:tcW w:type="dxa" w:w="6838"/>
            <w:tcMar>
              <w:top w:w="80" w:type="dxa"/>
              <w:start w:w="120" w:type="dxa"/>
              <w:bottom w:w="80" w:type="dxa"/>
              <w:end w:w="120" w:type="dxa"/>
            </w:tcMar>
            <w:vAlign w:val="center"/>
          </w:tcPr>
          <w:p>
            <w:pPr>
              <w:spacing w:before="0" w:after="0" w:line="240" w:lineRule="auto"/>
              <w:jc w:val="left"/>
            </w:pPr>
            <w:r/>
            <w:r>
              <w:rPr>
                <w:rFonts w:ascii="Arial" w:hAnsi="Arial" w:cs="Arial"/>
                <w:sz w:val="18"/>
              </w:rPr>
              <w:t>Distribución por año de examen</w:t>
            </w:r>
          </w:p>
        </w:tc>
        <w:tc>
          <w:tcPr>
            <w:tcW w:type="dxa" w:w="2188"/>
            <w:tcMar>
              <w:top w:w="80" w:type="dxa"/>
              <w:start w:w="120" w:type="dxa"/>
              <w:bottom w:w="80" w:type="dxa"/>
              <w:end w:w="120" w:type="dxa"/>
            </w:tcMar>
            <w:vAlign w:val="center"/>
          </w:tcPr>
          <w:p>
            <w:pPr>
              <w:spacing w:before="0" w:after="0" w:line="240" w:lineRule="auto"/>
              <w:jc w:val="left"/>
            </w:pPr>
            <w:r/>
            <w:r>
              <w:rPr>
                <w:rFonts w:ascii="Arial" w:hAnsi="Arial" w:cs="Arial"/>
                <w:sz w:val="18"/>
              </w:rPr>
              <w:t>2024: 2, 2025: 7, 2026: 2</w:t>
            </w:r>
          </w:p>
        </w:tc>
      </w:tr>
      <w:tr>
        <w:tc>
          <w:tcPr>
            <w:tcW w:type="dxa" w:w="6838"/>
            <w:tcMar>
              <w:top w:w="80" w:type="dxa"/>
              <w:start w:w="120" w:type="dxa"/>
              <w:bottom w:w="80" w:type="dxa"/>
              <w:end w:w="120" w:type="dxa"/>
            </w:tcMar>
            <w:vAlign w:val="center"/>
          </w:tcPr>
          <w:p>
            <w:pPr>
              <w:spacing w:before="0" w:after="0" w:line="240" w:lineRule="auto"/>
              <w:jc w:val="left"/>
            </w:pPr>
            <w:r/>
            <w:r>
              <w:rPr>
                <w:rFonts w:ascii="Arial" w:hAnsi="Arial" w:cs="Arial"/>
                <w:sz w:val="18"/>
              </w:rPr>
              <w:t>Teóricas / prácticas</w:t>
            </w:r>
          </w:p>
        </w:tc>
        <w:tc>
          <w:tcPr>
            <w:tcW w:type="dxa" w:w="2188"/>
            <w:tcMar>
              <w:top w:w="80" w:type="dxa"/>
              <w:start w:w="120" w:type="dxa"/>
              <w:bottom w:w="80" w:type="dxa"/>
              <w:end w:w="120" w:type="dxa"/>
            </w:tcMar>
            <w:vAlign w:val="center"/>
          </w:tcPr>
          <w:p>
            <w:pPr>
              <w:spacing w:before="0" w:after="0" w:line="240" w:lineRule="auto"/>
              <w:jc w:val="center"/>
            </w:pPr>
            <w:r/>
            <w:r>
              <w:rPr>
                <w:rFonts w:ascii="Arial" w:hAnsi="Arial" w:cs="Arial"/>
                <w:sz w:val="18"/>
              </w:rPr>
              <w:t>11 / 0</w:t>
            </w:r>
          </w:p>
        </w:tc>
      </w:tr>
      <w:tr>
        <w:tc>
          <w:tcPr>
            <w:tcW w:type="dxa" w:w="6838"/>
            <w:tcMar>
              <w:top w:w="80" w:type="dxa"/>
              <w:start w:w="120" w:type="dxa"/>
              <w:bottom w:w="80" w:type="dxa"/>
              <w:end w:w="120" w:type="dxa"/>
            </w:tcMar>
            <w:vAlign w:val="center"/>
          </w:tcPr>
          <w:p>
            <w:pPr>
              <w:spacing w:before="0" w:after="0" w:line="240" w:lineRule="auto"/>
              <w:jc w:val="left"/>
            </w:pPr>
            <w:r/>
            <w:r>
              <w:rPr>
                <w:rFonts w:ascii="Arial" w:hAnsi="Arial" w:cs="Arial"/>
                <w:sz w:val="18"/>
              </w:rPr>
              <w:t>Preguntas de reserva</w:t>
            </w:r>
          </w:p>
        </w:tc>
        <w:tc>
          <w:tcPr>
            <w:tcW w:type="dxa" w:w="2188"/>
            <w:tcMar>
              <w:top w:w="80" w:type="dxa"/>
              <w:start w:w="120" w:type="dxa"/>
              <w:bottom w:w="80" w:type="dxa"/>
              <w:end w:w="120" w:type="dxa"/>
            </w:tcMar>
            <w:vAlign w:val="center"/>
          </w:tcPr>
          <w:p>
            <w:pPr>
              <w:spacing w:before="0" w:after="0" w:line="240" w:lineRule="auto"/>
              <w:jc w:val="center"/>
            </w:pPr>
            <w:r/>
            <w:r>
              <w:rPr>
                <w:rFonts w:ascii="Arial" w:hAnsi="Arial" w:cs="Arial"/>
                <w:sz w:val="18"/>
              </w:rPr>
              <w:t>0</w:t>
            </w:r>
          </w:p>
        </w:tc>
      </w:tr>
      <w:tr>
        <w:tc>
          <w:tcPr>
            <w:tcW w:type="dxa" w:w="6838"/>
            <w:tcMar>
              <w:top w:w="80" w:type="dxa"/>
              <w:start w:w="120" w:type="dxa"/>
              <w:bottom w:w="80" w:type="dxa"/>
              <w:end w:w="120" w:type="dxa"/>
            </w:tcMar>
            <w:vAlign w:val="center"/>
          </w:tcPr>
          <w:p>
            <w:pPr>
              <w:spacing w:before="0" w:after="0" w:line="240" w:lineRule="auto"/>
              <w:jc w:val="left"/>
            </w:pPr>
            <w:r/>
            <w:r>
              <w:rPr>
                <w:rFonts w:ascii="Arial" w:hAnsi="Arial" w:cs="Arial"/>
                <w:sz w:val="18"/>
              </w:rPr>
              <w:t>Anuladas / con respuesta modificada</w:t>
            </w:r>
          </w:p>
        </w:tc>
        <w:tc>
          <w:tcPr>
            <w:tcW w:type="dxa" w:w="2188"/>
            <w:tcMar>
              <w:top w:w="80" w:type="dxa"/>
              <w:start w:w="120" w:type="dxa"/>
              <w:bottom w:w="80" w:type="dxa"/>
              <w:end w:w="120" w:type="dxa"/>
            </w:tcMar>
            <w:vAlign w:val="center"/>
          </w:tcPr>
          <w:p>
            <w:pPr>
              <w:spacing w:before="0" w:after="0" w:line="240" w:lineRule="auto"/>
              <w:jc w:val="center"/>
            </w:pPr>
            <w:r/>
            <w:r>
              <w:rPr>
                <w:rFonts w:ascii="Arial" w:hAnsi="Arial" w:cs="Arial"/>
                <w:sz w:val="18"/>
              </w:rPr>
              <w:t>1 / 0</w:t>
            </w:r>
          </w:p>
        </w:tc>
      </w:tr>
      <w:tr>
        <w:tc>
          <w:tcPr>
            <w:tcW w:type="dxa" w:w="6838"/>
            <w:tcMar>
              <w:top w:w="80" w:type="dxa"/>
              <w:start w:w="120" w:type="dxa"/>
              <w:bottom w:w="80" w:type="dxa"/>
              <w:end w:w="120" w:type="dxa"/>
            </w:tcMar>
            <w:vAlign w:val="center"/>
          </w:tcPr>
          <w:p>
            <w:pPr>
              <w:spacing w:before="0" w:after="0" w:line="240" w:lineRule="auto"/>
              <w:jc w:val="left"/>
            </w:pPr>
            <w:r/>
            <w:r>
              <w:rPr>
                <w:rFonts w:ascii="Arial" w:hAnsi="Arial" w:cs="Arial"/>
                <w:sz w:val="18"/>
              </w:rPr>
              <w:t>Enunciados con excepción, negación o respuesta incorrecta</w:t>
            </w:r>
          </w:p>
        </w:tc>
        <w:tc>
          <w:tcPr>
            <w:tcW w:type="dxa" w:w="2188"/>
            <w:tcMar>
              <w:top w:w="80" w:type="dxa"/>
              <w:start w:w="120" w:type="dxa"/>
              <w:bottom w:w="80" w:type="dxa"/>
              <w:end w:w="120" w:type="dxa"/>
            </w:tcMar>
            <w:vAlign w:val="center"/>
          </w:tcPr>
          <w:p>
            <w:pPr>
              <w:spacing w:before="0" w:after="0" w:line="240" w:lineRule="auto"/>
              <w:jc w:val="center"/>
            </w:pPr>
            <w:r/>
            <w:r>
              <w:rPr>
                <w:rFonts w:ascii="Arial" w:hAnsi="Arial" w:cs="Arial"/>
                <w:sz w:val="18"/>
              </w:rPr>
              <w:t>1</w:t>
            </w:r>
          </w:p>
        </w:tc>
      </w:tr>
    </w:tbl>
    <w:p>
      <w:pPr>
        <w:spacing w:after="40"/>
      </w:pPr>
    </w:p>
    <w:p>
      <w:pPr>
        <w:jc w:val="both"/>
      </w:pPr>
      <w:r>
        <w:rPr>
          <w:rFonts w:ascii="Arial" w:hAnsi="Arial" w:cs="Arial"/>
          <w:b/>
          <w:sz w:val="22"/>
        </w:rPr>
        <w:t>Normas que más aparecen:</w:t>
      </w:r>
      <w:r>
        <w:rPr>
          <w:rFonts w:ascii="Arial" w:hAnsi="Arial" w:cs="Arial"/>
          <w:sz w:val="22"/>
        </w:rPr>
        <w:t xml:space="preserve"> Constitución Española (5); texto refundido de la Ley General de la Seguridad Social (5); Texto Refundido de la Ley General de la Seguridad Social (1).</w:t>
      </w:r>
    </w:p>
    <w:p>
      <w:pPr>
        <w:jc w:val="both"/>
      </w:pPr>
      <w:r>
        <w:rPr>
          <w:rFonts w:ascii="Arial" w:hAnsi="Arial" w:cs="Arial"/>
          <w:b/>
          <w:sz w:val="22"/>
        </w:rPr>
        <w:t>Artículos o preceptos más repetidos:</w:t>
      </w:r>
      <w:r>
        <w:rPr>
          <w:rFonts w:ascii="Arial" w:hAnsi="Arial" w:cs="Arial"/>
          <w:sz w:val="22"/>
        </w:rPr>
        <w:t xml:space="preserve"> 41 (1); 49 (1); 2 (1); 43 (1).</w:t>
      </w:r>
    </w:p>
    <w:p>
      <w:pPr>
        <w:jc w:val="both"/>
      </w:pPr>
      <w:r>
        <w:rPr>
          <w:rFonts w:ascii="Arial" w:hAnsi="Arial" w:cs="Arial"/>
          <w:b/>
          <w:sz w:val="22"/>
        </w:rPr>
        <w:t>Formas de pregunta predominantes:</w:t>
      </w:r>
      <w:r>
        <w:rPr>
          <w:rFonts w:ascii="Arial" w:hAnsi="Arial" w:cs="Arial"/>
          <w:sz w:val="22"/>
        </w:rPr>
        <w:t xml:space="preserve"> Artículos literales (10); Competencias (1).</w:t>
      </w:r>
    </w:p>
    <w:p>
      <w:pPr>
        <w:pStyle w:val="Heading2"/>
        <w:keepNext/>
      </w:pPr>
      <w:r>
        <w:rPr>
          <w:rFonts w:ascii="Arial" w:hAnsi="Arial" w:cs="Arial"/>
          <w:sz w:val="25"/>
        </w:rPr>
        <w:t>Patrones observados</w:t>
      </w:r>
    </w:p>
    <w:p>
      <w:pPr>
        <w:pStyle w:val="ListBullet"/>
      </w:pPr>
      <w:r>
        <w:rPr>
          <w:rFonts w:ascii="Arial" w:hAnsi="Arial" w:cs="Arial"/>
          <w:b/>
          <w:sz w:val="22"/>
        </w:rPr>
        <w:t>2024, teoría 24:</w:t>
      </w:r>
      <w:r>
        <w:rPr>
          <w:rFonts w:ascii="Arial" w:hAnsi="Arial" w:cs="Arial"/>
          <w:sz w:val="22"/>
        </w:rPr>
        <w:t xml:space="preserve"> Según se establece en el artículo 41 de la Constitución Española, los poderes públicos mantendrán un régimen público de Seguridad Social para todos los ciudadanos que garantice la asistencia y prestaciones…</w:t>
      </w:r>
    </w:p>
    <w:p>
      <w:pPr>
        <w:pStyle w:val="ListBullet"/>
      </w:pPr>
      <w:r>
        <w:rPr>
          <w:rFonts w:ascii="Arial" w:hAnsi="Arial" w:cs="Arial"/>
          <w:b/>
          <w:sz w:val="22"/>
        </w:rPr>
        <w:t>2024, teoría 26:</w:t>
      </w:r>
      <w:r>
        <w:rPr>
          <w:rFonts w:ascii="Arial" w:hAnsi="Arial" w:cs="Arial"/>
          <w:sz w:val="22"/>
        </w:rPr>
        <w:t xml:space="preserve"> De los principios rectores de la política social y económica de la Constitución Española ¿en qué artículo se recoge la protección social, económica y jurídica de la familia?</w:t>
      </w:r>
    </w:p>
    <w:p>
      <w:pPr>
        <w:pStyle w:val="ListBullet"/>
      </w:pPr>
      <w:r>
        <w:rPr>
          <w:rFonts w:ascii="Arial" w:hAnsi="Arial" w:cs="Arial"/>
          <w:b/>
          <w:sz w:val="22"/>
        </w:rPr>
        <w:t>2025, teoría 24:</w:t>
      </w:r>
      <w:r>
        <w:rPr>
          <w:rFonts w:ascii="Arial" w:hAnsi="Arial" w:cs="Arial"/>
          <w:sz w:val="22"/>
        </w:rPr>
        <w:t xml:space="preserve"> De acuerdo con el artículo 2 del texto refundido de la Ley General de la Seguridad Social, el sistema de la Seguridad Social, configurado por la acción protectora en sus modalidades contributiva y no…</w:t>
      </w:r>
    </w:p>
    <w:p>
      <w:pPr>
        <w:pStyle w:val="ListBullet"/>
      </w:pPr>
      <w:r>
        <w:rPr>
          <w:rFonts w:ascii="Arial" w:hAnsi="Arial" w:cs="Arial"/>
          <w:b/>
          <w:sz w:val="22"/>
        </w:rPr>
        <w:t>2025, teoría 25:</w:t>
      </w:r>
      <w:r>
        <w:rPr>
          <w:rFonts w:ascii="Arial" w:hAnsi="Arial" w:cs="Arial"/>
          <w:sz w:val="22"/>
        </w:rPr>
        <w:t xml:space="preserve"> Alguna de las prestaciones que incluye eI Título II del texto refundido de la Ley General de la Seguridad Social son:</w:t>
      </w:r>
    </w:p>
    <w:p>
      <w:pPr>
        <w:pStyle w:val="ListBullet"/>
      </w:pPr>
      <w:r>
        <w:rPr>
          <w:rFonts w:ascii="Arial" w:hAnsi="Arial" w:cs="Arial"/>
          <w:b/>
          <w:sz w:val="22"/>
        </w:rPr>
        <w:t>2025, teoría 25:</w:t>
      </w:r>
      <w:r>
        <w:rPr>
          <w:rFonts w:ascii="Arial" w:hAnsi="Arial" w:cs="Arial"/>
          <w:sz w:val="22"/>
        </w:rPr>
        <w:t xml:space="preserve"> En el artículo 43 de la Constitución Española, se reconoce el derecho a:</w:t>
      </w:r>
    </w:p>
    <w:p>
      <w:pPr>
        <w:pStyle w:val="ListBullet"/>
      </w:pPr>
      <w:r>
        <w:rPr>
          <w:rFonts w:ascii="Arial" w:hAnsi="Arial" w:cs="Arial"/>
          <w:b/>
          <w:sz w:val="22"/>
        </w:rPr>
        <w:t>2025, teoría 26:</w:t>
      </w:r>
      <w:r>
        <w:rPr>
          <w:rFonts w:ascii="Arial" w:hAnsi="Arial" w:cs="Arial"/>
          <w:sz w:val="22"/>
        </w:rPr>
        <w:t xml:space="preserve"> En su conjunto, ¿cuántos artículos contiene el texto refundido de la Ley General de la Seguridad Social?</w:t>
      </w:r>
    </w:p>
    <w:p>
      <w:pPr>
        <w:pStyle w:val="Heading2"/>
        <w:keepNext/>
      </w:pPr>
      <w:r>
        <w:rPr>
          <w:rFonts w:ascii="Arial" w:hAnsi="Arial" w:cs="Arial"/>
          <w:sz w:val="25"/>
        </w:rPr>
        <w:t>Cómo trasladarlo al estudio</w:t>
      </w:r>
    </w:p>
    <w:p>
      <w:pPr>
        <w:spacing w:after="40"/>
        <w:ind w:left="369" w:hanging="227"/>
      </w:pPr>
      <w:r>
        <w:rPr>
          <w:rFonts w:ascii="Arial" w:hAnsi="Arial" w:cs="Arial"/>
          <w:sz w:val="22"/>
        </w:rPr>
        <w:t xml:space="preserve">1. </w:t>
      </w:r>
      <w:r>
        <w:rPr>
          <w:rFonts w:ascii="Arial" w:hAnsi="Arial" w:cs="Arial"/>
          <w:b/>
          <w:sz w:val="22"/>
        </w:rPr>
        <w:t>Priorice la literalidad útil.</w:t>
      </w:r>
      <w:r>
        <w:rPr>
          <w:rFonts w:ascii="Arial" w:hAnsi="Arial" w:cs="Arial"/>
          <w:sz w:val="22"/>
        </w:rPr>
        <w:t xml:space="preserve"> Memorice la regla, su artículo y la excepción, pero comprenda antes quién actúa, sobre qué supuesto y con qué plazo.</w:t>
      </w:r>
    </w:p>
    <w:p>
      <w:pPr>
        <w:spacing w:after="40"/>
        <w:ind w:left="369" w:hanging="227"/>
      </w:pPr>
      <w:r>
        <w:rPr>
          <w:rFonts w:ascii="Arial" w:hAnsi="Arial" w:cs="Arial"/>
          <w:sz w:val="22"/>
        </w:rPr>
        <w:t xml:space="preserve">2. </w:t>
      </w:r>
      <w:r>
        <w:rPr>
          <w:rFonts w:ascii="Arial" w:hAnsi="Arial" w:cs="Arial"/>
          <w:b/>
          <w:sz w:val="22"/>
        </w:rPr>
        <w:t>Entrene las negaciones.</w:t>
      </w:r>
      <w:r>
        <w:rPr>
          <w:rFonts w:ascii="Arial" w:hAnsi="Arial" w:cs="Arial"/>
          <w:sz w:val="22"/>
        </w:rPr>
        <w:t xml:space="preserve"> En este tema se han localizado 1 enunciados con fórmulas como «INCORRECTA», «NO», «salvo» o «excepto». Subraye siempre el mandato antes de leer las opciones.</w:t>
      </w:r>
    </w:p>
    <w:p>
      <w:pPr>
        <w:spacing w:after="40"/>
        <w:ind w:left="369" w:hanging="227"/>
      </w:pPr>
      <w:r>
        <w:rPr>
          <w:rFonts w:ascii="Arial" w:hAnsi="Arial" w:cs="Arial"/>
          <w:sz w:val="22"/>
        </w:rPr>
        <w:t xml:space="preserve">3. </w:t>
      </w:r>
      <w:r>
        <w:rPr>
          <w:rFonts w:ascii="Arial" w:hAnsi="Arial" w:cs="Arial"/>
          <w:b/>
          <w:sz w:val="22"/>
        </w:rPr>
        <w:t>Separe regla estable y dato anual.</w:t>
      </w:r>
      <w:r>
        <w:rPr>
          <w:rFonts w:ascii="Arial" w:hAnsi="Arial" w:cs="Arial"/>
          <w:sz w:val="22"/>
        </w:rPr>
        <w:t xml:space="preserve"> Cuando intervengan cuantías, bases, tipos, edades o porcentajes, anote el año de referencia y contraste la cifra con la norma consolidada vigente.</w:t>
      </w:r>
    </w:p>
    <w:p>
      <w:pPr>
        <w:spacing w:after="40"/>
        <w:ind w:left="369" w:hanging="227"/>
      </w:pPr>
      <w:r>
        <w:rPr>
          <w:rFonts w:ascii="Arial" w:hAnsi="Arial" w:cs="Arial"/>
          <w:sz w:val="22"/>
        </w:rPr>
        <w:t xml:space="preserve">4. </w:t>
      </w:r>
      <w:r>
        <w:rPr>
          <w:rFonts w:ascii="Arial" w:hAnsi="Arial" w:cs="Arial"/>
          <w:b/>
          <w:sz w:val="22"/>
        </w:rPr>
        <w:t>Use las anulaciones como señal de riesgo.</w:t>
      </w:r>
      <w:r>
        <w:rPr>
          <w:rFonts w:ascii="Arial" w:hAnsi="Arial" w:cs="Arial"/>
          <w:sz w:val="22"/>
        </w:rPr>
        <w:t xml:space="preserve"> Una pregunta anulada no desaparece del aprendizaje: suele revelar una redacción ambigua, una reforma reciente o dos preceptos que deben diferenciarse.</w:t>
      </w:r>
    </w:p>
    <w:p>
      <w:pPr>
        <w:spacing w:after="40"/>
        <w:ind w:left="369" w:hanging="227"/>
      </w:pPr>
      <w:r>
        <w:rPr>
          <w:rFonts w:ascii="Arial" w:hAnsi="Arial" w:cs="Arial"/>
          <w:sz w:val="22"/>
        </w:rPr>
        <w:t xml:space="preserve">5. </w:t>
      </w:r>
      <w:r>
        <w:rPr>
          <w:rFonts w:ascii="Arial" w:hAnsi="Arial" w:cs="Arial"/>
          <w:b/>
          <w:sz w:val="22"/>
        </w:rPr>
        <w:t>No confunda frecuencia con seguridad de aparición.</w:t>
      </w:r>
      <w:r>
        <w:rPr>
          <w:rFonts w:ascii="Arial" w:hAnsi="Arial" w:cs="Arial"/>
          <w:sz w:val="22"/>
        </w:rPr>
        <w:t xml:space="preserve"> El recuento describe el corpus disponible; no garantiza la distribución de una convocatoria futura ni permite excluir epígrafes poco preguntados.</w:t>
      </w:r>
    </w:p>
    <w:sectPr w:rsidR="00FC693F" w:rsidRPr="0006063C" w:rsidSect="00034616">
      <w:headerReference w:type="default" r:id="rId9"/>
      <w:headerReference w:type="first" r:id="rId10"/>
      <w:footerReference w:type="default" r:id="rId11"/>
      <w:footerReference w:type="first" r:id="rId12"/>
      <w:pgSz w:w="11906" w:h="16838"/>
      <w:pgMar w:top="1440" w:right="1440" w:bottom="1440" w:left="1440" w:header="709" w:footer="56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20"/>
      <w:jc w:val="both"/>
    </w:pPr>
    <w:r>
      <w:rPr>
        <w:rFonts w:ascii="Arial" w:hAnsi="Arial" w:cs="Arial"/>
        <w:color w:val="666666"/>
        <w:sz w:val="13"/>
      </w:rPr>
      <w:t>© 2026 ACADEMIA LORMAN. Todos los derechos reservados. Material protegido por el Real Decreto Legislativo 1/1996. Prohibida su reproducción, distribución, comunicación pública, modificación, venta, cesión, publicación o difusión total o parcial sin autorización escrita. No se permite su publicación en webs, plataformas, redes, mensajería, aplicaciones, repositorios ni servicios de intercambio.</w:t>
    </w:r>
  </w:p>
  <w:p>
    <w:pPr>
      <w:spacing w:before="0" w:after="0"/>
      <w:jc w:val="right"/>
    </w:pPr>
    <w:r>
      <w:rPr>
        <w:rFonts w:ascii="Arial" w:hAnsi="Arial" w:cs="Arial"/>
        <w:color w:val="666666"/>
        <w:sz w:val="14"/>
      </w:rPr>
      <w:t xml:space="preserve">Página </w:t>
    </w:r>
    <w:r>
      <w:rPr>
        <w:rFonts w:ascii="Arial" w:hAnsi="Arial" w:cs="Arial"/>
        <w:color w:val="666666"/>
        <w:sz w:val="14"/>
      </w:rPr>
      <w:fldChar w:fldCharType="begin"/>
      <w:instrText xml:space="preserve"> PAGE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s="Arial"/>
        <w:color w:val="666666"/>
        <w:sz w:val="14"/>
      </w:rPr>
      <w:t>© 2026 ACADEMIA LORMAN. Todos los derechos reservados.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60"/>
      <w:jc w:val="left"/>
      <w:pBdr>
        <w:bottom w:val="single" w:sz="6" w:space="1" w:color="B4C7E7"/>
      </w:pBdr>
    </w:pPr>
    <w:r>
      <w:rPr>
        <w:rFonts w:ascii="Arial" w:hAnsi="Arial" w:cs="Arial"/>
        <w:b/>
        <w:color w:val="1F4E79"/>
        <w:sz w:val="16"/>
      </w:rPr>
      <w:t>S01 · Tema 1 · Actualizado 30-07-2026</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80" w:line="269" w:lineRule="auto"/>
      <w:jc w:val="both"/>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Arial" w:hAnsi="Arial"/>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rial" w:hAnsi="Arial"/>
      <w:b/>
      <w:bCs/>
      <w:color w:val="2F75B5"/>
      <w:sz w:val="25"/>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b/>
      <w:bCs/>
      <w:color w:val="1F4E79"/>
      <w:sz w:val="23"/>
    </w:rPr>
  </w:style>
  <w:style w:type="paragraph" w:styleId="Heading4">
    <w:name w:val="heading 4"/>
    <w:basedOn w:val="Normal"/>
    <w:next w:val="Normal"/>
    <w:link w:val="Heading4Char"/>
    <w:uiPriority w:val="9"/>
    <w:semiHidden/>
    <w:unhideWhenUsed/>
    <w:qFormat/>
    <w:rsid w:val="00FC693F"/>
    <w:pPr>
      <w:keepNext/>
      <w:keepLines/>
      <w:spacing w:before="120" w:after="60"/>
      <w:outlineLvl w:val="3"/>
    </w:pPr>
    <w:rPr>
      <w:rFonts w:asciiTheme="majorHAnsi" w:eastAsiaTheme="majorEastAsia" w:hAnsiTheme="majorHAnsi" w:cstheme="majorBidi" w:ascii="Arial" w:hAnsi="Arial"/>
      <w:b/>
      <w:bCs/>
      <w:i/>
      <w:iCs/>
      <w:color w:val="333333"/>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69" w:lineRule="auto"/>
      <w:ind w:left="539" w:hanging="272"/>
      <w:contextualSpacing/>
    </w:pPr>
    <w:rPr>
      <w:rFonts w:ascii="Arial" w:hAnsi="Arial"/>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69" w:lineRule="auto"/>
      <w:ind w:left="539" w:hanging="272"/>
      <w:contextualSpacing/>
    </w:pPr>
    <w:rPr>
      <w:rFonts w:ascii="Arial" w:hAnsi="Arial"/>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Question">
    <w:name w:val="Question"/>
    <w:pPr>
      <w:keepNext/>
      <w:spacing w:before="200" w:after="80"/>
    </w:pPr>
    <w:rPr>
      <w:rFonts w:ascii="Arial" w:hAnsi="Arial"/>
      <w:b/>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Tema 1. La Seguridad Social en la Constitución española de 1978. El texto refundido de la Ley General de la Seguridad Social</dc:title>
  <dc:subject>Cuerpo Administrativo de la Administración de la Seguridad Social, subgrupo C1, acceso libre</dc:subject>
  <dc:creator>ACADEMIA LORMAN</dc:creator>
  <cp:keywords/>
  <dc:description>generated by python-docx</dc:description>
  <cp:lastModifiedBy>ACADEMIA LORMAN</cp:lastModifiedBy>
  <cp:revision>1</cp:revision>
  <dcterms:created xsi:type="dcterms:W3CDTF">2013-12-23T23:15:00Z</dcterms:created>
  <dcterms:modified xsi:type="dcterms:W3CDTF">2013-12-23T23:15:00Z</dcterms:modified>
  <cp:category/>
</cp:coreProperties>
</file>