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TEMA 10</w:t>
      </w:r>
    </w:p>
    <w:p>
      <w:pPr>
        <w:keepNext/>
        <w:spacing w:before="0" w:after="280"/>
        <w:pBdr>
          <w:bottom w:val="single" w:sz="12" w:space="1" w:color="2F75B5"/>
        </w:pBdr>
      </w:pPr>
      <w:r>
        <w:rPr>
          <w:rFonts w:ascii="Arial" w:hAnsi="Arial" w:cs="Arial"/>
          <w:b/>
          <w:color w:val="17365D"/>
          <w:sz w:val="40"/>
        </w:rPr>
        <w:t>Jubilación en la modalidad contributiva: concepto. Jubilación ordinaria: requisitos: especial referencia a la edad de jubilación. Determinación de la cuantía de la prestación: base reguladora y porcentaje. Jubilación anticipada, jubilación parcial y jubilación flexible. Compatibilidad de la pensión de jubilación y el trabajo. Suspensión y extinción de la prestación. Especial referencia a la aplicación de la normativa anterior a la Ley 27/2011.</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b/>
          <w:sz w:val="22"/>
        </w:rPr>
        <w:t>Actualizado a 30 de julio de 2026.</w:t>
      </w:r>
    </w:p>
    <w:p>
      <w:pPr>
        <w:jc w:val="both"/>
      </w:pPr>
      <w:r>
        <w:rPr>
          <w:rFonts w:ascii="Arial" w:hAnsi="Arial" w:cs="Arial"/>
          <w:sz w:val="22"/>
        </w:rPr>
        <w:t>La jubilación contributiva protege la pérdida de ingresos profesionales que se produce cuando una persona, alcanzada la edad legal, cesa total o parcialmente en el trabajo. Su estudio exige distinguir la regla estructural del texto refundido de la Ley General de la Seguridad Social —TRLGSS—, los calendarios transitorios todavía activos en 2026 y las modalidades que permiten anticipar, demorar o compatibilizar la pensión con una actividad. No basta con memorizar una edad: el resultado depende del año del hecho causante, de la carrera de cotización, de la situación de alta y de la modalidad elegida.</w:t>
      </w:r>
    </w:p>
    <w:p>
      <w:pPr>
        <w:jc w:val="both"/>
      </w:pPr>
      <w:r>
        <w:rPr>
          <w:rFonts w:ascii="Arial" w:hAnsi="Arial" w:cs="Arial"/>
          <w:sz w:val="22"/>
        </w:rPr>
        <w:t>En 2026 confluyen varias reformas. La edad ordinaria es de sesenta y cinco años para quien acredita al menos treinta y ocho años y tres meses cotizados y de sesenta y seis años y diez meses para quien no alcanza ese período. La base reguladora se obtiene comparando de oficio dos métodos y aplicando el más favorable. La jubilación activa y parcial incorporan desde 2025 las reglas del Real Decreto-ley 11/2024. Además, el Real Decreto 416/2026 ha publicado un nuevo régimen de jubilación flexible, pero su núcleo entra en vigor el 28 de agosto de 2026: a la fecha de actualización de este tema sigue aplicándose el Real Decreto 1132/2002. Esta precisión temporal es especialmente importante en examen.</w:t>
      </w:r>
    </w:p>
    <w:p>
      <w:pPr>
        <w:pStyle w:val="Heading1"/>
        <w:keepNext/>
      </w:pPr>
      <w:r>
        <w:rPr>
          <w:rFonts w:ascii="Arial" w:hAnsi="Arial" w:cs="Arial"/>
          <w:sz w:val="30"/>
        </w:rPr>
        <w:t>1. Concepto, caracteres y marco normativo</w:t>
      </w:r>
    </w:p>
    <w:p>
      <w:pPr>
        <w:jc w:val="both"/>
      </w:pPr>
      <w:r>
        <w:rPr>
          <w:rFonts w:ascii="Arial" w:hAnsi="Arial" w:cs="Arial"/>
          <w:sz w:val="22"/>
        </w:rPr>
        <w:t>El artículo 204 TRLGSS define la jubilación contributiva como una prestación económica única para cada beneficiario, consistente en una pensión vitalicia, reconocida cuando, alcanzada la edad establecida, se cese o se haya cesado en el trabajo por cuenta ajena. La definición legal se formula dentro del Régimen General, pero las reglas se proyectan sobre los demás regímenes con las especialidades que correspondan.</w:t>
      </w:r>
    </w:p>
    <w:p>
      <w:pPr>
        <w:jc w:val="both"/>
      </w:pPr>
      <w:r>
        <w:rPr>
          <w:rFonts w:ascii="Arial" w:hAnsi="Arial" w:cs="Arial"/>
          <w:sz w:val="22"/>
        </w:rPr>
        <w:t>Sus caracteres principales son:</w:t>
      </w:r>
    </w:p>
    <w:p>
      <w:pPr>
        <w:pStyle w:val="ListBullet"/>
      </w:pPr>
      <w:r>
        <w:rPr>
          <w:rFonts w:ascii="Arial" w:hAnsi="Arial" w:cs="Arial"/>
          <w:b/>
          <w:sz w:val="22"/>
        </w:rPr>
        <w:t>contributiva</w:t>
      </w:r>
      <w:r>
        <w:rPr>
          <w:rFonts w:ascii="Arial" w:hAnsi="Arial" w:cs="Arial"/>
          <w:sz w:val="22"/>
        </w:rPr>
        <w:t>, porque presupone una carrera mínima de cotización y su cuantía se relaciona con las bases y períodos acreditados;</w:t>
      </w:r>
    </w:p>
    <w:p>
      <w:pPr>
        <w:pStyle w:val="ListBullet"/>
      </w:pPr>
      <w:r>
        <w:rPr>
          <w:rFonts w:ascii="Arial" w:hAnsi="Arial" w:cs="Arial"/>
          <w:b/>
          <w:sz w:val="22"/>
        </w:rPr>
        <w:t>económica y periódica</w:t>
      </w:r>
      <w:r>
        <w:rPr>
          <w:rFonts w:ascii="Arial" w:hAnsi="Arial" w:cs="Arial"/>
          <w:sz w:val="22"/>
        </w:rPr>
        <w:t>, pues normalmente se abona en catorce pagas, sin perjuicio del régimen de las pensiones derivadas de contingencias profesionales;</w:t>
      </w:r>
    </w:p>
    <w:p>
      <w:pPr>
        <w:pStyle w:val="ListBullet"/>
      </w:pPr>
      <w:r>
        <w:rPr>
          <w:rFonts w:ascii="Arial" w:hAnsi="Arial" w:cs="Arial"/>
          <w:b/>
          <w:sz w:val="22"/>
        </w:rPr>
        <w:t>vitalicia</w:t>
      </w:r>
      <w:r>
        <w:rPr>
          <w:rFonts w:ascii="Arial" w:hAnsi="Arial" w:cs="Arial"/>
          <w:sz w:val="22"/>
        </w:rPr>
        <w:t>, aunque el abono pueda suspenderse durante una actividad incompatible y el derecho se extinga por fallecimiento;</w:t>
      </w:r>
    </w:p>
    <w:p>
      <w:pPr>
        <w:pStyle w:val="ListBullet"/>
      </w:pPr>
      <w:r>
        <w:rPr>
          <w:rFonts w:ascii="Arial" w:hAnsi="Arial" w:cs="Arial"/>
          <w:b/>
          <w:sz w:val="22"/>
        </w:rPr>
        <w:t>única para cada beneficiario dentro de cada régimen</w:t>
      </w:r>
      <w:r>
        <w:rPr>
          <w:rFonts w:ascii="Arial" w:hAnsi="Arial" w:cs="Arial"/>
          <w:sz w:val="22"/>
        </w:rPr>
        <w:t>, sin perjuicio de que puedan causarse pensiones en distintos regímenes cuando se cumplen separadamente sus requisitos;</w:t>
      </w:r>
    </w:p>
    <w:p>
      <w:pPr>
        <w:pStyle w:val="ListBullet"/>
      </w:pPr>
      <w:r>
        <w:rPr>
          <w:rFonts w:ascii="Arial" w:hAnsi="Arial" w:cs="Arial"/>
          <w:b/>
          <w:sz w:val="22"/>
        </w:rPr>
        <w:t>imprescriptible en cuanto al reconocimiento</w:t>
      </w:r>
      <w:r>
        <w:rPr>
          <w:rFonts w:ascii="Arial" w:hAnsi="Arial" w:cs="Arial"/>
          <w:sz w:val="22"/>
        </w:rPr>
        <w:t>, conforme al artículo 212, aunque la retroactividad económica de una solicitud tardía está limitada;</w:t>
      </w:r>
    </w:p>
    <w:p>
      <w:pPr>
        <w:pStyle w:val="ListBullet"/>
      </w:pPr>
      <w:r>
        <w:rPr>
          <w:rFonts w:ascii="Arial" w:hAnsi="Arial" w:cs="Arial"/>
          <w:b/>
          <w:sz w:val="22"/>
        </w:rPr>
        <w:t>incompatible como regla con el trabajo</w:t>
      </w:r>
      <w:r>
        <w:rPr>
          <w:rFonts w:ascii="Arial" w:hAnsi="Arial" w:cs="Arial"/>
          <w:sz w:val="22"/>
        </w:rPr>
        <w:t>, pero rodeada de excepciones legales: jubilación activa, flexible, parcial, trabajos autónomos de ingresos reducidos y determinados supuestos profesionales.</w:t>
      </w:r>
    </w:p>
    <w:p>
      <w:pPr>
        <w:jc w:val="both"/>
      </w:pPr>
      <w:r>
        <w:rPr>
          <w:rFonts w:ascii="Arial" w:hAnsi="Arial" w:cs="Arial"/>
          <w:sz w:val="22"/>
        </w:rPr>
        <w:t>El núcleo normativo se encuentra en los artículos 204 a 215 TRLGSS. Deben añadirse las disposiciones transitorias cuarta, séptima, octava, novena y cuadragésima; el Real Decreto 1132/2002, vigente para la jubilación flexible hasta el 27 de agosto de 2026; el Real Decreto-ley 11/2024, que reformó la jubilación demorada, activa y parcial; el Real Decreto 416/2026, con entrada en vigor general el 28 de agosto de 2026; y el Real Decreto-ley 19/2026, sobre determinados contratos de relevo del personal laboral de las Administraciones Públicas.</w:t>
      </w:r>
    </w:p>
    <w:p>
      <w:pPr>
        <w:spacing w:after="100"/>
        <w:ind w:left="340" w:right="227"/>
        <w:shd w:fill="EAF2F8"/>
      </w:pPr>
      <w:r>
        <w:rPr>
          <w:rFonts w:ascii="Arial" w:hAnsi="Arial" w:cs="Arial"/>
          <w:b/>
          <w:sz w:val="20"/>
        </w:rPr>
        <w:t>Esquema de decisión</w:t>
      </w:r>
    </w:p>
    <w:p>
      <w:pPr>
        <w:spacing w:after="100"/>
        <w:ind w:left="340" w:right="227"/>
        <w:shd w:fill="EAF2F8"/>
      </w:pPr>
    </w:p>
    <w:p>
      <w:pPr>
        <w:spacing w:after="100"/>
        <w:ind w:left="340" w:right="227"/>
        <w:shd w:fill="EAF2F8"/>
      </w:pPr>
      <w:r>
        <w:rPr>
          <w:rFonts w:ascii="Arial" w:hAnsi="Arial" w:cs="Arial"/>
          <w:sz w:val="20"/>
        </w:rPr>
        <w:t>1. Identificar fecha del hecho causante y régimen.</w:t>
      </w:r>
    </w:p>
    <w:p>
      <w:pPr>
        <w:spacing w:after="100"/>
        <w:ind w:left="340" w:right="227"/>
        <w:shd w:fill="EAF2F8"/>
      </w:pPr>
      <w:r>
        <w:rPr>
          <w:rFonts w:ascii="Arial" w:hAnsi="Arial" w:cs="Arial"/>
          <w:sz w:val="20"/>
        </w:rPr>
        <w:t>2. Comprobar alta o situación asimilada, edad y carencias.</w:t>
      </w:r>
    </w:p>
    <w:p>
      <w:pPr>
        <w:spacing w:after="100"/>
        <w:ind w:left="340" w:right="227"/>
        <w:shd w:fill="EAF2F8"/>
      </w:pPr>
      <w:r>
        <w:rPr>
          <w:rFonts w:ascii="Arial" w:hAnsi="Arial" w:cs="Arial"/>
          <w:sz w:val="20"/>
        </w:rPr>
        <w:t>3. Calcular la base reguladora por los métodos aplicables en 2026 y elegir el más favorable.</w:t>
      </w:r>
    </w:p>
    <w:p>
      <w:pPr>
        <w:spacing w:after="100"/>
        <w:ind w:left="340" w:right="227"/>
        <w:shd w:fill="EAF2F8"/>
      </w:pPr>
      <w:r>
        <w:rPr>
          <w:rFonts w:ascii="Arial" w:hAnsi="Arial" w:cs="Arial"/>
          <w:sz w:val="20"/>
        </w:rPr>
        <w:t>4. Aplicar el porcentaje por meses cotizados.</w:t>
      </w:r>
    </w:p>
    <w:p>
      <w:pPr>
        <w:spacing w:after="100"/>
        <w:ind w:left="340" w:right="227"/>
        <w:shd w:fill="EAF2F8"/>
      </w:pPr>
      <w:r>
        <w:rPr>
          <w:rFonts w:ascii="Arial" w:hAnsi="Arial" w:cs="Arial"/>
          <w:sz w:val="20"/>
        </w:rPr>
        <w:t>5. Añadir, si procede, complemento por demora o aplicar coeficientes reductores.</w:t>
      </w:r>
    </w:p>
    <w:p>
      <w:pPr>
        <w:spacing w:after="100"/>
        <w:ind w:left="340" w:right="227"/>
        <w:shd w:fill="EAF2F8"/>
      </w:pPr>
      <w:r>
        <w:rPr>
          <w:rFonts w:ascii="Arial" w:hAnsi="Arial" w:cs="Arial"/>
          <w:sz w:val="20"/>
        </w:rPr>
        <w:t>6. Verificar topes, complementos y compatibilidad con el trabajo.</w:t>
      </w:r>
    </w:p>
    <w:p>
      <w:pPr>
        <w:pStyle w:val="Heading1"/>
        <w:keepNext/>
      </w:pPr>
      <w:r>
        <w:rPr>
          <w:rFonts w:ascii="Arial" w:hAnsi="Arial" w:cs="Arial"/>
          <w:sz w:val="30"/>
        </w:rPr>
        <w:t>2. Hecho causante, alta y sujetos protegidos</w:t>
      </w:r>
    </w:p>
    <w:p>
      <w:pPr>
        <w:jc w:val="both"/>
      </w:pPr>
      <w:r>
        <w:rPr>
          <w:rFonts w:ascii="Arial" w:hAnsi="Arial" w:cs="Arial"/>
          <w:sz w:val="22"/>
        </w:rPr>
        <w:t>La determinación del hecho causante fija la legislación aplicable, la edad, las bases computables y los efectos económicos. Como regla general, si la persona está en alta y cesa en el trabajo, el hecho causante se vincula al día del cese. Cuando se accede desde una situación asimilada al alta o desde no alta, se aplican las reglas reglamentarias específicas. No debe confundirse el hecho causante con la fecha de presentación de la solicitud ni con la fecha del primer pago.</w:t>
      </w:r>
    </w:p>
    <w:p>
      <w:pPr>
        <w:jc w:val="both"/>
      </w:pPr>
      <w:r>
        <w:rPr>
          <w:rFonts w:ascii="Arial" w:hAnsi="Arial" w:cs="Arial"/>
          <w:sz w:val="22"/>
        </w:rPr>
        <w:t xml:space="preserve">El artículo 205 exige, además de los requisitos propios de edad y cotización, la condición general del artículo 165.1. Puede acceder quien esté incluido en el Régimen General y reúna los requisitos. También puede causarse la pensión durante la prolongación de efectos económicos de la incapacidad temporal. El artículo 205.3 permite reconocerla desde una situación de </w:t>
      </w:r>
      <w:r>
        <w:rPr>
          <w:rFonts w:ascii="Arial" w:hAnsi="Arial" w:cs="Arial"/>
          <w:b/>
          <w:sz w:val="22"/>
        </w:rPr>
        <w:t>no alta</w:t>
      </w:r>
      <w:r>
        <w:rPr>
          <w:rFonts w:ascii="Arial" w:hAnsi="Arial" w:cs="Arial"/>
          <w:sz w:val="22"/>
        </w:rPr>
        <w:t>, siempre que se cumplan edad y cotización; en tal caso no se anticipa la edad.</w:t>
      </w:r>
    </w:p>
    <w:p>
      <w:pPr>
        <w:jc w:val="both"/>
      </w:pPr>
      <w:r>
        <w:rPr>
          <w:rFonts w:ascii="Arial" w:hAnsi="Arial" w:cs="Arial"/>
          <w:sz w:val="22"/>
        </w:rPr>
        <w:t>Si una persona pretende causar pensión en dos o más regímenes y en alguno de ellos no estaba en alta, las cotizaciones acreditadas en cada régimen deben superponerse al menos durante quince años para causar pensión separada en los términos del artículo 205.3. Cuando no se generan pensiones independientes, las reglas de totalización permiten, en su caso, reunir períodos no superpuestos y determinar el régimen que reconoce la prestación. Los mismos días no se duplican como tiempo cotizado.</w:t>
      </w:r>
    </w:p>
    <w:p>
      <w:pPr>
        <w:jc w:val="both"/>
      </w:pPr>
      <w:r>
        <w:rPr>
          <w:rFonts w:ascii="Arial" w:hAnsi="Arial" w:cs="Arial"/>
          <w:sz w:val="22"/>
        </w:rPr>
        <w:t>Las situaciones asimiladas al alta relevantes incluyen, entre otras, el desempleo legal con inscripción, determinados convenios especiales, la excedencia forzosa y los supuestos expresamente previstos reglamentariamente. Estar asimilado no elimina la carencia específica: cuando la situación no lleva obligación de cotizar, los dos años de cotización exigidos deben localizarse dentro de los quince anteriores al cese de la obligación.</w:t>
      </w:r>
    </w:p>
    <w:p>
      <w:pPr>
        <w:pStyle w:val="Heading1"/>
        <w:keepNext/>
      </w:pPr>
      <w:r>
        <w:rPr>
          <w:rFonts w:ascii="Arial" w:hAnsi="Arial" w:cs="Arial"/>
          <w:sz w:val="30"/>
        </w:rPr>
        <w:t>3. Jubilación ordinaria: requisitos generales</w:t>
      </w:r>
    </w:p>
    <w:p>
      <w:pPr>
        <w:pStyle w:val="Heading2"/>
        <w:keepNext/>
      </w:pPr>
      <w:r>
        <w:rPr>
          <w:rFonts w:ascii="Arial" w:hAnsi="Arial" w:cs="Arial"/>
          <w:sz w:val="25"/>
        </w:rPr>
        <w:t>3.1. Edad ordinaria en 2026</w:t>
      </w:r>
    </w:p>
    <w:p>
      <w:pPr>
        <w:jc w:val="both"/>
      </w:pPr>
      <w:r>
        <w:rPr>
          <w:rFonts w:ascii="Arial" w:hAnsi="Arial" w:cs="Arial"/>
          <w:sz w:val="22"/>
        </w:rPr>
        <w:t>El artículo 205.1.a establece como régimen definitivo sesenta y siete años, o sesenta y cinco si se acreditan treinta y ocho años y seis meses. Sin embargo, la disposición transitoria séptima gradúa ambas referencias hasta 2027.</w:t>
      </w:r>
    </w:p>
    <w:tbl>
      <w:tblPr>
        <w:tblStyle w:val="TableGrid"/>
        <w:tblW w:type="dxa" w:w="9026"/>
        <w:jc w:val="left"/>
        <w:tblLayout w:type="fixed"/>
        <w:tblLook w:firstColumn="1" w:firstRow="1" w:lastColumn="0" w:lastRow="0" w:noHBand="0" w:noVBand="1" w:val="04A0"/>
        <w:tblInd w:w="120" w:type="dxa"/>
      </w:tblPr>
      <w:tblGrid>
        <w:gridCol w:w="2415"/>
        <w:gridCol w:w="4449"/>
        <w:gridCol w:w="2162"/>
      </w:tblGrid>
      <w:tr>
        <w:trPr>
          <w:tblHeader w:val="true"/>
        </w:trPr>
        <w:tc>
          <w:tcPr>
            <w:tcW w:type="dxa" w:w="241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Año del hecho causante</w:t>
            </w:r>
          </w:p>
        </w:tc>
        <w:tc>
          <w:tcPr>
            <w:tcW w:type="dxa" w:w="444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Cotización que permite jubilarse a los 65</w:t>
            </w:r>
          </w:p>
        </w:tc>
        <w:tc>
          <w:tcPr>
            <w:tcW w:type="dxa" w:w="216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Edad si no se alcanza</w:t>
            </w:r>
          </w:p>
        </w:tc>
      </w:tr>
      <w:tr>
        <w:tc>
          <w:tcPr>
            <w:tcW w:type="dxa" w:w="2415"/>
            <w:tcMar>
              <w:top w:w="80" w:type="dxa"/>
              <w:start w:w="120" w:type="dxa"/>
              <w:bottom w:w="80" w:type="dxa"/>
              <w:end w:w="120" w:type="dxa"/>
            </w:tcMar>
            <w:vAlign w:val="center"/>
          </w:tcPr>
          <w:p>
            <w:pPr>
              <w:spacing w:before="0" w:after="0" w:line="240" w:lineRule="auto"/>
              <w:jc w:val="left"/>
            </w:pPr>
            <w:r/>
            <w:r>
              <w:rPr>
                <w:rFonts w:ascii="Arial" w:hAnsi="Arial" w:cs="Arial"/>
                <w:sz w:val="18"/>
              </w:rPr>
              <w:t>2024</w:t>
            </w:r>
          </w:p>
        </w:tc>
        <w:tc>
          <w:tcPr>
            <w:tcW w:type="dxa" w:w="4449"/>
            <w:tcMar>
              <w:top w:w="80" w:type="dxa"/>
              <w:start w:w="120" w:type="dxa"/>
              <w:bottom w:w="80" w:type="dxa"/>
              <w:end w:w="120" w:type="dxa"/>
            </w:tcMar>
            <w:vAlign w:val="center"/>
          </w:tcPr>
          <w:p>
            <w:pPr>
              <w:spacing w:before="0" w:after="0" w:line="240" w:lineRule="auto"/>
              <w:jc w:val="center"/>
            </w:pPr>
            <w:r/>
            <w:r>
              <w:rPr>
                <w:rFonts w:ascii="Arial" w:hAnsi="Arial" w:cs="Arial"/>
                <w:sz w:val="18"/>
              </w:rPr>
              <w:t>38 años o más</w:t>
            </w:r>
          </w:p>
        </w:tc>
        <w:tc>
          <w:tcPr>
            <w:tcW w:type="dxa" w:w="2162"/>
            <w:tcMar>
              <w:top w:w="80" w:type="dxa"/>
              <w:start w:w="120" w:type="dxa"/>
              <w:bottom w:w="80" w:type="dxa"/>
              <w:end w:w="120" w:type="dxa"/>
            </w:tcMar>
            <w:vAlign w:val="center"/>
          </w:tcPr>
          <w:p>
            <w:pPr>
              <w:spacing w:before="0" w:after="0" w:line="240" w:lineRule="auto"/>
              <w:jc w:val="left"/>
            </w:pPr>
            <w:r/>
            <w:r>
              <w:rPr>
                <w:rFonts w:ascii="Arial" w:hAnsi="Arial" w:cs="Arial"/>
                <w:sz w:val="18"/>
              </w:rPr>
              <w:t>66 años y 6 meses</w:t>
            </w:r>
          </w:p>
        </w:tc>
      </w:tr>
      <w:tr>
        <w:tc>
          <w:tcPr>
            <w:tcW w:type="dxa" w:w="2415"/>
            <w:tcMar>
              <w:top w:w="80" w:type="dxa"/>
              <w:start w:w="120" w:type="dxa"/>
              <w:bottom w:w="80" w:type="dxa"/>
              <w:end w:w="120" w:type="dxa"/>
            </w:tcMar>
            <w:vAlign w:val="center"/>
          </w:tcPr>
          <w:p>
            <w:pPr>
              <w:spacing w:before="0" w:after="0" w:line="240" w:lineRule="auto"/>
              <w:jc w:val="left"/>
            </w:pPr>
            <w:r/>
            <w:r>
              <w:rPr>
                <w:rFonts w:ascii="Arial" w:hAnsi="Arial" w:cs="Arial"/>
                <w:sz w:val="18"/>
              </w:rPr>
              <w:t>2025</w:t>
            </w:r>
          </w:p>
        </w:tc>
        <w:tc>
          <w:tcPr>
            <w:tcW w:type="dxa" w:w="4449"/>
            <w:tcMar>
              <w:top w:w="80" w:type="dxa"/>
              <w:start w:w="120" w:type="dxa"/>
              <w:bottom w:w="80" w:type="dxa"/>
              <w:end w:w="120" w:type="dxa"/>
            </w:tcMar>
            <w:vAlign w:val="center"/>
          </w:tcPr>
          <w:p>
            <w:pPr>
              <w:spacing w:before="0" w:after="0" w:line="240" w:lineRule="auto"/>
              <w:jc w:val="left"/>
            </w:pPr>
            <w:r/>
            <w:r>
              <w:rPr>
                <w:rFonts w:ascii="Arial" w:hAnsi="Arial" w:cs="Arial"/>
                <w:sz w:val="18"/>
              </w:rPr>
              <w:t>38 años y 3 meses o más</w:t>
            </w:r>
          </w:p>
        </w:tc>
        <w:tc>
          <w:tcPr>
            <w:tcW w:type="dxa" w:w="2162"/>
            <w:tcMar>
              <w:top w:w="80" w:type="dxa"/>
              <w:start w:w="120" w:type="dxa"/>
              <w:bottom w:w="80" w:type="dxa"/>
              <w:end w:w="120" w:type="dxa"/>
            </w:tcMar>
            <w:vAlign w:val="center"/>
          </w:tcPr>
          <w:p>
            <w:pPr>
              <w:spacing w:before="0" w:after="0" w:line="240" w:lineRule="auto"/>
              <w:jc w:val="left"/>
            </w:pPr>
            <w:r/>
            <w:r>
              <w:rPr>
                <w:rFonts w:ascii="Arial" w:hAnsi="Arial" w:cs="Arial"/>
                <w:sz w:val="18"/>
              </w:rPr>
              <w:t>66 años y 8 meses</w:t>
            </w:r>
          </w:p>
        </w:tc>
      </w:tr>
      <w:tr>
        <w:tc>
          <w:tcPr>
            <w:tcW w:type="dxa" w:w="2415"/>
            <w:tcMar>
              <w:top w:w="80" w:type="dxa"/>
              <w:start w:w="120" w:type="dxa"/>
              <w:bottom w:w="80" w:type="dxa"/>
              <w:end w:w="120" w:type="dxa"/>
            </w:tcMar>
            <w:vAlign w:val="center"/>
          </w:tcPr>
          <w:p>
            <w:pPr>
              <w:spacing w:before="0" w:after="0" w:line="240" w:lineRule="auto"/>
              <w:jc w:val="left"/>
            </w:pPr>
            <w:r/>
            <w:r>
              <w:rPr>
                <w:rFonts w:ascii="Arial" w:hAnsi="Arial" w:cs="Arial"/>
                <w:b/>
                <w:sz w:val="18"/>
              </w:rPr>
              <w:t>2026</w:t>
            </w:r>
          </w:p>
        </w:tc>
        <w:tc>
          <w:tcPr>
            <w:tcW w:type="dxa" w:w="4449"/>
            <w:tcMar>
              <w:top w:w="80" w:type="dxa"/>
              <w:start w:w="120" w:type="dxa"/>
              <w:bottom w:w="80" w:type="dxa"/>
              <w:end w:w="120" w:type="dxa"/>
            </w:tcMar>
            <w:vAlign w:val="center"/>
          </w:tcPr>
          <w:p>
            <w:pPr>
              <w:spacing w:before="0" w:after="0" w:line="240" w:lineRule="auto"/>
              <w:jc w:val="left"/>
            </w:pPr>
            <w:r/>
            <w:r>
              <w:rPr>
                <w:rFonts w:ascii="Arial" w:hAnsi="Arial" w:cs="Arial"/>
                <w:b/>
                <w:sz w:val="18"/>
              </w:rPr>
              <w:t>38 años y 3 meses o más</w:t>
            </w:r>
          </w:p>
        </w:tc>
        <w:tc>
          <w:tcPr>
            <w:tcW w:type="dxa" w:w="2162"/>
            <w:tcMar>
              <w:top w:w="80" w:type="dxa"/>
              <w:start w:w="120" w:type="dxa"/>
              <w:bottom w:w="80" w:type="dxa"/>
              <w:end w:w="120" w:type="dxa"/>
            </w:tcMar>
            <w:vAlign w:val="center"/>
          </w:tcPr>
          <w:p>
            <w:pPr>
              <w:spacing w:before="0" w:after="0" w:line="240" w:lineRule="auto"/>
              <w:jc w:val="left"/>
            </w:pPr>
            <w:r/>
            <w:r>
              <w:rPr>
                <w:rFonts w:ascii="Arial" w:hAnsi="Arial" w:cs="Arial"/>
                <w:b/>
                <w:sz w:val="18"/>
              </w:rPr>
              <w:t>66 años y 10 meses</w:t>
            </w:r>
          </w:p>
        </w:tc>
      </w:tr>
      <w:tr>
        <w:tc>
          <w:tcPr>
            <w:tcW w:type="dxa" w:w="2415"/>
            <w:tcMar>
              <w:top w:w="80" w:type="dxa"/>
              <w:start w:w="120" w:type="dxa"/>
              <w:bottom w:w="80" w:type="dxa"/>
              <w:end w:w="120" w:type="dxa"/>
            </w:tcMar>
            <w:vAlign w:val="center"/>
          </w:tcPr>
          <w:p>
            <w:pPr>
              <w:spacing w:before="0" w:after="0" w:line="240" w:lineRule="auto"/>
              <w:jc w:val="left"/>
            </w:pPr>
            <w:r/>
            <w:r>
              <w:rPr>
                <w:rFonts w:ascii="Arial" w:hAnsi="Arial" w:cs="Arial"/>
                <w:sz w:val="18"/>
              </w:rPr>
              <w:t>Desde 2027</w:t>
            </w:r>
          </w:p>
        </w:tc>
        <w:tc>
          <w:tcPr>
            <w:tcW w:type="dxa" w:w="4449"/>
            <w:tcMar>
              <w:top w:w="80" w:type="dxa"/>
              <w:start w:w="120" w:type="dxa"/>
              <w:bottom w:w="80" w:type="dxa"/>
              <w:end w:w="120" w:type="dxa"/>
            </w:tcMar>
            <w:vAlign w:val="center"/>
          </w:tcPr>
          <w:p>
            <w:pPr>
              <w:spacing w:before="0" w:after="0" w:line="240" w:lineRule="auto"/>
              <w:jc w:val="left"/>
            </w:pPr>
            <w:r/>
            <w:r>
              <w:rPr>
                <w:rFonts w:ascii="Arial" w:hAnsi="Arial" w:cs="Arial"/>
                <w:sz w:val="18"/>
              </w:rPr>
              <w:t>38 años y 6 meses o más</w:t>
            </w:r>
          </w:p>
        </w:tc>
        <w:tc>
          <w:tcPr>
            <w:tcW w:type="dxa" w:w="2162"/>
            <w:tcMar>
              <w:top w:w="80" w:type="dxa"/>
              <w:start w:w="120" w:type="dxa"/>
              <w:bottom w:w="80" w:type="dxa"/>
              <w:end w:w="120" w:type="dxa"/>
            </w:tcMar>
            <w:vAlign w:val="center"/>
          </w:tcPr>
          <w:p>
            <w:pPr>
              <w:spacing w:before="0" w:after="0" w:line="240" w:lineRule="auto"/>
              <w:jc w:val="center"/>
            </w:pPr>
            <w:r/>
            <w:r>
              <w:rPr>
                <w:rFonts w:ascii="Arial" w:hAnsi="Arial" w:cs="Arial"/>
                <w:sz w:val="18"/>
              </w:rPr>
              <w:t>67 años</w:t>
            </w:r>
          </w:p>
        </w:tc>
      </w:tr>
    </w:tbl>
    <w:p>
      <w:pPr>
        <w:spacing w:after="40"/>
      </w:pPr>
    </w:p>
    <w:p>
      <w:pPr>
        <w:jc w:val="both"/>
      </w:pPr>
      <w:r>
        <w:rPr>
          <w:rFonts w:ascii="Arial" w:hAnsi="Arial" w:cs="Arial"/>
          <w:sz w:val="22"/>
        </w:rPr>
        <w:t>Para determinar el tramo se toman años y meses completos; las fracciones no se equiparan a un mes. Tampoco se computa la parte proporcional de pagas extraordinarias. La edad individual puede verse afectada por normas de anticipación por actividad, discapacidad, condición mutualista u otras especialidades, pero esos beneficios no se utilizan para acreditar la edad exigida por modalidades que expresamente los excluyen.</w:t>
      </w:r>
    </w:p>
    <w:p>
      <w:pPr>
        <w:jc w:val="both"/>
      </w:pPr>
      <w:r>
        <w:rPr>
          <w:rFonts w:ascii="Arial" w:hAnsi="Arial" w:cs="Arial"/>
          <w:sz w:val="22"/>
        </w:rPr>
        <w:t>La edad ordinaria no debe confundirse con la jubilación forzosa prevista en normas de empleo público ni con una edad pactada en convenio colectivo. La Seguridad Social determina cuándo puede causarse la pensión; la legislación laboral o funcionarial puede regular cuándo termina una relación de servicios.</w:t>
      </w:r>
    </w:p>
    <w:p>
      <w:pPr>
        <w:pStyle w:val="Heading2"/>
        <w:keepNext/>
      </w:pPr>
      <w:r>
        <w:rPr>
          <w:rFonts w:ascii="Arial" w:hAnsi="Arial" w:cs="Arial"/>
          <w:sz w:val="25"/>
        </w:rPr>
        <w:t>3.2. Carencia genérica y específica</w:t>
      </w:r>
    </w:p>
    <w:p>
      <w:pPr>
        <w:jc w:val="both"/>
      </w:pPr>
      <w:r>
        <w:rPr>
          <w:rFonts w:ascii="Arial" w:hAnsi="Arial" w:cs="Arial"/>
          <w:sz w:val="22"/>
        </w:rPr>
        <w:t>El artículo 205.1.b exige:</w:t>
      </w:r>
    </w:p>
    <w:p>
      <w:pPr>
        <w:spacing w:after="40"/>
        <w:ind w:left="369" w:hanging="227"/>
      </w:pPr>
      <w:r>
        <w:rPr>
          <w:rFonts w:ascii="Arial" w:hAnsi="Arial" w:cs="Arial"/>
          <w:sz w:val="22"/>
        </w:rPr>
        <w:t xml:space="preserve">1. </w:t>
      </w:r>
      <w:r>
        <w:rPr>
          <w:rFonts w:ascii="Arial" w:hAnsi="Arial" w:cs="Arial"/>
          <w:b/>
          <w:sz w:val="22"/>
        </w:rPr>
        <w:t>Carencia genérica:</w:t>
      </w:r>
      <w:r>
        <w:rPr>
          <w:rFonts w:ascii="Arial" w:hAnsi="Arial" w:cs="Arial"/>
          <w:sz w:val="22"/>
        </w:rPr>
        <w:t xml:space="preserve"> quince años de cotización efectiva.</w:t>
      </w:r>
    </w:p>
    <w:p>
      <w:pPr>
        <w:spacing w:after="40"/>
        <w:ind w:left="369" w:hanging="227"/>
      </w:pPr>
      <w:r>
        <w:rPr>
          <w:rFonts w:ascii="Arial" w:hAnsi="Arial" w:cs="Arial"/>
          <w:sz w:val="22"/>
        </w:rPr>
        <w:t xml:space="preserve">2. </w:t>
      </w:r>
      <w:r>
        <w:rPr>
          <w:rFonts w:ascii="Arial" w:hAnsi="Arial" w:cs="Arial"/>
          <w:b/>
          <w:sz w:val="22"/>
        </w:rPr>
        <w:t>Carencia específica:</w:t>
      </w:r>
      <w:r>
        <w:rPr>
          <w:rFonts w:ascii="Arial" w:hAnsi="Arial" w:cs="Arial"/>
          <w:sz w:val="22"/>
        </w:rPr>
        <w:t xml:space="preserve"> al menos dos años dentro de los quince inmediatamente anteriores al hecho causante.</w:t>
      </w:r>
    </w:p>
    <w:p>
      <w:pPr>
        <w:jc w:val="both"/>
      </w:pPr>
      <w:r>
        <w:rPr>
          <w:rFonts w:ascii="Arial" w:hAnsi="Arial" w:cs="Arial"/>
          <w:sz w:val="22"/>
        </w:rPr>
        <w:t>Si se accede desde alta o asimilada sin obligación de cotizar, los dos años deben estar comprendidos en los quince anteriores a la fecha en que cesó la obligación. Es la conocida doctrina del paréntesis legal. Para estos períodos no se incluye la parte proporcional de pagas extraordinarias.</w:t>
      </w:r>
    </w:p>
    <w:p>
      <w:pPr>
        <w:jc w:val="both"/>
      </w:pPr>
      <w:r>
        <w:rPr>
          <w:rFonts w:ascii="Arial" w:hAnsi="Arial" w:cs="Arial"/>
          <w:sz w:val="22"/>
        </w:rPr>
        <w:t>Los períodos asimilados por parto del artículo 235, los beneficios por cuidado de hijos del artículo 236 y las excedencias consideradas cotizadas del artículo 237 producen los efectos que cada precepto determina. No todos sirven para toda carencia: por ejemplo, el beneficio del artículo 236 se computa a todos los efectos salvo para completar el período mínimo exigido. El opositor debe comprobar siempre el alcance concreto de cada asimilación.</w:t>
      </w:r>
    </w:p>
    <w:p>
      <w:pPr>
        <w:pStyle w:val="Heading2"/>
        <w:keepNext/>
      </w:pPr>
      <w:r>
        <w:rPr>
          <w:rFonts w:ascii="Arial" w:hAnsi="Arial" w:cs="Arial"/>
          <w:sz w:val="25"/>
        </w:rPr>
        <w:t>3.3. Cese y solicitud</w:t>
      </w:r>
    </w:p>
    <w:p>
      <w:pPr>
        <w:jc w:val="both"/>
      </w:pPr>
      <w:r>
        <w:rPr>
          <w:rFonts w:ascii="Arial" w:hAnsi="Arial" w:cs="Arial"/>
          <w:sz w:val="22"/>
        </w:rPr>
        <w:t>En la jubilación ordinaria plena existe normalmente cese en el trabajo. La solicitud puede presentarse en los plazos administrativos previstos y el reconocimiento corresponde al Instituto Nacional de la Seguridad Social —INSS— o al Instituto Social de la Marina —ISM— para el Régimen del Mar. El derecho es imprescriptible, pero el artículo 212 limita los efectos de una solicitud tardía: en jubilación desde alta, el reconocimiento puede producir efectos como máximo desde los tres meses anteriores a la solicitud.</w:t>
      </w:r>
    </w:p>
    <w:p>
      <w:pPr>
        <w:jc w:val="both"/>
      </w:pPr>
      <w:r>
        <w:rPr>
          <w:rFonts w:ascii="Arial" w:hAnsi="Arial" w:cs="Arial"/>
          <w:sz w:val="22"/>
        </w:rPr>
        <w:t>No es correcto afirmar que toda pensión nace automáticamente al cumplir la edad. Hace falta instar el reconocimiento, acreditar los requisitos y fijar el hecho causante. Tampoco se presume el cese cuando continúa una actividad incompatible.</w:t>
      </w:r>
    </w:p>
    <w:p>
      <w:pPr>
        <w:pStyle w:val="Heading1"/>
        <w:keepNext/>
      </w:pPr>
      <w:r>
        <w:rPr>
          <w:rFonts w:ascii="Arial" w:hAnsi="Arial" w:cs="Arial"/>
          <w:sz w:val="30"/>
        </w:rPr>
        <w:t>4. Determinación de la cuantía: estructura general</w:t>
      </w:r>
    </w:p>
    <w:p>
      <w:pPr>
        <w:jc w:val="both"/>
      </w:pPr>
      <w:r>
        <w:rPr>
          <w:rFonts w:ascii="Arial" w:hAnsi="Arial" w:cs="Arial"/>
          <w:sz w:val="22"/>
        </w:rPr>
        <w:t>La cuantía inicial se obtiene mediante una secuencia:</w:t>
      </w:r>
    </w:p>
    <w:p>
      <w:pPr>
        <w:spacing w:after="100"/>
        <w:ind w:left="340" w:right="227"/>
        <w:shd w:fill="EAF2F8"/>
      </w:pPr>
      <w:r>
        <w:rPr>
          <w:rFonts w:ascii="Arial" w:hAnsi="Arial" w:cs="Arial"/>
          <w:b/>
          <w:sz w:val="20"/>
        </w:rPr>
        <w:t>Pensión inicial = base reguladora × porcentaje por cotización − reducciones por anticipación + complemento por demora, cuando proceda</w:t>
      </w:r>
      <w:r>
        <w:rPr>
          <w:rFonts w:ascii="Arial" w:hAnsi="Arial" w:cs="Arial"/>
          <w:sz w:val="20"/>
        </w:rPr>
        <w:t>, sometida después a límites máximos, mínimos y reglas de concurrencia.</w:t>
      </w:r>
    </w:p>
    <w:p>
      <w:pPr>
        <w:jc w:val="both"/>
      </w:pPr>
      <w:r>
        <w:rPr>
          <w:rFonts w:ascii="Arial" w:hAnsi="Arial" w:cs="Arial"/>
          <w:sz w:val="22"/>
        </w:rPr>
        <w:t>La base reguladora refleja las bases históricas seleccionadas y actualizadas. El porcentaje premia la duración de la carrera. Los coeficientes reductores corrigen el acceso anticipado por cada mes o fracción de mes. El complemento por demora retribuye el acceso posterior a la edad ordinaria. Son operaciones distintas y deben aplicarse en el orden legal.</w:t>
      </w:r>
    </w:p>
    <w:p>
      <w:pPr>
        <w:pStyle w:val="Heading2"/>
        <w:keepNext/>
      </w:pPr>
      <w:r>
        <w:rPr>
          <w:rFonts w:ascii="Arial" w:hAnsi="Arial" w:cs="Arial"/>
          <w:sz w:val="25"/>
        </w:rPr>
        <w:t>4.1. Base reguladora: regla permanente del artículo 209</w:t>
      </w:r>
    </w:p>
    <w:p>
      <w:pPr>
        <w:jc w:val="both"/>
      </w:pPr>
      <w:r>
        <w:rPr>
          <w:rFonts w:ascii="Arial" w:hAnsi="Arial" w:cs="Arial"/>
          <w:sz w:val="22"/>
        </w:rPr>
        <w:t>Desde la redacción vigente el 1 de enero de 2026, el artículo 209.1 formula una regla permanente: seleccionar los 348 meses consecutivos inmediatamente anteriores al mes previo al hecho causante, calcular sus bases, escoger de oficio las 324 de mayor importe y dividir su suma entre 378. Las veinticuatro bases descartadas toman valor cero en la fórmula.</w:t>
      </w:r>
    </w:p>
    <w:p>
      <w:pPr>
        <w:jc w:val="both"/>
      </w:pPr>
      <w:r>
        <w:rPr>
          <w:rFonts w:ascii="Arial" w:hAnsi="Arial" w:cs="Arial"/>
          <w:sz w:val="22"/>
        </w:rPr>
        <w:t>Las veinticuatro bases inmediatamente anteriores al mes previo al hecho causante se computan por su valor nominal. Las restantes se actualizan según la evolución del índice de precios de consumo desde el mes al que correspondan hasta el mes inmediatamente anterior al inicio del período no actualizable.</w:t>
      </w:r>
    </w:p>
    <w:p>
      <w:pPr>
        <w:jc w:val="both"/>
      </w:pPr>
      <w:r>
        <w:rPr>
          <w:rFonts w:ascii="Arial" w:hAnsi="Arial" w:cs="Arial"/>
          <w:sz w:val="22"/>
        </w:rPr>
        <w:t>En el Régimen General, si hay meses sin obligación de cotizar, opera la integración de lagunas en los términos del artículo 209: las primeras cuarenta y ocho mensualidades se integran con la base mínima aplicable y las restantes, con el cincuenta por ciento de esa base, sin perjuicio de mejoras transitorias o reglas especiales legalmente previstas. Si solo faltó cotización durante parte del mes, la integración cubre esa parte hasta el límite que corresponda. No se trasladan automáticamente estas reglas al RETA, donde la ausencia de cotización responde a un régimen distinto.</w:t>
      </w:r>
    </w:p>
    <w:p>
      <w:pPr>
        <w:jc w:val="both"/>
      </w:pPr>
      <w:r>
        <w:rPr>
          <w:rFonts w:ascii="Arial" w:hAnsi="Arial" w:cs="Arial"/>
          <w:sz w:val="22"/>
        </w:rPr>
        <w:t>En pluriempleo se suman las bases de las distintas empresas, sin superar el máximo vigente en cada momento. Los incrementos salariales anómalos de los dos últimos años, superiores a la evolución ordinaria del convenio o sector, no se computan cuando responden a una elevación artificial próxima a la jubilación, salvo los incrementos legales, convencionales o reglamentarios exceptuados.</w:t>
      </w:r>
    </w:p>
    <w:p>
      <w:pPr>
        <w:pStyle w:val="Heading2"/>
        <w:keepNext/>
      </w:pPr>
      <w:r>
        <w:rPr>
          <w:rFonts w:ascii="Arial" w:hAnsi="Arial" w:cs="Arial"/>
          <w:sz w:val="25"/>
        </w:rPr>
        <w:t>4.2. Doble cálculo aplicable en 2026</w:t>
      </w:r>
    </w:p>
    <w:p>
      <w:pPr>
        <w:jc w:val="both"/>
      </w:pPr>
      <w:r>
        <w:rPr>
          <w:rFonts w:ascii="Arial" w:hAnsi="Arial" w:cs="Arial"/>
          <w:sz w:val="22"/>
        </w:rPr>
        <w:t>La regla permanente no se aplica de golpe. La disposición transitoria cuadragésima establece para hechos causantes desde el 1 de enero de 2026:</w:t>
      </w:r>
    </w:p>
    <w:p>
      <w:pPr>
        <w:pStyle w:val="ListBullet"/>
      </w:pPr>
      <w:r>
        <w:rPr>
          <w:rFonts w:ascii="Arial" w:hAnsi="Arial" w:cs="Arial"/>
          <w:sz w:val="22"/>
        </w:rPr>
        <w:t xml:space="preserve">se examinan los </w:t>
      </w:r>
      <w:r>
        <w:rPr>
          <w:rFonts w:ascii="Arial" w:hAnsi="Arial" w:cs="Arial"/>
          <w:b/>
          <w:sz w:val="22"/>
        </w:rPr>
        <w:t>304 meses</w:t>
      </w:r>
      <w:r>
        <w:rPr>
          <w:rFonts w:ascii="Arial" w:hAnsi="Arial" w:cs="Arial"/>
          <w:sz w:val="22"/>
        </w:rPr>
        <w:t xml:space="preserve"> inmediatamente anteriores al mes previo al hecho causante;</w:t>
      </w:r>
    </w:p>
    <w:p>
      <w:pPr>
        <w:pStyle w:val="ListBullet"/>
      </w:pPr>
      <w:r>
        <w:rPr>
          <w:rFonts w:ascii="Arial" w:hAnsi="Arial" w:cs="Arial"/>
          <w:sz w:val="22"/>
        </w:rPr>
        <w:t xml:space="preserve">se eligen las </w:t>
      </w:r>
      <w:r>
        <w:rPr>
          <w:rFonts w:ascii="Arial" w:hAnsi="Arial" w:cs="Arial"/>
          <w:b/>
          <w:sz w:val="22"/>
        </w:rPr>
        <w:t>302 bases de mayor importe</w:t>
      </w:r>
      <w:r>
        <w:rPr>
          <w:rFonts w:ascii="Arial" w:hAnsi="Arial" w:cs="Arial"/>
          <w:sz w:val="22"/>
        </w:rPr>
        <w:t>;</w:t>
      </w:r>
    </w:p>
    <w:p>
      <w:pPr>
        <w:pStyle w:val="ListBullet"/>
      </w:pPr>
      <w:r>
        <w:rPr>
          <w:rFonts w:ascii="Arial" w:hAnsi="Arial" w:cs="Arial"/>
          <w:sz w:val="22"/>
        </w:rPr>
        <w:t xml:space="preserve">su suma se divide entre </w:t>
      </w:r>
      <w:r>
        <w:rPr>
          <w:rFonts w:ascii="Arial" w:hAnsi="Arial" w:cs="Arial"/>
          <w:b/>
          <w:sz w:val="22"/>
        </w:rPr>
        <w:t>352,33</w:t>
      </w:r>
      <w:r>
        <w:rPr>
          <w:rFonts w:ascii="Arial" w:hAnsi="Arial" w:cs="Arial"/>
          <w:sz w:val="22"/>
        </w:rPr>
        <w:t>.</w:t>
      </w:r>
    </w:p>
    <w:p>
      <w:pPr>
        <w:jc w:val="both"/>
      </w:pPr>
      <w:r>
        <w:rPr>
          <w:rFonts w:ascii="Arial" w:hAnsi="Arial" w:cs="Arial"/>
          <w:sz w:val="22"/>
        </w:rPr>
        <w:t xml:space="preserve">Al mismo tiempo, la disposición transitoria cuarta.7 obliga a comparar este resultado con el que habría producido el artículo 209.1 en su redacción vigente el 1 de enero de 2023: suma de las bases de los últimos </w:t>
      </w:r>
      <w:r>
        <w:rPr>
          <w:rFonts w:ascii="Arial" w:hAnsi="Arial" w:cs="Arial"/>
          <w:b/>
          <w:sz w:val="22"/>
        </w:rPr>
        <w:t>300 meses</w:t>
      </w:r>
      <w:r>
        <w:rPr>
          <w:rFonts w:ascii="Arial" w:hAnsi="Arial" w:cs="Arial"/>
          <w:sz w:val="22"/>
        </w:rPr>
        <w:t xml:space="preserve">, dividida entre </w:t>
      </w:r>
      <w:r>
        <w:rPr>
          <w:rFonts w:ascii="Arial" w:hAnsi="Arial" w:cs="Arial"/>
          <w:b/>
          <w:sz w:val="22"/>
        </w:rPr>
        <w:t>350</w:t>
      </w:r>
      <w:r>
        <w:rPr>
          <w:rFonts w:ascii="Arial" w:hAnsi="Arial" w:cs="Arial"/>
          <w:sz w:val="22"/>
        </w:rPr>
        <w:t>, con sus reglas de actualización e integración. El INSS aplica de oficio el cálculo más favorable. Por tanto, en 2026 no es exacto responder simplemente «últimos veinticinco años» ni «las mejores bases de veinticinco años y cuatro meses»: hay una comparación entre ambos métodos.</w:t>
      </w:r>
    </w:p>
    <w:tbl>
      <w:tblPr>
        <w:tblStyle w:val="TableGrid"/>
        <w:tblW w:type="dxa" w:w="9026"/>
        <w:jc w:val="left"/>
        <w:tblLayout w:type="fixed"/>
        <w:tblLook w:firstColumn="1" w:firstRow="1" w:lastColumn="0" w:lastRow="0" w:noHBand="0" w:noVBand="1" w:val="04A0"/>
        <w:tblInd w:w="120" w:type="dxa"/>
      </w:tblPr>
      <w:tblGrid>
        <w:gridCol w:w="2637"/>
        <w:gridCol w:w="1623"/>
        <w:gridCol w:w="1521"/>
        <w:gridCol w:w="900"/>
        <w:gridCol w:w="2345"/>
      </w:tblGrid>
      <w:tr>
        <w:trPr>
          <w:tblHeader w:val="true"/>
        </w:trPr>
        <w:tc>
          <w:tcPr>
            <w:tcW w:type="dxa" w:w="263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Método en 2026</w:t>
            </w:r>
          </w:p>
        </w:tc>
        <w:tc>
          <w:tcPr>
            <w:tcW w:type="dxa" w:w="162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Ventana examinada</w:t>
            </w:r>
          </w:p>
        </w:tc>
        <w:tc>
          <w:tcPr>
            <w:tcW w:type="dxa" w:w="152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Bases que cuentan</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Divisor</w:t>
            </w:r>
          </w:p>
        </w:tc>
        <w:tc>
          <w:tcPr>
            <w:tcW w:type="dxa" w:w="234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Regla de elección</w:t>
            </w:r>
          </w:p>
        </w:tc>
      </w:tr>
      <w:tr>
        <w:tc>
          <w:tcPr>
            <w:tcW w:type="dxa" w:w="2637"/>
            <w:tcMar>
              <w:top w:w="80" w:type="dxa"/>
              <w:start w:w="120" w:type="dxa"/>
              <w:bottom w:w="80" w:type="dxa"/>
              <w:end w:w="120" w:type="dxa"/>
            </w:tcMar>
            <w:vAlign w:val="center"/>
          </w:tcPr>
          <w:p>
            <w:pPr>
              <w:spacing w:before="0" w:after="0" w:line="240" w:lineRule="auto"/>
              <w:jc w:val="left"/>
            </w:pPr>
            <w:r/>
            <w:r>
              <w:rPr>
                <w:rFonts w:ascii="Arial" w:hAnsi="Arial" w:cs="Arial"/>
                <w:sz w:val="18"/>
              </w:rPr>
              <w:t>Legislación a 1-1-2023</w:t>
            </w:r>
          </w:p>
        </w:tc>
        <w:tc>
          <w:tcPr>
            <w:tcW w:type="dxa" w:w="1623"/>
            <w:tcMar>
              <w:top w:w="80" w:type="dxa"/>
              <w:start w:w="120" w:type="dxa"/>
              <w:bottom w:w="80" w:type="dxa"/>
              <w:end w:w="120" w:type="dxa"/>
            </w:tcMar>
            <w:vAlign w:val="center"/>
          </w:tcPr>
          <w:p>
            <w:pPr>
              <w:spacing w:before="0" w:after="0" w:line="240" w:lineRule="auto"/>
              <w:jc w:val="center"/>
            </w:pPr>
            <w:r/>
            <w:r>
              <w:rPr>
                <w:rFonts w:ascii="Arial" w:hAnsi="Arial" w:cs="Arial"/>
                <w:sz w:val="18"/>
              </w:rPr>
              <w:t>300 meses</w:t>
            </w:r>
          </w:p>
        </w:tc>
        <w:tc>
          <w:tcPr>
            <w:tcW w:type="dxa" w:w="1521"/>
            <w:tcMar>
              <w:top w:w="80" w:type="dxa"/>
              <w:start w:w="120" w:type="dxa"/>
              <w:bottom w:w="80" w:type="dxa"/>
              <w:end w:w="120" w:type="dxa"/>
            </w:tcMar>
            <w:vAlign w:val="center"/>
          </w:tcPr>
          <w:p>
            <w:pPr>
              <w:spacing w:before="0" w:after="0" w:line="240" w:lineRule="auto"/>
              <w:jc w:val="center"/>
            </w:pPr>
            <w:r/>
            <w:r>
              <w:rPr>
                <w:rFonts w:ascii="Arial" w:hAnsi="Arial" w:cs="Arial"/>
                <w:sz w:val="18"/>
              </w:rPr>
              <w:t>300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350</w:t>
            </w:r>
          </w:p>
        </w:tc>
        <w:tc>
          <w:tcPr>
            <w:tcW w:type="dxa" w:w="2345"/>
            <w:tcMar>
              <w:top w:w="80" w:type="dxa"/>
              <w:start w:w="120" w:type="dxa"/>
              <w:bottom w:w="80" w:type="dxa"/>
              <w:end w:w="120" w:type="dxa"/>
            </w:tcMar>
            <w:vAlign w:val="center"/>
          </w:tcPr>
          <w:p>
            <w:pPr>
              <w:spacing w:before="0" w:after="0" w:line="240" w:lineRule="auto"/>
              <w:jc w:val="left"/>
            </w:pPr>
            <w:r/>
            <w:r>
              <w:rPr>
                <w:rFonts w:ascii="Arial" w:hAnsi="Arial" w:cs="Arial"/>
                <w:sz w:val="18"/>
              </w:rPr>
              <w:t>Se aplica si es más favorable</w:t>
            </w:r>
          </w:p>
        </w:tc>
      </w:tr>
      <w:tr>
        <w:tc>
          <w:tcPr>
            <w:tcW w:type="dxa" w:w="2637"/>
            <w:tcMar>
              <w:top w:w="80" w:type="dxa"/>
              <w:start w:w="120" w:type="dxa"/>
              <w:bottom w:w="80" w:type="dxa"/>
              <w:end w:w="120" w:type="dxa"/>
            </w:tcMar>
            <w:vAlign w:val="center"/>
          </w:tcPr>
          <w:p>
            <w:pPr>
              <w:spacing w:before="0" w:after="0" w:line="240" w:lineRule="auto"/>
              <w:jc w:val="left"/>
            </w:pPr>
            <w:r/>
            <w:r>
              <w:rPr>
                <w:rFonts w:ascii="Arial" w:hAnsi="Arial" w:cs="Arial"/>
                <w:sz w:val="18"/>
              </w:rPr>
              <w:t>Transición de la nueva fórmula</w:t>
            </w:r>
          </w:p>
        </w:tc>
        <w:tc>
          <w:tcPr>
            <w:tcW w:type="dxa" w:w="1623"/>
            <w:tcMar>
              <w:top w:w="80" w:type="dxa"/>
              <w:start w:w="120" w:type="dxa"/>
              <w:bottom w:w="80" w:type="dxa"/>
              <w:end w:w="120" w:type="dxa"/>
            </w:tcMar>
            <w:vAlign w:val="center"/>
          </w:tcPr>
          <w:p>
            <w:pPr>
              <w:spacing w:before="0" w:after="0" w:line="240" w:lineRule="auto"/>
              <w:jc w:val="center"/>
            </w:pPr>
            <w:r/>
            <w:r>
              <w:rPr>
                <w:rFonts w:ascii="Arial" w:hAnsi="Arial" w:cs="Arial"/>
                <w:sz w:val="18"/>
              </w:rPr>
              <w:t>304 meses</w:t>
            </w:r>
          </w:p>
        </w:tc>
        <w:tc>
          <w:tcPr>
            <w:tcW w:type="dxa" w:w="1521"/>
            <w:tcMar>
              <w:top w:w="80" w:type="dxa"/>
              <w:start w:w="120" w:type="dxa"/>
              <w:bottom w:w="80" w:type="dxa"/>
              <w:end w:w="120" w:type="dxa"/>
            </w:tcMar>
            <w:vAlign w:val="center"/>
          </w:tcPr>
          <w:p>
            <w:pPr>
              <w:spacing w:before="0" w:after="0" w:line="240" w:lineRule="auto"/>
              <w:jc w:val="center"/>
            </w:pPr>
            <w:r/>
            <w:r>
              <w:rPr>
                <w:rFonts w:ascii="Arial" w:hAnsi="Arial" w:cs="Arial"/>
                <w:sz w:val="18"/>
              </w:rPr>
              <w:t>302 mejores</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352,33</w:t>
            </w:r>
          </w:p>
        </w:tc>
        <w:tc>
          <w:tcPr>
            <w:tcW w:type="dxa" w:w="2345"/>
            <w:tcMar>
              <w:top w:w="80" w:type="dxa"/>
              <w:start w:w="120" w:type="dxa"/>
              <w:bottom w:w="80" w:type="dxa"/>
              <w:end w:w="120" w:type="dxa"/>
            </w:tcMar>
            <w:vAlign w:val="center"/>
          </w:tcPr>
          <w:p>
            <w:pPr>
              <w:spacing w:before="0" w:after="0" w:line="240" w:lineRule="auto"/>
              <w:jc w:val="left"/>
            </w:pPr>
            <w:r/>
            <w:r>
              <w:rPr>
                <w:rFonts w:ascii="Arial" w:hAnsi="Arial" w:cs="Arial"/>
                <w:sz w:val="18"/>
              </w:rPr>
              <w:t>Se aplica si es más favorable</w:t>
            </w:r>
          </w:p>
        </w:tc>
      </w:tr>
    </w:tbl>
    <w:p>
      <w:pPr>
        <w:spacing w:after="40"/>
      </w:pPr>
    </w:p>
    <w:p>
      <w:pPr>
        <w:jc w:val="both"/>
      </w:pPr>
      <w:r>
        <w:rPr>
          <w:rFonts w:ascii="Arial" w:hAnsi="Arial" w:cs="Arial"/>
          <w:b/>
          <w:sz w:val="22"/>
        </w:rPr>
        <w:t>Ejemplo conceptual.</w:t>
      </w:r>
      <w:r>
        <w:rPr>
          <w:rFonts w:ascii="Arial" w:hAnsi="Arial" w:cs="Arial"/>
          <w:sz w:val="22"/>
        </w:rPr>
        <w:t xml:space="preserve"> Una persona tiene dos meses de bases muy bajas dentro de los 304 examinados. La fórmula nueva permite descartarlas, pero amplía cuatro meses la ventana y utiliza un divisor específico. Se calcula el resultado completo y se compara con el método de 300/350; no cabe que el interesado mezcle las mejores partes de cada sistema.</w:t>
      </w:r>
    </w:p>
    <w:p>
      <w:pPr>
        <w:pStyle w:val="Heading2"/>
        <w:keepNext/>
      </w:pPr>
      <w:r>
        <w:rPr>
          <w:rFonts w:ascii="Arial" w:hAnsi="Arial" w:cs="Arial"/>
          <w:sz w:val="25"/>
        </w:rPr>
        <w:t>4.3. Porcentaje por meses cotizados en 2026</w:t>
      </w:r>
    </w:p>
    <w:p>
      <w:pPr>
        <w:jc w:val="both"/>
      </w:pPr>
      <w:r>
        <w:rPr>
          <w:rFonts w:ascii="Arial" w:hAnsi="Arial" w:cs="Arial"/>
          <w:sz w:val="22"/>
        </w:rPr>
        <w:t>El artículo 210.1 parte del cincuenta por ciento por los primeros quince años. La disposición transitoria novena sustituye temporalmente los porcentajes permanentes. Para hechos causantes entre 2023 y 2026 se añade:</w:t>
      </w:r>
    </w:p>
    <w:p>
      <w:pPr>
        <w:pStyle w:val="ListBullet"/>
      </w:pPr>
      <w:r>
        <w:rPr>
          <w:rFonts w:ascii="Arial" w:hAnsi="Arial" w:cs="Arial"/>
          <w:sz w:val="22"/>
        </w:rPr>
        <w:t xml:space="preserve">un </w:t>
      </w:r>
      <w:r>
        <w:rPr>
          <w:rFonts w:ascii="Arial" w:hAnsi="Arial" w:cs="Arial"/>
          <w:b/>
          <w:sz w:val="22"/>
        </w:rPr>
        <w:t>0,21 %</w:t>
      </w:r>
      <w:r>
        <w:rPr>
          <w:rFonts w:ascii="Arial" w:hAnsi="Arial" w:cs="Arial"/>
          <w:sz w:val="22"/>
        </w:rPr>
        <w:t xml:space="preserve"> por cada uno de los primeros cuarenta y nueve meses posteriores a los quince años;</w:t>
      </w:r>
    </w:p>
    <w:p>
      <w:pPr>
        <w:pStyle w:val="ListBullet"/>
      </w:pPr>
      <w:r>
        <w:rPr>
          <w:rFonts w:ascii="Arial" w:hAnsi="Arial" w:cs="Arial"/>
          <w:sz w:val="22"/>
        </w:rPr>
        <w:t xml:space="preserve">un </w:t>
      </w:r>
      <w:r>
        <w:rPr>
          <w:rFonts w:ascii="Arial" w:hAnsi="Arial" w:cs="Arial"/>
          <w:b/>
          <w:sz w:val="22"/>
        </w:rPr>
        <w:t>0,19 %</w:t>
      </w:r>
      <w:r>
        <w:rPr>
          <w:rFonts w:ascii="Arial" w:hAnsi="Arial" w:cs="Arial"/>
          <w:sz w:val="22"/>
        </w:rPr>
        <w:t xml:space="preserve"> por cada uno de los doscientos nueve meses siguientes.</w:t>
      </w:r>
    </w:p>
    <w:p>
      <w:pPr>
        <w:jc w:val="both"/>
      </w:pPr>
      <w:r>
        <w:rPr>
          <w:rFonts w:ascii="Arial" w:hAnsi="Arial" w:cs="Arial"/>
          <w:sz w:val="22"/>
        </w:rPr>
        <w:t xml:space="preserve">Con doscientos cincuenta y ocho meses adicionales —veintiún años y seis meses— se llega al cien por cien. Por ello, en 2026 se alcanza el 100 % con </w:t>
      </w:r>
      <w:r>
        <w:rPr>
          <w:rFonts w:ascii="Arial" w:hAnsi="Arial" w:cs="Arial"/>
          <w:b/>
          <w:sz w:val="22"/>
        </w:rPr>
        <w:t>treinta y seis años y seis meses</w:t>
      </w:r>
      <w:r>
        <w:rPr>
          <w:rFonts w:ascii="Arial" w:hAnsi="Arial" w:cs="Arial"/>
          <w:sz w:val="22"/>
        </w:rPr>
        <w:t xml:space="preserve"> cotizados. Desde 2027 cambia la escala: 0,19 % durante 248 meses y 0,18 % durante los 16 siguientes.</w:t>
      </w:r>
    </w:p>
    <w:tbl>
      <w:tblPr>
        <w:tblStyle w:val="TableGrid"/>
        <w:tblW w:type="dxa" w:w="9026"/>
        <w:jc w:val="left"/>
        <w:tblLayout w:type="fixed"/>
        <w:tblLook w:firstColumn="1" w:firstRow="1" w:lastColumn="0" w:lastRow="0" w:noHBand="0" w:noVBand="1" w:val="04A0"/>
        <w:tblInd w:w="120" w:type="dxa"/>
      </w:tblPr>
      <w:tblGrid>
        <w:gridCol w:w="4993"/>
        <w:gridCol w:w="4033"/>
      </w:tblGrid>
      <w:tr>
        <w:trPr>
          <w:tblHeader w:val="true"/>
        </w:trPr>
        <w:tc>
          <w:tcPr>
            <w:tcW w:type="dxa" w:w="499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Cotización acreditada en 2026</w:t>
            </w:r>
          </w:p>
        </w:tc>
        <w:tc>
          <w:tcPr>
            <w:tcW w:type="dxa" w:w="403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Porcentaje orientativo</w:t>
            </w:r>
          </w:p>
        </w:tc>
      </w:tr>
      <w:tr>
        <w:tc>
          <w:tcPr>
            <w:tcW w:type="dxa" w:w="4993"/>
            <w:tcMar>
              <w:top w:w="80" w:type="dxa"/>
              <w:start w:w="120" w:type="dxa"/>
              <w:bottom w:w="80" w:type="dxa"/>
              <w:end w:w="120" w:type="dxa"/>
            </w:tcMar>
            <w:vAlign w:val="center"/>
          </w:tcPr>
          <w:p>
            <w:pPr>
              <w:spacing w:before="0" w:after="0" w:line="240" w:lineRule="auto"/>
              <w:jc w:val="left"/>
            </w:pPr>
            <w:r/>
            <w:r>
              <w:rPr>
                <w:rFonts w:ascii="Arial" w:hAnsi="Arial" w:cs="Arial"/>
                <w:sz w:val="18"/>
              </w:rPr>
              <w:t>15 años</w:t>
            </w:r>
          </w:p>
        </w:tc>
        <w:tc>
          <w:tcPr>
            <w:tcW w:type="dxa" w:w="4033"/>
            <w:tcMar>
              <w:top w:w="80" w:type="dxa"/>
              <w:start w:w="120" w:type="dxa"/>
              <w:bottom w:w="80" w:type="dxa"/>
              <w:end w:w="120" w:type="dxa"/>
            </w:tcMar>
            <w:vAlign w:val="center"/>
          </w:tcPr>
          <w:p>
            <w:pPr>
              <w:spacing w:before="0" w:after="0" w:line="240" w:lineRule="auto"/>
              <w:jc w:val="center"/>
            </w:pPr>
            <w:r/>
            <w:r>
              <w:rPr>
                <w:rFonts w:ascii="Arial" w:hAnsi="Arial" w:cs="Arial"/>
                <w:sz w:val="18"/>
              </w:rPr>
              <w:t>50 %</w:t>
            </w:r>
          </w:p>
        </w:tc>
      </w:tr>
      <w:tr>
        <w:tc>
          <w:tcPr>
            <w:tcW w:type="dxa" w:w="4993"/>
            <w:tcMar>
              <w:top w:w="80" w:type="dxa"/>
              <w:start w:w="120" w:type="dxa"/>
              <w:bottom w:w="80" w:type="dxa"/>
              <w:end w:w="120" w:type="dxa"/>
            </w:tcMar>
            <w:vAlign w:val="center"/>
          </w:tcPr>
          <w:p>
            <w:pPr>
              <w:spacing w:before="0" w:after="0" w:line="240" w:lineRule="auto"/>
              <w:jc w:val="left"/>
            </w:pPr>
            <w:r/>
            <w:r>
              <w:rPr>
                <w:rFonts w:ascii="Arial" w:hAnsi="Arial" w:cs="Arial"/>
                <w:sz w:val="18"/>
              </w:rPr>
              <w:t>15 años + 49 meses</w:t>
            </w:r>
          </w:p>
        </w:tc>
        <w:tc>
          <w:tcPr>
            <w:tcW w:type="dxa" w:w="4033"/>
            <w:tcMar>
              <w:top w:w="80" w:type="dxa"/>
              <w:start w:w="120" w:type="dxa"/>
              <w:bottom w:w="80" w:type="dxa"/>
              <w:end w:w="120" w:type="dxa"/>
            </w:tcMar>
            <w:vAlign w:val="center"/>
          </w:tcPr>
          <w:p>
            <w:pPr>
              <w:spacing w:before="0" w:after="0" w:line="240" w:lineRule="auto"/>
              <w:jc w:val="center"/>
            </w:pPr>
            <w:r/>
            <w:r>
              <w:rPr>
                <w:rFonts w:ascii="Arial" w:hAnsi="Arial" w:cs="Arial"/>
                <w:sz w:val="18"/>
              </w:rPr>
              <w:t>60,29 %</w:t>
            </w:r>
          </w:p>
        </w:tc>
      </w:tr>
      <w:tr>
        <w:tc>
          <w:tcPr>
            <w:tcW w:type="dxa" w:w="4993"/>
            <w:tcMar>
              <w:top w:w="80" w:type="dxa"/>
              <w:start w:w="120" w:type="dxa"/>
              <w:bottom w:w="80" w:type="dxa"/>
              <w:end w:w="120" w:type="dxa"/>
            </w:tcMar>
            <w:vAlign w:val="center"/>
          </w:tcPr>
          <w:p>
            <w:pPr>
              <w:spacing w:before="0" w:after="0" w:line="240" w:lineRule="auto"/>
              <w:jc w:val="left"/>
            </w:pPr>
            <w:r/>
            <w:r>
              <w:rPr>
                <w:rFonts w:ascii="Arial" w:hAnsi="Arial" w:cs="Arial"/>
                <w:sz w:val="18"/>
              </w:rPr>
              <w:t>36 años y 6 meses</w:t>
            </w:r>
          </w:p>
        </w:tc>
        <w:tc>
          <w:tcPr>
            <w:tcW w:type="dxa" w:w="4033"/>
            <w:tcMar>
              <w:top w:w="80" w:type="dxa"/>
              <w:start w:w="120" w:type="dxa"/>
              <w:bottom w:w="80" w:type="dxa"/>
              <w:end w:w="120" w:type="dxa"/>
            </w:tcMar>
            <w:vAlign w:val="center"/>
          </w:tcPr>
          <w:p>
            <w:pPr>
              <w:spacing w:before="0" w:after="0" w:line="240" w:lineRule="auto"/>
              <w:jc w:val="center"/>
            </w:pPr>
            <w:r/>
            <w:r>
              <w:rPr>
                <w:rFonts w:ascii="Arial" w:hAnsi="Arial" w:cs="Arial"/>
                <w:sz w:val="18"/>
              </w:rPr>
              <w:t>100 %</w:t>
            </w:r>
          </w:p>
        </w:tc>
      </w:tr>
    </w:tbl>
    <w:p>
      <w:pPr>
        <w:spacing w:after="40"/>
      </w:pPr>
    </w:p>
    <w:p>
      <w:pPr>
        <w:jc w:val="both"/>
      </w:pPr>
      <w:r>
        <w:rPr>
          <w:rFonts w:ascii="Arial" w:hAnsi="Arial" w:cs="Arial"/>
          <w:sz w:val="22"/>
        </w:rPr>
        <w:t>Los meses se computan conforme a las reglas legales. Alcanzar el cien por cien de la base reguladora no significa necesariamente percibir el máximo del sistema: la base puede ser inferior, pueden existir coeficientes reductores y rige el límite máximo anual.</w:t>
      </w:r>
    </w:p>
    <w:p>
      <w:pPr>
        <w:pStyle w:val="Heading1"/>
        <w:keepNext/>
      </w:pPr>
      <w:r>
        <w:rPr>
          <w:rFonts w:ascii="Arial" w:hAnsi="Arial" w:cs="Arial"/>
          <w:sz w:val="30"/>
        </w:rPr>
        <w:t>5. Jubilación demorada</w:t>
      </w:r>
    </w:p>
    <w:p>
      <w:pPr>
        <w:jc w:val="both"/>
      </w:pPr>
      <w:r>
        <w:rPr>
          <w:rFonts w:ascii="Arial" w:hAnsi="Arial" w:cs="Arial"/>
          <w:sz w:val="22"/>
        </w:rPr>
        <w:t>Existe jubilación demorada cuando se accede después de la edad ordinaria individual y al cumplir esa edad ya se reunía la carencia mínima. El artículo 210.2 permite elegir, una sola vez al solicitar la pensión, entre:</w:t>
      </w:r>
    </w:p>
    <w:p>
      <w:pPr>
        <w:spacing w:after="40"/>
        <w:ind w:left="369" w:hanging="227"/>
      </w:pPr>
      <w:r>
        <w:rPr>
          <w:rFonts w:ascii="Arial" w:hAnsi="Arial" w:cs="Arial"/>
          <w:sz w:val="22"/>
        </w:rPr>
        <w:t xml:space="preserve">1. un porcentaje adicional del </w:t>
      </w:r>
      <w:r>
        <w:rPr>
          <w:rFonts w:ascii="Arial" w:hAnsi="Arial" w:cs="Arial"/>
          <w:b/>
          <w:sz w:val="22"/>
        </w:rPr>
        <w:t>4 % por cada año completo</w:t>
      </w:r>
      <w:r>
        <w:rPr>
          <w:rFonts w:ascii="Arial" w:hAnsi="Arial" w:cs="Arial"/>
          <w:sz w:val="22"/>
        </w:rPr>
        <w:t xml:space="preserve"> cotizado después de la edad ordinaria; desde el segundo año completo de demora, un período adicional superior a seis meses e inferior a un año genera un 2 %;</w:t>
      </w:r>
    </w:p>
    <w:p>
      <w:pPr>
        <w:spacing w:after="40"/>
        <w:ind w:left="369" w:hanging="227"/>
      </w:pPr>
      <w:r>
        <w:rPr>
          <w:rFonts w:ascii="Arial" w:hAnsi="Arial" w:cs="Arial"/>
          <w:sz w:val="22"/>
        </w:rPr>
        <w:t>2. una cantidad a tanto alzado calculada mediante la fórmula legal, superior cuando al llegar a la edad ordinaria se acreditaban al menos cuarenta y cuatro años y seis meses;</w:t>
      </w:r>
    </w:p>
    <w:p>
      <w:pPr>
        <w:spacing w:after="40"/>
        <w:ind w:left="369" w:hanging="227"/>
      </w:pPr>
      <w:r>
        <w:rPr>
          <w:rFonts w:ascii="Arial" w:hAnsi="Arial" w:cs="Arial"/>
          <w:sz w:val="22"/>
        </w:rPr>
        <w:t>3. una combinación de porcentaje y cantidad en los términos reglamentarios.</w:t>
      </w:r>
    </w:p>
    <w:p>
      <w:pPr>
        <w:jc w:val="both"/>
      </w:pPr>
      <w:r>
        <w:rPr>
          <w:rFonts w:ascii="Arial" w:hAnsi="Arial" w:cs="Arial"/>
          <w:sz w:val="22"/>
        </w:rPr>
        <w:t>Si no se elige, se aplica el porcentaje adicional. La opción es única e inmodificable. El complemento es compatible con la jubilación activa, aunque durante esta no se generan nuevos incrementos. No se aplica en jubilación parcial, jubilación flexible ni cuando se accede desde una situación asimilada al alta.</w:t>
      </w:r>
    </w:p>
    <w:p>
      <w:pPr>
        <w:jc w:val="both"/>
      </w:pPr>
      <w:r>
        <w:rPr>
          <w:rFonts w:ascii="Arial" w:hAnsi="Arial" w:cs="Arial"/>
          <w:sz w:val="22"/>
        </w:rPr>
        <w:t>Si la pensión alcanza el máximo sin utilizar todo el porcentaje adicional, puede reconocerse una cantidad anual complementaria dentro del tope legal conjunto. La demora no autoriza a superar sin límite el máximo del sistema ni convierte cada fracción de año en un año completo.</w:t>
      </w:r>
    </w:p>
    <w:p>
      <w:pPr>
        <w:pStyle w:val="Heading1"/>
        <w:keepNext/>
      </w:pPr>
      <w:r>
        <w:rPr>
          <w:rFonts w:ascii="Arial" w:hAnsi="Arial" w:cs="Arial"/>
          <w:sz w:val="30"/>
        </w:rPr>
        <w:t>6. Jubilación anticipada por causa no imputable al trabajador</w:t>
      </w:r>
    </w:p>
    <w:p>
      <w:pPr>
        <w:jc w:val="both"/>
      </w:pPr>
      <w:r>
        <w:rPr>
          <w:rFonts w:ascii="Arial" w:hAnsi="Arial" w:cs="Arial"/>
          <w:sz w:val="22"/>
        </w:rPr>
        <w:t>El artículo 207 permite anticipar como máximo cuatro años la edad ordinaria individual. Deben reunirse acumulativamente:</w:t>
      </w:r>
    </w:p>
    <w:p>
      <w:pPr>
        <w:pStyle w:val="ListBullet"/>
      </w:pPr>
      <w:r>
        <w:rPr>
          <w:rFonts w:ascii="Arial" w:hAnsi="Arial" w:cs="Arial"/>
          <w:sz w:val="22"/>
        </w:rPr>
        <w:t>edad inferior en no más de cuatro años a la que correspondería conforme al artículo 205.1.a, sin computar bonificaciones de edad;</w:t>
      </w:r>
    </w:p>
    <w:p>
      <w:pPr>
        <w:pStyle w:val="ListBullet"/>
      </w:pPr>
      <w:r>
        <w:rPr>
          <w:rFonts w:ascii="Arial" w:hAnsi="Arial" w:cs="Arial"/>
          <w:sz w:val="22"/>
        </w:rPr>
        <w:t>inscripción como demandante de empleo durante al menos los seis meses inmediatamente anteriores a la solicitud;</w:t>
      </w:r>
    </w:p>
    <w:p>
      <w:pPr>
        <w:pStyle w:val="ListBullet"/>
      </w:pPr>
      <w:r>
        <w:rPr>
          <w:rFonts w:ascii="Arial" w:hAnsi="Arial" w:cs="Arial"/>
          <w:sz w:val="22"/>
        </w:rPr>
        <w:t>treinta y tres años de cotización efectiva;</w:t>
      </w:r>
    </w:p>
    <w:p>
      <w:pPr>
        <w:pStyle w:val="ListBullet"/>
      </w:pPr>
      <w:r>
        <w:rPr>
          <w:rFonts w:ascii="Arial" w:hAnsi="Arial" w:cs="Arial"/>
          <w:sz w:val="22"/>
        </w:rPr>
        <w:t>cese por una causa legal tasada no imputable a la libre voluntad.</w:t>
      </w:r>
    </w:p>
    <w:p>
      <w:pPr>
        <w:jc w:val="both"/>
      </w:pPr>
      <w:r>
        <w:rPr>
          <w:rFonts w:ascii="Arial" w:hAnsi="Arial" w:cs="Arial"/>
          <w:sz w:val="22"/>
        </w:rPr>
        <w:t>Para completar los treinta y tres años solo puede computarse, con el límite conjunto de un año, el servicio militar obligatorio, la prestación social sustitutoria o el servicio social femenino obligatorio. No se incluye la parte proporcional de pagas extraordinarias.</w:t>
      </w:r>
    </w:p>
    <w:p>
      <w:pPr>
        <w:jc w:val="both"/>
      </w:pPr>
      <w:r>
        <w:rPr>
          <w:rFonts w:ascii="Arial" w:hAnsi="Arial" w:cs="Arial"/>
          <w:sz w:val="22"/>
        </w:rPr>
        <w:t>Las causas comprenden el despido colectivo; el despido objetivo; la extinción por resolución judicial concursal; muerte, jubilación o incapacidad del empresario individual o extinción de la personalidad jurídica; fuerza mayor; ciertas extinciones instadas por el trabajador ante movilidad geográfica, modificación sustancial o incumplimiento empresarial; y la extinción decidida por la trabajadora víctima de violencia de género o sexual. En los casos expresamente señalados debe acreditarse la indemnización o la impugnación judicial.</w:t>
      </w:r>
    </w:p>
    <w:p>
      <w:pPr>
        <w:jc w:val="both"/>
      </w:pPr>
      <w:r>
        <w:rPr>
          <w:rFonts w:ascii="Arial" w:hAnsi="Arial" w:cs="Arial"/>
          <w:sz w:val="22"/>
        </w:rPr>
        <w:t>La reducción se aplica por cada mes o fracción de mes de anticipación. La tabla combina meses y cuatro tramos de carrera:</w:t>
      </w:r>
    </w:p>
    <w:tbl>
      <w:tblPr>
        <w:tblStyle w:val="TableGrid"/>
        <w:tblW w:type="dxa" w:w="9026"/>
        <w:jc w:val="left"/>
        <w:tblLayout w:type="fixed"/>
        <w:tblLook w:firstColumn="1" w:firstRow="1" w:lastColumn="0" w:lastRow="0" w:noHBand="0" w:noVBand="1" w:val="04A0"/>
        <w:tblInd w:w="120" w:type="dxa"/>
      </w:tblPr>
      <w:tblGrid>
        <w:gridCol w:w="4012"/>
        <w:gridCol w:w="3232"/>
        <w:gridCol w:w="1782"/>
      </w:tblGrid>
      <w:tr>
        <w:trPr>
          <w:tblHeader w:val="true"/>
        </w:trPr>
        <w:tc>
          <w:tcPr>
            <w:tcW w:type="dxa" w:w="401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Carrera acreditada</w:t>
            </w:r>
          </w:p>
        </w:tc>
        <w:tc>
          <w:tcPr>
            <w:tcW w:type="dxa" w:w="323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Reducción con 48 meses de anticipo</w:t>
            </w:r>
          </w:p>
        </w:tc>
        <w:tc>
          <w:tcPr>
            <w:tcW w:type="dxa" w:w="178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Reducción con 1 mes</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Menos de 38 años y 6 meses</w:t>
            </w:r>
          </w:p>
        </w:tc>
        <w:tc>
          <w:tcPr>
            <w:tcW w:type="dxa" w:w="3232"/>
            <w:tcMar>
              <w:top w:w="80" w:type="dxa"/>
              <w:start w:w="120" w:type="dxa"/>
              <w:bottom w:w="80" w:type="dxa"/>
              <w:end w:w="120" w:type="dxa"/>
            </w:tcMar>
            <w:vAlign w:val="center"/>
          </w:tcPr>
          <w:p>
            <w:pPr>
              <w:spacing w:before="0" w:after="0" w:line="240" w:lineRule="auto"/>
              <w:jc w:val="center"/>
            </w:pPr>
            <w:r/>
            <w:r>
              <w:rPr>
                <w:rFonts w:ascii="Arial" w:hAnsi="Arial" w:cs="Arial"/>
                <w:sz w:val="18"/>
              </w:rPr>
              <w:t>30 %</w:t>
            </w:r>
          </w:p>
        </w:tc>
        <w:tc>
          <w:tcPr>
            <w:tcW w:type="dxa" w:w="1782"/>
            <w:tcMar>
              <w:top w:w="80" w:type="dxa"/>
              <w:start w:w="120" w:type="dxa"/>
              <w:bottom w:w="80" w:type="dxa"/>
              <w:end w:w="120" w:type="dxa"/>
            </w:tcMar>
            <w:vAlign w:val="center"/>
          </w:tcPr>
          <w:p>
            <w:pPr>
              <w:spacing w:before="0" w:after="0" w:line="240" w:lineRule="auto"/>
              <w:jc w:val="center"/>
            </w:pPr>
            <w:r/>
            <w:r>
              <w:rPr>
                <w:rFonts w:ascii="Arial" w:hAnsi="Arial" w:cs="Arial"/>
                <w:sz w:val="18"/>
              </w:rPr>
              <w:t>0,63 %</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De 38 años y 6 meses a menos de 41 años y 6 meses</w:t>
            </w:r>
          </w:p>
        </w:tc>
        <w:tc>
          <w:tcPr>
            <w:tcW w:type="dxa" w:w="3232"/>
            <w:tcMar>
              <w:top w:w="80" w:type="dxa"/>
              <w:start w:w="120" w:type="dxa"/>
              <w:bottom w:w="80" w:type="dxa"/>
              <w:end w:w="120" w:type="dxa"/>
            </w:tcMar>
            <w:vAlign w:val="center"/>
          </w:tcPr>
          <w:p>
            <w:pPr>
              <w:spacing w:before="0" w:after="0" w:line="240" w:lineRule="auto"/>
              <w:jc w:val="center"/>
            </w:pPr>
            <w:r/>
            <w:r>
              <w:rPr>
                <w:rFonts w:ascii="Arial" w:hAnsi="Arial" w:cs="Arial"/>
                <w:sz w:val="18"/>
              </w:rPr>
              <w:t>28 %</w:t>
            </w:r>
          </w:p>
        </w:tc>
        <w:tc>
          <w:tcPr>
            <w:tcW w:type="dxa" w:w="1782"/>
            <w:tcMar>
              <w:top w:w="80" w:type="dxa"/>
              <w:start w:w="120" w:type="dxa"/>
              <w:bottom w:w="80" w:type="dxa"/>
              <w:end w:w="120" w:type="dxa"/>
            </w:tcMar>
            <w:vAlign w:val="center"/>
          </w:tcPr>
          <w:p>
            <w:pPr>
              <w:spacing w:before="0" w:after="0" w:line="240" w:lineRule="auto"/>
              <w:jc w:val="center"/>
            </w:pPr>
            <w:r/>
            <w:r>
              <w:rPr>
                <w:rFonts w:ascii="Arial" w:hAnsi="Arial" w:cs="Arial"/>
                <w:sz w:val="18"/>
              </w:rPr>
              <w:t>0,58 %</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De 41 años y 6 meses a menos de 44 años y 6 meses</w:t>
            </w:r>
          </w:p>
        </w:tc>
        <w:tc>
          <w:tcPr>
            <w:tcW w:type="dxa" w:w="3232"/>
            <w:tcMar>
              <w:top w:w="80" w:type="dxa"/>
              <w:start w:w="120" w:type="dxa"/>
              <w:bottom w:w="80" w:type="dxa"/>
              <w:end w:w="120" w:type="dxa"/>
            </w:tcMar>
            <w:vAlign w:val="center"/>
          </w:tcPr>
          <w:p>
            <w:pPr>
              <w:spacing w:before="0" w:after="0" w:line="240" w:lineRule="auto"/>
              <w:jc w:val="center"/>
            </w:pPr>
            <w:r/>
            <w:r>
              <w:rPr>
                <w:rFonts w:ascii="Arial" w:hAnsi="Arial" w:cs="Arial"/>
                <w:sz w:val="18"/>
              </w:rPr>
              <w:t>26 %</w:t>
            </w:r>
          </w:p>
        </w:tc>
        <w:tc>
          <w:tcPr>
            <w:tcW w:type="dxa" w:w="1782"/>
            <w:tcMar>
              <w:top w:w="80" w:type="dxa"/>
              <w:start w:w="120" w:type="dxa"/>
              <w:bottom w:w="80" w:type="dxa"/>
              <w:end w:w="120" w:type="dxa"/>
            </w:tcMar>
            <w:vAlign w:val="center"/>
          </w:tcPr>
          <w:p>
            <w:pPr>
              <w:spacing w:before="0" w:after="0" w:line="240" w:lineRule="auto"/>
              <w:jc w:val="center"/>
            </w:pPr>
            <w:r/>
            <w:r>
              <w:rPr>
                <w:rFonts w:ascii="Arial" w:hAnsi="Arial" w:cs="Arial"/>
                <w:sz w:val="18"/>
              </w:rPr>
              <w:t>0,54 %</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44 años y 6 meses o más</w:t>
            </w:r>
          </w:p>
        </w:tc>
        <w:tc>
          <w:tcPr>
            <w:tcW w:type="dxa" w:w="3232"/>
            <w:tcMar>
              <w:top w:w="80" w:type="dxa"/>
              <w:start w:w="120" w:type="dxa"/>
              <w:bottom w:w="80" w:type="dxa"/>
              <w:end w:w="120" w:type="dxa"/>
            </w:tcMar>
            <w:vAlign w:val="center"/>
          </w:tcPr>
          <w:p>
            <w:pPr>
              <w:spacing w:before="0" w:after="0" w:line="240" w:lineRule="auto"/>
              <w:jc w:val="center"/>
            </w:pPr>
            <w:r/>
            <w:r>
              <w:rPr>
                <w:rFonts w:ascii="Arial" w:hAnsi="Arial" w:cs="Arial"/>
                <w:sz w:val="18"/>
              </w:rPr>
              <w:t>24 %</w:t>
            </w:r>
          </w:p>
        </w:tc>
        <w:tc>
          <w:tcPr>
            <w:tcW w:type="dxa" w:w="1782"/>
            <w:tcMar>
              <w:top w:w="80" w:type="dxa"/>
              <w:start w:w="120" w:type="dxa"/>
              <w:bottom w:w="80" w:type="dxa"/>
              <w:end w:w="120" w:type="dxa"/>
            </w:tcMar>
            <w:vAlign w:val="center"/>
          </w:tcPr>
          <w:p>
            <w:pPr>
              <w:spacing w:before="0" w:after="0" w:line="240" w:lineRule="auto"/>
              <w:jc w:val="center"/>
            </w:pPr>
            <w:r/>
            <w:r>
              <w:rPr>
                <w:rFonts w:ascii="Arial" w:hAnsi="Arial" w:cs="Arial"/>
                <w:sz w:val="18"/>
              </w:rPr>
              <w:t>0,50 %</w:t>
            </w:r>
          </w:p>
        </w:tc>
      </w:tr>
    </w:tbl>
    <w:p>
      <w:pPr>
        <w:spacing w:after="40"/>
      </w:pPr>
    </w:p>
    <w:p>
      <w:pPr>
        <w:jc w:val="both"/>
      </w:pPr>
      <w:r>
        <w:rPr>
          <w:rFonts w:ascii="Arial" w:hAnsi="Arial" w:cs="Arial"/>
          <w:sz w:val="22"/>
        </w:rPr>
        <w:t>Para fijar la edad ordinaria se proyecta la cotización como si se hubiera continuado cotizando hasta ella. La fracción de mes de anticipación cuenta como mes completo. El coeficiente se aplica sobre la pensión resultante de base reguladora y porcentaje; además, el artículo 210.4 establece una relación específica con el tope máximo.</w:t>
      </w:r>
    </w:p>
    <w:p>
      <w:pPr>
        <w:pStyle w:val="Heading1"/>
        <w:keepNext/>
      </w:pPr>
      <w:r>
        <w:rPr>
          <w:rFonts w:ascii="Arial" w:hAnsi="Arial" w:cs="Arial"/>
          <w:sz w:val="30"/>
        </w:rPr>
        <w:t>7. Jubilación anticipada por voluntad del interesado</w:t>
      </w:r>
    </w:p>
    <w:p>
      <w:pPr>
        <w:jc w:val="both"/>
      </w:pPr>
      <w:r>
        <w:rPr>
          <w:rFonts w:ascii="Arial" w:hAnsi="Arial" w:cs="Arial"/>
          <w:sz w:val="22"/>
        </w:rPr>
        <w:t>El artículo 208 permite anticipar como máximo dos años la edad ordinaria. Exige:</w:t>
      </w:r>
    </w:p>
    <w:p>
      <w:pPr>
        <w:pStyle w:val="ListBullet"/>
      </w:pPr>
      <w:r>
        <w:rPr>
          <w:rFonts w:ascii="Arial" w:hAnsi="Arial" w:cs="Arial"/>
          <w:sz w:val="22"/>
        </w:rPr>
        <w:t>la edad correspondiente, sin bonificaciones;</w:t>
      </w:r>
    </w:p>
    <w:p>
      <w:pPr>
        <w:pStyle w:val="ListBullet"/>
      </w:pPr>
      <w:r>
        <w:rPr>
          <w:rFonts w:ascii="Arial" w:hAnsi="Arial" w:cs="Arial"/>
          <w:sz w:val="22"/>
        </w:rPr>
        <w:t>treinta y cinco años de cotización efectiva;</w:t>
      </w:r>
    </w:p>
    <w:p>
      <w:pPr>
        <w:pStyle w:val="ListBullet"/>
      </w:pPr>
      <w:r>
        <w:rPr>
          <w:rFonts w:ascii="Arial" w:hAnsi="Arial" w:cs="Arial"/>
          <w:sz w:val="22"/>
        </w:rPr>
        <w:t>que la pensión resultante sea superior a la pensión mínima que correspondería por la situación familiar al cumplir sesenta y cinco años.</w:t>
      </w:r>
    </w:p>
    <w:p>
      <w:pPr>
        <w:jc w:val="both"/>
      </w:pPr>
      <w:r>
        <w:rPr>
          <w:rFonts w:ascii="Arial" w:hAnsi="Arial" w:cs="Arial"/>
          <w:sz w:val="22"/>
        </w:rPr>
        <w:t>También aquí puede computarse un máximo de un año por servicio militar obligatorio, prestación social sustitutoria o servicio social femenino obligatorio. La reducción es mensual y depende de la carrera:</w:t>
      </w:r>
    </w:p>
    <w:tbl>
      <w:tblPr>
        <w:tblStyle w:val="TableGrid"/>
        <w:tblW w:type="dxa" w:w="9026"/>
        <w:jc w:val="left"/>
        <w:tblLayout w:type="fixed"/>
        <w:tblLook w:firstColumn="1" w:firstRow="1" w:lastColumn="0" w:lastRow="0" w:noHBand="0" w:noVBand="1" w:val="04A0"/>
        <w:tblInd w:w="120" w:type="dxa"/>
      </w:tblPr>
      <w:tblGrid>
        <w:gridCol w:w="4012"/>
        <w:gridCol w:w="3232"/>
        <w:gridCol w:w="1782"/>
      </w:tblGrid>
      <w:tr>
        <w:trPr>
          <w:tblHeader w:val="true"/>
        </w:trPr>
        <w:tc>
          <w:tcPr>
            <w:tcW w:type="dxa" w:w="401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Carrera acreditada</w:t>
            </w:r>
          </w:p>
        </w:tc>
        <w:tc>
          <w:tcPr>
            <w:tcW w:type="dxa" w:w="323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Reducción con 24 meses de anticipo</w:t>
            </w:r>
          </w:p>
        </w:tc>
        <w:tc>
          <w:tcPr>
            <w:tcW w:type="dxa" w:w="178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Reducción con 1 mes</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Menos de 38 años y 6 meses</w:t>
            </w:r>
          </w:p>
        </w:tc>
        <w:tc>
          <w:tcPr>
            <w:tcW w:type="dxa" w:w="3232"/>
            <w:tcMar>
              <w:top w:w="80" w:type="dxa"/>
              <w:start w:w="120" w:type="dxa"/>
              <w:bottom w:w="80" w:type="dxa"/>
              <w:end w:w="120" w:type="dxa"/>
            </w:tcMar>
            <w:vAlign w:val="center"/>
          </w:tcPr>
          <w:p>
            <w:pPr>
              <w:spacing w:before="0" w:after="0" w:line="240" w:lineRule="auto"/>
              <w:jc w:val="center"/>
            </w:pPr>
            <w:r/>
            <w:r>
              <w:rPr>
                <w:rFonts w:ascii="Arial" w:hAnsi="Arial" w:cs="Arial"/>
                <w:sz w:val="18"/>
              </w:rPr>
              <w:t>21 %</w:t>
            </w:r>
          </w:p>
        </w:tc>
        <w:tc>
          <w:tcPr>
            <w:tcW w:type="dxa" w:w="1782"/>
            <w:tcMar>
              <w:top w:w="80" w:type="dxa"/>
              <w:start w:w="120" w:type="dxa"/>
              <w:bottom w:w="80" w:type="dxa"/>
              <w:end w:w="120" w:type="dxa"/>
            </w:tcMar>
            <w:vAlign w:val="center"/>
          </w:tcPr>
          <w:p>
            <w:pPr>
              <w:spacing w:before="0" w:after="0" w:line="240" w:lineRule="auto"/>
              <w:jc w:val="center"/>
            </w:pPr>
            <w:r/>
            <w:r>
              <w:rPr>
                <w:rFonts w:ascii="Arial" w:hAnsi="Arial" w:cs="Arial"/>
                <w:sz w:val="18"/>
              </w:rPr>
              <w:t>3,26 %</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De 38 años y 6 meses a menos de 41 años y 6 meses</w:t>
            </w:r>
          </w:p>
        </w:tc>
        <w:tc>
          <w:tcPr>
            <w:tcW w:type="dxa" w:w="3232"/>
            <w:tcMar>
              <w:top w:w="80" w:type="dxa"/>
              <w:start w:w="120" w:type="dxa"/>
              <w:bottom w:w="80" w:type="dxa"/>
              <w:end w:w="120" w:type="dxa"/>
            </w:tcMar>
            <w:vAlign w:val="center"/>
          </w:tcPr>
          <w:p>
            <w:pPr>
              <w:spacing w:before="0" w:after="0" w:line="240" w:lineRule="auto"/>
              <w:jc w:val="center"/>
            </w:pPr>
            <w:r/>
            <w:r>
              <w:rPr>
                <w:rFonts w:ascii="Arial" w:hAnsi="Arial" w:cs="Arial"/>
                <w:sz w:val="18"/>
              </w:rPr>
              <w:t>19 %</w:t>
            </w:r>
          </w:p>
        </w:tc>
        <w:tc>
          <w:tcPr>
            <w:tcW w:type="dxa" w:w="1782"/>
            <w:tcMar>
              <w:top w:w="80" w:type="dxa"/>
              <w:start w:w="120" w:type="dxa"/>
              <w:bottom w:w="80" w:type="dxa"/>
              <w:end w:w="120" w:type="dxa"/>
            </w:tcMar>
            <w:vAlign w:val="center"/>
          </w:tcPr>
          <w:p>
            <w:pPr>
              <w:spacing w:before="0" w:after="0" w:line="240" w:lineRule="auto"/>
              <w:jc w:val="center"/>
            </w:pPr>
            <w:r/>
            <w:r>
              <w:rPr>
                <w:rFonts w:ascii="Arial" w:hAnsi="Arial" w:cs="Arial"/>
                <w:sz w:val="18"/>
              </w:rPr>
              <w:t>3,11 %</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De 41 años y 6 meses a menos de 44 años y 6 meses</w:t>
            </w:r>
          </w:p>
        </w:tc>
        <w:tc>
          <w:tcPr>
            <w:tcW w:type="dxa" w:w="3232"/>
            <w:tcMar>
              <w:top w:w="80" w:type="dxa"/>
              <w:start w:w="120" w:type="dxa"/>
              <w:bottom w:w="80" w:type="dxa"/>
              <w:end w:w="120" w:type="dxa"/>
            </w:tcMar>
            <w:vAlign w:val="center"/>
          </w:tcPr>
          <w:p>
            <w:pPr>
              <w:spacing w:before="0" w:after="0" w:line="240" w:lineRule="auto"/>
              <w:jc w:val="center"/>
            </w:pPr>
            <w:r/>
            <w:r>
              <w:rPr>
                <w:rFonts w:ascii="Arial" w:hAnsi="Arial" w:cs="Arial"/>
                <w:sz w:val="18"/>
              </w:rPr>
              <w:t>17 %</w:t>
            </w:r>
          </w:p>
        </w:tc>
        <w:tc>
          <w:tcPr>
            <w:tcW w:type="dxa" w:w="1782"/>
            <w:tcMar>
              <w:top w:w="80" w:type="dxa"/>
              <w:start w:w="120" w:type="dxa"/>
              <w:bottom w:w="80" w:type="dxa"/>
              <w:end w:w="120" w:type="dxa"/>
            </w:tcMar>
            <w:vAlign w:val="center"/>
          </w:tcPr>
          <w:p>
            <w:pPr>
              <w:spacing w:before="0" w:after="0" w:line="240" w:lineRule="auto"/>
              <w:jc w:val="center"/>
            </w:pPr>
            <w:r/>
            <w:r>
              <w:rPr>
                <w:rFonts w:ascii="Arial" w:hAnsi="Arial" w:cs="Arial"/>
                <w:sz w:val="18"/>
              </w:rPr>
              <w:t>2,96 %</w:t>
            </w:r>
          </w:p>
        </w:tc>
      </w:tr>
      <w:tr>
        <w:tc>
          <w:tcPr>
            <w:tcW w:type="dxa" w:w="4012"/>
            <w:tcMar>
              <w:top w:w="80" w:type="dxa"/>
              <w:start w:w="120" w:type="dxa"/>
              <w:bottom w:w="80" w:type="dxa"/>
              <w:end w:w="120" w:type="dxa"/>
            </w:tcMar>
            <w:vAlign w:val="center"/>
          </w:tcPr>
          <w:p>
            <w:pPr>
              <w:spacing w:before="0" w:after="0" w:line="240" w:lineRule="auto"/>
              <w:jc w:val="left"/>
            </w:pPr>
            <w:r/>
            <w:r>
              <w:rPr>
                <w:rFonts w:ascii="Arial" w:hAnsi="Arial" w:cs="Arial"/>
                <w:sz w:val="18"/>
              </w:rPr>
              <w:t>44 años y 6 meses o más</w:t>
            </w:r>
          </w:p>
        </w:tc>
        <w:tc>
          <w:tcPr>
            <w:tcW w:type="dxa" w:w="3232"/>
            <w:tcMar>
              <w:top w:w="80" w:type="dxa"/>
              <w:start w:w="120" w:type="dxa"/>
              <w:bottom w:w="80" w:type="dxa"/>
              <w:end w:w="120" w:type="dxa"/>
            </w:tcMar>
            <w:vAlign w:val="center"/>
          </w:tcPr>
          <w:p>
            <w:pPr>
              <w:spacing w:before="0" w:after="0" w:line="240" w:lineRule="auto"/>
              <w:jc w:val="center"/>
            </w:pPr>
            <w:r/>
            <w:r>
              <w:rPr>
                <w:rFonts w:ascii="Arial" w:hAnsi="Arial" w:cs="Arial"/>
                <w:sz w:val="18"/>
              </w:rPr>
              <w:t>13 %</w:t>
            </w:r>
          </w:p>
        </w:tc>
        <w:tc>
          <w:tcPr>
            <w:tcW w:type="dxa" w:w="1782"/>
            <w:tcMar>
              <w:top w:w="80" w:type="dxa"/>
              <w:start w:w="120" w:type="dxa"/>
              <w:bottom w:w="80" w:type="dxa"/>
              <w:end w:w="120" w:type="dxa"/>
            </w:tcMar>
            <w:vAlign w:val="center"/>
          </w:tcPr>
          <w:p>
            <w:pPr>
              <w:spacing w:before="0" w:after="0" w:line="240" w:lineRule="auto"/>
              <w:jc w:val="center"/>
            </w:pPr>
            <w:r/>
            <w:r>
              <w:rPr>
                <w:rFonts w:ascii="Arial" w:hAnsi="Arial" w:cs="Arial"/>
                <w:sz w:val="18"/>
              </w:rPr>
              <w:t>2,81 %</w:t>
            </w:r>
          </w:p>
        </w:tc>
      </w:tr>
    </w:tbl>
    <w:p>
      <w:pPr>
        <w:spacing w:after="40"/>
      </w:pPr>
    </w:p>
    <w:p>
      <w:pPr>
        <w:jc w:val="both"/>
      </w:pPr>
      <w:r>
        <w:rPr>
          <w:rFonts w:ascii="Arial" w:hAnsi="Arial" w:cs="Arial"/>
          <w:sz w:val="22"/>
        </w:rPr>
        <w:t>Los porcentajes no evolucionan linealmente: deben consultarse por número exacto de meses. Si al acceder se percibía durante al menos tres meses el subsidio por desempleo del artículo 274, se aplican los coeficientes de la jubilación involuntaria, aunque continúan exigiéndose los requisitos de la modalidad voluntaria.</w:t>
      </w:r>
    </w:p>
    <w:p>
      <w:pPr>
        <w:spacing w:after="100"/>
        <w:ind w:left="340" w:right="227"/>
        <w:shd w:fill="EAF2F8"/>
      </w:pPr>
      <w:r>
        <w:rPr>
          <w:rFonts w:ascii="Arial" w:hAnsi="Arial" w:cs="Arial"/>
          <w:b/>
          <w:sz w:val="20"/>
        </w:rPr>
        <w:t>Diferencia clave:</w:t>
      </w:r>
      <w:r>
        <w:rPr>
          <w:rFonts w:ascii="Arial" w:hAnsi="Arial" w:cs="Arial"/>
          <w:sz w:val="20"/>
        </w:rPr>
        <w:t xml:space="preserve"> la anticipada involuntaria admite hasta cuatro años y exige 33 años, seis meses de inscripción y causa tasada de cese; la voluntaria admite hasta dos años, exige 35 años y una pensión superior a la mínima futura.</w:t>
      </w:r>
    </w:p>
    <w:p>
      <w:pPr>
        <w:pStyle w:val="Heading1"/>
        <w:keepNext/>
      </w:pPr>
      <w:r>
        <w:rPr>
          <w:rFonts w:ascii="Arial" w:hAnsi="Arial" w:cs="Arial"/>
          <w:sz w:val="30"/>
        </w:rPr>
        <w:t>8. Anticipación por actividad y por discapacidad</w:t>
      </w:r>
    </w:p>
    <w:p>
      <w:pPr>
        <w:jc w:val="both"/>
      </w:pPr>
      <w:r>
        <w:rPr>
          <w:rFonts w:ascii="Arial" w:hAnsi="Arial" w:cs="Arial"/>
          <w:sz w:val="22"/>
        </w:rPr>
        <w:t>Los artículos 206 y 206 bis no son modalidades voluntaria e involuntaria. Permiten rebajar la edad sin aplicar sus tablas cuando concurren condiciones objetivas.</w:t>
      </w:r>
    </w:p>
    <w:p>
      <w:pPr>
        <w:jc w:val="both"/>
      </w:pPr>
      <w:r>
        <w:rPr>
          <w:rFonts w:ascii="Arial" w:hAnsi="Arial" w:cs="Arial"/>
          <w:sz w:val="22"/>
        </w:rPr>
        <w:t>En actividades excepcionalmente penosas, tóxicas, peligrosas o insalubres y con elevada morbilidad o mortalidad, el Gobierno puede establecer por real decreto coeficientes reductores, previa tramitación y estudio. Solo proceden cuando no sea posible modificar las condiciones de trabajo. Su aplicación lleva aparejada cotización adicional y los coeficientes se revisan, como regla, cada diez años.</w:t>
      </w:r>
    </w:p>
    <w:p>
      <w:pPr>
        <w:jc w:val="both"/>
      </w:pPr>
      <w:r>
        <w:rPr>
          <w:rFonts w:ascii="Arial" w:hAnsi="Arial" w:cs="Arial"/>
          <w:sz w:val="22"/>
        </w:rPr>
        <w:t xml:space="preserve">En discapacidad puede reducirse la edad cuando el grado sea igual o superior al 65 %, o cuando sea al menos del 45 % y se trate de discapacidades reglamentariamente determinadas con evidencia de reducción significativa de la esperanza de vida. En ningún caso estas reducciones permiten acceder antes de los </w:t>
      </w:r>
      <w:r>
        <w:rPr>
          <w:rFonts w:ascii="Arial" w:hAnsi="Arial" w:cs="Arial"/>
          <w:b/>
          <w:sz w:val="22"/>
        </w:rPr>
        <w:t>cincuenta y dos años</w:t>
      </w:r>
      <w:r>
        <w:rPr>
          <w:rFonts w:ascii="Arial" w:hAnsi="Arial" w:cs="Arial"/>
          <w:sz w:val="22"/>
        </w:rPr>
        <w:t>.</w:t>
      </w:r>
    </w:p>
    <w:p>
      <w:pPr>
        <w:jc w:val="both"/>
      </w:pPr>
      <w:r>
        <w:rPr>
          <w:rFonts w:ascii="Arial" w:hAnsi="Arial" w:cs="Arial"/>
          <w:sz w:val="22"/>
        </w:rPr>
        <w:t>Los coeficientes de edad por actividad o discapacidad no sirven para acreditar la edad de jubilación parcial, el complemento por demora ni otra modalidad anticipada. El tiempo bonificado puede influir en el porcentaje en los términos de su normativa, pero no debe sumarse sin revisar la regla especial.</w:t>
      </w:r>
    </w:p>
    <w:p>
      <w:pPr>
        <w:pStyle w:val="Heading1"/>
        <w:keepNext/>
      </w:pPr>
      <w:r>
        <w:rPr>
          <w:rFonts w:ascii="Arial" w:hAnsi="Arial" w:cs="Arial"/>
          <w:sz w:val="30"/>
        </w:rPr>
        <w:t>9. Jubilación parcial</w:t>
      </w:r>
    </w:p>
    <w:p>
      <w:pPr>
        <w:jc w:val="both"/>
      </w:pPr>
      <w:r>
        <w:rPr>
          <w:rFonts w:ascii="Arial" w:hAnsi="Arial" w:cs="Arial"/>
          <w:sz w:val="22"/>
        </w:rPr>
        <w:t>La jubilación parcial combina una pensión con un contrato a tiempo parcial. Debe separarse el acceso después de alcanzar la edad ordinaria del acceso anticipado.</w:t>
      </w:r>
    </w:p>
    <w:p>
      <w:pPr>
        <w:pStyle w:val="Heading2"/>
        <w:keepNext/>
      </w:pPr>
      <w:r>
        <w:rPr>
          <w:rFonts w:ascii="Arial" w:hAnsi="Arial" w:cs="Arial"/>
          <w:sz w:val="25"/>
        </w:rPr>
        <w:t>9.1. Parcial tras la edad ordinaria</w:t>
      </w:r>
    </w:p>
    <w:p>
      <w:pPr>
        <w:jc w:val="both"/>
      </w:pPr>
      <w:r>
        <w:rPr>
          <w:rFonts w:ascii="Arial" w:hAnsi="Arial" w:cs="Arial"/>
          <w:sz w:val="22"/>
        </w:rPr>
        <w:t>Quien ha alcanzado su edad ordinaria y reúne los requisitos de pensión puede reducir su jornada entre el 25 % y el 75 %. No es obligatoria la celebración simultánea de contrato de relevo. La pensión parcial es compatible con el trabajo a tiempo parcial resultante.</w:t>
      </w:r>
    </w:p>
    <w:p>
      <w:pPr>
        <w:pStyle w:val="Heading2"/>
        <w:keepNext/>
      </w:pPr>
      <w:r>
        <w:rPr>
          <w:rFonts w:ascii="Arial" w:hAnsi="Arial" w:cs="Arial"/>
          <w:sz w:val="25"/>
        </w:rPr>
        <w:t>9.2. Parcial anticipada con contrato de relevo</w:t>
      </w:r>
    </w:p>
    <w:p>
      <w:pPr>
        <w:jc w:val="both"/>
      </w:pPr>
      <w:r>
        <w:rPr>
          <w:rFonts w:ascii="Arial" w:hAnsi="Arial" w:cs="Arial"/>
          <w:sz w:val="22"/>
        </w:rPr>
        <w:t>El artículo 215.2 exige, entre otros requisitos:</w:t>
      </w:r>
    </w:p>
    <w:p>
      <w:pPr>
        <w:pStyle w:val="ListBullet"/>
      </w:pPr>
      <w:r>
        <w:rPr>
          <w:rFonts w:ascii="Arial" w:hAnsi="Arial" w:cs="Arial"/>
          <w:sz w:val="22"/>
        </w:rPr>
        <w:t>ser trabajador a tiempo completo;</w:t>
      </w:r>
    </w:p>
    <w:p>
      <w:pPr>
        <w:pStyle w:val="ListBullet"/>
      </w:pPr>
      <w:r>
        <w:rPr>
          <w:rFonts w:ascii="Arial" w:hAnsi="Arial" w:cs="Arial"/>
          <w:sz w:val="22"/>
        </w:rPr>
        <w:t>acceder como máximo tres años antes de la edad ordinaria;</w:t>
      </w:r>
    </w:p>
    <w:p>
      <w:pPr>
        <w:pStyle w:val="ListBullet"/>
      </w:pPr>
      <w:r>
        <w:rPr>
          <w:rFonts w:ascii="Arial" w:hAnsi="Arial" w:cs="Arial"/>
          <w:sz w:val="22"/>
        </w:rPr>
        <w:t>acreditar treinta y tres años cotizados, o veinticinco si existe discapacidad igual o superior al 33 %;</w:t>
      </w:r>
    </w:p>
    <w:p>
      <w:pPr>
        <w:pStyle w:val="ListBullet"/>
      </w:pPr>
      <w:r>
        <w:rPr>
          <w:rFonts w:ascii="Arial" w:hAnsi="Arial" w:cs="Arial"/>
          <w:sz w:val="22"/>
        </w:rPr>
        <w:t>acreditar al menos seis años de antigüedad en la empresa;</w:t>
      </w:r>
    </w:p>
    <w:p>
      <w:pPr>
        <w:pStyle w:val="ListBullet"/>
      </w:pPr>
      <w:r>
        <w:rPr>
          <w:rFonts w:ascii="Arial" w:hAnsi="Arial" w:cs="Arial"/>
          <w:sz w:val="22"/>
        </w:rPr>
        <w:t>reducir la jornada entre el 25 % y el 75 %;</w:t>
      </w:r>
    </w:p>
    <w:p>
      <w:pPr>
        <w:pStyle w:val="ListBullet"/>
      </w:pPr>
      <w:r>
        <w:rPr>
          <w:rFonts w:ascii="Arial" w:hAnsi="Arial" w:cs="Arial"/>
          <w:sz w:val="22"/>
        </w:rPr>
        <w:t>celebrar simultáneamente un contrato de relevo indefinido y a tiempo completo;</w:t>
      </w:r>
    </w:p>
    <w:p>
      <w:pPr>
        <w:pStyle w:val="ListBullet"/>
      </w:pPr>
      <w:r>
        <w:rPr>
          <w:rFonts w:ascii="Arial" w:hAnsi="Arial" w:cs="Arial"/>
          <w:sz w:val="22"/>
        </w:rPr>
        <w:t>mantener una correspondencia: la base del relevista no puede ser inferior al 65 % del promedio de las bases de los seis últimos meses del período de base reguladora;</w:t>
      </w:r>
    </w:p>
    <w:p>
      <w:pPr>
        <w:pStyle w:val="ListBullet"/>
      </w:pPr>
      <w:r>
        <w:rPr>
          <w:rFonts w:ascii="Arial" w:hAnsi="Arial" w:cs="Arial"/>
          <w:sz w:val="22"/>
        </w:rPr>
        <w:t>cotizar empresa y jubilado parcial por la base que habría correspondido a jornada completa.</w:t>
      </w:r>
    </w:p>
    <w:p>
      <w:pPr>
        <w:jc w:val="both"/>
      </w:pPr>
      <w:r>
        <w:rPr>
          <w:rFonts w:ascii="Arial" w:hAnsi="Arial" w:cs="Arial"/>
          <w:sz w:val="22"/>
        </w:rPr>
        <w:t>Si la anticipación supera dos años, durante el primer año la reducción queda entre el 20 % y el 33 %. Desde el segundo puede situarse en los márgenes generales. El contrato de relevo debe mantenerse al menos dos años después de extinguirse la jubilación parcial. Si se extingue antes, debe celebrarse otro en los mismos términos; el incumplimiento empresarial puede generar reintegro.</w:t>
      </w:r>
    </w:p>
    <w:p>
      <w:pPr>
        <w:jc w:val="both"/>
      </w:pPr>
      <w:r>
        <w:rPr>
          <w:rFonts w:ascii="Arial" w:hAnsi="Arial" w:cs="Arial"/>
          <w:sz w:val="22"/>
        </w:rPr>
        <w:t>La jornada puede acumularse en días, semanas, meses u otros períodos si existe pacto individual o negociación colectiva. También pueden acceder socios trabajadores o de trabajo de cooperativas asimilados por cuenta ajena cuando se articule el relevo en los términos legales.</w:t>
      </w:r>
    </w:p>
    <w:p>
      <w:pPr>
        <w:pStyle w:val="Heading2"/>
        <w:keepNext/>
      </w:pPr>
      <w:r>
        <w:rPr>
          <w:rFonts w:ascii="Arial" w:hAnsi="Arial" w:cs="Arial"/>
          <w:sz w:val="25"/>
        </w:rPr>
        <w:t>9.3. Reglas transitorias y sector público</w:t>
      </w:r>
    </w:p>
    <w:p>
      <w:pPr>
        <w:jc w:val="both"/>
      </w:pPr>
      <w:r>
        <w:rPr>
          <w:rFonts w:ascii="Arial" w:hAnsi="Arial" w:cs="Arial"/>
          <w:sz w:val="22"/>
        </w:rPr>
        <w:t>La disposición transitoria cuarta.6 mantiene hasta pensiones causadas antes del 1 de enero de 2030 un régimen específico para industria manufacturera, condicionado a funciones con esfuerzo físico o atención, seis años de antigüedad, más del 75 % de plantilla indefinida y demás requisitos. En 2026, su base de cotización transitoria es el 50 % de la que habría correspondido a jornada completa; aumenta gradualmente hasta el 80 % en 2029.</w:t>
      </w:r>
    </w:p>
    <w:p>
      <w:pPr>
        <w:jc w:val="both"/>
      </w:pPr>
      <w:r>
        <w:rPr>
          <w:rFonts w:ascii="Arial" w:hAnsi="Arial" w:cs="Arial"/>
          <w:sz w:val="22"/>
        </w:rPr>
        <w:t>El Real Decreto-ley 19/2026 adapta, con carácter específico, el contrato de relevo del personal laboral de las Administraciones Públicas. Permite vincular la jubilación a plazas fijas procedentes de instrumentos de planificación y, subsidiariamente, utilizar contratación temporal mientras se resuelve el proceso de selección, con las condiciones legales. Hasta el 1 de abril de 2027 existe además una regla transitoria para determinados contratos fijos formalizados desde el 1 de abril de 2024.</w:t>
      </w:r>
    </w:p>
    <w:p>
      <w:pPr>
        <w:pStyle w:val="Heading1"/>
        <w:keepNext/>
      </w:pPr>
      <w:r>
        <w:rPr>
          <w:rFonts w:ascii="Arial" w:hAnsi="Arial" w:cs="Arial"/>
          <w:sz w:val="30"/>
        </w:rPr>
        <w:t>10. Jubilación flexible</w:t>
      </w:r>
    </w:p>
    <w:p>
      <w:pPr>
        <w:jc w:val="both"/>
      </w:pPr>
      <w:r>
        <w:rPr>
          <w:rFonts w:ascii="Arial" w:hAnsi="Arial" w:cs="Arial"/>
          <w:sz w:val="22"/>
        </w:rPr>
        <w:t xml:space="preserve">La jubilación flexible se produce </w:t>
      </w:r>
      <w:r>
        <w:rPr>
          <w:rFonts w:ascii="Arial" w:hAnsi="Arial" w:cs="Arial"/>
          <w:b/>
          <w:sz w:val="22"/>
        </w:rPr>
        <w:t>después de haberse causado una pensión completa</w:t>
      </w:r>
      <w:r>
        <w:rPr>
          <w:rFonts w:ascii="Arial" w:hAnsi="Arial" w:cs="Arial"/>
          <w:sz w:val="22"/>
        </w:rPr>
        <w:t xml:space="preserve"> y permite volver a una actividad a tiempo parcial, reduciendo proporcionalmente el importe. No es jubilación parcial: esta nace desde una relación laboral que continúa reducida; la flexible presupone una pensión ya reconocida.</w:t>
      </w:r>
    </w:p>
    <w:p>
      <w:pPr>
        <w:pStyle w:val="Heading2"/>
        <w:keepNext/>
      </w:pPr>
      <w:r>
        <w:rPr>
          <w:rFonts w:ascii="Arial" w:hAnsi="Arial" w:cs="Arial"/>
          <w:sz w:val="25"/>
        </w:rPr>
        <w:t>10.1. Régimen vigente el 30 de julio de 2026</w:t>
      </w:r>
    </w:p>
    <w:p>
      <w:pPr>
        <w:jc w:val="both"/>
      </w:pPr>
      <w:r>
        <w:rPr>
          <w:rFonts w:ascii="Arial" w:hAnsi="Arial" w:cs="Arial"/>
          <w:sz w:val="22"/>
        </w:rPr>
        <w:t>Hasta el 27 de agosto de 2026 se aplica el Real Decreto 1132/2002. El pensionista puede celebrar un trabajo a tiempo parcial dentro de los límites laborales aplicables. Debe comunicarlo previamente a la entidad gestora. La pensión se minora en proporción inversa a la reducción de jornada: si se trabaja el 40 % de una jornada comparable, se percibe el 60 % de la pensión.</w:t>
      </w:r>
    </w:p>
    <w:p>
      <w:pPr>
        <w:jc w:val="both"/>
      </w:pPr>
      <w:r>
        <w:rPr>
          <w:rFonts w:ascii="Arial" w:hAnsi="Arial" w:cs="Arial"/>
          <w:sz w:val="22"/>
        </w:rPr>
        <w:t>Las cotizaciones del trabajo flexible producen, al cesar, efectos para mejorar la pensión: se recalcula la base reguladora con las nuevas cotizaciones sin reducir la anterior, puede aumentar el porcentaje por carrera y pueden disminuir determinados coeficientes reductores. Durante la situación se mantiene la condición de pensionista a efectos sanitarios. La pensión flexible es incompatible con una incapacidad permanente causada por la actividad posterior, pero compatible con incapacidad temporal y con la prestación familiar derivada de esa actividad conforme a la terminología vigente.</w:t>
      </w:r>
    </w:p>
    <w:p>
      <w:pPr>
        <w:pStyle w:val="Heading2"/>
        <w:keepNext/>
      </w:pPr>
      <w:r>
        <w:rPr>
          <w:rFonts w:ascii="Arial" w:hAnsi="Arial" w:cs="Arial"/>
          <w:sz w:val="25"/>
        </w:rPr>
        <w:t>10.2. Reforma publicada con eficacia desde el 28 de agosto de 2026</w:t>
      </w:r>
    </w:p>
    <w:p>
      <w:pPr>
        <w:jc w:val="both"/>
      </w:pPr>
      <w:r>
        <w:rPr>
          <w:rFonts w:ascii="Arial" w:hAnsi="Arial" w:cs="Arial"/>
          <w:sz w:val="22"/>
        </w:rPr>
        <w:t xml:space="preserve">El Real Decreto 416/2026 entra en vigor tres meses después de su publicación, el </w:t>
      </w:r>
      <w:r>
        <w:rPr>
          <w:rFonts w:ascii="Arial" w:hAnsi="Arial" w:cs="Arial"/>
          <w:b/>
          <w:sz w:val="22"/>
        </w:rPr>
        <w:t>28 de agosto de 2026</w:t>
      </w:r>
      <w:r>
        <w:rPr>
          <w:rFonts w:ascii="Arial" w:hAnsi="Arial" w:cs="Arial"/>
          <w:sz w:val="22"/>
        </w:rPr>
        <w:t>. No debe aplicarse todavía a un hecho causante de 30 de julio, pero sí conocerse como cambio inmediato:</w:t>
      </w:r>
    </w:p>
    <w:p>
      <w:pPr>
        <w:pStyle w:val="ListBullet"/>
      </w:pPr>
      <w:r>
        <w:rPr>
          <w:rFonts w:ascii="Arial" w:hAnsi="Arial" w:cs="Arial"/>
          <w:sz w:val="22"/>
        </w:rPr>
        <w:t>jornada por cuenta ajena entre el 33 % y el 80 %;</w:t>
      </w:r>
    </w:p>
    <w:p>
      <w:pPr>
        <w:pStyle w:val="ListBullet"/>
      </w:pPr>
      <w:r>
        <w:rPr>
          <w:rFonts w:ascii="Arial" w:hAnsi="Arial" w:cs="Arial"/>
          <w:sz w:val="22"/>
        </w:rPr>
        <w:t>apertura a determinada actividad por cuenta propia si no hubo alta como autónomo en los tres años anteriores al hecho causante;</w:t>
      </w:r>
    </w:p>
    <w:p>
      <w:pPr>
        <w:pStyle w:val="ListBullet"/>
      </w:pPr>
      <w:r>
        <w:rPr>
          <w:rFonts w:ascii="Arial" w:hAnsi="Arial" w:cs="Arial"/>
          <w:sz w:val="22"/>
        </w:rPr>
        <w:t>pensión del 25 % en la actividad propia;</w:t>
      </w:r>
    </w:p>
    <w:p>
      <w:pPr>
        <w:pStyle w:val="ListBullet"/>
      </w:pPr>
      <w:r>
        <w:rPr>
          <w:rFonts w:ascii="Arial" w:hAnsi="Arial" w:cs="Arial"/>
          <w:sz w:val="22"/>
        </w:rPr>
        <w:t>incentivos del 25 % o 15 % sobre la pensión previa cuando el primer acceso al trabajo parcial se demora seis meses, según jornada;</w:t>
      </w:r>
    </w:p>
    <w:p>
      <w:pPr>
        <w:pStyle w:val="ListBullet"/>
      </w:pPr>
      <w:r>
        <w:rPr>
          <w:rFonts w:ascii="Arial" w:hAnsi="Arial" w:cs="Arial"/>
          <w:sz w:val="22"/>
        </w:rPr>
        <w:t>regla general de que las nuevas cotizaciones no mejoran la pensión, salvo la excepción regulada para determinadas jubilaciones anticipadas involuntarias;</w:t>
      </w:r>
    </w:p>
    <w:p>
      <w:pPr>
        <w:pStyle w:val="ListBullet"/>
      </w:pPr>
      <w:r>
        <w:rPr>
          <w:rFonts w:ascii="Arial" w:hAnsi="Arial" w:cs="Arial"/>
          <w:sz w:val="22"/>
        </w:rPr>
        <w:t>incompatibilidad con el complemento de demora en los términos del nuevo reglamento.</w:t>
      </w:r>
    </w:p>
    <w:p>
      <w:pPr>
        <w:jc w:val="both"/>
      </w:pPr>
      <w:r>
        <w:rPr>
          <w:rFonts w:ascii="Arial" w:hAnsi="Arial" w:cs="Arial"/>
          <w:sz w:val="22"/>
        </w:rPr>
        <w:t>Las situaciones iniciadas antes de su entrada en vigor siguen rigiéndose por la normativa anterior. La fecha de corte impide presentar estas reglas como ya aplicables.</w:t>
      </w:r>
    </w:p>
    <w:p>
      <w:pPr>
        <w:pStyle w:val="Heading1"/>
        <w:keepNext/>
      </w:pPr>
      <w:r>
        <w:rPr>
          <w:rFonts w:ascii="Arial" w:hAnsi="Arial" w:cs="Arial"/>
          <w:sz w:val="30"/>
        </w:rPr>
        <w:t>11. Compatibilidad entre pensión y trabajo</w:t>
      </w:r>
    </w:p>
    <w:p>
      <w:pPr>
        <w:jc w:val="both"/>
      </w:pPr>
      <w:r>
        <w:rPr>
          <w:rFonts w:ascii="Arial" w:hAnsi="Arial" w:cs="Arial"/>
          <w:sz w:val="22"/>
        </w:rPr>
        <w:t>El artículo 213 establece la incompatibilidad como regla, pero contiene y remite a varias excepciones:</w:t>
      </w:r>
    </w:p>
    <w:tbl>
      <w:tblPr>
        <w:tblStyle w:val="TableGrid"/>
        <w:tblW w:type="dxa" w:w="9026"/>
        <w:jc w:val="left"/>
        <w:tblLayout w:type="fixed"/>
        <w:tblLook w:firstColumn="1" w:firstRow="1" w:lastColumn="0" w:lastRow="0" w:noHBand="0" w:noVBand="1" w:val="04A0"/>
        <w:tblInd w:w="120" w:type="dxa"/>
      </w:tblPr>
      <w:tblGrid>
        <w:gridCol w:w="4513"/>
        <w:gridCol w:w="4513"/>
      </w:tblGrid>
      <w:tr>
        <w:trPr>
          <w:tblHeader w:val="true"/>
        </w:trPr>
        <w:tc>
          <w:tcPr>
            <w:tcW w:type="dxa" w:w="451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Supuesto</w:t>
            </w:r>
          </w:p>
        </w:tc>
        <w:tc>
          <w:tcPr>
            <w:tcW w:type="dxa" w:w="451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Tratamiento esencial</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Trabajo en sector público del artículo 1.1 de la Ley 53/1984</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Incompatible; se suspende la pensión, salvo excepciones de personal emérito</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Alto cargo de la Ley 3/2015</w:t>
            </w:r>
          </w:p>
        </w:tc>
        <w:tc>
          <w:tcPr>
            <w:tcW w:type="dxa" w:w="4513"/>
            <w:tcMar>
              <w:top w:w="80" w:type="dxa"/>
              <w:start w:w="120" w:type="dxa"/>
              <w:bottom w:w="80" w:type="dxa"/>
              <w:end w:w="120" w:type="dxa"/>
            </w:tcMar>
            <w:vAlign w:val="center"/>
          </w:tcPr>
          <w:p>
            <w:pPr>
              <w:spacing w:before="0" w:after="0" w:line="240" w:lineRule="auto"/>
              <w:jc w:val="center"/>
            </w:pPr>
            <w:r/>
            <w:r>
              <w:rPr>
                <w:rFonts w:ascii="Arial" w:hAnsi="Arial" w:cs="Arial"/>
                <w:sz w:val="18"/>
              </w:rPr>
              <w:t>Incompatible</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Trabajo autónomo con ingresos anuales totales no superiores al SMI anual</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Compatible; no obliga a cotizar por prestaciones ni genera nuevos derechos</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Jubilación flexible</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Trabajo parcial posterior a la pensión, con reducción proporcional</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Jubilación parcial</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Pensión parcial compatible con trabajo reducido</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Jubilación activa</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Trabajo por cuenta ajena o propia con porcentaje de pensión</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Actividad artística</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Compatible en los términos específicos del artículo 249 quater</w:t>
            </w:r>
          </w:p>
        </w:tc>
      </w:tr>
    </w:tbl>
    <w:p>
      <w:pPr>
        <w:spacing w:after="40"/>
      </w:pPr>
    </w:p>
    <w:p>
      <w:pPr>
        <w:jc w:val="both"/>
      </w:pPr>
      <w:r>
        <w:rPr>
          <w:rFonts w:ascii="Arial" w:hAnsi="Arial" w:cs="Arial"/>
          <w:sz w:val="22"/>
        </w:rPr>
        <w:t xml:space="preserve">La excepción del trabajo autónomo de ingresos reducidos atiende a </w:t>
      </w:r>
      <w:r>
        <w:rPr>
          <w:rFonts w:ascii="Arial" w:hAnsi="Arial" w:cs="Arial"/>
          <w:b/>
          <w:sz w:val="22"/>
        </w:rPr>
        <w:t>ingresos anuales totales</w:t>
      </w:r>
      <w:r>
        <w:rPr>
          <w:rFonts w:ascii="Arial" w:hAnsi="Arial" w:cs="Arial"/>
          <w:sz w:val="22"/>
        </w:rPr>
        <w:t>, no al rendimiento neto mensual, y no convierte ese período en cotizado. Tampoco autoriza el desempeño de un puesto público incompatible.</w:t>
      </w:r>
    </w:p>
    <w:p>
      <w:pPr>
        <w:pStyle w:val="Heading2"/>
        <w:keepNext/>
      </w:pPr>
      <w:r>
        <w:rPr>
          <w:rFonts w:ascii="Arial" w:hAnsi="Arial" w:cs="Arial"/>
          <w:sz w:val="25"/>
        </w:rPr>
        <w:t>11.1. Jubilación activa</w:t>
      </w:r>
    </w:p>
    <w:p>
      <w:pPr>
        <w:jc w:val="both"/>
      </w:pPr>
      <w:r>
        <w:rPr>
          <w:rFonts w:ascii="Arial" w:hAnsi="Arial" w:cs="Arial"/>
          <w:sz w:val="22"/>
        </w:rPr>
        <w:t>El artículo 214 exige que, al alcanzar la edad ordinaria, se reuniera la carencia mínima y que entre esa fecha —o la posterior en que se completó la carencia— y el hecho causante haya transcurrido al menos un año. No se admiten anticipaciones o bonificaciones de edad.</w:t>
      </w:r>
    </w:p>
    <w:p>
      <w:pPr>
        <w:jc w:val="both"/>
      </w:pPr>
      <w:r>
        <w:rPr>
          <w:rFonts w:ascii="Arial" w:hAnsi="Arial" w:cs="Arial"/>
          <w:sz w:val="22"/>
        </w:rPr>
        <w:t>El porcentaje compatible depende de la demora:</w:t>
      </w:r>
    </w:p>
    <w:tbl>
      <w:tblPr>
        <w:tblStyle w:val="TableGrid"/>
        <w:tblW w:type="dxa" w:w="9026"/>
        <w:jc w:val="left"/>
        <w:tblLayout w:type="fixed"/>
        <w:tblLook w:firstColumn="1" w:firstRow="1" w:lastColumn="0" w:lastRow="0" w:noHBand="0" w:noVBand="1" w:val="04A0"/>
        <w:tblInd w:w="120" w:type="dxa"/>
      </w:tblPr>
      <w:tblGrid>
        <w:gridCol w:w="3911"/>
        <w:gridCol w:w="5115"/>
      </w:tblGrid>
      <w:tr>
        <w:trPr>
          <w:tblHeader w:val="true"/>
        </w:trPr>
        <w:tc>
          <w:tcPr>
            <w:tcW w:type="dxa" w:w="391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Demora inicial</w:t>
            </w:r>
          </w:p>
        </w:tc>
        <w:tc>
          <w:tcPr>
            <w:tcW w:type="dxa" w:w="511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Pensión compatible</w:t>
            </w:r>
          </w:p>
        </w:tc>
      </w:tr>
      <w:tr>
        <w:tc>
          <w:tcPr>
            <w:tcW w:type="dxa" w:w="3911"/>
            <w:tcMar>
              <w:top w:w="80" w:type="dxa"/>
              <w:start w:w="120" w:type="dxa"/>
              <w:bottom w:w="80" w:type="dxa"/>
              <w:end w:w="120" w:type="dxa"/>
            </w:tcMar>
            <w:vAlign w:val="center"/>
          </w:tcPr>
          <w:p>
            <w:pPr>
              <w:spacing w:before="0" w:after="0" w:line="240" w:lineRule="auto"/>
              <w:jc w:val="left"/>
            </w:pPr>
            <w:r/>
            <w:r>
              <w:rPr>
                <w:rFonts w:ascii="Arial" w:hAnsi="Arial" w:cs="Arial"/>
                <w:sz w:val="18"/>
              </w:rPr>
              <w:t>1 año</w:t>
            </w:r>
          </w:p>
        </w:tc>
        <w:tc>
          <w:tcPr>
            <w:tcW w:type="dxa" w:w="5115"/>
            <w:tcMar>
              <w:top w:w="80" w:type="dxa"/>
              <w:start w:w="120" w:type="dxa"/>
              <w:bottom w:w="80" w:type="dxa"/>
              <w:end w:w="120" w:type="dxa"/>
            </w:tcMar>
            <w:vAlign w:val="center"/>
          </w:tcPr>
          <w:p>
            <w:pPr>
              <w:spacing w:before="0" w:after="0" w:line="240" w:lineRule="auto"/>
              <w:jc w:val="center"/>
            </w:pPr>
            <w:r/>
            <w:r>
              <w:rPr>
                <w:rFonts w:ascii="Arial" w:hAnsi="Arial" w:cs="Arial"/>
                <w:sz w:val="18"/>
              </w:rPr>
              <w:t>45 %</w:t>
            </w:r>
          </w:p>
        </w:tc>
      </w:tr>
      <w:tr>
        <w:tc>
          <w:tcPr>
            <w:tcW w:type="dxa" w:w="3911"/>
            <w:tcMar>
              <w:top w:w="80" w:type="dxa"/>
              <w:start w:w="120" w:type="dxa"/>
              <w:bottom w:w="80" w:type="dxa"/>
              <w:end w:w="120" w:type="dxa"/>
            </w:tcMar>
            <w:vAlign w:val="center"/>
          </w:tcPr>
          <w:p>
            <w:pPr>
              <w:spacing w:before="0" w:after="0" w:line="240" w:lineRule="auto"/>
              <w:jc w:val="left"/>
            </w:pPr>
            <w:r/>
            <w:r>
              <w:rPr>
                <w:rFonts w:ascii="Arial" w:hAnsi="Arial" w:cs="Arial"/>
                <w:sz w:val="18"/>
              </w:rPr>
              <w:t>2 años</w:t>
            </w:r>
          </w:p>
        </w:tc>
        <w:tc>
          <w:tcPr>
            <w:tcW w:type="dxa" w:w="5115"/>
            <w:tcMar>
              <w:top w:w="80" w:type="dxa"/>
              <w:start w:w="120" w:type="dxa"/>
              <w:bottom w:w="80" w:type="dxa"/>
              <w:end w:w="120" w:type="dxa"/>
            </w:tcMar>
            <w:vAlign w:val="center"/>
          </w:tcPr>
          <w:p>
            <w:pPr>
              <w:spacing w:before="0" w:after="0" w:line="240" w:lineRule="auto"/>
              <w:jc w:val="center"/>
            </w:pPr>
            <w:r/>
            <w:r>
              <w:rPr>
                <w:rFonts w:ascii="Arial" w:hAnsi="Arial" w:cs="Arial"/>
                <w:sz w:val="18"/>
              </w:rPr>
              <w:t>55 %</w:t>
            </w:r>
          </w:p>
        </w:tc>
      </w:tr>
      <w:tr>
        <w:tc>
          <w:tcPr>
            <w:tcW w:type="dxa" w:w="3911"/>
            <w:tcMar>
              <w:top w:w="80" w:type="dxa"/>
              <w:start w:w="120" w:type="dxa"/>
              <w:bottom w:w="80" w:type="dxa"/>
              <w:end w:w="120" w:type="dxa"/>
            </w:tcMar>
            <w:vAlign w:val="center"/>
          </w:tcPr>
          <w:p>
            <w:pPr>
              <w:spacing w:before="0" w:after="0" w:line="240" w:lineRule="auto"/>
              <w:jc w:val="left"/>
            </w:pPr>
            <w:r/>
            <w:r>
              <w:rPr>
                <w:rFonts w:ascii="Arial" w:hAnsi="Arial" w:cs="Arial"/>
                <w:sz w:val="18"/>
              </w:rPr>
              <w:t>3 años</w:t>
            </w:r>
          </w:p>
        </w:tc>
        <w:tc>
          <w:tcPr>
            <w:tcW w:type="dxa" w:w="5115"/>
            <w:tcMar>
              <w:top w:w="80" w:type="dxa"/>
              <w:start w:w="120" w:type="dxa"/>
              <w:bottom w:w="80" w:type="dxa"/>
              <w:end w:w="120" w:type="dxa"/>
            </w:tcMar>
            <w:vAlign w:val="center"/>
          </w:tcPr>
          <w:p>
            <w:pPr>
              <w:spacing w:before="0" w:after="0" w:line="240" w:lineRule="auto"/>
              <w:jc w:val="center"/>
            </w:pPr>
            <w:r/>
            <w:r>
              <w:rPr>
                <w:rFonts w:ascii="Arial" w:hAnsi="Arial" w:cs="Arial"/>
                <w:sz w:val="18"/>
              </w:rPr>
              <w:t>65 %</w:t>
            </w:r>
          </w:p>
        </w:tc>
      </w:tr>
      <w:tr>
        <w:tc>
          <w:tcPr>
            <w:tcW w:type="dxa" w:w="3911"/>
            <w:tcMar>
              <w:top w:w="80" w:type="dxa"/>
              <w:start w:w="120" w:type="dxa"/>
              <w:bottom w:w="80" w:type="dxa"/>
              <w:end w:w="120" w:type="dxa"/>
            </w:tcMar>
            <w:vAlign w:val="center"/>
          </w:tcPr>
          <w:p>
            <w:pPr>
              <w:spacing w:before="0" w:after="0" w:line="240" w:lineRule="auto"/>
              <w:jc w:val="left"/>
            </w:pPr>
            <w:r/>
            <w:r>
              <w:rPr>
                <w:rFonts w:ascii="Arial" w:hAnsi="Arial" w:cs="Arial"/>
                <w:sz w:val="18"/>
              </w:rPr>
              <w:t>4 años</w:t>
            </w:r>
          </w:p>
        </w:tc>
        <w:tc>
          <w:tcPr>
            <w:tcW w:type="dxa" w:w="5115"/>
            <w:tcMar>
              <w:top w:w="80" w:type="dxa"/>
              <w:start w:w="120" w:type="dxa"/>
              <w:bottom w:w="80" w:type="dxa"/>
              <w:end w:w="120" w:type="dxa"/>
            </w:tcMar>
            <w:vAlign w:val="center"/>
          </w:tcPr>
          <w:p>
            <w:pPr>
              <w:spacing w:before="0" w:after="0" w:line="240" w:lineRule="auto"/>
              <w:jc w:val="center"/>
            </w:pPr>
            <w:r/>
            <w:r>
              <w:rPr>
                <w:rFonts w:ascii="Arial" w:hAnsi="Arial" w:cs="Arial"/>
                <w:sz w:val="18"/>
              </w:rPr>
              <w:t>80 %</w:t>
            </w:r>
          </w:p>
        </w:tc>
      </w:tr>
      <w:tr>
        <w:tc>
          <w:tcPr>
            <w:tcW w:type="dxa" w:w="3911"/>
            <w:tcMar>
              <w:top w:w="80" w:type="dxa"/>
              <w:start w:w="120" w:type="dxa"/>
              <w:bottom w:w="80" w:type="dxa"/>
              <w:end w:w="120" w:type="dxa"/>
            </w:tcMar>
            <w:vAlign w:val="center"/>
          </w:tcPr>
          <w:p>
            <w:pPr>
              <w:spacing w:before="0" w:after="0" w:line="240" w:lineRule="auto"/>
              <w:jc w:val="left"/>
            </w:pPr>
            <w:r/>
            <w:r>
              <w:rPr>
                <w:rFonts w:ascii="Arial" w:hAnsi="Arial" w:cs="Arial"/>
                <w:sz w:val="18"/>
              </w:rPr>
              <w:t>5 años o más</w:t>
            </w:r>
          </w:p>
        </w:tc>
        <w:tc>
          <w:tcPr>
            <w:tcW w:type="dxa" w:w="5115"/>
            <w:tcMar>
              <w:top w:w="80" w:type="dxa"/>
              <w:start w:w="120" w:type="dxa"/>
              <w:bottom w:w="80" w:type="dxa"/>
              <w:end w:w="120" w:type="dxa"/>
            </w:tcMar>
            <w:vAlign w:val="center"/>
          </w:tcPr>
          <w:p>
            <w:pPr>
              <w:spacing w:before="0" w:after="0" w:line="240" w:lineRule="auto"/>
              <w:jc w:val="center"/>
            </w:pPr>
            <w:r/>
            <w:r>
              <w:rPr>
                <w:rFonts w:ascii="Arial" w:hAnsi="Arial" w:cs="Arial"/>
                <w:sz w:val="18"/>
              </w:rPr>
              <w:t>100 %</w:t>
            </w:r>
          </w:p>
        </w:tc>
      </w:tr>
    </w:tbl>
    <w:p>
      <w:pPr>
        <w:spacing w:after="40"/>
      </w:pPr>
    </w:p>
    <w:p>
      <w:pPr>
        <w:jc w:val="both"/>
      </w:pPr>
      <w:r>
        <w:rPr>
          <w:rFonts w:ascii="Arial" w:hAnsi="Arial" w:cs="Arial"/>
          <w:sz w:val="22"/>
        </w:rPr>
        <w:t>Por cada doce meses ininterrumpidos de permanencia en jubilación activa, el porcentaje aumenta cinco puntos, hasta el cien por cien. Si la actividad es propia y se acredita la contratación indefinida de al menos un trabajador con las condiciones del artículo 214.3, puede corresponder el 75 % cuando la demora fue de uno a tres años; desde el cuarto rige la escala general.</w:t>
      </w:r>
    </w:p>
    <w:p>
      <w:pPr>
        <w:jc w:val="both"/>
      </w:pPr>
      <w:r>
        <w:rPr>
          <w:rFonts w:ascii="Arial" w:hAnsi="Arial" w:cs="Arial"/>
          <w:sz w:val="22"/>
        </w:rPr>
        <w:t>La pensión compatible incluye el complemento por brecha de género, pero excluye el complemento a mínimos. La cotización durante la jubilación activa no incrementa el porcentaje ni el complemento de demora. La pensión se revaloriza íntegramente, aunque mientras dure el trabajo se paga el porcentaje aplicable. Al cesar, se restablece el importe íntegro.</w:t>
      </w:r>
    </w:p>
    <w:p>
      <w:pPr>
        <w:pStyle w:val="Heading1"/>
        <w:keepNext/>
      </w:pPr>
      <w:r>
        <w:rPr>
          <w:rFonts w:ascii="Arial" w:hAnsi="Arial" w:cs="Arial"/>
          <w:sz w:val="30"/>
        </w:rPr>
        <w:t>12. Suspensión y extinción</w:t>
      </w:r>
    </w:p>
    <w:p>
      <w:pPr>
        <w:jc w:val="both"/>
      </w:pPr>
      <w:r>
        <w:rPr>
          <w:rFonts w:ascii="Arial" w:hAnsi="Arial" w:cs="Arial"/>
          <w:sz w:val="22"/>
        </w:rPr>
        <w:t xml:space="preserve">La pensión contributiva es vitalicia, pero su </w:t>
      </w:r>
      <w:r>
        <w:rPr>
          <w:rFonts w:ascii="Arial" w:hAnsi="Arial" w:cs="Arial"/>
          <w:b/>
          <w:sz w:val="22"/>
        </w:rPr>
        <w:t>pago</w:t>
      </w:r>
      <w:r>
        <w:rPr>
          <w:rFonts w:ascii="Arial" w:hAnsi="Arial" w:cs="Arial"/>
          <w:sz w:val="22"/>
        </w:rPr>
        <w:t xml:space="preserve"> puede quedar suspendido. Ocurre, en particular, cuando se desempeña un trabajo o puesto público incompatible, cuando se inicia una actividad sin acogerse a una modalidad de compatibilidad o cuando una medida cautelar o sancionadora válida así lo determina. Durante el puesto público incompatible, la pensión queda suspendida sin perder las revalorizaciones que correspondan.</w:t>
      </w:r>
    </w:p>
    <w:p>
      <w:pPr>
        <w:jc w:val="both"/>
      </w:pPr>
      <w:r>
        <w:rPr>
          <w:rFonts w:ascii="Arial" w:hAnsi="Arial" w:cs="Arial"/>
          <w:sz w:val="22"/>
        </w:rPr>
        <w:t>Si se oculta una actividad, los importes incompatibles son indebidos desde el inicio y deben reintegrarse, sin perjuicio de sanciones. La comunicación a la entidad gestora no transforma por sí sola una actividad incompatible en compatible; es necesario encajar en una excepción legal.</w:t>
      </w:r>
    </w:p>
    <w:p>
      <w:pPr>
        <w:jc w:val="both"/>
      </w:pPr>
      <w:r>
        <w:rPr>
          <w:rFonts w:ascii="Arial" w:hAnsi="Arial" w:cs="Arial"/>
          <w:sz w:val="22"/>
        </w:rPr>
        <w:t xml:space="preserve">El derecho se extingue esencialmente por </w:t>
      </w:r>
      <w:r>
        <w:rPr>
          <w:rFonts w:ascii="Arial" w:hAnsi="Arial" w:cs="Arial"/>
          <w:b/>
          <w:sz w:val="22"/>
        </w:rPr>
        <w:t>fallecimiento</w:t>
      </w:r>
      <w:r>
        <w:rPr>
          <w:rFonts w:ascii="Arial" w:hAnsi="Arial" w:cs="Arial"/>
          <w:sz w:val="22"/>
        </w:rPr>
        <w:t>. El retorno al trabajo no suele extinguir la pensión ya reconocida: suspende o reduce su pago según la modalidad. En jubilación flexible y activa, el cese en la actividad restablece el percibo íntegro con los efectos previstos. La renuncia a derechos de Seguridad Social está limitada por su indisponibilidad y no debe confundirse con desistir de una solicitud.</w:t>
      </w:r>
    </w:p>
    <w:p>
      <w:pPr>
        <w:pStyle w:val="Heading1"/>
        <w:keepNext/>
      </w:pPr>
      <w:r>
        <w:rPr>
          <w:rFonts w:ascii="Arial" w:hAnsi="Arial" w:cs="Arial"/>
          <w:sz w:val="30"/>
        </w:rPr>
        <w:t>13. Aplicación de normativa anterior a la Ley 27/2011</w:t>
      </w:r>
    </w:p>
    <w:p>
      <w:pPr>
        <w:jc w:val="both"/>
      </w:pPr>
      <w:r>
        <w:rPr>
          <w:rFonts w:ascii="Arial" w:hAnsi="Arial" w:cs="Arial"/>
          <w:sz w:val="22"/>
        </w:rPr>
        <w:t>La disposición transitoria cuarta constituye el punto de referencia. No permite elegir libremente entre ley nueva y antigua. Mantiene el régimen anterior para colectivos delimitados y, en algún caso, ordena aplicar la legislación vigente si resulta más favorable.</w:t>
      </w:r>
    </w:p>
    <w:p>
      <w:pPr>
        <w:pStyle w:val="Heading2"/>
        <w:keepNext/>
      </w:pPr>
      <w:r>
        <w:rPr>
          <w:rFonts w:ascii="Arial" w:hAnsi="Arial" w:cs="Arial"/>
          <w:sz w:val="25"/>
        </w:rPr>
        <w:t>13.1. Personas con relación extinguida antes del 1 de abril de 2013</w:t>
      </w:r>
    </w:p>
    <w:p>
      <w:pPr>
        <w:jc w:val="both"/>
      </w:pPr>
      <w:r>
        <w:rPr>
          <w:rFonts w:ascii="Arial" w:hAnsi="Arial" w:cs="Arial"/>
          <w:sz w:val="22"/>
        </w:rPr>
        <w:t>Se aplica la regulación anterior a quienes:</w:t>
      </w:r>
    </w:p>
    <w:p>
      <w:pPr>
        <w:pStyle w:val="ListBullet"/>
      </w:pPr>
      <w:r>
        <w:rPr>
          <w:rFonts w:ascii="Arial" w:hAnsi="Arial" w:cs="Arial"/>
          <w:sz w:val="22"/>
        </w:rPr>
        <w:t>vieron extinguida su relación laboral antes del 1 de abril de 2013 y no volvieron después a quedar incluidos en un régimen del sistema;</w:t>
      </w:r>
    </w:p>
    <w:p>
      <w:pPr>
        <w:pStyle w:val="ListBullet"/>
      </w:pPr>
      <w:r>
        <w:rPr>
          <w:rFonts w:ascii="Arial" w:hAnsi="Arial" w:cs="Arial"/>
          <w:sz w:val="22"/>
        </w:rPr>
        <w:t>tenían relación suspendida o extinguida por decisiones adoptadas en expedientes de regulación de empleo, convenios colectivos, acuerdos colectivos de empresa o procedimientos concursales aprobados, suscritos o declarados antes del 1 de abril de 2013.</w:t>
      </w:r>
    </w:p>
    <w:p>
      <w:pPr>
        <w:jc w:val="both"/>
      </w:pPr>
      <w:r>
        <w:rPr>
          <w:rFonts w:ascii="Arial" w:hAnsi="Arial" w:cs="Arial"/>
          <w:sz w:val="22"/>
        </w:rPr>
        <w:t>Los acuerdos colectivos de empresa deben estar debidamente registrados ante el INSS o el ISM. Para reconocer el derecho, la entidad gestora aplica la legislación vigente en la fecha del hecho causante cuando sea más favorable a estas personas. Por ello no siempre acaba utilizándose materialmente la regla antigua.</w:t>
      </w:r>
    </w:p>
    <w:p>
      <w:pPr>
        <w:jc w:val="both"/>
      </w:pPr>
      <w:r>
        <w:rPr>
          <w:rFonts w:ascii="Arial" w:hAnsi="Arial" w:cs="Arial"/>
          <w:sz w:val="22"/>
        </w:rPr>
        <w:t>La legislación previa afecta a modalidades, requisitos de acceso, edad, base reguladora, porcentaje y coeficientes. El encuadramiento transitorio debe verificarse antes de realizar cualquier cálculo; no basta con que la vida laboral contenga cotizaciones anteriores a 2013.</w:t>
      </w:r>
    </w:p>
    <w:p>
      <w:pPr>
        <w:pStyle w:val="Heading2"/>
        <w:keepNext/>
      </w:pPr>
      <w:r>
        <w:rPr>
          <w:rFonts w:ascii="Arial" w:hAnsi="Arial" w:cs="Arial"/>
          <w:sz w:val="25"/>
        </w:rPr>
        <w:t>13.2. Mutualistas anteriores a 1967</w:t>
      </w:r>
    </w:p>
    <w:p>
      <w:pPr>
        <w:jc w:val="both"/>
      </w:pPr>
      <w:r>
        <w:rPr>
          <w:rFonts w:ascii="Arial" w:hAnsi="Arial" w:cs="Arial"/>
          <w:sz w:val="22"/>
        </w:rPr>
        <w:t>Quienes tenían condición mutualista el 1 de enero de 1967 pueden causar jubilación desde los sesenta años. Como regla, la pensión se reduce un 8 % por cada año o fracción que falte para sesenta y cinco. En ceses involuntarios con treinta o más años cotizados, la escala anual se suaviza:</w:t>
      </w:r>
    </w:p>
    <w:p>
      <w:pPr>
        <w:pStyle w:val="ListBullet"/>
      </w:pPr>
      <w:r>
        <w:rPr>
          <w:rFonts w:ascii="Arial" w:hAnsi="Arial" w:cs="Arial"/>
          <w:sz w:val="22"/>
        </w:rPr>
        <w:t>de 30 a 34 años: 7,5 %;</w:t>
      </w:r>
    </w:p>
    <w:p>
      <w:pPr>
        <w:pStyle w:val="ListBullet"/>
      </w:pPr>
      <w:r>
        <w:rPr>
          <w:rFonts w:ascii="Arial" w:hAnsi="Arial" w:cs="Arial"/>
          <w:sz w:val="22"/>
        </w:rPr>
        <w:t>de 35 a 37: 7 %;</w:t>
      </w:r>
    </w:p>
    <w:p>
      <w:pPr>
        <w:pStyle w:val="ListBullet"/>
      </w:pPr>
      <w:r>
        <w:rPr>
          <w:rFonts w:ascii="Arial" w:hAnsi="Arial" w:cs="Arial"/>
          <w:sz w:val="22"/>
        </w:rPr>
        <w:t>de 38 a 39: 6,5 %;</w:t>
      </w:r>
    </w:p>
    <w:p>
      <w:pPr>
        <w:pStyle w:val="ListBullet"/>
      </w:pPr>
      <w:r>
        <w:rPr>
          <w:rFonts w:ascii="Arial" w:hAnsi="Arial" w:cs="Arial"/>
          <w:sz w:val="22"/>
        </w:rPr>
        <w:t>40 o más: 6 %.</w:t>
      </w:r>
    </w:p>
    <w:p>
      <w:pPr>
        <w:jc w:val="both"/>
      </w:pPr>
      <w:r>
        <w:rPr>
          <w:rFonts w:ascii="Arial" w:hAnsi="Arial" w:cs="Arial"/>
          <w:sz w:val="22"/>
        </w:rPr>
        <w:t>Los coeficientes de actividad o discapacidad no se usan para alcanzar la edad de esta jubilación mutualista. Tampoco se aplica el límite reductor del 0,50 % trimestral del artículo 210.4.</w:t>
      </w:r>
    </w:p>
    <w:p>
      <w:pPr>
        <w:pStyle w:val="Heading2"/>
        <w:keepNext/>
      </w:pPr>
      <w:r>
        <w:rPr>
          <w:rFonts w:ascii="Arial" w:hAnsi="Arial" w:cs="Arial"/>
          <w:sz w:val="25"/>
        </w:rPr>
        <w:t>13.3. Otros supuestos históricos</w:t>
      </w:r>
    </w:p>
    <w:p>
      <w:pPr>
        <w:jc w:val="both"/>
      </w:pPr>
      <w:r>
        <w:rPr>
          <w:rFonts w:ascii="Arial" w:hAnsi="Arial" w:cs="Arial"/>
          <w:sz w:val="22"/>
        </w:rPr>
        <w:t>La disposición transitoria cuarta conserva opciones para quienes ya reunían todos los requisitos al entrar en vigor las Leyes 26/1985 o 24/1997 y no ejercitaron el derecho, y para personas con determinadas ayudas equivalentes a jubilación anticipada vinculadas a planes de reconversión. Son supuestos residuales, pero su tenor literal puede ser objeto de pregunta.</w:t>
      </w:r>
    </w:p>
    <w:p>
      <w:pPr>
        <w:spacing w:after="100"/>
        <w:ind w:left="340" w:right="227"/>
        <w:shd w:fill="EAF2F8"/>
      </w:pPr>
      <w:r>
        <w:rPr>
          <w:rFonts w:ascii="Arial" w:hAnsi="Arial" w:cs="Arial"/>
          <w:b/>
          <w:sz w:val="20"/>
        </w:rPr>
        <w:t>Regla práctica:</w:t>
      </w:r>
      <w:r>
        <w:rPr>
          <w:rFonts w:ascii="Arial" w:hAnsi="Arial" w:cs="Arial"/>
          <w:sz w:val="20"/>
        </w:rPr>
        <w:t xml:space="preserve"> primero se comprueba si la persona pertenece al colectivo protegido por la disposición transitoria; después se compara, cuando la norma lo ordene, el resultado antiguo con el vigente. Nunca se construye una tercera fórmula escogiendo artículos sueltos de ambos regímenes.</w:t>
      </w:r>
    </w:p>
    <w:p>
      <w:pPr>
        <w:pStyle w:val="Heading1"/>
        <w:keepNext/>
      </w:pPr>
      <w:r>
        <w:rPr>
          <w:rFonts w:ascii="Arial" w:hAnsi="Arial" w:cs="Arial"/>
          <w:sz w:val="30"/>
        </w:rPr>
        <w:t>14. Cuadro comparativo de modalidades</w:t>
      </w:r>
    </w:p>
    <w:tbl>
      <w:tblPr>
        <w:tblStyle w:val="TableGrid"/>
        <w:tblW w:type="dxa" w:w="9026"/>
        <w:jc w:val="left"/>
        <w:tblLayout w:type="fixed"/>
        <w:tblLook w:firstColumn="1" w:firstRow="1" w:lastColumn="0" w:lastRow="0" w:noHBand="0" w:noVBand="1" w:val="04A0"/>
        <w:tblInd w:w="120" w:type="dxa"/>
      </w:tblPr>
      <w:tblGrid>
        <w:gridCol w:w="1712"/>
        <w:gridCol w:w="1478"/>
        <w:gridCol w:w="1790"/>
        <w:gridCol w:w="2256"/>
        <w:gridCol w:w="1790"/>
      </w:tblGrid>
      <w:tr>
        <w:trPr>
          <w:tblHeader w:val="true"/>
        </w:trPr>
        <w:tc>
          <w:tcPr>
            <w:tcW w:type="dxa" w:w="171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Modalidad</w:t>
            </w:r>
          </w:p>
        </w:tc>
        <w:tc>
          <w:tcPr>
            <w:tcW w:type="dxa" w:w="147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Momento</w:t>
            </w:r>
          </w:p>
        </w:tc>
        <w:tc>
          <w:tcPr>
            <w:tcW w:type="dxa" w:w="179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Carencia destacada</w:t>
            </w:r>
          </w:p>
        </w:tc>
        <w:tc>
          <w:tcPr>
            <w:tcW w:type="dxa" w:w="225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Trabajo</w:t>
            </w:r>
          </w:p>
        </w:tc>
        <w:tc>
          <w:tcPr>
            <w:tcW w:type="dxa" w:w="179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Efecto principal</w:t>
            </w:r>
          </w:p>
        </w:tc>
      </w:tr>
      <w:tr>
        <w:tc>
          <w:tcPr>
            <w:tcW w:type="dxa" w:w="1712"/>
            <w:tcMar>
              <w:top w:w="80" w:type="dxa"/>
              <w:start w:w="120" w:type="dxa"/>
              <w:bottom w:w="80" w:type="dxa"/>
              <w:end w:w="120" w:type="dxa"/>
            </w:tcMar>
            <w:vAlign w:val="center"/>
          </w:tcPr>
          <w:p>
            <w:pPr>
              <w:spacing w:before="0" w:after="0" w:line="240" w:lineRule="auto"/>
              <w:jc w:val="left"/>
            </w:pPr>
            <w:r/>
            <w:r>
              <w:rPr>
                <w:rFonts w:ascii="Arial" w:hAnsi="Arial" w:cs="Arial"/>
                <w:sz w:val="18"/>
              </w:rPr>
              <w:t>Ordinaria</w:t>
            </w:r>
          </w:p>
        </w:tc>
        <w:tc>
          <w:tcPr>
            <w:tcW w:type="dxa" w:w="1478"/>
            <w:tcMar>
              <w:top w:w="80" w:type="dxa"/>
              <w:start w:w="120" w:type="dxa"/>
              <w:bottom w:w="80" w:type="dxa"/>
              <w:end w:w="120" w:type="dxa"/>
            </w:tcMar>
            <w:vAlign w:val="center"/>
          </w:tcPr>
          <w:p>
            <w:pPr>
              <w:spacing w:before="0" w:after="0" w:line="240" w:lineRule="auto"/>
              <w:jc w:val="center"/>
            </w:pPr>
            <w:r/>
            <w:r>
              <w:rPr>
                <w:rFonts w:ascii="Arial" w:hAnsi="Arial" w:cs="Arial"/>
                <w:sz w:val="18"/>
              </w:rPr>
              <w:t>Edad legal</w:t>
            </w:r>
          </w:p>
        </w:tc>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15 años; 2 en 15</w:t>
            </w:r>
          </w:p>
        </w:tc>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Cese, salvo compatibilidades</w:t>
            </w:r>
          </w:p>
        </w:tc>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Pensión completa</w:t>
            </w:r>
          </w:p>
        </w:tc>
      </w:tr>
      <w:tr>
        <w:tc>
          <w:tcPr>
            <w:tcW w:type="dxa" w:w="1712"/>
            <w:tcMar>
              <w:top w:w="80" w:type="dxa"/>
              <w:start w:w="120" w:type="dxa"/>
              <w:bottom w:w="80" w:type="dxa"/>
              <w:end w:w="120" w:type="dxa"/>
            </w:tcMar>
            <w:vAlign w:val="center"/>
          </w:tcPr>
          <w:p>
            <w:pPr>
              <w:spacing w:before="0" w:after="0" w:line="240" w:lineRule="auto"/>
              <w:jc w:val="left"/>
            </w:pPr>
            <w:r/>
            <w:r>
              <w:rPr>
                <w:rFonts w:ascii="Arial" w:hAnsi="Arial" w:cs="Arial"/>
                <w:sz w:val="18"/>
              </w:rPr>
              <w:t>Demorada</w:t>
            </w:r>
          </w:p>
        </w:tc>
        <w:tc>
          <w:tcPr>
            <w:tcW w:type="dxa" w:w="1478"/>
            <w:tcMar>
              <w:top w:w="80" w:type="dxa"/>
              <w:start w:w="120" w:type="dxa"/>
              <w:bottom w:w="80" w:type="dxa"/>
              <w:end w:w="120" w:type="dxa"/>
            </w:tcMar>
            <w:vAlign w:val="center"/>
          </w:tcPr>
          <w:p>
            <w:pPr>
              <w:spacing w:before="0" w:after="0" w:line="240" w:lineRule="auto"/>
              <w:jc w:val="left"/>
            </w:pPr>
            <w:r/>
            <w:r>
              <w:rPr>
                <w:rFonts w:ascii="Arial" w:hAnsi="Arial" w:cs="Arial"/>
                <w:sz w:val="18"/>
              </w:rPr>
              <w:t>Después de edad legal</w:t>
            </w:r>
          </w:p>
        </w:tc>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Carencia al cumplir edad</w:t>
            </w:r>
          </w:p>
        </w:tc>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Puede desembocar en activa</w:t>
            </w:r>
          </w:p>
        </w:tc>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Complemento a elección</w:t>
            </w:r>
          </w:p>
        </w:tc>
      </w:tr>
      <w:tr>
        <w:tc>
          <w:tcPr>
            <w:tcW w:type="dxa" w:w="1712"/>
            <w:tcMar>
              <w:top w:w="80" w:type="dxa"/>
              <w:start w:w="120" w:type="dxa"/>
              <w:bottom w:w="80" w:type="dxa"/>
              <w:end w:w="120" w:type="dxa"/>
            </w:tcMar>
            <w:vAlign w:val="center"/>
          </w:tcPr>
          <w:p>
            <w:pPr>
              <w:spacing w:before="0" w:after="0" w:line="240" w:lineRule="auto"/>
              <w:jc w:val="left"/>
            </w:pPr>
            <w:r/>
            <w:r>
              <w:rPr>
                <w:rFonts w:ascii="Arial" w:hAnsi="Arial" w:cs="Arial"/>
                <w:sz w:val="18"/>
              </w:rPr>
              <w:t>Anticipada involuntaria</w:t>
            </w:r>
          </w:p>
        </w:tc>
        <w:tc>
          <w:tcPr>
            <w:tcW w:type="dxa" w:w="1478"/>
            <w:tcMar>
              <w:top w:w="80" w:type="dxa"/>
              <w:start w:w="120" w:type="dxa"/>
              <w:bottom w:w="80" w:type="dxa"/>
              <w:end w:w="120" w:type="dxa"/>
            </w:tcMar>
            <w:vAlign w:val="center"/>
          </w:tcPr>
          <w:p>
            <w:pPr>
              <w:spacing w:before="0" w:after="0" w:line="240" w:lineRule="auto"/>
              <w:jc w:val="left"/>
            </w:pPr>
            <w:r/>
            <w:r>
              <w:rPr>
                <w:rFonts w:ascii="Arial" w:hAnsi="Arial" w:cs="Arial"/>
                <w:sz w:val="18"/>
              </w:rPr>
              <w:t>Hasta 4 años antes</w:t>
            </w:r>
          </w:p>
        </w:tc>
        <w:tc>
          <w:tcPr>
            <w:tcW w:type="dxa" w:w="1790"/>
            <w:tcMar>
              <w:top w:w="80" w:type="dxa"/>
              <w:start w:w="120" w:type="dxa"/>
              <w:bottom w:w="80" w:type="dxa"/>
              <w:end w:w="120" w:type="dxa"/>
            </w:tcMar>
            <w:vAlign w:val="center"/>
          </w:tcPr>
          <w:p>
            <w:pPr>
              <w:spacing w:before="0" w:after="0" w:line="240" w:lineRule="auto"/>
              <w:jc w:val="center"/>
            </w:pPr>
            <w:r/>
            <w:r>
              <w:rPr>
                <w:rFonts w:ascii="Arial" w:hAnsi="Arial" w:cs="Arial"/>
                <w:sz w:val="18"/>
              </w:rPr>
              <w:t>33 años</w:t>
            </w:r>
          </w:p>
        </w:tc>
        <w:tc>
          <w:tcPr>
            <w:tcW w:type="dxa" w:w="2256"/>
            <w:tcMar>
              <w:top w:w="80" w:type="dxa"/>
              <w:start w:w="120" w:type="dxa"/>
              <w:bottom w:w="80" w:type="dxa"/>
              <w:end w:w="120" w:type="dxa"/>
            </w:tcMar>
            <w:vAlign w:val="center"/>
          </w:tcPr>
          <w:p>
            <w:pPr>
              <w:spacing w:before="0" w:after="0" w:line="240" w:lineRule="auto"/>
              <w:jc w:val="center"/>
            </w:pPr>
            <w:r/>
            <w:r>
              <w:rPr>
                <w:rFonts w:ascii="Arial" w:hAnsi="Arial" w:cs="Arial"/>
                <w:sz w:val="18"/>
              </w:rPr>
              <w:t>Cese tasado</w:t>
            </w:r>
          </w:p>
        </w:tc>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Reducción mensual</w:t>
            </w:r>
          </w:p>
        </w:tc>
      </w:tr>
      <w:tr>
        <w:tc>
          <w:tcPr>
            <w:tcW w:type="dxa" w:w="1712"/>
            <w:tcMar>
              <w:top w:w="80" w:type="dxa"/>
              <w:start w:w="120" w:type="dxa"/>
              <w:bottom w:w="80" w:type="dxa"/>
              <w:end w:w="120" w:type="dxa"/>
            </w:tcMar>
            <w:vAlign w:val="center"/>
          </w:tcPr>
          <w:p>
            <w:pPr>
              <w:spacing w:before="0" w:after="0" w:line="240" w:lineRule="auto"/>
              <w:jc w:val="left"/>
            </w:pPr>
            <w:r/>
            <w:r>
              <w:rPr>
                <w:rFonts w:ascii="Arial" w:hAnsi="Arial" w:cs="Arial"/>
                <w:sz w:val="18"/>
              </w:rPr>
              <w:t>Anticipada voluntaria</w:t>
            </w:r>
          </w:p>
        </w:tc>
        <w:tc>
          <w:tcPr>
            <w:tcW w:type="dxa" w:w="1478"/>
            <w:tcMar>
              <w:top w:w="80" w:type="dxa"/>
              <w:start w:w="120" w:type="dxa"/>
              <w:bottom w:w="80" w:type="dxa"/>
              <w:end w:w="120" w:type="dxa"/>
            </w:tcMar>
            <w:vAlign w:val="center"/>
          </w:tcPr>
          <w:p>
            <w:pPr>
              <w:spacing w:before="0" w:after="0" w:line="240" w:lineRule="auto"/>
              <w:jc w:val="left"/>
            </w:pPr>
            <w:r/>
            <w:r>
              <w:rPr>
                <w:rFonts w:ascii="Arial" w:hAnsi="Arial" w:cs="Arial"/>
                <w:sz w:val="18"/>
              </w:rPr>
              <w:t>Hasta 2 años antes</w:t>
            </w:r>
          </w:p>
        </w:tc>
        <w:tc>
          <w:tcPr>
            <w:tcW w:type="dxa" w:w="1790"/>
            <w:tcMar>
              <w:top w:w="80" w:type="dxa"/>
              <w:start w:w="120" w:type="dxa"/>
              <w:bottom w:w="80" w:type="dxa"/>
              <w:end w:w="120" w:type="dxa"/>
            </w:tcMar>
            <w:vAlign w:val="center"/>
          </w:tcPr>
          <w:p>
            <w:pPr>
              <w:spacing w:before="0" w:after="0" w:line="240" w:lineRule="auto"/>
              <w:jc w:val="center"/>
            </w:pPr>
            <w:r/>
            <w:r>
              <w:rPr>
                <w:rFonts w:ascii="Arial" w:hAnsi="Arial" w:cs="Arial"/>
                <w:sz w:val="18"/>
              </w:rPr>
              <w:t>35 años</w:t>
            </w:r>
          </w:p>
        </w:tc>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Cese voluntario admisible</w:t>
            </w:r>
          </w:p>
        </w:tc>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Reducción mensual y mínimo</w:t>
            </w:r>
          </w:p>
        </w:tc>
      </w:tr>
      <w:tr>
        <w:tc>
          <w:tcPr>
            <w:tcW w:type="dxa" w:w="1712"/>
            <w:tcMar>
              <w:top w:w="80" w:type="dxa"/>
              <w:start w:w="120" w:type="dxa"/>
              <w:bottom w:w="80" w:type="dxa"/>
              <w:end w:w="120" w:type="dxa"/>
            </w:tcMar>
            <w:vAlign w:val="center"/>
          </w:tcPr>
          <w:p>
            <w:pPr>
              <w:spacing w:before="0" w:after="0" w:line="240" w:lineRule="auto"/>
              <w:jc w:val="left"/>
            </w:pPr>
            <w:r/>
            <w:r>
              <w:rPr>
                <w:rFonts w:ascii="Arial" w:hAnsi="Arial" w:cs="Arial"/>
                <w:sz w:val="18"/>
              </w:rPr>
              <w:t>Parcial ordinaria</w:t>
            </w:r>
          </w:p>
        </w:tc>
        <w:tc>
          <w:tcPr>
            <w:tcW w:type="dxa" w:w="1478"/>
            <w:tcMar>
              <w:top w:w="80" w:type="dxa"/>
              <w:start w:w="120" w:type="dxa"/>
              <w:bottom w:w="80" w:type="dxa"/>
              <w:end w:w="120" w:type="dxa"/>
            </w:tcMar>
            <w:vAlign w:val="center"/>
          </w:tcPr>
          <w:p>
            <w:pPr>
              <w:spacing w:before="0" w:after="0" w:line="240" w:lineRule="auto"/>
              <w:jc w:val="left"/>
            </w:pPr>
            <w:r/>
            <w:r>
              <w:rPr>
                <w:rFonts w:ascii="Arial" w:hAnsi="Arial" w:cs="Arial"/>
                <w:sz w:val="18"/>
              </w:rPr>
              <w:t>Desde edad legal</w:t>
            </w:r>
          </w:p>
        </w:tc>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Requisitos de pensión</w:t>
            </w:r>
          </w:p>
        </w:tc>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Jornada reducida</w:t>
            </w:r>
          </w:p>
        </w:tc>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Pensión proporcional</w:t>
            </w:r>
          </w:p>
        </w:tc>
      </w:tr>
      <w:tr>
        <w:tc>
          <w:tcPr>
            <w:tcW w:type="dxa" w:w="1712"/>
            <w:tcMar>
              <w:top w:w="80" w:type="dxa"/>
              <w:start w:w="120" w:type="dxa"/>
              <w:bottom w:w="80" w:type="dxa"/>
              <w:end w:w="120" w:type="dxa"/>
            </w:tcMar>
            <w:vAlign w:val="center"/>
          </w:tcPr>
          <w:p>
            <w:pPr>
              <w:spacing w:before="0" w:after="0" w:line="240" w:lineRule="auto"/>
              <w:jc w:val="left"/>
            </w:pPr>
            <w:r/>
            <w:r>
              <w:rPr>
                <w:rFonts w:ascii="Arial" w:hAnsi="Arial" w:cs="Arial"/>
                <w:sz w:val="18"/>
              </w:rPr>
              <w:t>Parcial anticipada</w:t>
            </w:r>
          </w:p>
        </w:tc>
        <w:tc>
          <w:tcPr>
            <w:tcW w:type="dxa" w:w="1478"/>
            <w:tcMar>
              <w:top w:w="80" w:type="dxa"/>
              <w:start w:w="120" w:type="dxa"/>
              <w:bottom w:w="80" w:type="dxa"/>
              <w:end w:w="120" w:type="dxa"/>
            </w:tcMar>
            <w:vAlign w:val="center"/>
          </w:tcPr>
          <w:p>
            <w:pPr>
              <w:spacing w:before="0" w:after="0" w:line="240" w:lineRule="auto"/>
              <w:jc w:val="left"/>
            </w:pPr>
            <w:r/>
            <w:r>
              <w:rPr>
                <w:rFonts w:ascii="Arial" w:hAnsi="Arial" w:cs="Arial"/>
                <w:sz w:val="18"/>
              </w:rPr>
              <w:t>Hasta 3 años antes</w:t>
            </w:r>
          </w:p>
        </w:tc>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33 años; 25 con discapacidad</w:t>
            </w:r>
          </w:p>
        </w:tc>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Jornada reducida y relevo</w:t>
            </w:r>
          </w:p>
        </w:tc>
        <w:tc>
          <w:tcPr>
            <w:tcW w:type="dxa" w:w="1790"/>
            <w:tcMar>
              <w:top w:w="80" w:type="dxa"/>
              <w:start w:w="120" w:type="dxa"/>
              <w:bottom w:w="80" w:type="dxa"/>
              <w:end w:w="120" w:type="dxa"/>
            </w:tcMar>
            <w:vAlign w:val="center"/>
          </w:tcPr>
          <w:p>
            <w:pPr>
              <w:spacing w:before="0" w:after="0" w:line="240" w:lineRule="auto"/>
              <w:jc w:val="center"/>
            </w:pPr>
            <w:r/>
            <w:r>
              <w:rPr>
                <w:rFonts w:ascii="Arial" w:hAnsi="Arial" w:cs="Arial"/>
                <w:sz w:val="18"/>
              </w:rPr>
              <w:t>Pensión parcial</w:t>
            </w:r>
          </w:p>
        </w:tc>
      </w:tr>
      <w:tr>
        <w:tc>
          <w:tcPr>
            <w:tcW w:type="dxa" w:w="1712"/>
            <w:tcMar>
              <w:top w:w="80" w:type="dxa"/>
              <w:start w:w="120" w:type="dxa"/>
              <w:bottom w:w="80" w:type="dxa"/>
              <w:end w:w="120" w:type="dxa"/>
            </w:tcMar>
            <w:vAlign w:val="center"/>
          </w:tcPr>
          <w:p>
            <w:pPr>
              <w:spacing w:before="0" w:after="0" w:line="240" w:lineRule="auto"/>
              <w:jc w:val="left"/>
            </w:pPr>
            <w:r/>
            <w:r>
              <w:rPr>
                <w:rFonts w:ascii="Arial" w:hAnsi="Arial" w:cs="Arial"/>
                <w:sz w:val="18"/>
              </w:rPr>
              <w:t>Flexible</w:t>
            </w:r>
          </w:p>
        </w:tc>
        <w:tc>
          <w:tcPr>
            <w:tcW w:type="dxa" w:w="1478"/>
            <w:tcMar>
              <w:top w:w="80" w:type="dxa"/>
              <w:start w:w="120" w:type="dxa"/>
              <w:bottom w:w="80" w:type="dxa"/>
              <w:end w:w="120" w:type="dxa"/>
            </w:tcMar>
            <w:vAlign w:val="center"/>
          </w:tcPr>
          <w:p>
            <w:pPr>
              <w:spacing w:before="0" w:after="0" w:line="240" w:lineRule="auto"/>
              <w:jc w:val="left"/>
            </w:pPr>
            <w:r/>
            <w:r>
              <w:rPr>
                <w:rFonts w:ascii="Arial" w:hAnsi="Arial" w:cs="Arial"/>
                <w:sz w:val="18"/>
              </w:rPr>
              <w:t>Pensión ya causada</w:t>
            </w:r>
          </w:p>
        </w:tc>
        <w:tc>
          <w:tcPr>
            <w:tcW w:type="dxa" w:w="1790"/>
            <w:tcMar>
              <w:top w:w="80" w:type="dxa"/>
              <w:start w:w="120" w:type="dxa"/>
              <w:bottom w:w="80" w:type="dxa"/>
              <w:end w:w="120" w:type="dxa"/>
            </w:tcMar>
            <w:vAlign w:val="center"/>
          </w:tcPr>
          <w:p>
            <w:pPr>
              <w:spacing w:before="0" w:after="0" w:line="240" w:lineRule="auto"/>
              <w:jc w:val="center"/>
            </w:pPr>
            <w:r/>
            <w:r>
              <w:rPr>
                <w:rFonts w:ascii="Arial" w:hAnsi="Arial" w:cs="Arial"/>
                <w:sz w:val="18"/>
              </w:rPr>
              <w:t>Pensión previa</w:t>
            </w:r>
          </w:p>
        </w:tc>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Nuevo trabajo parcial</w:t>
            </w:r>
          </w:p>
        </w:tc>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Reducción proporcional</w:t>
            </w:r>
          </w:p>
        </w:tc>
      </w:tr>
      <w:tr>
        <w:tc>
          <w:tcPr>
            <w:tcW w:type="dxa" w:w="1712"/>
            <w:tcMar>
              <w:top w:w="80" w:type="dxa"/>
              <w:start w:w="120" w:type="dxa"/>
              <w:bottom w:w="80" w:type="dxa"/>
              <w:end w:w="120" w:type="dxa"/>
            </w:tcMar>
            <w:vAlign w:val="center"/>
          </w:tcPr>
          <w:p>
            <w:pPr>
              <w:spacing w:before="0" w:after="0" w:line="240" w:lineRule="auto"/>
              <w:jc w:val="left"/>
            </w:pPr>
            <w:r/>
            <w:r>
              <w:rPr>
                <w:rFonts w:ascii="Arial" w:hAnsi="Arial" w:cs="Arial"/>
                <w:sz w:val="18"/>
              </w:rPr>
              <w:t>Activa</w:t>
            </w:r>
          </w:p>
        </w:tc>
        <w:tc>
          <w:tcPr>
            <w:tcW w:type="dxa" w:w="1478"/>
            <w:tcMar>
              <w:top w:w="80" w:type="dxa"/>
              <w:start w:w="120" w:type="dxa"/>
              <w:bottom w:w="80" w:type="dxa"/>
              <w:end w:w="120" w:type="dxa"/>
            </w:tcMar>
            <w:vAlign w:val="center"/>
          </w:tcPr>
          <w:p>
            <w:pPr>
              <w:spacing w:before="0" w:after="0" w:line="240" w:lineRule="auto"/>
              <w:jc w:val="left"/>
            </w:pPr>
            <w:r/>
            <w:r>
              <w:rPr>
                <w:rFonts w:ascii="Arial" w:hAnsi="Arial" w:cs="Arial"/>
                <w:sz w:val="18"/>
              </w:rPr>
              <w:t>Al menos 1 año de demora</w:t>
            </w:r>
          </w:p>
        </w:tc>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Carencia al llegar a edad</w:t>
            </w:r>
          </w:p>
        </w:tc>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Trabajo completo/parcial o propio</w:t>
            </w:r>
          </w:p>
        </w:tc>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45–100 % según demora</w:t>
            </w:r>
          </w:p>
        </w:tc>
      </w:tr>
    </w:tbl>
    <w:p>
      <w:pPr>
        <w:spacing w:after="40"/>
      </w:pPr>
    </w:p>
    <w:p>
      <w:pPr>
        <w:pStyle w:val="Heading1"/>
        <w:keepNext/>
      </w:pPr>
      <w:r>
        <w:rPr>
          <w:rFonts w:ascii="Arial" w:hAnsi="Arial" w:cs="Arial"/>
          <w:sz w:val="30"/>
        </w:rPr>
        <w:t>15. Errores frecuentes</w:t>
      </w:r>
    </w:p>
    <w:p>
      <w:pPr>
        <w:spacing w:after="40"/>
        <w:ind w:left="369" w:hanging="227"/>
      </w:pPr>
      <w:r>
        <w:rPr>
          <w:rFonts w:ascii="Arial" w:hAnsi="Arial" w:cs="Arial"/>
          <w:sz w:val="22"/>
        </w:rPr>
        <w:t>1. Memorizar para 2026 la edad definitiva de sesenta y siete años sin aplicar la disposición transitoria séptima.</w:t>
      </w:r>
    </w:p>
    <w:p>
      <w:pPr>
        <w:spacing w:after="40"/>
        <w:ind w:left="369" w:hanging="227"/>
      </w:pPr>
      <w:r>
        <w:rPr>
          <w:rFonts w:ascii="Arial" w:hAnsi="Arial" w:cs="Arial"/>
          <w:sz w:val="22"/>
        </w:rPr>
        <w:t>2. Exigir treinta y ocho años y seis meses para jubilarse a los sesenta y cinco en 2026; el umbral es treinta y ocho años y tres meses.</w:t>
      </w:r>
    </w:p>
    <w:p>
      <w:pPr>
        <w:spacing w:after="40"/>
        <w:ind w:left="369" w:hanging="227"/>
      </w:pPr>
      <w:r>
        <w:rPr>
          <w:rFonts w:ascii="Arial" w:hAnsi="Arial" w:cs="Arial"/>
          <w:sz w:val="22"/>
        </w:rPr>
        <w:t>3. Contar fracciones de mes como mes cotizado para alcanzar el tramo de edad.</w:t>
      </w:r>
    </w:p>
    <w:p>
      <w:pPr>
        <w:spacing w:after="40"/>
        <w:ind w:left="369" w:hanging="227"/>
      </w:pPr>
      <w:r>
        <w:rPr>
          <w:rFonts w:ascii="Arial" w:hAnsi="Arial" w:cs="Arial"/>
          <w:sz w:val="22"/>
        </w:rPr>
        <w:t>4. Confundir los quince años de carencia genérica con los dos dentro de quince de carencia específica.</w:t>
      </w:r>
    </w:p>
    <w:p>
      <w:pPr>
        <w:spacing w:after="40"/>
        <w:ind w:left="369" w:hanging="227"/>
      </w:pPr>
      <w:r>
        <w:rPr>
          <w:rFonts w:ascii="Arial" w:hAnsi="Arial" w:cs="Arial"/>
          <w:sz w:val="22"/>
        </w:rPr>
        <w:t>5. Afirmar que no puede accederse desde no alta.</w:t>
      </w:r>
    </w:p>
    <w:p>
      <w:pPr>
        <w:spacing w:after="40"/>
        <w:ind w:left="369" w:hanging="227"/>
      </w:pPr>
      <w:r>
        <w:rPr>
          <w:rFonts w:ascii="Arial" w:hAnsi="Arial" w:cs="Arial"/>
          <w:sz w:val="22"/>
        </w:rPr>
        <w:t>6. Usar solo la fórmula 300/350 o solo la 302/352,33: en 2026 se comparan ambas.</w:t>
      </w:r>
    </w:p>
    <w:p>
      <w:pPr>
        <w:spacing w:after="40"/>
        <w:ind w:left="369" w:hanging="227"/>
      </w:pPr>
      <w:r>
        <w:rPr>
          <w:rFonts w:ascii="Arial" w:hAnsi="Arial" w:cs="Arial"/>
          <w:sz w:val="22"/>
        </w:rPr>
        <w:t>7. Llamar base reguladora a la suma de bases sin aplicar actualización, integración y divisor.</w:t>
      </w:r>
    </w:p>
    <w:p>
      <w:pPr>
        <w:spacing w:after="40"/>
        <w:ind w:left="369" w:hanging="227"/>
      </w:pPr>
      <w:r>
        <w:rPr>
          <w:rFonts w:ascii="Arial" w:hAnsi="Arial" w:cs="Arial"/>
          <w:sz w:val="22"/>
        </w:rPr>
        <w:t>8. Trasladar la integración de lagunas del Régimen General al RETA sin norma.</w:t>
      </w:r>
    </w:p>
    <w:p>
      <w:pPr>
        <w:spacing w:after="40"/>
        <w:ind w:left="369" w:hanging="227"/>
      </w:pPr>
      <w:r>
        <w:rPr>
          <w:rFonts w:ascii="Arial" w:hAnsi="Arial" w:cs="Arial"/>
          <w:sz w:val="22"/>
        </w:rPr>
        <w:t>9. Aplicar directamente los porcentajes definitivos del artículo 210, olvidando la escala transitoria de 2026.</w:t>
      </w:r>
    </w:p>
    <w:p>
      <w:pPr>
        <w:spacing w:after="40"/>
        <w:ind w:left="369" w:hanging="227"/>
      </w:pPr>
      <w:r>
        <w:rPr>
          <w:rFonts w:ascii="Arial" w:hAnsi="Arial" w:cs="Arial"/>
          <w:sz w:val="22"/>
        </w:rPr>
        <w:t>10. Confundir jubilación anticipada involuntaria con reducción de edad por trabajo penoso.</w:t>
      </w:r>
    </w:p>
    <w:p>
      <w:pPr>
        <w:spacing w:after="40"/>
        <w:ind w:left="369" w:hanging="227"/>
      </w:pPr>
      <w:r>
        <w:rPr>
          <w:rFonts w:ascii="Arial" w:hAnsi="Arial" w:cs="Arial"/>
          <w:sz w:val="22"/>
        </w:rPr>
        <w:t>11. Olvidar los seis meses como demandante de empleo en la anticipada involuntaria.</w:t>
      </w:r>
    </w:p>
    <w:p>
      <w:pPr>
        <w:spacing w:after="40"/>
        <w:ind w:left="369" w:hanging="227"/>
      </w:pPr>
      <w:r>
        <w:rPr>
          <w:rFonts w:ascii="Arial" w:hAnsi="Arial" w:cs="Arial"/>
          <w:sz w:val="22"/>
        </w:rPr>
        <w:t>12. Aplicar la escala involuntaria a todo perceptor de subsidio: el artículo 208.3 exige el subsidio del artículo 274 durante al menos tres meses.</w:t>
      </w:r>
    </w:p>
    <w:p>
      <w:pPr>
        <w:spacing w:after="40"/>
        <w:ind w:left="369" w:hanging="227"/>
      </w:pPr>
      <w:r>
        <w:rPr>
          <w:rFonts w:ascii="Arial" w:hAnsi="Arial" w:cs="Arial"/>
          <w:sz w:val="22"/>
        </w:rPr>
        <w:t>13. Calcular los coeficientes por años en lugar de por meses o fracciones de mes.</w:t>
      </w:r>
    </w:p>
    <w:p>
      <w:pPr>
        <w:spacing w:after="40"/>
        <w:ind w:left="369" w:hanging="227"/>
      </w:pPr>
      <w:r>
        <w:rPr>
          <w:rFonts w:ascii="Arial" w:hAnsi="Arial" w:cs="Arial"/>
          <w:sz w:val="22"/>
        </w:rPr>
        <w:t>14. Confundir jubilación parcial —antes de una pensión plena— con flexible —después de causarla—.</w:t>
      </w:r>
    </w:p>
    <w:p>
      <w:pPr>
        <w:spacing w:after="40"/>
        <w:ind w:left="369" w:hanging="227"/>
      </w:pPr>
      <w:r>
        <w:rPr>
          <w:rFonts w:ascii="Arial" w:hAnsi="Arial" w:cs="Arial"/>
          <w:sz w:val="22"/>
        </w:rPr>
        <w:t>15. Aplicar el RD 416/2026 el 30 de julio: entra en vigor el 28 de agosto.</w:t>
      </w:r>
    </w:p>
    <w:p>
      <w:pPr>
        <w:spacing w:after="40"/>
        <w:ind w:left="369" w:hanging="227"/>
      </w:pPr>
      <w:r>
        <w:rPr>
          <w:rFonts w:ascii="Arial" w:hAnsi="Arial" w:cs="Arial"/>
          <w:sz w:val="22"/>
        </w:rPr>
        <w:t>16. Exigir contrato de relevo en toda jubilación parcial, incluso después de la edad ordinaria.</w:t>
      </w:r>
    </w:p>
    <w:p>
      <w:pPr>
        <w:spacing w:after="40"/>
        <w:ind w:left="369" w:hanging="227"/>
      </w:pPr>
      <w:r>
        <w:rPr>
          <w:rFonts w:ascii="Arial" w:hAnsi="Arial" w:cs="Arial"/>
          <w:sz w:val="22"/>
        </w:rPr>
        <w:t>17. Creer que la jubilación activa paga siempre el 50 %: desde 2025 rige una escala de 45 a 100 %.</w:t>
      </w:r>
    </w:p>
    <w:p>
      <w:pPr>
        <w:spacing w:after="40"/>
        <w:ind w:left="369" w:hanging="227"/>
      </w:pPr>
      <w:r>
        <w:rPr>
          <w:rFonts w:ascii="Arial" w:hAnsi="Arial" w:cs="Arial"/>
          <w:sz w:val="22"/>
        </w:rPr>
        <w:t>18. Incluir complemento a mínimos mientras se trabaja en jubilación activa.</w:t>
      </w:r>
    </w:p>
    <w:p>
      <w:pPr>
        <w:spacing w:after="40"/>
        <w:ind w:left="369" w:hanging="227"/>
      </w:pPr>
      <w:r>
        <w:rPr>
          <w:rFonts w:ascii="Arial" w:hAnsi="Arial" w:cs="Arial"/>
          <w:sz w:val="22"/>
        </w:rPr>
        <w:t>19. Considerar que cualquier trabajo extingue la pensión: puede suspender, reducir o ser compatible.</w:t>
      </w:r>
    </w:p>
    <w:p>
      <w:pPr>
        <w:spacing w:after="40"/>
        <w:ind w:left="369" w:hanging="227"/>
      </w:pPr>
      <w:r>
        <w:rPr>
          <w:rFonts w:ascii="Arial" w:hAnsi="Arial" w:cs="Arial"/>
          <w:sz w:val="22"/>
        </w:rPr>
        <w:t>20. Entender la disposición transitoria cuarta como una opción general por la norma más favorable.</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736"/>
        <w:gridCol w:w="2290"/>
      </w:tblGrid>
      <w:tr>
        <w:trPr>
          <w:tblHeader w:val="true"/>
        </w:trPr>
        <w:tc>
          <w:tcPr>
            <w:tcW w:type="dxa" w:w="673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29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S10</w:t>
            </w:r>
          </w:p>
        </w:tc>
      </w:tr>
      <w:tr>
        <w:tc>
          <w:tcPr>
            <w:tcW w:type="dxa" w:w="6736"/>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290"/>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r>
      <w:tr>
        <w:tc>
          <w:tcPr>
            <w:tcW w:type="dxa" w:w="6736"/>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290"/>
            <w:tcMar>
              <w:top w:w="80" w:type="dxa"/>
              <w:start w:w="120" w:type="dxa"/>
              <w:bottom w:w="80" w:type="dxa"/>
              <w:end w:w="120" w:type="dxa"/>
            </w:tcMar>
            <w:vAlign w:val="center"/>
          </w:tcPr>
          <w:p>
            <w:pPr>
              <w:spacing w:before="0" w:after="0" w:line="240" w:lineRule="auto"/>
              <w:jc w:val="left"/>
            </w:pPr>
            <w:r/>
            <w:r>
              <w:rPr>
                <w:rFonts w:ascii="Arial" w:hAnsi="Arial" w:cs="Arial"/>
                <w:sz w:val="18"/>
              </w:rPr>
              <w:t>2024: 10, 2025: 17, 2026: 5</w:t>
            </w:r>
          </w:p>
        </w:tc>
      </w:tr>
      <w:tr>
        <w:tc>
          <w:tcPr>
            <w:tcW w:type="dxa" w:w="6736"/>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290"/>
            <w:tcMar>
              <w:top w:w="80" w:type="dxa"/>
              <w:start w:w="120" w:type="dxa"/>
              <w:bottom w:w="80" w:type="dxa"/>
              <w:end w:w="120" w:type="dxa"/>
            </w:tcMar>
            <w:vAlign w:val="center"/>
          </w:tcPr>
          <w:p>
            <w:pPr>
              <w:spacing w:before="0" w:after="0" w:line="240" w:lineRule="auto"/>
              <w:jc w:val="center"/>
            </w:pPr>
            <w:r/>
            <w:r>
              <w:rPr>
                <w:rFonts w:ascii="Arial" w:hAnsi="Arial" w:cs="Arial"/>
                <w:sz w:val="18"/>
              </w:rPr>
              <w:t>17 / 15</w:t>
            </w:r>
          </w:p>
        </w:tc>
      </w:tr>
      <w:tr>
        <w:tc>
          <w:tcPr>
            <w:tcW w:type="dxa" w:w="6736"/>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290"/>
            <w:tcMar>
              <w:top w:w="80" w:type="dxa"/>
              <w:start w:w="120" w:type="dxa"/>
              <w:bottom w:w="80" w:type="dxa"/>
              <w:end w:w="120" w:type="dxa"/>
            </w:tcMar>
            <w:vAlign w:val="center"/>
          </w:tcPr>
          <w:p>
            <w:pPr>
              <w:spacing w:before="0" w:after="0" w:line="240" w:lineRule="auto"/>
              <w:jc w:val="center"/>
            </w:pPr>
            <w:r/>
            <w:r>
              <w:rPr>
                <w:rFonts w:ascii="Arial" w:hAnsi="Arial" w:cs="Arial"/>
                <w:sz w:val="18"/>
              </w:rPr>
              <w:t>8</w:t>
            </w:r>
          </w:p>
        </w:tc>
      </w:tr>
      <w:tr>
        <w:tc>
          <w:tcPr>
            <w:tcW w:type="dxa" w:w="6736"/>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290"/>
            <w:tcMar>
              <w:top w:w="80" w:type="dxa"/>
              <w:start w:w="120" w:type="dxa"/>
              <w:bottom w:w="80" w:type="dxa"/>
              <w:end w:w="120" w:type="dxa"/>
            </w:tcMar>
            <w:vAlign w:val="center"/>
          </w:tcPr>
          <w:p>
            <w:pPr>
              <w:spacing w:before="0" w:after="0" w:line="240" w:lineRule="auto"/>
              <w:jc w:val="center"/>
            </w:pPr>
            <w:r/>
            <w:r>
              <w:rPr>
                <w:rFonts w:ascii="Arial" w:hAnsi="Arial" w:cs="Arial"/>
                <w:sz w:val="18"/>
              </w:rPr>
              <w:t>1 / 0</w:t>
            </w:r>
          </w:p>
        </w:tc>
      </w:tr>
      <w:tr>
        <w:tc>
          <w:tcPr>
            <w:tcW w:type="dxa" w:w="6736"/>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29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r>
    </w:tbl>
    <w:p>
      <w:pPr>
        <w:spacing w:after="40"/>
      </w:pPr>
    </w:p>
    <w:p>
      <w:pPr>
        <w:jc w:val="both"/>
      </w:pPr>
      <w:r>
        <w:rPr>
          <w:rFonts w:ascii="Arial" w:hAnsi="Arial" w:cs="Arial"/>
          <w:b/>
          <w:sz w:val="22"/>
        </w:rPr>
        <w:t>Normas que más aparecen:</w:t>
      </w:r>
      <w:r>
        <w:rPr>
          <w:rFonts w:ascii="Arial" w:hAnsi="Arial" w:cs="Arial"/>
          <w:sz w:val="22"/>
        </w:rPr>
        <w:t xml:space="preserve"> texto refundido de la Ley General de la Seguridad Social (13); Texto Refundido de la Ley General de la Seguridad Social (4).</w:t>
      </w:r>
    </w:p>
    <w:p>
      <w:pPr>
        <w:jc w:val="both"/>
      </w:pPr>
      <w:r>
        <w:rPr>
          <w:rFonts w:ascii="Arial" w:hAnsi="Arial" w:cs="Arial"/>
          <w:b/>
          <w:sz w:val="22"/>
        </w:rPr>
        <w:t>Artículos o preceptos más repetidos:</w:t>
      </w:r>
      <w:r>
        <w:rPr>
          <w:rFonts w:ascii="Arial" w:hAnsi="Arial" w:cs="Arial"/>
          <w:sz w:val="22"/>
        </w:rPr>
        <w:t xml:space="preserve"> 205 (3); 215 (3); 207 (3); 213 (1); 210 (1); 153 (1); 205.1 (1); 206 (1).</w:t>
      </w:r>
    </w:p>
    <w:p>
      <w:pPr>
        <w:jc w:val="both"/>
      </w:pPr>
      <w:r>
        <w:rPr>
          <w:rFonts w:ascii="Arial" w:hAnsi="Arial" w:cs="Arial"/>
          <w:b/>
          <w:sz w:val="22"/>
        </w:rPr>
        <w:t>Formas de pregunta predominantes:</w:t>
      </w:r>
      <w:r>
        <w:rPr>
          <w:rFonts w:ascii="Arial" w:hAnsi="Arial" w:cs="Arial"/>
          <w:sz w:val="22"/>
        </w:rPr>
        <w:t xml:space="preserve"> Jubilación (18); Requisitos (9); Cálculos (4); Plazos (1).</w:t>
      </w:r>
    </w:p>
    <w:p>
      <w:pPr>
        <w:pStyle w:val="Heading2"/>
        <w:keepNext/>
      </w:pPr>
      <w:r>
        <w:rPr>
          <w:rFonts w:ascii="Arial" w:hAnsi="Arial" w:cs="Arial"/>
          <w:sz w:val="25"/>
        </w:rPr>
        <w:t>Patrones observados</w:t>
      </w:r>
    </w:p>
    <w:p>
      <w:pPr>
        <w:pStyle w:val="ListBullet"/>
      </w:pPr>
      <w:r>
        <w:rPr>
          <w:rFonts w:ascii="Arial" w:hAnsi="Arial" w:cs="Arial"/>
          <w:b/>
          <w:sz w:val="22"/>
        </w:rPr>
        <w:t>2025, supuesto 17, reserva:</w:t>
      </w:r>
      <w:r>
        <w:rPr>
          <w:rFonts w:ascii="Arial" w:hAnsi="Arial" w:cs="Arial"/>
          <w:sz w:val="22"/>
        </w:rPr>
        <w:t xml:space="preserve"> Ramón cumple los requisitos para jubilarse ordinariamente el 10 de diciembre de 2025. En enero de 2025 la empresa de Juan Luis decidió unilateralmente incrementar su salario mensual en un 10%. El incremento…</w:t>
      </w:r>
    </w:p>
    <w:p>
      <w:pPr>
        <w:pStyle w:val="ListBullet"/>
      </w:pPr>
      <w:r>
        <w:rPr>
          <w:rFonts w:ascii="Arial" w:hAnsi="Arial" w:cs="Arial"/>
          <w:b/>
          <w:sz w:val="22"/>
        </w:rPr>
        <w:t>2026, supuesto 16, reserva:</w:t>
      </w:r>
      <w:r>
        <w:rPr>
          <w:rFonts w:ascii="Arial" w:hAnsi="Arial" w:cs="Arial"/>
          <w:sz w:val="22"/>
        </w:rPr>
        <w:t xml:space="preserve"> ¿Reúne Dña. Rosa Antofagasta el requisito de edad que establece el artículo 207 del texto refundido de la Ley General de la Seguridad Social para poderse jubilar anticipadamente por causa no imputable a la…</w:t>
      </w:r>
    </w:p>
    <w:p>
      <w:pPr>
        <w:pStyle w:val="ListBullet"/>
      </w:pPr>
      <w:r>
        <w:rPr>
          <w:rFonts w:ascii="Arial" w:hAnsi="Arial" w:cs="Arial"/>
          <w:b/>
          <w:sz w:val="22"/>
        </w:rPr>
        <w:t>2026, supuesto 17, reserva:</w:t>
      </w:r>
      <w:r>
        <w:rPr>
          <w:rFonts w:ascii="Arial" w:hAnsi="Arial" w:cs="Arial"/>
          <w:sz w:val="22"/>
        </w:rPr>
        <w:t xml:space="preserve"> Si Dña. Rosa Antofagasta solicita su pensión de jubilación el día 9 de junio de 2026 y por tanto este día se considerará como el día del hecho causante, indique los meses cuyas bases de cotización se computan…</w:t>
      </w:r>
    </w:p>
    <w:p>
      <w:pPr>
        <w:pStyle w:val="ListBullet"/>
      </w:pPr>
      <w:r>
        <w:rPr>
          <w:rFonts w:ascii="Arial" w:hAnsi="Arial" w:cs="Arial"/>
          <w:b/>
          <w:sz w:val="22"/>
        </w:rPr>
        <w:t>2026, supuesto 18, reserva:</w:t>
      </w:r>
      <w:r>
        <w:rPr>
          <w:rFonts w:ascii="Arial" w:hAnsi="Arial" w:cs="Arial"/>
          <w:sz w:val="22"/>
        </w:rPr>
        <w:t xml:space="preserve"> ¿Cuántos años deberá de tener cotizados D. Leonardo Meléndez, para poderse jubilar con 65 años, según la Disposición transitoria séptima del texto refundido de la Ley General de la Seguridad Social?</w:t>
      </w:r>
    </w:p>
    <w:p>
      <w:pPr>
        <w:pStyle w:val="ListBullet"/>
      </w:pPr>
      <w:r>
        <w:rPr>
          <w:rFonts w:ascii="Arial" w:hAnsi="Arial" w:cs="Arial"/>
          <w:b/>
          <w:sz w:val="22"/>
        </w:rPr>
        <w:t>2024, supuesto 11:</w:t>
      </w:r>
      <w:r>
        <w:rPr>
          <w:rFonts w:ascii="Arial" w:hAnsi="Arial" w:cs="Arial"/>
          <w:sz w:val="22"/>
        </w:rPr>
        <w:t xml:space="preserve"> A los efectos de acceso de la jubilación de Carlos Palou, ¿Ie afectaría de algún modo la discapacidad que acredita?</w:t>
      </w:r>
    </w:p>
    <w:p>
      <w:pPr>
        <w:pStyle w:val="ListBullet"/>
      </w:pPr>
      <w:r>
        <w:rPr>
          <w:rFonts w:ascii="Arial" w:hAnsi="Arial" w:cs="Arial"/>
          <w:b/>
          <w:sz w:val="22"/>
        </w:rPr>
        <w:t>2024, supuesto 12:</w:t>
      </w:r>
      <w:r>
        <w:rPr>
          <w:rFonts w:ascii="Arial" w:hAnsi="Arial" w:cs="Arial"/>
          <w:sz w:val="22"/>
        </w:rPr>
        <w:t xml:space="preserve"> Suponiendo una base reguladora de la pensión en el momento del acceso a la misma de 2.800 euros, ¿a partir de qué fecha cumpliría Carlos Palou los requisitos de edad y cotización para acceder a la jubilación…</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2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17. Resumen de repaso</w:t>
      </w:r>
    </w:p>
    <w:p>
      <w:pPr>
        <w:jc w:val="both"/>
      </w:pPr>
      <w:r>
        <w:rPr>
          <w:rFonts w:ascii="Arial" w:hAnsi="Arial" w:cs="Arial"/>
          <w:sz w:val="22"/>
        </w:rPr>
        <w:t>La jubilación contributiva es una pensión vitalicia vinculada a edad, cese y cotización. En 2026 la edad es 65 años con 38 años y 3 meses, o 66 años y 10 meses en otro caso. Se exigen 15 años, con 2 dentro de los 15 anteriores. Puede causarse desde no alta si se cumplen edad y cotización.</w:t>
      </w:r>
    </w:p>
    <w:p>
      <w:pPr>
        <w:jc w:val="both"/>
      </w:pPr>
      <w:r>
        <w:rPr>
          <w:rFonts w:ascii="Arial" w:hAnsi="Arial" w:cs="Arial"/>
          <w:sz w:val="22"/>
        </w:rPr>
        <w:t>En 2026 se compara de oficio la fórmula tradicional de 300 bases/350 con la transitoria de las 302 mejores bases entre 304/divisor 352,33. El porcentaje parte del 50 % por quince años y alcanza el 100 % con 36 años y 6 meses. La anticipada involuntaria permite cuatro años y exige 33 años, inscripción de seis meses y causa tasada; la voluntaria permite dos años, exige 35 y que la pensión supere la mínima futura.</w:t>
      </w:r>
    </w:p>
    <w:p>
      <w:pPr>
        <w:jc w:val="both"/>
      </w:pPr>
      <w:r>
        <w:rPr>
          <w:rFonts w:ascii="Arial" w:hAnsi="Arial" w:cs="Arial"/>
          <w:sz w:val="22"/>
        </w:rPr>
        <w:t>La parcial combina pensión y reducción de jornada; si es anticipada exige relevo indefinido y completo. La flexible parte de una pensión ya causada: a 30 de julio sigue vigente el RD 1132/2002 y el RD 416/2026 será aplicable desde 28 de agosto. La activa exige al menos un año de demora y paga del 45 al 100 % según años.</w:t>
      </w:r>
    </w:p>
    <w:p>
      <w:pPr>
        <w:jc w:val="both"/>
      </w:pPr>
      <w:r>
        <w:rPr>
          <w:rFonts w:ascii="Arial" w:hAnsi="Arial" w:cs="Arial"/>
          <w:sz w:val="22"/>
        </w:rPr>
        <w:t>La incompatibilidad con el trabajo es la regla, con excepciones expresas. El trabajo incompatible suspende el abono y genera reintegro si se oculta; la extinción ordinaria se produce por fallecimiento. La normativa anterior a la Ley 27/2011 solo se mantiene para los colectivos delimitados por la disposición transitoria cuarta.</w:t>
      </w:r>
    </w:p>
    <w:p>
      <w:pPr>
        <w:pStyle w:val="Heading1"/>
        <w:keepNext/>
      </w:pPr>
      <w:r>
        <w:rPr>
          <w:rFonts w:ascii="Arial" w:hAnsi="Arial" w:cs="Arial"/>
          <w:sz w:val="30"/>
        </w:rPr>
        <w:t>18. Datos especialmente preguntables</w:t>
      </w:r>
    </w:p>
    <w:p>
      <w:pPr>
        <w:pStyle w:val="ListBullet"/>
      </w:pPr>
      <w:r>
        <w:rPr>
          <w:rFonts w:ascii="Arial" w:hAnsi="Arial" w:cs="Arial"/>
          <w:sz w:val="22"/>
        </w:rPr>
        <w:t xml:space="preserve">Concepto: artículo </w:t>
      </w:r>
      <w:r>
        <w:rPr>
          <w:rFonts w:ascii="Arial" w:hAnsi="Arial" w:cs="Arial"/>
          <w:b/>
          <w:sz w:val="22"/>
        </w:rPr>
        <w:t>204 TRLGSS</w:t>
      </w:r>
      <w:r>
        <w:rPr>
          <w:rFonts w:ascii="Arial" w:hAnsi="Arial" w:cs="Arial"/>
          <w:sz w:val="22"/>
        </w:rPr>
        <w:t>.</w:t>
      </w:r>
    </w:p>
    <w:p>
      <w:pPr>
        <w:pStyle w:val="ListBullet"/>
      </w:pPr>
      <w:r>
        <w:rPr>
          <w:rFonts w:ascii="Arial" w:hAnsi="Arial" w:cs="Arial"/>
          <w:sz w:val="22"/>
        </w:rPr>
        <w:t xml:space="preserve">Requisitos ordinarios: artículo </w:t>
      </w:r>
      <w:r>
        <w:rPr>
          <w:rFonts w:ascii="Arial" w:hAnsi="Arial" w:cs="Arial"/>
          <w:b/>
          <w:sz w:val="22"/>
        </w:rPr>
        <w:t>205</w:t>
      </w:r>
      <w:r>
        <w:rPr>
          <w:rFonts w:ascii="Arial" w:hAnsi="Arial" w:cs="Arial"/>
          <w:sz w:val="22"/>
        </w:rPr>
        <w:t>.</w:t>
      </w:r>
    </w:p>
    <w:p>
      <w:pPr>
        <w:pStyle w:val="ListBullet"/>
      </w:pPr>
      <w:r>
        <w:rPr>
          <w:rFonts w:ascii="Arial" w:hAnsi="Arial" w:cs="Arial"/>
          <w:sz w:val="22"/>
        </w:rPr>
        <w:t xml:space="preserve">Edad 2026: </w:t>
      </w:r>
      <w:r>
        <w:rPr>
          <w:rFonts w:ascii="Arial" w:hAnsi="Arial" w:cs="Arial"/>
          <w:b/>
          <w:sz w:val="22"/>
        </w:rPr>
        <w:t>65 con 38 años y 3 meses; si no, 66 años y 10 meses</w:t>
      </w:r>
      <w:r>
        <w:rPr>
          <w:rFonts w:ascii="Arial" w:hAnsi="Arial" w:cs="Arial"/>
          <w:sz w:val="22"/>
        </w:rPr>
        <w:t>.</w:t>
      </w:r>
    </w:p>
    <w:p>
      <w:pPr>
        <w:pStyle w:val="ListBullet"/>
      </w:pPr>
      <w:r>
        <w:rPr>
          <w:rFonts w:ascii="Arial" w:hAnsi="Arial" w:cs="Arial"/>
          <w:sz w:val="22"/>
        </w:rPr>
        <w:t xml:space="preserve">Carencia: </w:t>
      </w:r>
      <w:r>
        <w:rPr>
          <w:rFonts w:ascii="Arial" w:hAnsi="Arial" w:cs="Arial"/>
          <w:b/>
          <w:sz w:val="22"/>
        </w:rPr>
        <w:t>15 años; 2 dentro de 15</w:t>
      </w:r>
      <w:r>
        <w:rPr>
          <w:rFonts w:ascii="Arial" w:hAnsi="Arial" w:cs="Arial"/>
          <w:sz w:val="22"/>
        </w:rPr>
        <w:t>.</w:t>
      </w:r>
    </w:p>
    <w:p>
      <w:pPr>
        <w:pStyle w:val="ListBullet"/>
      </w:pPr>
      <w:r>
        <w:rPr>
          <w:rFonts w:ascii="Arial" w:hAnsi="Arial" w:cs="Arial"/>
          <w:sz w:val="22"/>
        </w:rPr>
        <w:t xml:space="preserve">Base nueva 2026: </w:t>
      </w:r>
      <w:r>
        <w:rPr>
          <w:rFonts w:ascii="Arial" w:hAnsi="Arial" w:cs="Arial"/>
          <w:b/>
          <w:sz w:val="22"/>
        </w:rPr>
        <w:t>302 mejores entre 304 / 352,33</w:t>
      </w:r>
      <w:r>
        <w:rPr>
          <w:rFonts w:ascii="Arial" w:hAnsi="Arial" w:cs="Arial"/>
          <w:sz w:val="22"/>
        </w:rPr>
        <w:t>.</w:t>
      </w:r>
    </w:p>
    <w:p>
      <w:pPr>
        <w:pStyle w:val="ListBullet"/>
      </w:pPr>
      <w:r>
        <w:rPr>
          <w:rFonts w:ascii="Arial" w:hAnsi="Arial" w:cs="Arial"/>
          <w:sz w:val="22"/>
        </w:rPr>
        <w:t xml:space="preserve">Comparación: fórmula anterior </w:t>
      </w:r>
      <w:r>
        <w:rPr>
          <w:rFonts w:ascii="Arial" w:hAnsi="Arial" w:cs="Arial"/>
          <w:b/>
          <w:sz w:val="22"/>
        </w:rPr>
        <w:t>300 / 350</w:t>
      </w:r>
      <w:r>
        <w:rPr>
          <w:rFonts w:ascii="Arial" w:hAnsi="Arial" w:cs="Arial"/>
          <w:sz w:val="22"/>
        </w:rPr>
        <w:t>, si es más favorable.</w:t>
      </w:r>
    </w:p>
    <w:p>
      <w:pPr>
        <w:pStyle w:val="ListBullet"/>
      </w:pPr>
      <w:r>
        <w:rPr>
          <w:rFonts w:ascii="Arial" w:hAnsi="Arial" w:cs="Arial"/>
          <w:sz w:val="22"/>
        </w:rPr>
        <w:t xml:space="preserve">Porcentaje inicial: </w:t>
      </w:r>
      <w:r>
        <w:rPr>
          <w:rFonts w:ascii="Arial" w:hAnsi="Arial" w:cs="Arial"/>
          <w:b/>
          <w:sz w:val="22"/>
        </w:rPr>
        <w:t>50 % por 15 años</w:t>
      </w:r>
      <w:r>
        <w:rPr>
          <w:rFonts w:ascii="Arial" w:hAnsi="Arial" w:cs="Arial"/>
          <w:sz w:val="22"/>
        </w:rPr>
        <w:t>.</w:t>
      </w:r>
    </w:p>
    <w:p>
      <w:pPr>
        <w:pStyle w:val="ListBullet"/>
      </w:pPr>
      <w:r>
        <w:rPr>
          <w:rFonts w:ascii="Arial" w:hAnsi="Arial" w:cs="Arial"/>
          <w:sz w:val="22"/>
        </w:rPr>
        <w:t xml:space="preserve">Escala 2026: </w:t>
      </w:r>
      <w:r>
        <w:rPr>
          <w:rFonts w:ascii="Arial" w:hAnsi="Arial" w:cs="Arial"/>
          <w:b/>
          <w:sz w:val="22"/>
        </w:rPr>
        <w:t>0,21 % × 49 meses; 0,19 % × 209</w:t>
      </w:r>
      <w:r>
        <w:rPr>
          <w:rFonts w:ascii="Arial" w:hAnsi="Arial" w:cs="Arial"/>
          <w:sz w:val="22"/>
        </w:rPr>
        <w:t>.</w:t>
      </w:r>
    </w:p>
    <w:p>
      <w:pPr>
        <w:pStyle w:val="ListBullet"/>
      </w:pPr>
      <w:r>
        <w:rPr>
          <w:rFonts w:ascii="Arial" w:hAnsi="Arial" w:cs="Arial"/>
          <w:sz w:val="22"/>
        </w:rPr>
        <w:t xml:space="preserve">Cien por cien en 2026: </w:t>
      </w:r>
      <w:r>
        <w:rPr>
          <w:rFonts w:ascii="Arial" w:hAnsi="Arial" w:cs="Arial"/>
          <w:b/>
          <w:sz w:val="22"/>
        </w:rPr>
        <w:t>36 años y 6 meses</w:t>
      </w:r>
      <w:r>
        <w:rPr>
          <w:rFonts w:ascii="Arial" w:hAnsi="Arial" w:cs="Arial"/>
          <w:sz w:val="22"/>
        </w:rPr>
        <w:t>.</w:t>
      </w:r>
    </w:p>
    <w:p>
      <w:pPr>
        <w:pStyle w:val="ListBullet"/>
      </w:pPr>
      <w:r>
        <w:rPr>
          <w:rFonts w:ascii="Arial" w:hAnsi="Arial" w:cs="Arial"/>
          <w:sz w:val="22"/>
        </w:rPr>
        <w:t xml:space="preserve">Anticipada involuntaria: hasta </w:t>
      </w:r>
      <w:r>
        <w:rPr>
          <w:rFonts w:ascii="Arial" w:hAnsi="Arial" w:cs="Arial"/>
          <w:b/>
          <w:sz w:val="22"/>
        </w:rPr>
        <w:t>4 años</w:t>
      </w:r>
      <w:r>
        <w:rPr>
          <w:rFonts w:ascii="Arial" w:hAnsi="Arial" w:cs="Arial"/>
          <w:sz w:val="22"/>
        </w:rPr>
        <w:t xml:space="preserve">, carencia </w:t>
      </w:r>
      <w:r>
        <w:rPr>
          <w:rFonts w:ascii="Arial" w:hAnsi="Arial" w:cs="Arial"/>
          <w:b/>
          <w:sz w:val="22"/>
        </w:rPr>
        <w:t>33</w:t>
      </w:r>
      <w:r>
        <w:rPr>
          <w:rFonts w:ascii="Arial" w:hAnsi="Arial" w:cs="Arial"/>
          <w:sz w:val="22"/>
        </w:rPr>
        <w:t xml:space="preserve">, demanda de empleo </w:t>
      </w:r>
      <w:r>
        <w:rPr>
          <w:rFonts w:ascii="Arial" w:hAnsi="Arial" w:cs="Arial"/>
          <w:b/>
          <w:sz w:val="22"/>
        </w:rPr>
        <w:t>6 meses</w:t>
      </w:r>
      <w:r>
        <w:rPr>
          <w:rFonts w:ascii="Arial" w:hAnsi="Arial" w:cs="Arial"/>
          <w:sz w:val="22"/>
        </w:rPr>
        <w:t>.</w:t>
      </w:r>
    </w:p>
    <w:p>
      <w:pPr>
        <w:pStyle w:val="ListBullet"/>
      </w:pPr>
      <w:r>
        <w:rPr>
          <w:rFonts w:ascii="Arial" w:hAnsi="Arial" w:cs="Arial"/>
          <w:sz w:val="22"/>
        </w:rPr>
        <w:t xml:space="preserve">Anticipada voluntaria: hasta </w:t>
      </w:r>
      <w:r>
        <w:rPr>
          <w:rFonts w:ascii="Arial" w:hAnsi="Arial" w:cs="Arial"/>
          <w:b/>
          <w:sz w:val="22"/>
        </w:rPr>
        <w:t>2 años</w:t>
      </w:r>
      <w:r>
        <w:rPr>
          <w:rFonts w:ascii="Arial" w:hAnsi="Arial" w:cs="Arial"/>
          <w:sz w:val="22"/>
        </w:rPr>
        <w:t xml:space="preserve">, carencia </w:t>
      </w:r>
      <w:r>
        <w:rPr>
          <w:rFonts w:ascii="Arial" w:hAnsi="Arial" w:cs="Arial"/>
          <w:b/>
          <w:sz w:val="22"/>
        </w:rPr>
        <w:t>35</w:t>
      </w:r>
      <w:r>
        <w:rPr>
          <w:rFonts w:ascii="Arial" w:hAnsi="Arial" w:cs="Arial"/>
          <w:sz w:val="22"/>
        </w:rPr>
        <w:t>.</w:t>
      </w:r>
    </w:p>
    <w:p>
      <w:pPr>
        <w:pStyle w:val="ListBullet"/>
      </w:pPr>
      <w:r>
        <w:rPr>
          <w:rFonts w:ascii="Arial" w:hAnsi="Arial" w:cs="Arial"/>
          <w:sz w:val="22"/>
        </w:rPr>
        <w:t xml:space="preserve">Servicio militar, prestación sustitutoria o servicio social femenino: máximo </w:t>
      </w:r>
      <w:r>
        <w:rPr>
          <w:rFonts w:ascii="Arial" w:hAnsi="Arial" w:cs="Arial"/>
          <w:b/>
          <w:sz w:val="22"/>
        </w:rPr>
        <w:t>1 año</w:t>
      </w:r>
      <w:r>
        <w:rPr>
          <w:rFonts w:ascii="Arial" w:hAnsi="Arial" w:cs="Arial"/>
          <w:sz w:val="22"/>
        </w:rPr>
        <w:t xml:space="preserve"> para las carencias anticipadas.</w:t>
      </w:r>
    </w:p>
    <w:p>
      <w:pPr>
        <w:pStyle w:val="ListBullet"/>
      </w:pPr>
      <w:r>
        <w:rPr>
          <w:rFonts w:ascii="Arial" w:hAnsi="Arial" w:cs="Arial"/>
          <w:sz w:val="22"/>
        </w:rPr>
        <w:t xml:space="preserve">Edad mínima por actividad o discapacidad: </w:t>
      </w:r>
      <w:r>
        <w:rPr>
          <w:rFonts w:ascii="Arial" w:hAnsi="Arial" w:cs="Arial"/>
          <w:b/>
          <w:sz w:val="22"/>
        </w:rPr>
        <w:t>52 años</w:t>
      </w:r>
      <w:r>
        <w:rPr>
          <w:rFonts w:ascii="Arial" w:hAnsi="Arial" w:cs="Arial"/>
          <w:sz w:val="22"/>
        </w:rPr>
        <w:t>.</w:t>
      </w:r>
    </w:p>
    <w:p>
      <w:pPr>
        <w:pStyle w:val="ListBullet"/>
      </w:pPr>
      <w:r>
        <w:rPr>
          <w:rFonts w:ascii="Arial" w:hAnsi="Arial" w:cs="Arial"/>
          <w:sz w:val="22"/>
        </w:rPr>
        <w:t xml:space="preserve">Parcial anticipada: hasta </w:t>
      </w:r>
      <w:r>
        <w:rPr>
          <w:rFonts w:ascii="Arial" w:hAnsi="Arial" w:cs="Arial"/>
          <w:b/>
          <w:sz w:val="22"/>
        </w:rPr>
        <w:t>3 años</w:t>
      </w:r>
      <w:r>
        <w:rPr>
          <w:rFonts w:ascii="Arial" w:hAnsi="Arial" w:cs="Arial"/>
          <w:sz w:val="22"/>
        </w:rPr>
        <w:t>, 33 años cotizados; 25 con discapacidad ≥33 %.</w:t>
      </w:r>
    </w:p>
    <w:p>
      <w:pPr>
        <w:pStyle w:val="ListBullet"/>
      </w:pPr>
      <w:r>
        <w:rPr>
          <w:rFonts w:ascii="Arial" w:hAnsi="Arial" w:cs="Arial"/>
          <w:sz w:val="22"/>
        </w:rPr>
        <w:t xml:space="preserve">Antigüedad parcial anticipada: </w:t>
      </w:r>
      <w:r>
        <w:rPr>
          <w:rFonts w:ascii="Arial" w:hAnsi="Arial" w:cs="Arial"/>
          <w:b/>
          <w:sz w:val="22"/>
        </w:rPr>
        <w:t>6 años</w:t>
      </w:r>
      <w:r>
        <w:rPr>
          <w:rFonts w:ascii="Arial" w:hAnsi="Arial" w:cs="Arial"/>
          <w:sz w:val="22"/>
        </w:rPr>
        <w:t>.</w:t>
      </w:r>
    </w:p>
    <w:p>
      <w:pPr>
        <w:pStyle w:val="ListBullet"/>
      </w:pPr>
      <w:r>
        <w:rPr>
          <w:rFonts w:ascii="Arial" w:hAnsi="Arial" w:cs="Arial"/>
          <w:sz w:val="22"/>
        </w:rPr>
        <w:t xml:space="preserve">Jornada parcial general: reducción </w:t>
      </w:r>
      <w:r>
        <w:rPr>
          <w:rFonts w:ascii="Arial" w:hAnsi="Arial" w:cs="Arial"/>
          <w:b/>
          <w:sz w:val="22"/>
        </w:rPr>
        <w:t>25–75 %</w:t>
      </w:r>
      <w:r>
        <w:rPr>
          <w:rFonts w:ascii="Arial" w:hAnsi="Arial" w:cs="Arial"/>
          <w:sz w:val="22"/>
        </w:rPr>
        <w:t>.</w:t>
      </w:r>
    </w:p>
    <w:p>
      <w:pPr>
        <w:pStyle w:val="ListBullet"/>
      </w:pPr>
      <w:r>
        <w:rPr>
          <w:rFonts w:ascii="Arial" w:hAnsi="Arial" w:cs="Arial"/>
          <w:sz w:val="22"/>
        </w:rPr>
        <w:t xml:space="preserve">Correspondencia base del relevista: al menos </w:t>
      </w:r>
      <w:r>
        <w:rPr>
          <w:rFonts w:ascii="Arial" w:hAnsi="Arial" w:cs="Arial"/>
          <w:b/>
          <w:sz w:val="22"/>
        </w:rPr>
        <w:t>65 %</w:t>
      </w:r>
      <w:r>
        <w:rPr>
          <w:rFonts w:ascii="Arial" w:hAnsi="Arial" w:cs="Arial"/>
          <w:sz w:val="22"/>
        </w:rPr>
        <w:t>.</w:t>
      </w:r>
    </w:p>
    <w:p>
      <w:pPr>
        <w:pStyle w:val="ListBullet"/>
      </w:pPr>
      <w:r>
        <w:rPr>
          <w:rFonts w:ascii="Arial" w:hAnsi="Arial" w:cs="Arial"/>
          <w:sz w:val="22"/>
        </w:rPr>
        <w:t xml:space="preserve">Jubilación activa: demora mínima </w:t>
      </w:r>
      <w:r>
        <w:rPr>
          <w:rFonts w:ascii="Arial" w:hAnsi="Arial" w:cs="Arial"/>
          <w:b/>
          <w:sz w:val="22"/>
        </w:rPr>
        <w:t>1 año</w:t>
      </w:r>
      <w:r>
        <w:rPr>
          <w:rFonts w:ascii="Arial" w:hAnsi="Arial" w:cs="Arial"/>
          <w:sz w:val="22"/>
        </w:rPr>
        <w:t xml:space="preserve">; escala </w:t>
      </w:r>
      <w:r>
        <w:rPr>
          <w:rFonts w:ascii="Arial" w:hAnsi="Arial" w:cs="Arial"/>
          <w:b/>
          <w:sz w:val="22"/>
        </w:rPr>
        <w:t>45, 55, 65, 80, 100 %</w:t>
      </w:r>
      <w:r>
        <w:rPr>
          <w:rFonts w:ascii="Arial" w:hAnsi="Arial" w:cs="Arial"/>
          <w:sz w:val="22"/>
        </w:rPr>
        <w:t>.</w:t>
      </w:r>
    </w:p>
    <w:p>
      <w:pPr>
        <w:pStyle w:val="ListBullet"/>
      </w:pPr>
      <w:r>
        <w:rPr>
          <w:rFonts w:ascii="Arial" w:hAnsi="Arial" w:cs="Arial"/>
          <w:sz w:val="22"/>
        </w:rPr>
        <w:t xml:space="preserve">Flexible vigente a la fecha: </w:t>
      </w:r>
      <w:r>
        <w:rPr>
          <w:rFonts w:ascii="Arial" w:hAnsi="Arial" w:cs="Arial"/>
          <w:b/>
          <w:sz w:val="22"/>
        </w:rPr>
        <w:t>RD 1132/2002</w:t>
      </w:r>
      <w:r>
        <w:rPr>
          <w:rFonts w:ascii="Arial" w:hAnsi="Arial" w:cs="Arial"/>
          <w:sz w:val="22"/>
        </w:rPr>
        <w:t>.</w:t>
      </w:r>
    </w:p>
    <w:p>
      <w:pPr>
        <w:pStyle w:val="ListBullet"/>
      </w:pPr>
      <w:r>
        <w:rPr>
          <w:rFonts w:ascii="Arial" w:hAnsi="Arial" w:cs="Arial"/>
          <w:sz w:val="22"/>
        </w:rPr>
        <w:t xml:space="preserve">Entrada en vigor general del RD 416/2026: </w:t>
      </w:r>
      <w:r>
        <w:rPr>
          <w:rFonts w:ascii="Arial" w:hAnsi="Arial" w:cs="Arial"/>
          <w:b/>
          <w:sz w:val="22"/>
        </w:rPr>
        <w:t>28-8-2026</w:t>
      </w:r>
      <w:r>
        <w:rPr>
          <w:rFonts w:ascii="Arial" w:hAnsi="Arial" w:cs="Arial"/>
          <w:sz w:val="22"/>
        </w:rPr>
        <w:t>.</w:t>
      </w:r>
    </w:p>
    <w:p>
      <w:pPr>
        <w:pStyle w:val="ListBullet"/>
      </w:pPr>
      <w:r>
        <w:rPr>
          <w:rFonts w:ascii="Arial" w:hAnsi="Arial" w:cs="Arial"/>
          <w:sz w:val="22"/>
        </w:rPr>
        <w:t xml:space="preserve">Imprescriptibilidad: artículo </w:t>
      </w:r>
      <w:r>
        <w:rPr>
          <w:rFonts w:ascii="Arial" w:hAnsi="Arial" w:cs="Arial"/>
          <w:b/>
          <w:sz w:val="22"/>
        </w:rPr>
        <w:t>212</w:t>
      </w:r>
      <w:r>
        <w:rPr>
          <w:rFonts w:ascii="Arial" w:hAnsi="Arial" w:cs="Arial"/>
          <w:sz w:val="22"/>
        </w:rPr>
        <w:t>, con retroactividad máxima de tres meses en el supuesto legal.</w:t>
      </w:r>
    </w:p>
    <w:p>
      <w:pPr>
        <w:pStyle w:val="ListBullet"/>
      </w:pPr>
      <w:r>
        <w:rPr>
          <w:rFonts w:ascii="Arial" w:hAnsi="Arial" w:cs="Arial"/>
          <w:sz w:val="22"/>
        </w:rPr>
        <w:t xml:space="preserve">Régimen anterior a Ley 27/2011: disposición transitoria </w:t>
      </w:r>
      <w:r>
        <w:rPr>
          <w:rFonts w:ascii="Arial" w:hAnsi="Arial" w:cs="Arial"/>
          <w:b/>
          <w:sz w:val="22"/>
        </w:rPr>
        <w:t>cuarta</w:t>
      </w:r>
      <w:r>
        <w:rPr>
          <w:rFonts w:ascii="Arial" w:hAnsi="Arial" w:cs="Arial"/>
          <w:sz w:val="22"/>
        </w:rPr>
        <w:t>.</w:t>
      </w:r>
    </w:p>
    <w:p>
      <w:pPr>
        <w:pStyle w:val="Heading1"/>
        <w:keepNext/>
      </w:pPr>
      <w:r>
        <w:rPr>
          <w:rFonts w:ascii="Arial" w:hAnsi="Arial" w:cs="Arial"/>
          <w:sz w:val="30"/>
        </w:rPr>
        <w:t>19. Fuentes oficiales</w:t>
      </w:r>
    </w:p>
    <w:p>
      <w:pPr>
        <w:pStyle w:val="ListBullet"/>
      </w:pPr>
      <w:r>
        <w:rPr>
          <w:rFonts w:ascii="Arial" w:hAnsi="Arial" w:cs="Arial"/>
          <w:sz w:val="22"/>
        </w:rPr>
        <w:t>Texto refundido de la Ley General de la Seguridad Social (https://www.boe.es/buscar/act.php?id=BOE-A-2015-11724).</w:t>
      </w:r>
    </w:p>
    <w:p>
      <w:pPr>
        <w:pStyle w:val="ListBullet"/>
      </w:pPr>
      <w:r>
        <w:rPr>
          <w:rFonts w:ascii="Arial" w:hAnsi="Arial" w:cs="Arial"/>
          <w:sz w:val="22"/>
        </w:rPr>
        <w:t>Real Decreto-ley 11/2024, de 23 de diciembre (https://www.boe.es/buscar/act.php?id=BOE-A-2024-26917).</w:t>
      </w:r>
    </w:p>
    <w:p>
      <w:pPr>
        <w:pStyle w:val="ListBullet"/>
      </w:pPr>
      <w:r>
        <w:rPr>
          <w:rFonts w:ascii="Arial" w:hAnsi="Arial" w:cs="Arial"/>
          <w:sz w:val="22"/>
        </w:rPr>
        <w:t>Real Decreto 1132/2002, jubilación gradual y flexible (https://www.boe.es/buscar/act.php?id=BOE-A-2002-23038).</w:t>
      </w:r>
    </w:p>
    <w:p>
      <w:pPr>
        <w:pStyle w:val="ListBullet"/>
      </w:pPr>
      <w:r>
        <w:rPr>
          <w:rFonts w:ascii="Arial" w:hAnsi="Arial" w:cs="Arial"/>
          <w:sz w:val="22"/>
        </w:rPr>
        <w:t>Real Decreto 416/2026, de 27 de mayo (https://www.boe.es/buscar/act.php?id=BOE-A-2026-11474).</w:t>
      </w:r>
    </w:p>
    <w:p>
      <w:pPr>
        <w:pStyle w:val="ListBullet"/>
      </w:pPr>
      <w:r>
        <w:rPr>
          <w:rFonts w:ascii="Arial" w:hAnsi="Arial" w:cs="Arial"/>
          <w:sz w:val="22"/>
        </w:rPr>
        <w:t>Real Decreto-ley 19/2026, de 29 de junio (https://www.boe.es/buscar/act.php?id=BOE-A-2026-14113).</w:t>
      </w:r>
    </w:p>
    <w:p>
      <w:pPr>
        <w:pStyle w:val="ListBullet"/>
      </w:pPr>
      <w:r>
        <w:rPr>
          <w:rFonts w:ascii="Arial" w:hAnsi="Arial" w:cs="Arial"/>
          <w:sz w:val="22"/>
        </w:rPr>
        <w:t>Real Decreto 241/2026, revalorización y límites de pensiones para 2026 (https://www.boe.es/buscar/act.php?id=BOE-A-2026-6977).</w:t>
      </w:r>
    </w:p>
    <w:p>
      <w:pPr>
        <w:pStyle w:val="ListBullet"/>
      </w:pPr>
      <w:r>
        <w:rPr>
          <w:rFonts w:ascii="Arial" w:hAnsi="Arial" w:cs="Arial"/>
          <w:sz w:val="22"/>
        </w:rPr>
        <w:t>Portal de prestaciones de la Seguridad Social (https://www.seg-social.es/wps/portal/wss/internet/Trabajadores/PrestacionesPensionesTrabajadores).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S10 · Tema 10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10. Jubilación en la modalidad contributiva - concepto. Jubilación ordinaria - requisitos - especial referencia a la edad de jubilación. Determi…</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