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ESPECÍFICO SEGURIDAD SOCIAL</w:t>
      </w:r>
    </w:p>
    <w:p>
      <w:pPr>
        <w:spacing w:before="0" w:after="160"/>
      </w:pPr>
      <w:r>
        <w:rPr>
          <w:rFonts w:ascii="Arial" w:hAnsi="Arial" w:cs="Arial"/>
          <w:b/>
          <w:color w:val="1F4E79"/>
          <w:sz w:val="26"/>
        </w:rPr>
        <w:t>TEMA 11</w:t>
      </w:r>
    </w:p>
    <w:p>
      <w:pPr>
        <w:keepNext/>
        <w:spacing w:before="0" w:after="280"/>
        <w:pBdr>
          <w:bottom w:val="single" w:sz="12" w:space="1" w:color="2F75B5"/>
        </w:pBdr>
      </w:pPr>
      <w:r>
        <w:rPr>
          <w:rFonts w:ascii="Arial" w:hAnsi="Arial" w:cs="Arial"/>
          <w:b/>
          <w:color w:val="17365D"/>
          <w:sz w:val="40"/>
        </w:rPr>
        <w:t>La protección por muerte y supervivencia. Hecho causante. Requisitos para las prestaciones de viudedad, orfandad y en favor de familiares. Cuantía de las prestaciones. Compatibilidad. Suspensión y Extinción. Normas específicas en caso de muerte derivada de accidente de trabajo o enfermedad profesional. Efectividad económica de las prestaciones. El auxilio por defunción.</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b/>
          <w:sz w:val="22"/>
        </w:rPr>
        <w:t>Actualizado a 30 de julio de 2026.</w:t>
      </w:r>
    </w:p>
    <w:p>
      <w:pPr>
        <w:jc w:val="both"/>
      </w:pPr>
      <w:r>
        <w:rPr>
          <w:rFonts w:ascii="Arial" w:hAnsi="Arial" w:cs="Arial"/>
          <w:sz w:val="22"/>
        </w:rPr>
        <w:t>Las prestaciones por muerte y supervivencia atienden dos necesidades diferentes: los gastos inmediatos ocasionados por el fallecimiento y la pérdida estable o temporal de ingresos que sufren determinadas personas vinculadas al causante. La muerte no genera una prestación única, sino un conjunto de derechos que pueden concurrir: auxilio por defunción, viudedad vitalicia o temporal, orfandad, prestaciones en favor de familiares e indemnización especial cuando el origen sea accidente de trabajo o enfermedad profesional.</w:t>
      </w:r>
    </w:p>
    <w:p>
      <w:pPr>
        <w:jc w:val="both"/>
      </w:pPr>
      <w:r>
        <w:rPr>
          <w:rFonts w:ascii="Arial" w:hAnsi="Arial" w:cs="Arial"/>
          <w:sz w:val="22"/>
        </w:rPr>
        <w:t>El análisis debe comenzar siempre por el sujeto causante y la contingencia. Después se identifica a cada posible beneficiario, se comprueban carencias, vínculo, convivencia o dependencia, se determina la base reguladora y se aplica el porcentaje. Finalmente se revisan límites conjuntos, compatibilidades, causas de suspensión o extinción y fecha de efectos. Este orden evita trasladar a la orfandad requisitos propios de viudedad o exigir cotización cuando la muerte deriva de accidente o enfermedad profesional.</w:t>
      </w:r>
    </w:p>
    <w:p>
      <w:pPr>
        <w:pStyle w:val="Heading1"/>
        <w:keepNext/>
      </w:pPr>
      <w:r>
        <w:rPr>
          <w:rFonts w:ascii="Arial" w:hAnsi="Arial" w:cs="Arial"/>
          <w:sz w:val="30"/>
        </w:rPr>
        <w:t>1. Marco normativo y catálogo protector</w:t>
      </w:r>
    </w:p>
    <w:p>
      <w:pPr>
        <w:jc w:val="both"/>
      </w:pPr>
      <w:r>
        <w:rPr>
          <w:rFonts w:ascii="Arial" w:hAnsi="Arial" w:cs="Arial"/>
          <w:sz w:val="22"/>
        </w:rPr>
        <w:t>La regulación básica se encuentra en los artículos 216 a 234 del texto refundido de la Ley General de la Seguridad Social —TRLGSS—. La cuantía y varias condiciones reglamentarias conservan su desarrollo en el Decreto 3158/1966, de 23 de diciembre, y en la Orden de 13 de febrero de 1967, interpretados conforme a las reformas posteriores. Para el ejercicio 2026 deben consultarse el Real Decreto 241/2026 y las cuantías publicadas por la Seguridad Social.</w:t>
      </w:r>
    </w:p>
    <w:p>
      <w:pPr>
        <w:jc w:val="both"/>
      </w:pPr>
      <w:r>
        <w:rPr>
          <w:rFonts w:ascii="Arial" w:hAnsi="Arial" w:cs="Arial"/>
          <w:sz w:val="22"/>
        </w:rPr>
        <w:t>El artículo 216 enumera:</w:t>
      </w:r>
    </w:p>
    <w:p>
      <w:pPr>
        <w:spacing w:after="40"/>
        <w:ind w:left="369" w:hanging="227"/>
      </w:pPr>
      <w:r>
        <w:rPr>
          <w:rFonts w:ascii="Arial" w:hAnsi="Arial" w:cs="Arial"/>
          <w:sz w:val="22"/>
        </w:rPr>
        <w:t>1. auxilio por defunción;</w:t>
      </w:r>
    </w:p>
    <w:p>
      <w:pPr>
        <w:spacing w:after="40"/>
        <w:ind w:left="369" w:hanging="227"/>
      </w:pPr>
      <w:r>
        <w:rPr>
          <w:rFonts w:ascii="Arial" w:hAnsi="Arial" w:cs="Arial"/>
          <w:sz w:val="22"/>
        </w:rPr>
        <w:t>2. pensión vitalicia de viudedad;</w:t>
      </w:r>
    </w:p>
    <w:p>
      <w:pPr>
        <w:spacing w:after="40"/>
        <w:ind w:left="369" w:hanging="227"/>
      </w:pPr>
      <w:r>
        <w:rPr>
          <w:rFonts w:ascii="Arial" w:hAnsi="Arial" w:cs="Arial"/>
          <w:sz w:val="22"/>
        </w:rPr>
        <w:t>3. prestación temporal de viudedad;</w:t>
      </w:r>
    </w:p>
    <w:p>
      <w:pPr>
        <w:spacing w:after="40"/>
        <w:ind w:left="369" w:hanging="227"/>
      </w:pPr>
      <w:r>
        <w:rPr>
          <w:rFonts w:ascii="Arial" w:hAnsi="Arial" w:cs="Arial"/>
          <w:sz w:val="22"/>
        </w:rPr>
        <w:t>4. pensión de orfandad;</w:t>
      </w:r>
    </w:p>
    <w:p>
      <w:pPr>
        <w:spacing w:after="40"/>
        <w:ind w:left="369" w:hanging="227"/>
      </w:pPr>
      <w:r>
        <w:rPr>
          <w:rFonts w:ascii="Arial" w:hAnsi="Arial" w:cs="Arial"/>
          <w:sz w:val="22"/>
        </w:rPr>
        <w:t>5. pensión vitalicia o subsidio temporal en favor de familiares;</w:t>
      </w:r>
    </w:p>
    <w:p>
      <w:pPr>
        <w:spacing w:after="40"/>
        <w:ind w:left="369" w:hanging="227"/>
      </w:pPr>
      <w:r>
        <w:rPr>
          <w:rFonts w:ascii="Arial" w:hAnsi="Arial" w:cs="Arial"/>
          <w:sz w:val="22"/>
        </w:rPr>
        <w:t>6. indemnización a tanto alzado, adicional, si la muerte se debe a accidente de trabajo o enfermedad profesional;</w:t>
      </w:r>
    </w:p>
    <w:p>
      <w:pPr>
        <w:spacing w:after="40"/>
        <w:ind w:left="369" w:hanging="227"/>
      </w:pPr>
      <w:r>
        <w:rPr>
          <w:rFonts w:ascii="Arial" w:hAnsi="Arial" w:cs="Arial"/>
          <w:sz w:val="22"/>
        </w:rPr>
        <w:t>7. prestación especial de orfandad para hijos de una mujer fallecida por violencia contra la mujer cuando se hallen en situación equiparable a orfandad absoluta y no reúnan los requisitos de la pensión ordinaria.</w:t>
      </w:r>
    </w:p>
    <w:tbl>
      <w:tblPr>
        <w:tblStyle w:val="TableGrid"/>
        <w:tblW w:type="dxa" w:w="9026"/>
        <w:jc w:val="left"/>
        <w:tblLayout w:type="fixed"/>
        <w:tblLook w:firstColumn="1" w:firstRow="1" w:lastColumn="0" w:lastRow="0" w:noHBand="0" w:noVBand="1" w:val="04A0"/>
        <w:tblInd w:w="120" w:type="dxa"/>
      </w:tblPr>
      <w:tblGrid>
        <w:gridCol w:w="1618"/>
        <w:gridCol w:w="3832"/>
        <w:gridCol w:w="3576"/>
      </w:tblGrid>
      <w:tr>
        <w:trPr>
          <w:tblHeader w:val="true"/>
        </w:trPr>
        <w:tc>
          <w:tcPr>
            <w:tcW w:type="dxa" w:w="161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Prestación</w:t>
            </w:r>
          </w:p>
        </w:tc>
        <w:tc>
          <w:tcPr>
            <w:tcW w:type="dxa" w:w="383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Necesidad atendida</w:t>
            </w:r>
          </w:p>
        </w:tc>
        <w:tc>
          <w:tcPr>
            <w:tcW w:type="dxa" w:w="3576"/>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Naturaleza habitual</w:t>
            </w:r>
          </w:p>
        </w:tc>
      </w:tr>
      <w:tr>
        <w:tc>
          <w:tcPr>
            <w:tcW w:type="dxa" w:w="1618"/>
            <w:tcMar>
              <w:top w:w="80" w:type="dxa"/>
              <w:start w:w="120" w:type="dxa"/>
              <w:bottom w:w="80" w:type="dxa"/>
              <w:end w:w="120" w:type="dxa"/>
            </w:tcMar>
            <w:vAlign w:val="center"/>
          </w:tcPr>
          <w:p>
            <w:pPr>
              <w:spacing w:before="0" w:after="0" w:line="240" w:lineRule="auto"/>
              <w:jc w:val="left"/>
            </w:pPr>
            <w:r/>
            <w:r>
              <w:rPr>
                <w:rFonts w:ascii="Arial" w:hAnsi="Arial" w:cs="Arial"/>
                <w:sz w:val="18"/>
              </w:rPr>
              <w:t>Auxilio por defunción</w:t>
            </w:r>
          </w:p>
        </w:tc>
        <w:tc>
          <w:tcPr>
            <w:tcW w:type="dxa" w:w="3832"/>
            <w:tcMar>
              <w:top w:w="80" w:type="dxa"/>
              <w:start w:w="120" w:type="dxa"/>
              <w:bottom w:w="80" w:type="dxa"/>
              <w:end w:w="120" w:type="dxa"/>
            </w:tcMar>
            <w:vAlign w:val="center"/>
          </w:tcPr>
          <w:p>
            <w:pPr>
              <w:spacing w:before="0" w:after="0" w:line="240" w:lineRule="auto"/>
              <w:jc w:val="left"/>
            </w:pPr>
            <w:r/>
            <w:r>
              <w:rPr>
                <w:rFonts w:ascii="Arial" w:hAnsi="Arial" w:cs="Arial"/>
                <w:sz w:val="18"/>
              </w:rPr>
              <w:t>Gastos de sepelio</w:t>
            </w:r>
          </w:p>
        </w:tc>
        <w:tc>
          <w:tcPr>
            <w:tcW w:type="dxa" w:w="3576"/>
            <w:tcMar>
              <w:top w:w="80" w:type="dxa"/>
              <w:start w:w="120" w:type="dxa"/>
              <w:bottom w:w="80" w:type="dxa"/>
              <w:end w:w="120" w:type="dxa"/>
            </w:tcMar>
            <w:vAlign w:val="center"/>
          </w:tcPr>
          <w:p>
            <w:pPr>
              <w:spacing w:before="0" w:after="0" w:line="240" w:lineRule="auto"/>
              <w:jc w:val="center"/>
            </w:pPr>
            <w:r/>
            <w:r>
              <w:rPr>
                <w:rFonts w:ascii="Arial" w:hAnsi="Arial" w:cs="Arial"/>
                <w:sz w:val="18"/>
              </w:rPr>
              <w:t>Pago único</w:t>
            </w:r>
          </w:p>
        </w:tc>
      </w:tr>
      <w:tr>
        <w:tc>
          <w:tcPr>
            <w:tcW w:type="dxa" w:w="1618"/>
            <w:tcMar>
              <w:top w:w="80" w:type="dxa"/>
              <w:start w:w="120" w:type="dxa"/>
              <w:bottom w:w="80" w:type="dxa"/>
              <w:end w:w="120" w:type="dxa"/>
            </w:tcMar>
            <w:vAlign w:val="center"/>
          </w:tcPr>
          <w:p>
            <w:pPr>
              <w:spacing w:before="0" w:after="0" w:line="240" w:lineRule="auto"/>
              <w:jc w:val="left"/>
            </w:pPr>
            <w:r/>
            <w:r>
              <w:rPr>
                <w:rFonts w:ascii="Arial" w:hAnsi="Arial" w:cs="Arial"/>
                <w:sz w:val="18"/>
              </w:rPr>
              <w:t>Viudedad</w:t>
            </w:r>
          </w:p>
        </w:tc>
        <w:tc>
          <w:tcPr>
            <w:tcW w:type="dxa" w:w="3832"/>
            <w:tcMar>
              <w:top w:w="80" w:type="dxa"/>
              <w:start w:w="120" w:type="dxa"/>
              <w:bottom w:w="80" w:type="dxa"/>
              <w:end w:w="120" w:type="dxa"/>
            </w:tcMar>
            <w:vAlign w:val="center"/>
          </w:tcPr>
          <w:p>
            <w:pPr>
              <w:spacing w:before="0" w:after="0" w:line="240" w:lineRule="auto"/>
              <w:jc w:val="left"/>
            </w:pPr>
            <w:r/>
            <w:r>
              <w:rPr>
                <w:rFonts w:ascii="Arial" w:hAnsi="Arial" w:cs="Arial"/>
                <w:sz w:val="18"/>
              </w:rPr>
              <w:t>Pérdida de ingresos del cónyuge o pareja</w:t>
            </w:r>
          </w:p>
        </w:tc>
        <w:tc>
          <w:tcPr>
            <w:tcW w:type="dxa" w:w="3576"/>
            <w:tcMar>
              <w:top w:w="80" w:type="dxa"/>
              <w:start w:w="120" w:type="dxa"/>
              <w:bottom w:w="80" w:type="dxa"/>
              <w:end w:w="120" w:type="dxa"/>
            </w:tcMar>
            <w:vAlign w:val="center"/>
          </w:tcPr>
          <w:p>
            <w:pPr>
              <w:spacing w:before="0" w:after="0" w:line="240" w:lineRule="auto"/>
              <w:jc w:val="left"/>
            </w:pPr>
            <w:r/>
            <w:r>
              <w:rPr>
                <w:rFonts w:ascii="Arial" w:hAnsi="Arial" w:cs="Arial"/>
                <w:sz w:val="18"/>
              </w:rPr>
              <w:t>Pensión vitalicia o prestación de 2 años</w:t>
            </w:r>
          </w:p>
        </w:tc>
      </w:tr>
      <w:tr>
        <w:tc>
          <w:tcPr>
            <w:tcW w:type="dxa" w:w="1618"/>
            <w:tcMar>
              <w:top w:w="80" w:type="dxa"/>
              <w:start w:w="120" w:type="dxa"/>
              <w:bottom w:w="80" w:type="dxa"/>
              <w:end w:w="120" w:type="dxa"/>
            </w:tcMar>
            <w:vAlign w:val="center"/>
          </w:tcPr>
          <w:p>
            <w:pPr>
              <w:spacing w:before="0" w:after="0" w:line="240" w:lineRule="auto"/>
              <w:jc w:val="left"/>
            </w:pPr>
            <w:r/>
            <w:r>
              <w:rPr>
                <w:rFonts w:ascii="Arial" w:hAnsi="Arial" w:cs="Arial"/>
                <w:sz w:val="18"/>
              </w:rPr>
              <w:t>Orfandad</w:t>
            </w:r>
          </w:p>
        </w:tc>
        <w:tc>
          <w:tcPr>
            <w:tcW w:type="dxa" w:w="3832"/>
            <w:tcMar>
              <w:top w:w="80" w:type="dxa"/>
              <w:start w:w="120" w:type="dxa"/>
              <w:bottom w:w="80" w:type="dxa"/>
              <w:end w:w="120" w:type="dxa"/>
            </w:tcMar>
            <w:vAlign w:val="center"/>
          </w:tcPr>
          <w:p>
            <w:pPr>
              <w:spacing w:before="0" w:after="0" w:line="240" w:lineRule="auto"/>
              <w:jc w:val="left"/>
            </w:pPr>
            <w:r/>
            <w:r>
              <w:rPr>
                <w:rFonts w:ascii="Arial" w:hAnsi="Arial" w:cs="Arial"/>
                <w:sz w:val="18"/>
              </w:rPr>
              <w:t>Protección de hijos</w:t>
            </w:r>
          </w:p>
        </w:tc>
        <w:tc>
          <w:tcPr>
            <w:tcW w:type="dxa" w:w="3576"/>
            <w:tcMar>
              <w:top w:w="80" w:type="dxa"/>
              <w:start w:w="120" w:type="dxa"/>
              <w:bottom w:w="80" w:type="dxa"/>
              <w:end w:w="120" w:type="dxa"/>
            </w:tcMar>
            <w:vAlign w:val="center"/>
          </w:tcPr>
          <w:p>
            <w:pPr>
              <w:spacing w:before="0" w:after="0" w:line="240" w:lineRule="auto"/>
              <w:jc w:val="left"/>
            </w:pPr>
            <w:r/>
            <w:r>
              <w:rPr>
                <w:rFonts w:ascii="Arial" w:hAnsi="Arial" w:cs="Arial"/>
                <w:sz w:val="18"/>
              </w:rPr>
              <w:t>Pensión temporal, con reglas de edad e incapacidad</w:t>
            </w:r>
          </w:p>
        </w:tc>
      </w:tr>
      <w:tr>
        <w:tc>
          <w:tcPr>
            <w:tcW w:type="dxa" w:w="1618"/>
            <w:tcMar>
              <w:top w:w="80" w:type="dxa"/>
              <w:start w:w="120" w:type="dxa"/>
              <w:bottom w:w="80" w:type="dxa"/>
              <w:end w:w="120" w:type="dxa"/>
            </w:tcMar>
            <w:vAlign w:val="center"/>
          </w:tcPr>
          <w:p>
            <w:pPr>
              <w:spacing w:before="0" w:after="0" w:line="240" w:lineRule="auto"/>
              <w:jc w:val="left"/>
            </w:pPr>
            <w:r/>
            <w:r>
              <w:rPr>
                <w:rFonts w:ascii="Arial" w:hAnsi="Arial" w:cs="Arial"/>
                <w:sz w:val="18"/>
              </w:rPr>
              <w:t>Favor de familiares</w:t>
            </w:r>
          </w:p>
        </w:tc>
        <w:tc>
          <w:tcPr>
            <w:tcW w:type="dxa" w:w="3832"/>
            <w:tcMar>
              <w:top w:w="80" w:type="dxa"/>
              <w:start w:w="120" w:type="dxa"/>
              <w:bottom w:w="80" w:type="dxa"/>
              <w:end w:w="120" w:type="dxa"/>
            </w:tcMar>
            <w:vAlign w:val="center"/>
          </w:tcPr>
          <w:p>
            <w:pPr>
              <w:spacing w:before="0" w:after="0" w:line="240" w:lineRule="auto"/>
              <w:jc w:val="left"/>
            </w:pPr>
            <w:r/>
            <w:r>
              <w:rPr>
                <w:rFonts w:ascii="Arial" w:hAnsi="Arial" w:cs="Arial"/>
                <w:sz w:val="18"/>
              </w:rPr>
              <w:t>Dependencia económica de otros parientes</w:t>
            </w:r>
          </w:p>
        </w:tc>
        <w:tc>
          <w:tcPr>
            <w:tcW w:type="dxa" w:w="3576"/>
            <w:tcMar>
              <w:top w:w="80" w:type="dxa"/>
              <w:start w:w="120" w:type="dxa"/>
              <w:bottom w:w="80" w:type="dxa"/>
              <w:end w:w="120" w:type="dxa"/>
            </w:tcMar>
            <w:vAlign w:val="center"/>
          </w:tcPr>
          <w:p>
            <w:pPr>
              <w:spacing w:before="0" w:after="0" w:line="240" w:lineRule="auto"/>
              <w:jc w:val="left"/>
            </w:pPr>
            <w:r/>
            <w:r>
              <w:rPr>
                <w:rFonts w:ascii="Arial" w:hAnsi="Arial" w:cs="Arial"/>
                <w:sz w:val="18"/>
              </w:rPr>
              <w:t>Pensión o subsidio</w:t>
            </w:r>
          </w:p>
        </w:tc>
      </w:tr>
      <w:tr>
        <w:tc>
          <w:tcPr>
            <w:tcW w:type="dxa" w:w="1618"/>
            <w:tcMar>
              <w:top w:w="80" w:type="dxa"/>
              <w:start w:w="120" w:type="dxa"/>
              <w:bottom w:w="80" w:type="dxa"/>
              <w:end w:w="120" w:type="dxa"/>
            </w:tcMar>
            <w:vAlign w:val="center"/>
          </w:tcPr>
          <w:p>
            <w:pPr>
              <w:spacing w:before="0" w:after="0" w:line="240" w:lineRule="auto"/>
              <w:jc w:val="left"/>
            </w:pPr>
            <w:r/>
            <w:r>
              <w:rPr>
                <w:rFonts w:ascii="Arial" w:hAnsi="Arial" w:cs="Arial"/>
                <w:sz w:val="18"/>
              </w:rPr>
              <w:t>Indemnización AT/EP</w:t>
            </w:r>
          </w:p>
        </w:tc>
        <w:tc>
          <w:tcPr>
            <w:tcW w:type="dxa" w:w="3832"/>
            <w:tcMar>
              <w:top w:w="80" w:type="dxa"/>
              <w:start w:w="120" w:type="dxa"/>
              <w:bottom w:w="80" w:type="dxa"/>
              <w:end w:w="120" w:type="dxa"/>
            </w:tcMar>
            <w:vAlign w:val="center"/>
          </w:tcPr>
          <w:p>
            <w:pPr>
              <w:spacing w:before="0" w:after="0" w:line="240" w:lineRule="auto"/>
              <w:jc w:val="left"/>
            </w:pPr>
            <w:r/>
            <w:r>
              <w:rPr>
                <w:rFonts w:ascii="Arial" w:hAnsi="Arial" w:cs="Arial"/>
                <w:sz w:val="18"/>
              </w:rPr>
              <w:t>Reparación reforzada por contingencia profesional</w:t>
            </w:r>
          </w:p>
        </w:tc>
        <w:tc>
          <w:tcPr>
            <w:tcW w:type="dxa" w:w="3576"/>
            <w:tcMar>
              <w:top w:w="80" w:type="dxa"/>
              <w:start w:w="120" w:type="dxa"/>
              <w:bottom w:w="80" w:type="dxa"/>
              <w:end w:w="120" w:type="dxa"/>
            </w:tcMar>
            <w:vAlign w:val="center"/>
          </w:tcPr>
          <w:p>
            <w:pPr>
              <w:spacing w:before="0" w:after="0" w:line="240" w:lineRule="auto"/>
              <w:jc w:val="left"/>
            </w:pPr>
            <w:r/>
            <w:r>
              <w:rPr>
                <w:rFonts w:ascii="Arial" w:hAnsi="Arial" w:cs="Arial"/>
                <w:sz w:val="18"/>
              </w:rPr>
              <w:t>Pago único adicional</w:t>
            </w:r>
          </w:p>
        </w:tc>
      </w:tr>
    </w:tbl>
    <w:p>
      <w:pPr>
        <w:spacing w:after="40"/>
      </w:pPr>
    </w:p>
    <w:p>
      <w:pPr>
        <w:jc w:val="both"/>
      </w:pPr>
      <w:r>
        <w:rPr>
          <w:rFonts w:ascii="Arial" w:hAnsi="Arial" w:cs="Arial"/>
          <w:sz w:val="22"/>
        </w:rPr>
        <w:t>Estas prestaciones son compatibles entre sí solo en los términos legales y están sometidas al límite conjunto sobre la base reguladora. Una misma muerte puede causar viudedad y varias orfandades, pero el total no se obtiene sumando porcentajes sin límite.</w:t>
      </w:r>
    </w:p>
    <w:p>
      <w:pPr>
        <w:pStyle w:val="Heading1"/>
        <w:keepNext/>
      </w:pPr>
      <w:r>
        <w:rPr>
          <w:rFonts w:ascii="Arial" w:hAnsi="Arial" w:cs="Arial"/>
          <w:sz w:val="30"/>
        </w:rPr>
        <w:t>2. Sujetos causantes y hecho causante</w:t>
      </w:r>
    </w:p>
    <w:p>
      <w:pPr>
        <w:pStyle w:val="Heading2"/>
        <w:keepNext/>
      </w:pPr>
      <w:r>
        <w:rPr>
          <w:rFonts w:ascii="Arial" w:hAnsi="Arial" w:cs="Arial"/>
          <w:sz w:val="25"/>
        </w:rPr>
        <w:t>2.1. Personas que pueden causar las prestaciones</w:t>
      </w:r>
    </w:p>
    <w:p>
      <w:pPr>
        <w:jc w:val="both"/>
      </w:pPr>
      <w:r>
        <w:rPr>
          <w:rFonts w:ascii="Arial" w:hAnsi="Arial" w:cs="Arial"/>
          <w:sz w:val="22"/>
        </w:rPr>
        <w:t>Conforme al artículo 217.1 pueden ser causantes:</w:t>
      </w:r>
    </w:p>
    <w:p>
      <w:pPr>
        <w:pStyle w:val="ListBullet"/>
      </w:pPr>
      <w:r>
        <w:rPr>
          <w:rFonts w:ascii="Arial" w:hAnsi="Arial" w:cs="Arial"/>
          <w:sz w:val="22"/>
        </w:rPr>
        <w:t>las personas incluidas en el Régimen General que cumplan la condición general de alta o situación asimilada del artículo 165.1;</w:t>
      </w:r>
    </w:p>
    <w:p>
      <w:pPr>
        <w:pStyle w:val="ListBullet"/>
      </w:pPr>
      <w:r>
        <w:rPr>
          <w:rFonts w:ascii="Arial" w:hAnsi="Arial" w:cs="Arial"/>
          <w:sz w:val="22"/>
        </w:rPr>
        <w:t>quienes perciban subsidios de incapacidad temporal, riesgo durante el embarazo, nacimiento y cuidado de menor o riesgo durante la lactancia natural, si cumplen la cotización exigible;</w:t>
      </w:r>
    </w:p>
    <w:p>
      <w:pPr>
        <w:pStyle w:val="ListBullet"/>
      </w:pPr>
      <w:r>
        <w:rPr>
          <w:rFonts w:ascii="Arial" w:hAnsi="Arial" w:cs="Arial"/>
          <w:sz w:val="22"/>
        </w:rPr>
        <w:t>titulares de pensiones contributivas de jubilación o incapacidad permanente.</w:t>
      </w:r>
    </w:p>
    <w:p>
      <w:pPr>
        <w:jc w:val="both"/>
      </w:pPr>
      <w:r>
        <w:rPr>
          <w:rFonts w:ascii="Arial" w:hAnsi="Arial" w:cs="Arial"/>
          <w:sz w:val="22"/>
        </w:rPr>
        <w:t>La referencia legal histórica a maternidad o paternidad debe leerse con la denominación vigente de nacimiento y cuidado de menor. Los regímenes especiales aplican estas reglas con sus particularidades. En el Régimen del Mar la gestión corresponde al Instituto Social de la Marina; en los demás supuestos, normalmente al Instituto Nacional de la Seguridad Social.</w:t>
      </w:r>
    </w:p>
    <w:p>
      <w:pPr>
        <w:jc w:val="both"/>
      </w:pPr>
      <w:r>
        <w:rPr>
          <w:rFonts w:ascii="Arial" w:hAnsi="Arial" w:cs="Arial"/>
          <w:sz w:val="22"/>
        </w:rPr>
        <w:t>También puede causar prestaciones quien no se encontraba en alta si acreditó el período reforzado de quince años previsto para viudedad y aplicable, por remisión, a orfandad y favor de familiares. Esta posibilidad no debe transformarse en una exención general de carencia.</w:t>
      </w:r>
    </w:p>
    <w:p>
      <w:pPr>
        <w:pStyle w:val="Heading2"/>
        <w:keepNext/>
      </w:pPr>
      <w:r>
        <w:rPr>
          <w:rFonts w:ascii="Arial" w:hAnsi="Arial" w:cs="Arial"/>
          <w:sz w:val="25"/>
        </w:rPr>
        <w:t>2.2. Fecha del fallecimiento</w:t>
      </w:r>
    </w:p>
    <w:p>
      <w:pPr>
        <w:jc w:val="both"/>
      </w:pPr>
      <w:r>
        <w:rPr>
          <w:rFonts w:ascii="Arial" w:hAnsi="Arial" w:cs="Arial"/>
          <w:sz w:val="22"/>
        </w:rPr>
        <w:t>El hecho causante ordinario es la muerte real del sujeto protegido. La fecha determina la legislación vigente, la situación de alta, la carencia, la base reguladora y los beneficiarios. La declaración civil de fallecimiento y los supuestos de desaparición presentan reglas propias.</w:t>
      </w:r>
    </w:p>
    <w:p>
      <w:pPr>
        <w:jc w:val="both"/>
      </w:pPr>
      <w:r>
        <w:rPr>
          <w:rFonts w:ascii="Arial" w:hAnsi="Arial" w:cs="Arial"/>
          <w:sz w:val="22"/>
        </w:rPr>
        <w:t xml:space="preserve">Cuando un trabajador desaparece con ocasión de un accidente, laboral o no, en circunstancias que hacen presumible su muerte y no se reciben noticias durante los </w:t>
      </w:r>
      <w:r>
        <w:rPr>
          <w:rFonts w:ascii="Arial" w:hAnsi="Arial" w:cs="Arial"/>
          <w:b/>
          <w:sz w:val="22"/>
        </w:rPr>
        <w:t>noventa días naturales</w:t>
      </w:r>
      <w:r>
        <w:rPr>
          <w:rFonts w:ascii="Arial" w:hAnsi="Arial" w:cs="Arial"/>
          <w:sz w:val="22"/>
        </w:rPr>
        <w:t xml:space="preserve"> siguientes, puede causar prestaciones de muerte y supervivencia. Se excluye el auxilio por defunción. Los efectos económicos se retrotraen a la fecha del accidente.</w:t>
      </w:r>
    </w:p>
    <w:p>
      <w:pPr>
        <w:pStyle w:val="Heading2"/>
        <w:keepNext/>
      </w:pPr>
      <w:r>
        <w:rPr>
          <w:rFonts w:ascii="Arial" w:hAnsi="Arial" w:cs="Arial"/>
          <w:sz w:val="25"/>
        </w:rPr>
        <w:t>2.3. Presunción y prueba del origen profesional</w:t>
      </w:r>
    </w:p>
    <w:p>
      <w:pPr>
        <w:jc w:val="both"/>
      </w:pPr>
      <w:r>
        <w:rPr>
          <w:rFonts w:ascii="Arial" w:hAnsi="Arial" w:cs="Arial"/>
          <w:sz w:val="22"/>
        </w:rPr>
        <w:t>Se reputan de derecho fallecidos por accidente de trabajo o enfermedad profesional quienes tenían reconocida por esas contingencias una incapacidad permanente absoluta o gran incapacidad. La presunción evita probar de nuevo el nexo.</w:t>
      </w:r>
    </w:p>
    <w:p>
      <w:pPr>
        <w:jc w:val="both"/>
      </w:pPr>
      <w:r>
        <w:rPr>
          <w:rFonts w:ascii="Arial" w:hAnsi="Arial" w:cs="Arial"/>
          <w:sz w:val="22"/>
        </w:rPr>
        <w:t>Fuera de esa presunción:</w:t>
      </w:r>
    </w:p>
    <w:p>
      <w:pPr>
        <w:pStyle w:val="ListBullet"/>
      </w:pPr>
      <w:r>
        <w:rPr>
          <w:rFonts w:ascii="Arial" w:hAnsi="Arial" w:cs="Arial"/>
          <w:sz w:val="22"/>
        </w:rPr>
        <w:t xml:space="preserve">si se invoca accidente de trabajo, la relación causal solo puede probarse cuando el fallecimiento se produce dentro de los </w:t>
      </w:r>
      <w:r>
        <w:rPr>
          <w:rFonts w:ascii="Arial" w:hAnsi="Arial" w:cs="Arial"/>
          <w:b/>
          <w:sz w:val="22"/>
        </w:rPr>
        <w:t>cinco años</w:t>
      </w:r>
      <w:r>
        <w:rPr>
          <w:rFonts w:ascii="Arial" w:hAnsi="Arial" w:cs="Arial"/>
          <w:sz w:val="22"/>
        </w:rPr>
        <w:t xml:space="preserve"> siguientes al accidente;</w:t>
      </w:r>
    </w:p>
    <w:p>
      <w:pPr>
        <w:pStyle w:val="ListBullet"/>
      </w:pPr>
      <w:r>
        <w:rPr>
          <w:rFonts w:ascii="Arial" w:hAnsi="Arial" w:cs="Arial"/>
          <w:sz w:val="22"/>
        </w:rPr>
        <w:t>si se invoca enfermedad profesional, la prueba se admite cualquiera que sea el tiempo transcurrido.</w:t>
      </w:r>
    </w:p>
    <w:p>
      <w:pPr>
        <w:jc w:val="both"/>
      </w:pPr>
      <w:r>
        <w:rPr>
          <w:rFonts w:ascii="Arial" w:hAnsi="Arial" w:cs="Arial"/>
          <w:sz w:val="22"/>
        </w:rPr>
        <w:t>No se confunde este plazo probatorio con prescripción del derecho ni con la carencia. Una muerte por accidente no laboral elimina igualmente la carencia previa de viudedad, pero no genera la indemnización especial reservada a AT/EP.</w:t>
      </w:r>
    </w:p>
    <w:p>
      <w:pPr>
        <w:pStyle w:val="Heading1"/>
        <w:keepNext/>
      </w:pPr>
      <w:r>
        <w:rPr>
          <w:rFonts w:ascii="Arial" w:hAnsi="Arial" w:cs="Arial"/>
          <w:sz w:val="30"/>
        </w:rPr>
        <w:t>3. Requisitos comunes de cotización</w:t>
      </w:r>
    </w:p>
    <w:p>
      <w:pPr>
        <w:jc w:val="both"/>
      </w:pPr>
      <w:r>
        <w:rPr>
          <w:rFonts w:ascii="Arial" w:hAnsi="Arial" w:cs="Arial"/>
          <w:sz w:val="22"/>
        </w:rPr>
        <w:t xml:space="preserve">Para viudedad, si el causante estaba en alta o asimilada y la muerte deriva de enfermedad común, se exigen </w:t>
      </w:r>
      <w:r>
        <w:rPr>
          <w:rFonts w:ascii="Arial" w:hAnsi="Arial" w:cs="Arial"/>
          <w:b/>
          <w:sz w:val="22"/>
        </w:rPr>
        <w:t>quinientos días</w:t>
      </w:r>
      <w:r>
        <w:rPr>
          <w:rFonts w:ascii="Arial" w:hAnsi="Arial" w:cs="Arial"/>
          <w:sz w:val="22"/>
        </w:rPr>
        <w:t xml:space="preserve"> de cotización dentro de los cinco años inmediatamente anteriores al fallecimiento. Si estaba en alta o asimilada sin obligación de cotizar, los quinientos días deben situarse dentro de los cinco años anteriores al cese de esa obligación.</w:t>
      </w:r>
    </w:p>
    <w:p>
      <w:pPr>
        <w:jc w:val="both"/>
      </w:pPr>
      <w:r>
        <w:rPr>
          <w:rFonts w:ascii="Arial" w:hAnsi="Arial" w:cs="Arial"/>
          <w:sz w:val="22"/>
        </w:rPr>
        <w:t>No se exige período previo cuando la muerte deriva de:</w:t>
      </w:r>
    </w:p>
    <w:p>
      <w:pPr>
        <w:pStyle w:val="ListBullet"/>
      </w:pPr>
      <w:r>
        <w:rPr>
          <w:rFonts w:ascii="Arial" w:hAnsi="Arial" w:cs="Arial"/>
          <w:sz w:val="22"/>
        </w:rPr>
        <w:t>accidente de trabajo;</w:t>
      </w:r>
    </w:p>
    <w:p>
      <w:pPr>
        <w:pStyle w:val="ListBullet"/>
      </w:pPr>
      <w:r>
        <w:rPr>
          <w:rFonts w:ascii="Arial" w:hAnsi="Arial" w:cs="Arial"/>
          <w:sz w:val="22"/>
        </w:rPr>
        <w:t>accidente no laboral;</w:t>
      </w:r>
    </w:p>
    <w:p>
      <w:pPr>
        <w:pStyle w:val="ListBullet"/>
      </w:pPr>
      <w:r>
        <w:rPr>
          <w:rFonts w:ascii="Arial" w:hAnsi="Arial" w:cs="Arial"/>
          <w:sz w:val="22"/>
        </w:rPr>
        <w:t>enfermedad profesional.</w:t>
      </w:r>
    </w:p>
    <w:p>
      <w:pPr>
        <w:jc w:val="both"/>
      </w:pPr>
      <w:r>
        <w:rPr>
          <w:rFonts w:ascii="Arial" w:hAnsi="Arial" w:cs="Arial"/>
          <w:sz w:val="22"/>
        </w:rPr>
        <w:t xml:space="preserve">Si el causante no estaba en alta ni situación asimilada, se exigen </w:t>
      </w:r>
      <w:r>
        <w:rPr>
          <w:rFonts w:ascii="Arial" w:hAnsi="Arial" w:cs="Arial"/>
          <w:b/>
          <w:sz w:val="22"/>
        </w:rPr>
        <w:t>quince años</w:t>
      </w:r>
      <w:r>
        <w:rPr>
          <w:rFonts w:ascii="Arial" w:hAnsi="Arial" w:cs="Arial"/>
          <w:sz w:val="22"/>
        </w:rPr>
        <w:t xml:space="preserve"> de cotización. Esta regla se proyecta sobre orfandad y favor de familiares por las remisiones de los artículos 224 y 226.</w:t>
      </w:r>
    </w:p>
    <w:p>
      <w:pPr>
        <w:jc w:val="both"/>
      </w:pPr>
      <w:r>
        <w:rPr>
          <w:rFonts w:ascii="Arial" w:hAnsi="Arial" w:cs="Arial"/>
          <w:sz w:val="22"/>
        </w:rPr>
        <w:t>Un pensionista contributivo de jubilación o incapacidad permanente ya es sujeto causante por el artículo 217.1.c; no debe reconstruirse una carencia de quinientos días. La prestación se calcula desde la base que corresponda a su condición de pensionista.</w:t>
      </w:r>
    </w:p>
    <w:p>
      <w:pPr>
        <w:spacing w:after="100"/>
        <w:ind w:left="340" w:right="227"/>
        <w:shd w:fill="EAF2F8"/>
      </w:pPr>
      <w:r>
        <w:rPr>
          <w:rFonts w:ascii="Arial" w:hAnsi="Arial" w:cs="Arial"/>
          <w:b/>
          <w:sz w:val="20"/>
        </w:rPr>
        <w:t>Esquema de carencia</w:t>
      </w:r>
    </w:p>
    <w:p>
      <w:pPr>
        <w:spacing w:after="100"/>
        <w:ind w:left="340" w:right="227"/>
        <w:shd w:fill="EAF2F8"/>
      </w:pPr>
    </w:p>
    <w:p>
      <w:pPr>
        <w:spacing w:after="100"/>
        <w:ind w:left="340" w:right="227"/>
        <w:shd w:fill="EAF2F8"/>
      </w:pPr>
      <w:r>
        <w:rPr>
          <w:rFonts w:ascii="Arial" w:hAnsi="Arial" w:cs="Arial"/>
          <w:sz w:val="20"/>
        </w:rPr>
        <w:t>- Alta + enfermedad común: 500 días en 5 años.</w:t>
      </w:r>
    </w:p>
    <w:p>
      <w:pPr>
        <w:spacing w:after="100"/>
        <w:ind w:left="340" w:right="227"/>
        <w:shd w:fill="EAF2F8"/>
      </w:pPr>
      <w:r>
        <w:rPr>
          <w:rFonts w:ascii="Arial" w:hAnsi="Arial" w:cs="Arial"/>
          <w:sz w:val="20"/>
        </w:rPr>
        <w:t>- Alta + accidente, sea o no laboral, o enfermedad profesional: sin carencia.</w:t>
      </w:r>
    </w:p>
    <w:p>
      <w:pPr>
        <w:spacing w:after="100"/>
        <w:ind w:left="340" w:right="227"/>
        <w:shd w:fill="EAF2F8"/>
      </w:pPr>
      <w:r>
        <w:rPr>
          <w:rFonts w:ascii="Arial" w:hAnsi="Arial" w:cs="Arial"/>
          <w:sz w:val="20"/>
        </w:rPr>
        <w:t>- No alta: 15 años.</w:t>
      </w:r>
    </w:p>
    <w:p>
      <w:pPr>
        <w:spacing w:after="100"/>
        <w:ind w:left="340" w:right="227"/>
        <w:shd w:fill="EAF2F8"/>
      </w:pPr>
      <w:r>
        <w:rPr>
          <w:rFonts w:ascii="Arial" w:hAnsi="Arial" w:cs="Arial"/>
          <w:sz w:val="20"/>
        </w:rPr>
        <w:t>- Pensionista contributivo: sujeto causante directo.</w:t>
      </w:r>
    </w:p>
    <w:p>
      <w:pPr>
        <w:pStyle w:val="Heading1"/>
        <w:keepNext/>
      </w:pPr>
      <w:r>
        <w:rPr>
          <w:rFonts w:ascii="Arial" w:hAnsi="Arial" w:cs="Arial"/>
          <w:sz w:val="30"/>
        </w:rPr>
        <w:t>4. Pensión de viudedad del cónyuge superviviente</w:t>
      </w:r>
    </w:p>
    <w:p>
      <w:pPr>
        <w:pStyle w:val="Heading2"/>
        <w:keepNext/>
      </w:pPr>
      <w:r>
        <w:rPr>
          <w:rFonts w:ascii="Arial" w:hAnsi="Arial" w:cs="Arial"/>
          <w:sz w:val="25"/>
        </w:rPr>
        <w:t>4.1. Regla general</w:t>
      </w:r>
    </w:p>
    <w:p>
      <w:pPr>
        <w:jc w:val="both"/>
      </w:pPr>
      <w:r>
        <w:rPr>
          <w:rFonts w:ascii="Arial" w:hAnsi="Arial" w:cs="Arial"/>
          <w:sz w:val="22"/>
        </w:rPr>
        <w:t>El artículo 219 reconoce pensión vitalicia al cónyuge superviviente si concurren los requisitos del causante. El derecho se mantiene mientras no opere una causa de extinción.</w:t>
      </w:r>
    </w:p>
    <w:p>
      <w:pPr>
        <w:jc w:val="both"/>
      </w:pPr>
      <w:r>
        <w:rPr>
          <w:rFonts w:ascii="Arial" w:hAnsi="Arial" w:cs="Arial"/>
          <w:sz w:val="22"/>
        </w:rPr>
        <w:t>Cuando el fallecimiento deriva de enfermedad común que ya existía antes del matrimonio, se exige además una garantía contra matrimonios celebrados únicamente ante una muerte previsible. Basta cualquiera de estas alternativas:</w:t>
      </w:r>
    </w:p>
    <w:p>
      <w:pPr>
        <w:pStyle w:val="ListBullet"/>
      </w:pPr>
      <w:r>
        <w:rPr>
          <w:rFonts w:ascii="Arial" w:hAnsi="Arial" w:cs="Arial"/>
          <w:sz w:val="22"/>
        </w:rPr>
        <w:t xml:space="preserve">matrimonio celebrado al menos </w:t>
      </w:r>
      <w:r>
        <w:rPr>
          <w:rFonts w:ascii="Arial" w:hAnsi="Arial" w:cs="Arial"/>
          <w:b/>
          <w:sz w:val="22"/>
        </w:rPr>
        <w:t>un año</w:t>
      </w:r>
      <w:r>
        <w:rPr>
          <w:rFonts w:ascii="Arial" w:hAnsi="Arial" w:cs="Arial"/>
          <w:sz w:val="22"/>
        </w:rPr>
        <w:t xml:space="preserve"> antes del fallecimiento;</w:t>
      </w:r>
    </w:p>
    <w:p>
      <w:pPr>
        <w:pStyle w:val="ListBullet"/>
      </w:pPr>
      <w:r>
        <w:rPr>
          <w:rFonts w:ascii="Arial" w:hAnsi="Arial" w:cs="Arial"/>
          <w:sz w:val="22"/>
        </w:rPr>
        <w:t>existencia de hijos comunes;</w:t>
      </w:r>
    </w:p>
    <w:p>
      <w:pPr>
        <w:pStyle w:val="ListBullet"/>
      </w:pPr>
      <w:r>
        <w:rPr>
          <w:rFonts w:ascii="Arial" w:hAnsi="Arial" w:cs="Arial"/>
          <w:sz w:val="22"/>
        </w:rPr>
        <w:t xml:space="preserve">convivencia previa acreditada como pareja de hecho que, sumada a la duración del matrimonio, supere </w:t>
      </w:r>
      <w:r>
        <w:rPr>
          <w:rFonts w:ascii="Arial" w:hAnsi="Arial" w:cs="Arial"/>
          <w:b/>
          <w:sz w:val="22"/>
        </w:rPr>
        <w:t>dos años</w:t>
      </w:r>
      <w:r>
        <w:rPr>
          <w:rFonts w:ascii="Arial" w:hAnsi="Arial" w:cs="Arial"/>
          <w:sz w:val="22"/>
        </w:rPr>
        <w:t>.</w:t>
      </w:r>
    </w:p>
    <w:p>
      <w:pPr>
        <w:jc w:val="both"/>
      </w:pPr>
      <w:r>
        <w:rPr>
          <w:rFonts w:ascii="Arial" w:hAnsi="Arial" w:cs="Arial"/>
          <w:sz w:val="22"/>
        </w:rPr>
        <w:t>La exigencia adicional no se aplica si la enfermedad común apareció después del matrimonio ni si la causa fue accidente o enfermedad profesional.</w:t>
      </w:r>
    </w:p>
    <w:p>
      <w:pPr>
        <w:pStyle w:val="Heading2"/>
        <w:keepNext/>
      </w:pPr>
      <w:r>
        <w:rPr>
          <w:rFonts w:ascii="Arial" w:hAnsi="Arial" w:cs="Arial"/>
          <w:sz w:val="25"/>
        </w:rPr>
        <w:t>4.2. Prestación temporal por falta de duración</w:t>
      </w:r>
    </w:p>
    <w:p>
      <w:pPr>
        <w:jc w:val="both"/>
      </w:pPr>
      <w:r>
        <w:rPr>
          <w:rFonts w:ascii="Arial" w:hAnsi="Arial" w:cs="Arial"/>
          <w:sz w:val="22"/>
        </w:rPr>
        <w:t xml:space="preserve">Si se reúnen los restantes requisitos pero no el año de matrimonio, ni existen hijos comunes, ni se supera la convivencia conjunta exigida, el artículo 222 reconoce una prestación temporal de viudedad. Su cuantía es igual a la pensión que habría correspondido y dura </w:t>
      </w:r>
      <w:r>
        <w:rPr>
          <w:rFonts w:ascii="Arial" w:hAnsi="Arial" w:cs="Arial"/>
          <w:b/>
          <w:sz w:val="22"/>
        </w:rPr>
        <w:t>dos años</w:t>
      </w:r>
      <w:r>
        <w:rPr>
          <w:rFonts w:ascii="Arial" w:hAnsi="Arial" w:cs="Arial"/>
          <w:sz w:val="22"/>
        </w:rPr>
        <w:t>.</w:t>
      </w:r>
    </w:p>
    <w:p>
      <w:pPr>
        <w:jc w:val="both"/>
      </w:pPr>
      <w:r>
        <w:rPr>
          <w:rFonts w:ascii="Arial" w:hAnsi="Arial" w:cs="Arial"/>
          <w:sz w:val="22"/>
        </w:rPr>
        <w:t>La temporal no es una pensión de menor porcentaje ni una ayuda discrecional. Sustituye el carácter vitalicio cuando solo falla la duración del vínculo. También puede operar para la pareja de hecho cuando falta la antelación de dos años de su inscripción o documento público, manteniéndose los restantes requisitos.</w:t>
      </w:r>
    </w:p>
    <w:p>
      <w:pPr>
        <w:pStyle w:val="Heading1"/>
        <w:keepNext/>
      </w:pPr>
      <w:r>
        <w:rPr>
          <w:rFonts w:ascii="Arial" w:hAnsi="Arial" w:cs="Arial"/>
          <w:sz w:val="30"/>
        </w:rPr>
        <w:t>5. Separación, divorcio y nulidad matrimonial</w:t>
      </w:r>
    </w:p>
    <w:p>
      <w:pPr>
        <w:pStyle w:val="Heading2"/>
        <w:keepNext/>
      </w:pPr>
      <w:r>
        <w:rPr>
          <w:rFonts w:ascii="Arial" w:hAnsi="Arial" w:cs="Arial"/>
          <w:sz w:val="25"/>
        </w:rPr>
        <w:t>5.1. Separación o divorcio</w:t>
      </w:r>
    </w:p>
    <w:p>
      <w:pPr>
        <w:jc w:val="both"/>
      </w:pPr>
      <w:r>
        <w:rPr>
          <w:rFonts w:ascii="Arial" w:hAnsi="Arial" w:cs="Arial"/>
          <w:sz w:val="22"/>
        </w:rPr>
        <w:t>Quien fue cónyuge puede tener derecho si no contrajo nuevas nupcias ni constituyó pareja de hecho y, como regla, era acreedor de una pensión compensatoria del artículo 97 del Código Civil que se extingue por la muerte. Si la viudedad supera esa pensión compensatoria, se reduce hasta su importe.</w:t>
      </w:r>
    </w:p>
    <w:p>
      <w:pPr>
        <w:jc w:val="both"/>
      </w:pPr>
      <w:r>
        <w:rPr>
          <w:rFonts w:ascii="Arial" w:hAnsi="Arial" w:cs="Arial"/>
          <w:sz w:val="22"/>
        </w:rPr>
        <w:t>Existe una excepción protectora: la mujer que acredite haber sido víctima de violencia de género en el momento de la separación o divorcio puede acceder aunque no fuera acreedora de pensión compensatoria. La acreditación puede resultar de sentencia, orden de protección, informe fiscal o cualquier medio admitido en Derecho, según el artículo 220.</w:t>
      </w:r>
    </w:p>
    <w:p>
      <w:pPr>
        <w:jc w:val="both"/>
      </w:pPr>
      <w:r>
        <w:rPr>
          <w:rFonts w:ascii="Arial" w:hAnsi="Arial" w:cs="Arial"/>
          <w:sz w:val="22"/>
        </w:rPr>
        <w:t xml:space="preserve">Cuando concurren varios beneficiarios por divorcios sucesivos, la pensión se reparte proporcionalmente al tiempo de convivencia con el causante. Se garantiza al menos el </w:t>
      </w:r>
      <w:r>
        <w:rPr>
          <w:rFonts w:ascii="Arial" w:hAnsi="Arial" w:cs="Arial"/>
          <w:b/>
          <w:sz w:val="22"/>
        </w:rPr>
        <w:t>40 %</w:t>
      </w:r>
      <w:r>
        <w:rPr>
          <w:rFonts w:ascii="Arial" w:hAnsi="Arial" w:cs="Arial"/>
          <w:sz w:val="22"/>
        </w:rPr>
        <w:t xml:space="preserve"> de la pensión al cónyuge superviviente o pareja que convivía con el causante y resulta beneficiaria. Esta garantía se refiere al reparto de la pensión, no al 40 % de la base reguladora.</w:t>
      </w:r>
    </w:p>
    <w:p>
      <w:pPr>
        <w:pStyle w:val="Heading2"/>
        <w:keepNext/>
      </w:pPr>
      <w:r>
        <w:rPr>
          <w:rFonts w:ascii="Arial" w:hAnsi="Arial" w:cs="Arial"/>
          <w:sz w:val="25"/>
        </w:rPr>
        <w:t>5.2. Nulidad</w:t>
      </w:r>
    </w:p>
    <w:p>
      <w:pPr>
        <w:jc w:val="both"/>
      </w:pPr>
      <w:r>
        <w:rPr>
          <w:rFonts w:ascii="Arial" w:hAnsi="Arial" w:cs="Arial"/>
          <w:sz w:val="22"/>
        </w:rPr>
        <w:t>En nulidad matrimonial puede acceder el superviviente al que se reconoció la indemnización del artículo 98 del Código Civil, si no volvió a casarse ni constituyó pareja de hecho. La cuantía es proporcional al tiempo vivido con el causante y queda sujeta a las reglas de concurrencia.</w:t>
      </w:r>
    </w:p>
    <w:p>
      <w:pPr>
        <w:pStyle w:val="Heading2"/>
        <w:keepNext/>
      </w:pPr>
      <w:r>
        <w:rPr>
          <w:rFonts w:ascii="Arial" w:hAnsi="Arial" w:cs="Arial"/>
          <w:sz w:val="25"/>
        </w:rPr>
        <w:t>5.3. Reglas transitorias</w:t>
      </w:r>
    </w:p>
    <w:p>
      <w:pPr>
        <w:jc w:val="both"/>
      </w:pPr>
      <w:r>
        <w:rPr>
          <w:rFonts w:ascii="Arial" w:hAnsi="Arial" w:cs="Arial"/>
          <w:sz w:val="22"/>
        </w:rPr>
        <w:t>Existen disposiciones transitorias que permiten reconocer viudedad a determinadas personas separadas o divorciadas antes del 1 de enero de 2008 sin pensión compensatoria cuando cumplen edad, duración matrimonial, ausencia de nuevo vínculo y demás condiciones legales. Su aplicación es cerrada: no debe presentarse como excepción general para cualquier divorcio sin compensatoria.</w:t>
      </w:r>
    </w:p>
    <w:p>
      <w:pPr>
        <w:pStyle w:val="Heading1"/>
        <w:keepNext/>
      </w:pPr>
      <w:r>
        <w:rPr>
          <w:rFonts w:ascii="Arial" w:hAnsi="Arial" w:cs="Arial"/>
          <w:sz w:val="30"/>
        </w:rPr>
        <w:t>6. Parejas de hecho</w:t>
      </w:r>
    </w:p>
    <w:p>
      <w:pPr>
        <w:jc w:val="both"/>
      </w:pPr>
      <w:r>
        <w:rPr>
          <w:rFonts w:ascii="Arial" w:hAnsi="Arial" w:cs="Arial"/>
          <w:sz w:val="22"/>
        </w:rPr>
        <w:t>El artículo 221 equipara en el acceso a quienes estaban unidos al causante como pareja de hecho, siempre que cumplan los requisitos de cotización del artículo 219 y acrediten la pareja en la forma legal.</w:t>
      </w:r>
    </w:p>
    <w:p>
      <w:pPr>
        <w:jc w:val="both"/>
      </w:pPr>
      <w:r>
        <w:rPr>
          <w:rFonts w:ascii="Arial" w:hAnsi="Arial" w:cs="Arial"/>
          <w:sz w:val="22"/>
        </w:rPr>
        <w:t>Se exigen dos elementos distintos:</w:t>
      </w:r>
    </w:p>
    <w:p>
      <w:pPr>
        <w:spacing w:after="40"/>
        <w:ind w:left="369" w:hanging="227"/>
      </w:pPr>
      <w:r>
        <w:rPr>
          <w:rFonts w:ascii="Arial" w:hAnsi="Arial" w:cs="Arial"/>
          <w:sz w:val="22"/>
        </w:rPr>
        <w:t xml:space="preserve">1. </w:t>
      </w:r>
      <w:r>
        <w:rPr>
          <w:rFonts w:ascii="Arial" w:hAnsi="Arial" w:cs="Arial"/>
          <w:b/>
          <w:sz w:val="22"/>
        </w:rPr>
        <w:t>Convivencia estable y notoria:</w:t>
      </w:r>
      <w:r>
        <w:rPr>
          <w:rFonts w:ascii="Arial" w:hAnsi="Arial" w:cs="Arial"/>
          <w:sz w:val="22"/>
        </w:rPr>
        <w:t xml:space="preserve"> al menos cinco años ininterrumpidos inmediatamente anteriores al fallecimiento, acreditados mediante empadronamiento. Si existen hijos comunes, no se exige esa duración de convivencia.</w:t>
      </w:r>
    </w:p>
    <w:p>
      <w:pPr>
        <w:spacing w:after="40"/>
        <w:ind w:left="369" w:hanging="227"/>
      </w:pPr>
      <w:r>
        <w:rPr>
          <w:rFonts w:ascii="Arial" w:hAnsi="Arial" w:cs="Arial"/>
          <w:sz w:val="22"/>
        </w:rPr>
        <w:t xml:space="preserve">2. </w:t>
      </w:r>
      <w:r>
        <w:rPr>
          <w:rFonts w:ascii="Arial" w:hAnsi="Arial" w:cs="Arial"/>
          <w:b/>
          <w:sz w:val="22"/>
        </w:rPr>
        <w:t>Constitución formal:</w:t>
      </w:r>
      <w:r>
        <w:rPr>
          <w:rFonts w:ascii="Arial" w:hAnsi="Arial" w:cs="Arial"/>
          <w:sz w:val="22"/>
        </w:rPr>
        <w:t xml:space="preserve"> inscripción en registro específico o documento público con al menos dos años de antelación al fallecimiento.</w:t>
      </w:r>
    </w:p>
    <w:p>
      <w:pPr>
        <w:jc w:val="both"/>
      </w:pPr>
      <w:r>
        <w:rPr>
          <w:rFonts w:ascii="Arial" w:hAnsi="Arial" w:cs="Arial"/>
          <w:sz w:val="22"/>
        </w:rPr>
        <w:t>Los miembros no deben estar impedidos para contraer matrimonio, ni tener vínculo matrimonial o pareja de hecho con otra persona. Tener hijos comunes elimina el requisito de cinco años de convivencia, pero no convierte cualquier relación informal en pareja de hecho a todos los efectos; debe atenderse al tenor vigente del artículo 221.</w:t>
      </w:r>
    </w:p>
    <w:p>
      <w:pPr>
        <w:jc w:val="both"/>
      </w:pPr>
      <w:r>
        <w:rPr>
          <w:rFonts w:ascii="Arial" w:hAnsi="Arial" w:cs="Arial"/>
          <w:sz w:val="22"/>
        </w:rPr>
        <w:t>Desde la reforma de 2022 ya no se exige el antiguo requisito de dependencia o límite de ingresos para la pareja superviviente. Mantenerlo en una respuesta actual constituye un error.</w:t>
      </w:r>
    </w:p>
    <w:p>
      <w:pPr>
        <w:jc w:val="both"/>
      </w:pPr>
      <w:r>
        <w:rPr>
          <w:rFonts w:ascii="Arial" w:hAnsi="Arial" w:cs="Arial"/>
          <w:sz w:val="22"/>
        </w:rPr>
        <w:t>Si la pareja formal se extinguió antes del fallecimiento, la persona superviviente solo accede cuando no formó una nueva pareja ni contrajo matrimonio y era acreedora de pensión compensatoria extinguida por la muerte. La cuantía de viudedad queda limitada a la compensatoria. Se exceptúa, en los términos legales, a la mujer víctima de violencia de género.</w:t>
      </w:r>
    </w:p>
    <w:p>
      <w:pPr>
        <w:pStyle w:val="Heading1"/>
        <w:keepNext/>
      </w:pPr>
      <w:r>
        <w:rPr>
          <w:rFonts w:ascii="Arial" w:hAnsi="Arial" w:cs="Arial"/>
          <w:sz w:val="30"/>
        </w:rPr>
        <w:t>7. Cuantía de la viudedad</w:t>
      </w:r>
    </w:p>
    <w:p>
      <w:pPr>
        <w:jc w:val="both"/>
      </w:pPr>
      <w:r>
        <w:rPr>
          <w:rFonts w:ascii="Arial" w:hAnsi="Arial" w:cs="Arial"/>
          <w:sz w:val="22"/>
        </w:rPr>
        <w:t>La cuantía se obtiene aplicando un porcentaje a la base reguladora:</w:t>
      </w:r>
    </w:p>
    <w:p>
      <w:pPr>
        <w:pStyle w:val="ListBullet"/>
      </w:pPr>
      <w:r>
        <w:rPr>
          <w:rFonts w:ascii="Arial" w:hAnsi="Arial" w:cs="Arial"/>
          <w:b/>
          <w:sz w:val="22"/>
        </w:rPr>
        <w:t>52 %</w:t>
      </w:r>
      <w:r>
        <w:rPr>
          <w:rFonts w:ascii="Arial" w:hAnsi="Arial" w:cs="Arial"/>
          <w:sz w:val="22"/>
        </w:rPr>
        <w:t xml:space="preserve"> con carácter general;</w:t>
      </w:r>
    </w:p>
    <w:p>
      <w:pPr>
        <w:pStyle w:val="ListBullet"/>
      </w:pPr>
      <w:r>
        <w:rPr>
          <w:rFonts w:ascii="Arial" w:hAnsi="Arial" w:cs="Arial"/>
          <w:b/>
          <w:sz w:val="22"/>
        </w:rPr>
        <w:t>60 %</w:t>
      </w:r>
      <w:r>
        <w:rPr>
          <w:rFonts w:ascii="Arial" w:hAnsi="Arial" w:cs="Arial"/>
          <w:sz w:val="22"/>
        </w:rPr>
        <w:t xml:space="preserve"> para beneficiarios de al menos sesenta y cinco años que no tengan derecho a otra pensión pública, no perciban ingresos por trabajo y cumplan el límite de rentas;</w:t>
      </w:r>
    </w:p>
    <w:p>
      <w:pPr>
        <w:pStyle w:val="ListBullet"/>
      </w:pPr>
      <w:r>
        <w:rPr>
          <w:rFonts w:ascii="Arial" w:hAnsi="Arial" w:cs="Arial"/>
          <w:b/>
          <w:sz w:val="22"/>
        </w:rPr>
        <w:t>70 %</w:t>
      </w:r>
      <w:r>
        <w:rPr>
          <w:rFonts w:ascii="Arial" w:hAnsi="Arial" w:cs="Arial"/>
          <w:sz w:val="22"/>
        </w:rPr>
        <w:t xml:space="preserve"> cuando existen cargas familiares, la pensión constituye la principal o única fuente de ingresos y los rendimientos de la unidad familiar no superan los límites vigentes.</w:t>
      </w:r>
    </w:p>
    <w:p>
      <w:pPr>
        <w:jc w:val="both"/>
      </w:pPr>
      <w:r>
        <w:rPr>
          <w:rFonts w:ascii="Arial" w:hAnsi="Arial" w:cs="Arial"/>
          <w:sz w:val="22"/>
        </w:rPr>
        <w:t>Los requisitos de los porcentajes mejorados deben mantenerse. Su pérdida determina volver al porcentaje que corresponda. No son porcentajes acumulativos: no se suma 52 + 60 ni 52 + 18.</w:t>
      </w:r>
    </w:p>
    <w:p>
      <w:pPr>
        <w:jc w:val="both"/>
      </w:pPr>
      <w:r>
        <w:rPr>
          <w:rFonts w:ascii="Arial" w:hAnsi="Arial" w:cs="Arial"/>
          <w:sz w:val="22"/>
        </w:rPr>
        <w:t>Si existen varios beneficiarios, primero se determina la pensión global y después se distribuye por tiempo de convivencia, con la garantía del 40 % ya examinada. Los complementos por mínimos se rigen por reglas propias y no alteran el porcentaje estructural.</w:t>
      </w:r>
    </w:p>
    <w:p>
      <w:pPr>
        <w:pStyle w:val="Heading2"/>
        <w:keepNext/>
      </w:pPr>
      <w:r>
        <w:rPr>
          <w:rFonts w:ascii="Arial" w:hAnsi="Arial" w:cs="Arial"/>
          <w:sz w:val="25"/>
        </w:rPr>
        <w:t>7.1. Base reguladora</w:t>
      </w:r>
    </w:p>
    <w:p>
      <w:pPr>
        <w:jc w:val="both"/>
      </w:pPr>
      <w:r>
        <w:rPr>
          <w:rFonts w:ascii="Arial" w:hAnsi="Arial" w:cs="Arial"/>
          <w:sz w:val="22"/>
        </w:rPr>
        <w:t>La base depende de la situación del causante:</w:t>
      </w:r>
    </w:p>
    <w:p>
      <w:pPr>
        <w:pStyle w:val="ListBullet"/>
      </w:pPr>
      <w:r>
        <w:rPr>
          <w:rFonts w:ascii="Arial" w:hAnsi="Arial" w:cs="Arial"/>
          <w:sz w:val="22"/>
        </w:rPr>
        <w:t>trabajador fallecido por enfermedad común o accidente no laboral: se toma un período ininterrumpido de veinticuatro meses elegido dentro de los quince años anteriores y se divide entre veintiocho, conforme al desarrollo reglamentario;</w:t>
      </w:r>
    </w:p>
    <w:p>
      <w:pPr>
        <w:pStyle w:val="ListBullet"/>
      </w:pPr>
      <w:r>
        <w:rPr>
          <w:rFonts w:ascii="Arial" w:hAnsi="Arial" w:cs="Arial"/>
          <w:sz w:val="22"/>
        </w:rPr>
        <w:t>trabajador fallecido por accidente de trabajo o enfermedad profesional: se calcula sobre salarios reales del período reglamentario, incluyendo conceptos computables;</w:t>
      </w:r>
    </w:p>
    <w:p>
      <w:pPr>
        <w:pStyle w:val="ListBullet"/>
      </w:pPr>
      <w:r>
        <w:rPr>
          <w:rFonts w:ascii="Arial" w:hAnsi="Arial" w:cs="Arial"/>
          <w:sz w:val="22"/>
        </w:rPr>
        <w:t>pensionista de jubilación o incapacidad permanente: se utiliza la base reguladora que sirvió para la pensión, con las revalorizaciones correspondientes;</w:t>
      </w:r>
    </w:p>
    <w:p>
      <w:pPr>
        <w:pStyle w:val="ListBullet"/>
      </w:pPr>
      <w:r>
        <w:rPr>
          <w:rFonts w:ascii="Arial" w:hAnsi="Arial" w:cs="Arial"/>
          <w:sz w:val="22"/>
        </w:rPr>
        <w:t>fallecimiento durante jubilación flexible: los beneficiarios pueden optar, conforme al régimen aplicable, entre cálculo desde activo o desde pensionista.</w:t>
      </w:r>
    </w:p>
    <w:p>
      <w:pPr>
        <w:jc w:val="both"/>
      </w:pPr>
      <w:r>
        <w:rPr>
          <w:rFonts w:ascii="Arial" w:hAnsi="Arial" w:cs="Arial"/>
          <w:sz w:val="22"/>
        </w:rPr>
        <w:t>El artículo 228 contiene la regla legal para contingencias comunes y remite al período reglamentario. No debe confundirse base reguladora con la pensión que percibía el causante ni aplicar sin más el último salario.</w:t>
      </w:r>
    </w:p>
    <w:p>
      <w:pPr>
        <w:pStyle w:val="Heading1"/>
        <w:keepNext/>
      </w:pPr>
      <w:r>
        <w:rPr>
          <w:rFonts w:ascii="Arial" w:hAnsi="Arial" w:cs="Arial"/>
          <w:sz w:val="30"/>
        </w:rPr>
        <w:t>8. Pensión y prestación de orfandad</w:t>
      </w:r>
    </w:p>
    <w:p>
      <w:pPr>
        <w:pStyle w:val="Heading2"/>
        <w:keepNext/>
      </w:pPr>
      <w:r>
        <w:rPr>
          <w:rFonts w:ascii="Arial" w:hAnsi="Arial" w:cs="Arial"/>
          <w:sz w:val="25"/>
        </w:rPr>
        <w:t>8.1. Beneficiarios por edad o incapacidad</w:t>
      </w:r>
    </w:p>
    <w:p>
      <w:pPr>
        <w:jc w:val="both"/>
      </w:pPr>
      <w:r>
        <w:rPr>
          <w:rFonts w:ascii="Arial" w:hAnsi="Arial" w:cs="Arial"/>
          <w:sz w:val="22"/>
        </w:rPr>
        <w:t>Cada hijo del causante, cualquiera que sea la filiación, tiene derecho en igualdad si:</w:t>
      </w:r>
    </w:p>
    <w:p>
      <w:pPr>
        <w:pStyle w:val="ListBullet"/>
      </w:pPr>
      <w:r>
        <w:rPr>
          <w:rFonts w:ascii="Arial" w:hAnsi="Arial" w:cs="Arial"/>
          <w:sz w:val="22"/>
        </w:rPr>
        <w:t xml:space="preserve">es menor de </w:t>
      </w:r>
      <w:r>
        <w:rPr>
          <w:rFonts w:ascii="Arial" w:hAnsi="Arial" w:cs="Arial"/>
          <w:b/>
          <w:sz w:val="22"/>
        </w:rPr>
        <w:t>veintiún años</w:t>
      </w:r>
      <w:r>
        <w:rPr>
          <w:rFonts w:ascii="Arial" w:hAnsi="Arial" w:cs="Arial"/>
          <w:sz w:val="22"/>
        </w:rPr>
        <w:t>; o</w:t>
      </w:r>
    </w:p>
    <w:p>
      <w:pPr>
        <w:pStyle w:val="ListBullet"/>
      </w:pPr>
      <w:r>
        <w:rPr>
          <w:rFonts w:ascii="Arial" w:hAnsi="Arial" w:cs="Arial"/>
          <w:sz w:val="22"/>
        </w:rPr>
        <w:t>está incapacitado para el trabajo.</w:t>
      </w:r>
    </w:p>
    <w:p>
      <w:pPr>
        <w:jc w:val="both"/>
      </w:pPr>
      <w:r>
        <w:rPr>
          <w:rFonts w:ascii="Arial" w:hAnsi="Arial" w:cs="Arial"/>
          <w:sz w:val="22"/>
        </w:rPr>
        <w:t xml:space="preserve">Puede mantenerse hasta los </w:t>
      </w:r>
      <w:r>
        <w:rPr>
          <w:rFonts w:ascii="Arial" w:hAnsi="Arial" w:cs="Arial"/>
          <w:b/>
          <w:sz w:val="22"/>
        </w:rPr>
        <w:t>veinticinco años</w:t>
      </w:r>
      <w:r>
        <w:rPr>
          <w:rFonts w:ascii="Arial" w:hAnsi="Arial" w:cs="Arial"/>
          <w:sz w:val="22"/>
        </w:rPr>
        <w:t xml:space="preserve"> si no realiza trabajo lucrativo o si sus ingresos anuales son inferiores al salario mínimo interprofesional anual. Si cumple veinticinco durante el curso escolar, continúa hasta el día primero del mes inmediatamente posterior al inicio del siguiente curso académico.</w:t>
      </w:r>
    </w:p>
    <w:p>
      <w:pPr>
        <w:jc w:val="both"/>
      </w:pPr>
      <w:r>
        <w:rPr>
          <w:rFonts w:ascii="Arial" w:hAnsi="Arial" w:cs="Arial"/>
          <w:sz w:val="22"/>
        </w:rPr>
        <w:t>No se exige que el huérfano dependiera económicamente del causante como requisito general. Tampoco se exige cotización adicional del huérfano. La referencia a «incapacitado para el trabajo» es un concepto prestacional que debe acreditarse, no una mera declaración de discapacidad.</w:t>
      </w:r>
    </w:p>
    <w:p>
      <w:pPr>
        <w:pStyle w:val="Heading2"/>
        <w:keepNext/>
      </w:pPr>
      <w:r>
        <w:rPr>
          <w:rFonts w:ascii="Arial" w:hAnsi="Arial" w:cs="Arial"/>
          <w:sz w:val="25"/>
        </w:rPr>
        <w:t>8.2. Cuantía ordinaria</w:t>
      </w:r>
    </w:p>
    <w:p>
      <w:pPr>
        <w:jc w:val="both"/>
      </w:pPr>
      <w:r>
        <w:rPr>
          <w:rFonts w:ascii="Arial" w:hAnsi="Arial" w:cs="Arial"/>
          <w:sz w:val="22"/>
        </w:rPr>
        <w:t xml:space="preserve">La pensión ordinaria de orfandad equivale, como regla, al </w:t>
      </w:r>
      <w:r>
        <w:rPr>
          <w:rFonts w:ascii="Arial" w:hAnsi="Arial" w:cs="Arial"/>
          <w:b/>
          <w:sz w:val="22"/>
        </w:rPr>
        <w:t>20 %</w:t>
      </w:r>
      <w:r>
        <w:rPr>
          <w:rFonts w:ascii="Arial" w:hAnsi="Arial" w:cs="Arial"/>
          <w:sz w:val="22"/>
        </w:rPr>
        <w:t xml:space="preserve"> de la base reguladora por cada huérfano. En orfandad absoluta puede incrementarse con el porcentaje de viudedad no atribuido, distribuido entre los beneficiarios en los términos reglamentarios.</w:t>
      </w:r>
    </w:p>
    <w:p>
      <w:pPr>
        <w:jc w:val="both"/>
      </w:pPr>
      <w:r>
        <w:rPr>
          <w:rFonts w:ascii="Arial" w:hAnsi="Arial" w:cs="Arial"/>
          <w:sz w:val="22"/>
        </w:rPr>
        <w:t xml:space="preserve">La suma de muerte y supervivencia no supera normalmente el 100 % de la base. Las orfandades tienen preferencia sobre favor de familiares. Si concurre viudedad calculada con porcentaje superior al 52 %, puede rebasarse el límite general, pero la suma de pensiones de orfandad no puede superar el </w:t>
      </w:r>
      <w:r>
        <w:rPr>
          <w:rFonts w:ascii="Arial" w:hAnsi="Arial" w:cs="Arial"/>
          <w:b/>
          <w:sz w:val="22"/>
        </w:rPr>
        <w:t>48 %</w:t>
      </w:r>
      <w:r>
        <w:rPr>
          <w:rFonts w:ascii="Arial" w:hAnsi="Arial" w:cs="Arial"/>
          <w:sz w:val="22"/>
        </w:rPr>
        <w:t xml:space="preserve"> de la base reguladora.</w:t>
      </w:r>
    </w:p>
    <w:p>
      <w:pPr>
        <w:pStyle w:val="Heading2"/>
        <w:keepNext/>
      </w:pPr>
      <w:r>
        <w:rPr>
          <w:rFonts w:ascii="Arial" w:hAnsi="Arial" w:cs="Arial"/>
          <w:sz w:val="25"/>
        </w:rPr>
        <w:t>8.3. Orfandad por violencia contra la mujer</w:t>
      </w:r>
    </w:p>
    <w:p>
      <w:pPr>
        <w:jc w:val="both"/>
      </w:pPr>
      <w:r>
        <w:rPr>
          <w:rFonts w:ascii="Arial" w:hAnsi="Arial" w:cs="Arial"/>
          <w:sz w:val="22"/>
        </w:rPr>
        <w:t>Los hijos de una mujer fallecida por violencia contra la mujer que se hallen en situación equiparable a orfandad absoluta y no reúnan requisitos de la pensión ordinaria pueden acceder a una prestación especial.</w:t>
      </w:r>
    </w:p>
    <w:p>
      <w:pPr>
        <w:jc w:val="both"/>
      </w:pPr>
      <w:r>
        <w:rPr>
          <w:rFonts w:ascii="Arial" w:hAnsi="Arial" w:cs="Arial"/>
          <w:sz w:val="22"/>
        </w:rPr>
        <w:t xml:space="preserve">La cuantía es el </w:t>
      </w:r>
      <w:r>
        <w:rPr>
          <w:rFonts w:ascii="Arial" w:hAnsi="Arial" w:cs="Arial"/>
          <w:b/>
          <w:sz w:val="22"/>
        </w:rPr>
        <w:t>70 %</w:t>
      </w:r>
      <w:r>
        <w:rPr>
          <w:rFonts w:ascii="Arial" w:hAnsi="Arial" w:cs="Arial"/>
          <w:sz w:val="22"/>
        </w:rPr>
        <w:t xml:space="preserve"> de la base reguladora si los rendimientos por miembro de la unidad familiar no superan el 75 % del SMI, excluidas pagas extraordinarias. Si hay más de un beneficiario, el importe conjunto puede alcanzar el </w:t>
      </w:r>
      <w:r>
        <w:rPr>
          <w:rFonts w:ascii="Arial" w:hAnsi="Arial" w:cs="Arial"/>
          <w:b/>
          <w:sz w:val="22"/>
        </w:rPr>
        <w:t>118 %</w:t>
      </w:r>
      <w:r>
        <w:rPr>
          <w:rFonts w:ascii="Arial" w:hAnsi="Arial" w:cs="Arial"/>
          <w:sz w:val="22"/>
        </w:rPr>
        <w:t>. La pensión ordinaria de orfandad causada por esa violencia también puede experimentar el incremento de orfandad absoluta; la ley impide que el condenado por homicidio se beneficie de la muerte.</w:t>
      </w:r>
    </w:p>
    <w:p>
      <w:pPr>
        <w:jc w:val="both"/>
      </w:pPr>
      <w:r>
        <w:rPr>
          <w:rFonts w:ascii="Arial" w:hAnsi="Arial" w:cs="Arial"/>
          <w:sz w:val="22"/>
        </w:rPr>
        <w:t>El Real Decreto 241/2026 fija para 2026 mínimos específicos: 11.603,20 euros anuales para una persona beneficiaria de la prestación especial y 19.559,68 euros para varias, a repartir, sin confundir estos mínimos con los porcentajes de la base.</w:t>
      </w:r>
    </w:p>
    <w:p>
      <w:pPr>
        <w:pStyle w:val="Heading1"/>
        <w:keepNext/>
      </w:pPr>
      <w:r>
        <w:rPr>
          <w:rFonts w:ascii="Arial" w:hAnsi="Arial" w:cs="Arial"/>
          <w:sz w:val="30"/>
        </w:rPr>
        <w:t>9. Prestaciones en favor de familiares</w:t>
      </w:r>
    </w:p>
    <w:p>
      <w:pPr>
        <w:jc w:val="both"/>
      </w:pPr>
      <w:r>
        <w:rPr>
          <w:rFonts w:ascii="Arial" w:hAnsi="Arial" w:cs="Arial"/>
          <w:sz w:val="22"/>
        </w:rPr>
        <w:t>Estas prestaciones protegen a parientes o asimilados que dependían económicamente del causante y no acceden con prioridad a viudedad u orfandad. El artículo 226 remite al desarrollo reglamentario y exige probar la dependencia.</w:t>
      </w:r>
    </w:p>
    <w:p>
      <w:pPr>
        <w:jc w:val="both"/>
      </w:pPr>
      <w:r>
        <w:rPr>
          <w:rFonts w:ascii="Arial" w:hAnsi="Arial" w:cs="Arial"/>
          <w:sz w:val="22"/>
        </w:rPr>
        <w:t>Pueden comprender, bajo sus requisitos:</w:t>
      </w:r>
    </w:p>
    <w:p>
      <w:pPr>
        <w:pStyle w:val="ListBullet"/>
      </w:pPr>
      <w:r>
        <w:rPr>
          <w:rFonts w:ascii="Arial" w:hAnsi="Arial" w:cs="Arial"/>
          <w:sz w:val="22"/>
        </w:rPr>
        <w:t>nietos y hermanos menores de dieciocho años o incapacitados;</w:t>
      </w:r>
    </w:p>
    <w:p>
      <w:pPr>
        <w:pStyle w:val="ListBullet"/>
      </w:pPr>
      <w:r>
        <w:rPr>
          <w:rFonts w:ascii="Arial" w:hAnsi="Arial" w:cs="Arial"/>
          <w:sz w:val="22"/>
        </w:rPr>
        <w:t>madre, padre, abuelos y abuelas;</w:t>
      </w:r>
    </w:p>
    <w:p>
      <w:pPr>
        <w:pStyle w:val="ListBullet"/>
      </w:pPr>
      <w:r>
        <w:rPr>
          <w:rFonts w:ascii="Arial" w:hAnsi="Arial" w:cs="Arial"/>
          <w:sz w:val="22"/>
        </w:rPr>
        <w:t>hijos o hermanos de pensionistas contributivos de jubilación o incapacidad permanente, mayores de cuarenta y cinco años, solteros, divorciados o viudos, que convivieron y cuidaron prolongadamente al causante y carecen de medios propios;</w:t>
      </w:r>
    </w:p>
    <w:p>
      <w:pPr>
        <w:pStyle w:val="ListBullet"/>
      </w:pPr>
      <w:r>
        <w:rPr>
          <w:rFonts w:ascii="Arial" w:hAnsi="Arial" w:cs="Arial"/>
          <w:sz w:val="22"/>
        </w:rPr>
        <w:t>otros familiares expresamente comprendidos en la norma reglamentaria.</w:t>
      </w:r>
    </w:p>
    <w:p>
      <w:pPr>
        <w:jc w:val="both"/>
      </w:pPr>
      <w:r>
        <w:rPr>
          <w:rFonts w:ascii="Arial" w:hAnsi="Arial" w:cs="Arial"/>
          <w:sz w:val="22"/>
        </w:rPr>
        <w:t>Son habituales la convivencia con el causante durante al menos dos años, vivir a sus expensas, carecer de pensión pública y no disponer de familiares con obligación y posibilidad de prestar alimentos, con las particularidades de cada categoría.</w:t>
      </w:r>
    </w:p>
    <w:p>
      <w:pPr>
        <w:jc w:val="both"/>
      </w:pPr>
      <w:r>
        <w:rPr>
          <w:rFonts w:ascii="Arial" w:hAnsi="Arial" w:cs="Arial"/>
          <w:sz w:val="22"/>
        </w:rPr>
        <w:t xml:space="preserve">La pensión en favor de familiares suele consistir en el </w:t>
      </w:r>
      <w:r>
        <w:rPr>
          <w:rFonts w:ascii="Arial" w:hAnsi="Arial" w:cs="Arial"/>
          <w:b/>
          <w:sz w:val="22"/>
        </w:rPr>
        <w:t>20 %</w:t>
      </w:r>
      <w:r>
        <w:rPr>
          <w:rFonts w:ascii="Arial" w:hAnsi="Arial" w:cs="Arial"/>
          <w:sz w:val="22"/>
        </w:rPr>
        <w:t xml:space="preserve"> de la base reguladora. Cuando no existen viudo ni huérfanos con derecho, pueden operar incrementos y mínimos. El subsidio temporal para determinados hijos o hermanos dura </w:t>
      </w:r>
      <w:r>
        <w:rPr>
          <w:rFonts w:ascii="Arial" w:hAnsi="Arial" w:cs="Arial"/>
          <w:b/>
          <w:sz w:val="22"/>
        </w:rPr>
        <w:t>doce meses</w:t>
      </w:r>
      <w:r>
        <w:rPr>
          <w:rFonts w:ascii="Arial" w:hAnsi="Arial" w:cs="Arial"/>
          <w:sz w:val="22"/>
        </w:rPr>
        <w:t xml:space="preserve"> y se calcula con el porcentaje reglamentario. No debe calificarse toda ayuda familiar como pensión vitalicia.</w:t>
      </w:r>
    </w:p>
    <w:p>
      <w:pPr>
        <w:jc w:val="both"/>
      </w:pPr>
      <w:r>
        <w:rPr>
          <w:rFonts w:ascii="Arial" w:hAnsi="Arial" w:cs="Arial"/>
          <w:sz w:val="22"/>
        </w:rPr>
        <w:t>El artículo 226.2 garantiza especialmente la pensión a hijos o hermanos de pensionistas contributivos si:</w:t>
      </w:r>
    </w:p>
    <w:p>
      <w:pPr>
        <w:spacing w:after="40"/>
        <w:ind w:left="369" w:hanging="227"/>
      </w:pPr>
      <w:r>
        <w:rPr>
          <w:rFonts w:ascii="Arial" w:hAnsi="Arial" w:cs="Arial"/>
          <w:sz w:val="22"/>
        </w:rPr>
        <w:t>1. convivieron con el causante y a su cargo;</w:t>
      </w:r>
    </w:p>
    <w:p>
      <w:pPr>
        <w:spacing w:after="40"/>
        <w:ind w:left="369" w:hanging="227"/>
      </w:pPr>
      <w:r>
        <w:rPr>
          <w:rFonts w:ascii="Arial" w:hAnsi="Arial" w:cs="Arial"/>
          <w:sz w:val="22"/>
        </w:rPr>
        <w:t>2. son mayores de cuarenta y cinco años;</w:t>
      </w:r>
    </w:p>
    <w:p>
      <w:pPr>
        <w:spacing w:after="40"/>
        <w:ind w:left="369" w:hanging="227"/>
      </w:pPr>
      <w:r>
        <w:rPr>
          <w:rFonts w:ascii="Arial" w:hAnsi="Arial" w:cs="Arial"/>
          <w:sz w:val="22"/>
        </w:rPr>
        <w:t>3. están solteros, divorciados o viudos;</w:t>
      </w:r>
    </w:p>
    <w:p>
      <w:pPr>
        <w:spacing w:after="40"/>
        <w:ind w:left="369" w:hanging="227"/>
      </w:pPr>
      <w:r>
        <w:rPr>
          <w:rFonts w:ascii="Arial" w:hAnsi="Arial" w:cs="Arial"/>
          <w:sz w:val="22"/>
        </w:rPr>
        <w:t>4. acreditan dedicación prolongada al cuidado;</w:t>
      </w:r>
    </w:p>
    <w:p>
      <w:pPr>
        <w:spacing w:after="40"/>
        <w:ind w:left="369" w:hanging="227"/>
      </w:pPr>
      <w:r>
        <w:rPr>
          <w:rFonts w:ascii="Arial" w:hAnsi="Arial" w:cs="Arial"/>
          <w:sz w:val="22"/>
        </w:rPr>
        <w:t>5. carecen de medios propios.</w:t>
      </w:r>
    </w:p>
    <w:p>
      <w:pPr>
        <w:jc w:val="both"/>
      </w:pPr>
      <w:r>
        <w:rPr>
          <w:rFonts w:ascii="Arial" w:hAnsi="Arial" w:cs="Arial"/>
          <w:sz w:val="22"/>
        </w:rPr>
        <w:t>En 2026 el mínimo general de orfandad o favor de familiares es de 4.011,00 euros anuales por beneficiario. Si no hay viudo ni huérfano pensionista, los mínimos de una sola persona beneficiaria son superiores y varían según tenga o no sesenta y cinco años. Son cuantías anuales revisables.</w:t>
      </w:r>
    </w:p>
    <w:p>
      <w:pPr>
        <w:pStyle w:val="Heading1"/>
        <w:keepNext/>
      </w:pPr>
      <w:r>
        <w:rPr>
          <w:rFonts w:ascii="Arial" w:hAnsi="Arial" w:cs="Arial"/>
          <w:sz w:val="30"/>
        </w:rPr>
        <w:t>10. Auxilio por defunción</w:t>
      </w:r>
    </w:p>
    <w:p>
      <w:pPr>
        <w:jc w:val="both"/>
      </w:pPr>
      <w:r>
        <w:rPr>
          <w:rFonts w:ascii="Arial" w:hAnsi="Arial" w:cs="Arial"/>
          <w:sz w:val="22"/>
        </w:rPr>
        <w:t>El auxilio por defunción atiende los gastos de sepelio. El artículo 218 reconoce su percepción inmediata a quien los haya soportado.</w:t>
      </w:r>
    </w:p>
    <w:p>
      <w:pPr>
        <w:jc w:val="both"/>
      </w:pPr>
      <w:r>
        <w:rPr>
          <w:rFonts w:ascii="Arial" w:hAnsi="Arial" w:cs="Arial"/>
          <w:sz w:val="22"/>
        </w:rPr>
        <w:t>Existe una presunción, salvo prueba en contrario, de que los pagó, por este orden:</w:t>
      </w:r>
    </w:p>
    <w:p>
      <w:pPr>
        <w:spacing w:after="40"/>
        <w:ind w:left="369" w:hanging="227"/>
      </w:pPr>
      <w:r>
        <w:rPr>
          <w:rFonts w:ascii="Arial" w:hAnsi="Arial" w:cs="Arial"/>
          <w:sz w:val="22"/>
        </w:rPr>
        <w:t>1. cónyuge superviviente;</w:t>
      </w:r>
    </w:p>
    <w:p>
      <w:pPr>
        <w:spacing w:after="40"/>
        <w:ind w:left="369" w:hanging="227"/>
      </w:pPr>
      <w:r>
        <w:rPr>
          <w:rFonts w:ascii="Arial" w:hAnsi="Arial" w:cs="Arial"/>
          <w:sz w:val="22"/>
        </w:rPr>
        <w:t>2. superviviente de pareja de hecho del artículo 221;</w:t>
      </w:r>
    </w:p>
    <w:p>
      <w:pPr>
        <w:spacing w:after="40"/>
        <w:ind w:left="369" w:hanging="227"/>
      </w:pPr>
      <w:r>
        <w:rPr>
          <w:rFonts w:ascii="Arial" w:hAnsi="Arial" w:cs="Arial"/>
          <w:sz w:val="22"/>
        </w:rPr>
        <w:t>3. hijos;</w:t>
      </w:r>
    </w:p>
    <w:p>
      <w:pPr>
        <w:spacing w:after="40"/>
        <w:ind w:left="369" w:hanging="227"/>
      </w:pPr>
      <w:r>
        <w:rPr>
          <w:rFonts w:ascii="Arial" w:hAnsi="Arial" w:cs="Arial"/>
          <w:sz w:val="22"/>
        </w:rPr>
        <w:t>4. parientes del fallecido que convivían habitualmente con él.</w:t>
      </w:r>
    </w:p>
    <w:p>
      <w:pPr>
        <w:jc w:val="both"/>
      </w:pPr>
      <w:r>
        <w:rPr>
          <w:rFonts w:ascii="Arial" w:hAnsi="Arial" w:cs="Arial"/>
          <w:sz w:val="22"/>
        </w:rPr>
        <w:t xml:space="preserve">La presunción determina a quién se considera pagador si no se acredita otra cosa; no impide que un tercero pruebe haber sufragado el sepelio. La cuantía vigente es de </w:t>
      </w:r>
      <w:r>
        <w:rPr>
          <w:rFonts w:ascii="Arial" w:hAnsi="Arial" w:cs="Arial"/>
          <w:b/>
          <w:sz w:val="22"/>
        </w:rPr>
        <w:t>46,50 euros</w:t>
      </w:r>
      <w:r>
        <w:rPr>
          <w:rFonts w:ascii="Arial" w:hAnsi="Arial" w:cs="Arial"/>
          <w:sz w:val="22"/>
        </w:rPr>
        <w:t>. A diferencia de las restantes prestaciones de muerte y supervivencia, su reconocimiento no es imprescriptible: se aplica el plazo general de cinco años. Tampoco se reconoce en la desaparición presunta del artículo 217.3.</w:t>
      </w:r>
    </w:p>
    <w:p>
      <w:pPr>
        <w:pStyle w:val="Heading1"/>
        <w:keepNext/>
      </w:pPr>
      <w:r>
        <w:rPr>
          <w:rFonts w:ascii="Arial" w:hAnsi="Arial" w:cs="Arial"/>
          <w:sz w:val="30"/>
        </w:rPr>
        <w:t>11. Muerte por accidente de trabajo o enfermedad profesional</w:t>
      </w:r>
    </w:p>
    <w:p>
      <w:pPr>
        <w:jc w:val="both"/>
      </w:pPr>
      <w:r>
        <w:rPr>
          <w:rFonts w:ascii="Arial" w:hAnsi="Arial" w:cs="Arial"/>
          <w:sz w:val="22"/>
        </w:rPr>
        <w:t>La contingencia profesional produce cuatro diferencias principales:</w:t>
      </w:r>
    </w:p>
    <w:p>
      <w:pPr>
        <w:spacing w:after="40"/>
        <w:ind w:left="369" w:hanging="227"/>
      </w:pPr>
      <w:r>
        <w:rPr>
          <w:rFonts w:ascii="Arial" w:hAnsi="Arial" w:cs="Arial"/>
          <w:sz w:val="22"/>
        </w:rPr>
        <w:t>1. no se exige período previo de cotización;</w:t>
      </w:r>
    </w:p>
    <w:p>
      <w:pPr>
        <w:spacing w:after="40"/>
        <w:ind w:left="369" w:hanging="227"/>
      </w:pPr>
      <w:r>
        <w:rPr>
          <w:rFonts w:ascii="Arial" w:hAnsi="Arial" w:cs="Arial"/>
          <w:sz w:val="22"/>
        </w:rPr>
        <w:t>2. la base reguladora se calcula con salarios reales según las reglas profesionales;</w:t>
      </w:r>
    </w:p>
    <w:p>
      <w:pPr>
        <w:spacing w:after="40"/>
        <w:ind w:left="369" w:hanging="227"/>
      </w:pPr>
      <w:r>
        <w:rPr>
          <w:rFonts w:ascii="Arial" w:hAnsi="Arial" w:cs="Arial"/>
          <w:sz w:val="22"/>
        </w:rPr>
        <w:t>3. se reconoce una indemnización especial a tanto alzado adicional a las pensiones;</w:t>
      </w:r>
    </w:p>
    <w:p>
      <w:pPr>
        <w:spacing w:after="40"/>
        <w:ind w:left="369" w:hanging="227"/>
      </w:pPr>
      <w:r>
        <w:rPr>
          <w:rFonts w:ascii="Arial" w:hAnsi="Arial" w:cs="Arial"/>
          <w:sz w:val="22"/>
        </w:rPr>
        <w:t>4. pueden existir responsabilidad empresarial, anticipo y recargo por falta de medidas de seguridad, sin que este último pueda asegurarse.</w:t>
      </w:r>
    </w:p>
    <w:p>
      <w:pPr>
        <w:pStyle w:val="Heading2"/>
        <w:keepNext/>
      </w:pPr>
      <w:r>
        <w:rPr>
          <w:rFonts w:ascii="Arial" w:hAnsi="Arial" w:cs="Arial"/>
          <w:sz w:val="25"/>
        </w:rPr>
        <w:t>11.1. Indemnización especial</w:t>
      </w:r>
    </w:p>
    <w:p>
      <w:pPr>
        <w:jc w:val="both"/>
      </w:pPr>
      <w:r>
        <w:rPr>
          <w:rFonts w:ascii="Arial" w:hAnsi="Arial" w:cs="Arial"/>
          <w:sz w:val="22"/>
        </w:rPr>
        <w:t>Además de viudedad y orfandad:</w:t>
      </w:r>
    </w:p>
    <w:p>
      <w:pPr>
        <w:pStyle w:val="ListBullet"/>
      </w:pPr>
      <w:r>
        <w:rPr>
          <w:rFonts w:ascii="Arial" w:hAnsi="Arial" w:cs="Arial"/>
          <w:sz w:val="22"/>
        </w:rPr>
        <w:t xml:space="preserve">el cónyuge o pareja de hecho recibe, como regla, </w:t>
      </w:r>
      <w:r>
        <w:rPr>
          <w:rFonts w:ascii="Arial" w:hAnsi="Arial" w:cs="Arial"/>
          <w:b/>
          <w:sz w:val="22"/>
        </w:rPr>
        <w:t>seis mensualidades</w:t>
      </w:r>
      <w:r>
        <w:rPr>
          <w:rFonts w:ascii="Arial" w:hAnsi="Arial" w:cs="Arial"/>
          <w:sz w:val="22"/>
        </w:rPr>
        <w:t xml:space="preserve"> de la base reguladora de viudedad;</w:t>
      </w:r>
    </w:p>
    <w:p>
      <w:pPr>
        <w:pStyle w:val="ListBullet"/>
      </w:pPr>
      <w:r>
        <w:rPr>
          <w:rFonts w:ascii="Arial" w:hAnsi="Arial" w:cs="Arial"/>
          <w:sz w:val="22"/>
        </w:rPr>
        <w:t xml:space="preserve">cada huérfano recibe </w:t>
      </w:r>
      <w:r>
        <w:rPr>
          <w:rFonts w:ascii="Arial" w:hAnsi="Arial" w:cs="Arial"/>
          <w:b/>
          <w:sz w:val="22"/>
        </w:rPr>
        <w:t>una mensualidad</w:t>
      </w:r>
      <w:r>
        <w:rPr>
          <w:rFonts w:ascii="Arial" w:hAnsi="Arial" w:cs="Arial"/>
          <w:sz w:val="22"/>
        </w:rPr>
        <w:t>;</w:t>
      </w:r>
    </w:p>
    <w:p>
      <w:pPr>
        <w:pStyle w:val="ListBullet"/>
      </w:pPr>
      <w:r>
        <w:rPr>
          <w:rFonts w:ascii="Arial" w:hAnsi="Arial" w:cs="Arial"/>
          <w:sz w:val="22"/>
        </w:rPr>
        <w:t>si no existe cónyuge o pareja con derecho, las seis mensualidades que le habrían correspondido pueden distribuirse entre los huérfanos en los términos reglamentarios;</w:t>
      </w:r>
    </w:p>
    <w:p>
      <w:pPr>
        <w:pStyle w:val="ListBullet"/>
      </w:pPr>
      <w:r>
        <w:rPr>
          <w:rFonts w:ascii="Arial" w:hAnsi="Arial" w:cs="Arial"/>
          <w:sz w:val="22"/>
        </w:rPr>
        <w:t xml:space="preserve">si no hay otros familiares con derecho a pensión y el padre o la madre vivían a expensas del causante, reciben </w:t>
      </w:r>
      <w:r>
        <w:rPr>
          <w:rFonts w:ascii="Arial" w:hAnsi="Arial" w:cs="Arial"/>
          <w:b/>
          <w:sz w:val="22"/>
        </w:rPr>
        <w:t>nueve mensualidades</w:t>
      </w:r>
      <w:r>
        <w:rPr>
          <w:rFonts w:ascii="Arial" w:hAnsi="Arial" w:cs="Arial"/>
          <w:sz w:val="22"/>
        </w:rPr>
        <w:t xml:space="preserve"> si sobrevive uno o </w:t>
      </w:r>
      <w:r>
        <w:rPr>
          <w:rFonts w:ascii="Arial" w:hAnsi="Arial" w:cs="Arial"/>
          <w:b/>
          <w:sz w:val="22"/>
        </w:rPr>
        <w:t>doce</w:t>
      </w:r>
      <w:r>
        <w:rPr>
          <w:rFonts w:ascii="Arial" w:hAnsi="Arial" w:cs="Arial"/>
          <w:sz w:val="22"/>
        </w:rPr>
        <w:t xml:space="preserve"> si sobreviven ambos.</w:t>
      </w:r>
    </w:p>
    <w:p>
      <w:pPr>
        <w:jc w:val="both"/>
      </w:pPr>
      <w:r>
        <w:rPr>
          <w:rFonts w:ascii="Arial" w:hAnsi="Arial" w:cs="Arial"/>
          <w:sz w:val="22"/>
        </w:rPr>
        <w:t>En separación, divorcio o nulidad se aplican las reglas del artículo 220. Esta indemnización no sustituye la pensión y no se reconoce por accidente no laboral.</w:t>
      </w:r>
    </w:p>
    <w:p>
      <w:pPr>
        <w:pStyle w:val="Heading2"/>
        <w:keepNext/>
      </w:pPr>
      <w:r>
        <w:rPr>
          <w:rFonts w:ascii="Arial" w:hAnsi="Arial" w:cs="Arial"/>
          <w:sz w:val="25"/>
        </w:rPr>
        <w:t>11.2. Responsabilidad y recargo</w:t>
      </w:r>
    </w:p>
    <w:p>
      <w:pPr>
        <w:jc w:val="both"/>
      </w:pPr>
      <w:r>
        <w:rPr>
          <w:rFonts w:ascii="Arial" w:hAnsi="Arial" w:cs="Arial"/>
          <w:sz w:val="22"/>
        </w:rPr>
        <w:t>Si el empleador incumplió afiliación, alta o cotización, deben examinarse automaticidad, anticipo y responsabilidad. Cuando el accidente o enfermedad se debió a falta de medidas de seguridad, el recargo de prestaciones incrementa las prestaciones económicas entre el 30 % y el 50 % según la gravedad. Recae directamente sobre el empresario infractor y es independiente de la indemnización especial.</w:t>
      </w:r>
    </w:p>
    <w:p>
      <w:pPr>
        <w:pStyle w:val="Heading1"/>
        <w:keepNext/>
      </w:pPr>
      <w:r>
        <w:rPr>
          <w:rFonts w:ascii="Arial" w:hAnsi="Arial" w:cs="Arial"/>
          <w:sz w:val="30"/>
        </w:rPr>
        <w:t>12. Límites y orden de preferencia</w:t>
      </w:r>
    </w:p>
    <w:p>
      <w:pPr>
        <w:jc w:val="both"/>
      </w:pPr>
      <w:r>
        <w:rPr>
          <w:rFonts w:ascii="Arial" w:hAnsi="Arial" w:cs="Arial"/>
          <w:sz w:val="22"/>
        </w:rPr>
        <w:t>El artículo 229 limita la suma inicial de pensiones a la base reguladora. El límite se aplica al reconocimiento inicial, no a las revalorizaciones posteriores.</w:t>
      </w:r>
    </w:p>
    <w:p>
      <w:pPr>
        <w:jc w:val="both"/>
      </w:pPr>
      <w:r>
        <w:rPr>
          <w:rFonts w:ascii="Arial" w:hAnsi="Arial" w:cs="Arial"/>
          <w:sz w:val="22"/>
        </w:rPr>
        <w:t>El orden de preferencia es:</w:t>
      </w:r>
    </w:p>
    <w:p>
      <w:pPr>
        <w:spacing w:after="40"/>
        <w:ind w:left="369" w:hanging="227"/>
      </w:pPr>
      <w:r>
        <w:rPr>
          <w:rFonts w:ascii="Arial" w:hAnsi="Arial" w:cs="Arial"/>
          <w:sz w:val="22"/>
        </w:rPr>
        <w:t>1. pensiones de orfandad;</w:t>
      </w:r>
    </w:p>
    <w:p>
      <w:pPr>
        <w:spacing w:after="40"/>
        <w:ind w:left="369" w:hanging="227"/>
      </w:pPr>
      <w:r>
        <w:rPr>
          <w:rFonts w:ascii="Arial" w:hAnsi="Arial" w:cs="Arial"/>
          <w:sz w:val="22"/>
        </w:rPr>
        <w:t>2. entre favor de familiares: nietos y hermanos menores o incapacitados;</w:t>
      </w:r>
    </w:p>
    <w:p>
      <w:pPr>
        <w:spacing w:after="40"/>
        <w:ind w:left="369" w:hanging="227"/>
      </w:pPr>
      <w:r>
        <w:rPr>
          <w:rFonts w:ascii="Arial" w:hAnsi="Arial" w:cs="Arial"/>
          <w:sz w:val="22"/>
        </w:rPr>
        <w:t>3. padre y madre;</w:t>
      </w:r>
    </w:p>
    <w:p>
      <w:pPr>
        <w:spacing w:after="40"/>
        <w:ind w:left="369" w:hanging="227"/>
      </w:pPr>
      <w:r>
        <w:rPr>
          <w:rFonts w:ascii="Arial" w:hAnsi="Arial" w:cs="Arial"/>
          <w:sz w:val="22"/>
        </w:rPr>
        <w:t>4. abuelos y abuelas;</w:t>
      </w:r>
    </w:p>
    <w:p>
      <w:pPr>
        <w:spacing w:after="40"/>
        <w:ind w:left="369" w:hanging="227"/>
      </w:pPr>
      <w:r>
        <w:rPr>
          <w:rFonts w:ascii="Arial" w:hAnsi="Arial" w:cs="Arial"/>
          <w:sz w:val="22"/>
        </w:rPr>
        <w:t>5. hijos y hermanos mayores de cuarenta y cinco años de pensionista, con los requisitos legales.</w:t>
      </w:r>
    </w:p>
    <w:p>
      <w:pPr>
        <w:jc w:val="both"/>
      </w:pPr>
      <w:r>
        <w:rPr>
          <w:rFonts w:ascii="Arial" w:hAnsi="Arial" w:cs="Arial"/>
          <w:sz w:val="22"/>
        </w:rPr>
        <w:t>Cuando la viudedad usa un porcentaje superior al 52 %, puede superarse el 100 %, pero las orfandades no rebasan conjuntamente el 48 %. Los mínimos anuales no alteran la base reguladora ni el orden de preferencia.</w:t>
      </w:r>
    </w:p>
    <w:p>
      <w:pPr>
        <w:pStyle w:val="Heading1"/>
        <w:keepNext/>
      </w:pPr>
      <w:r>
        <w:rPr>
          <w:rFonts w:ascii="Arial" w:hAnsi="Arial" w:cs="Arial"/>
          <w:sz w:val="30"/>
        </w:rPr>
        <w:t>13. Compatibilidad</w:t>
      </w:r>
    </w:p>
    <w:p>
      <w:pPr>
        <w:pStyle w:val="Heading2"/>
        <w:keepNext/>
      </w:pPr>
      <w:r>
        <w:rPr>
          <w:rFonts w:ascii="Arial" w:hAnsi="Arial" w:cs="Arial"/>
          <w:sz w:val="25"/>
        </w:rPr>
        <w:t>13.1. Viudedad</w:t>
      </w:r>
    </w:p>
    <w:p>
      <w:pPr>
        <w:jc w:val="both"/>
      </w:pPr>
      <w:r>
        <w:rPr>
          <w:rFonts w:ascii="Arial" w:hAnsi="Arial" w:cs="Arial"/>
          <w:sz w:val="22"/>
        </w:rPr>
        <w:t>La pensión de viudedad es compatible con cualquier renta de trabajo. También puede coexistir con jubilación o incapacidad propia, sometida a límites de pensiones públicas y complementos por mínimos.</w:t>
      </w:r>
    </w:p>
    <w:p>
      <w:pPr>
        <w:jc w:val="both"/>
      </w:pPr>
      <w:r>
        <w:rPr>
          <w:rFonts w:ascii="Arial" w:hAnsi="Arial" w:cs="Arial"/>
          <w:sz w:val="22"/>
        </w:rPr>
        <w:t>La viudedad causada desde no alta es incompatible con otra pensión de viudedad en otro régimen, salvo que las cotizaciones de ambos se superpongan al menos quince años. La regla evita utilizar la misma carrera no simultánea para generar varias viudedades.</w:t>
      </w:r>
    </w:p>
    <w:p>
      <w:pPr>
        <w:pStyle w:val="Heading2"/>
        <w:keepNext/>
      </w:pPr>
      <w:r>
        <w:rPr>
          <w:rFonts w:ascii="Arial" w:hAnsi="Arial" w:cs="Arial"/>
          <w:sz w:val="25"/>
        </w:rPr>
        <w:t>13.2. Orfandad</w:t>
      </w:r>
    </w:p>
    <w:p>
      <w:pPr>
        <w:jc w:val="both"/>
      </w:pPr>
      <w:r>
        <w:rPr>
          <w:rFonts w:ascii="Arial" w:hAnsi="Arial" w:cs="Arial"/>
          <w:sz w:val="22"/>
        </w:rPr>
        <w:t>La orfandad es compatible con las rentas del trabajo del cónyuge superviviente y, dentro de sus reglas, con las del propio huérfano. Antes de los veintiún años, el trabajo no extingue por sí solo la pensión. Entre veintiuno y veinticinco, los ingresos propios deben quedar por debajo del SMI anual para mantenerla.</w:t>
      </w:r>
    </w:p>
    <w:p>
      <w:pPr>
        <w:jc w:val="both"/>
      </w:pPr>
      <w:r>
        <w:rPr>
          <w:rFonts w:ascii="Arial" w:hAnsi="Arial" w:cs="Arial"/>
          <w:sz w:val="22"/>
        </w:rPr>
        <w:t>La orfandad es compatible con la viudedad que pudiera percibir el propio beneficiario. Si el huérfano incapacitado recibe otra pensión por la misma incapacidad, debe optar, salvo que la incapacidad permanente posterior derive de lesiones distintas a las que originaron la orfandad reconocida antes de los dieciocho años. También puede compatibilizar en ese caso la futura jubilación causada por su trabajo.</w:t>
      </w:r>
    </w:p>
    <w:p>
      <w:pPr>
        <w:pStyle w:val="Heading2"/>
        <w:keepNext/>
      </w:pPr>
      <w:r>
        <w:rPr>
          <w:rFonts w:ascii="Arial" w:hAnsi="Arial" w:cs="Arial"/>
          <w:sz w:val="25"/>
        </w:rPr>
        <w:t>13.3. Favor de familiares</w:t>
      </w:r>
    </w:p>
    <w:p>
      <w:pPr>
        <w:jc w:val="both"/>
      </w:pPr>
      <w:r>
        <w:rPr>
          <w:rFonts w:ascii="Arial" w:hAnsi="Arial" w:cs="Arial"/>
          <w:sz w:val="22"/>
        </w:rPr>
        <w:t>La carencia de medios y de otra pensión pública suele ser requisito de acceso o mantenimiento. La compatibilidad debe revisarse por categoría. La pensión no puede mantenerse si desaparece la dependencia económica determinante en los supuestos en que la normativa la exige.</w:t>
      </w:r>
    </w:p>
    <w:p>
      <w:pPr>
        <w:pStyle w:val="Heading1"/>
        <w:keepNext/>
      </w:pPr>
      <w:r>
        <w:rPr>
          <w:rFonts w:ascii="Arial" w:hAnsi="Arial" w:cs="Arial"/>
          <w:sz w:val="30"/>
        </w:rPr>
        <w:t>14. Suspensión</w:t>
      </w:r>
    </w:p>
    <w:p>
      <w:pPr>
        <w:jc w:val="both"/>
      </w:pPr>
      <w:r>
        <w:rPr>
          <w:rFonts w:ascii="Arial" w:hAnsi="Arial" w:cs="Arial"/>
          <w:sz w:val="22"/>
        </w:rPr>
        <w:t>La suspensión interrumpe el pago sin borrar necesariamente el derecho. Supuestos relevantes:</w:t>
      </w:r>
    </w:p>
    <w:p>
      <w:pPr>
        <w:pStyle w:val="ListBullet"/>
      </w:pPr>
      <w:r>
        <w:rPr>
          <w:rFonts w:ascii="Arial" w:hAnsi="Arial" w:cs="Arial"/>
          <w:sz w:val="22"/>
        </w:rPr>
        <w:t>en orfandad de mayores de veintiún años, superar el límite de ingresos por trabajo puede suspender mientras subsista la actividad o el exceso;</w:t>
      </w:r>
    </w:p>
    <w:p>
      <w:pPr>
        <w:pStyle w:val="ListBullet"/>
      </w:pPr>
      <w:r>
        <w:rPr>
          <w:rFonts w:ascii="Arial" w:hAnsi="Arial" w:cs="Arial"/>
          <w:sz w:val="22"/>
        </w:rPr>
        <w:t>la adopción de hijos de una mujer fallecida por violencia puede suspender la pensión o prestación y su incremento cuando la renta por miembro de la nueva unidad supera el 75 % del SMI;</w:t>
      </w:r>
    </w:p>
    <w:p>
      <w:pPr>
        <w:pStyle w:val="ListBullet"/>
      </w:pPr>
      <w:r>
        <w:rPr>
          <w:rFonts w:ascii="Arial" w:hAnsi="Arial" w:cs="Arial"/>
          <w:sz w:val="22"/>
        </w:rPr>
        <w:t>una resolución judicial con indicios racionales de homicidio doloso del causante obliga a suspender cautelarmente la prestación que correspondería al investigado;</w:t>
      </w:r>
    </w:p>
    <w:p>
      <w:pPr>
        <w:pStyle w:val="ListBullet"/>
      </w:pPr>
      <w:r>
        <w:rPr>
          <w:rFonts w:ascii="Arial" w:hAnsi="Arial" w:cs="Arial"/>
          <w:sz w:val="22"/>
        </w:rPr>
        <w:t>la incompatibilidad sobrevenida con otra prestación puede exigir opción o suspensión.</w:t>
      </w:r>
    </w:p>
    <w:p>
      <w:pPr>
        <w:jc w:val="both"/>
      </w:pPr>
      <w:r>
        <w:rPr>
          <w:rFonts w:ascii="Arial" w:hAnsi="Arial" w:cs="Arial"/>
          <w:sz w:val="22"/>
        </w:rPr>
        <w:t>La suspensión cautelar por homicidio produce efectos desde el primer día del mes siguiente a la comunicación judicial. Se mantiene hasta resolución firme. Si hay absolución o declaración de no culpabilidad, se rehabilita el pago con los efectos debidos, descontando alimentos satisfechos con cargo a la pensión. Si hay condena firme, se revisa el reconocimiento y se exige reintegro.</w:t>
      </w:r>
    </w:p>
    <w:p>
      <w:pPr>
        <w:jc w:val="both"/>
      </w:pPr>
      <w:r>
        <w:rPr>
          <w:rFonts w:ascii="Arial" w:hAnsi="Arial" w:cs="Arial"/>
          <w:sz w:val="22"/>
        </w:rPr>
        <w:t>Durante la suspensión de viudedad del investigado pueden satisfacerse obligaciones de alimentos a huérfanos o familiares hasta el límite del incremento que les correspondería si hubiera condena.</w:t>
      </w:r>
    </w:p>
    <w:p>
      <w:pPr>
        <w:pStyle w:val="Heading1"/>
        <w:keepNext/>
      </w:pPr>
      <w:r>
        <w:rPr>
          <w:rFonts w:ascii="Arial" w:hAnsi="Arial" w:cs="Arial"/>
          <w:sz w:val="30"/>
        </w:rPr>
        <w:t>15. Extinción</w:t>
      </w:r>
    </w:p>
    <w:p>
      <w:pPr>
        <w:pStyle w:val="Heading2"/>
        <w:keepNext/>
      </w:pPr>
      <w:r>
        <w:rPr>
          <w:rFonts w:ascii="Arial" w:hAnsi="Arial" w:cs="Arial"/>
          <w:sz w:val="25"/>
        </w:rPr>
        <w:t>15.1. Viudedad</w:t>
      </w:r>
    </w:p>
    <w:p>
      <w:pPr>
        <w:jc w:val="both"/>
      </w:pPr>
      <w:r>
        <w:rPr>
          <w:rFonts w:ascii="Arial" w:hAnsi="Arial" w:cs="Arial"/>
          <w:sz w:val="22"/>
        </w:rPr>
        <w:t>La pensión se extingue, entre otras causas, por:</w:t>
      </w:r>
    </w:p>
    <w:p>
      <w:pPr>
        <w:pStyle w:val="ListBullet"/>
      </w:pPr>
      <w:r>
        <w:rPr>
          <w:rFonts w:ascii="Arial" w:hAnsi="Arial" w:cs="Arial"/>
          <w:sz w:val="22"/>
        </w:rPr>
        <w:t>contraer nuevo matrimonio;</w:t>
      </w:r>
    </w:p>
    <w:p>
      <w:pPr>
        <w:pStyle w:val="ListBullet"/>
      </w:pPr>
      <w:r>
        <w:rPr>
          <w:rFonts w:ascii="Arial" w:hAnsi="Arial" w:cs="Arial"/>
          <w:sz w:val="22"/>
        </w:rPr>
        <w:t>constituir pareja de hecho;</w:t>
      </w:r>
    </w:p>
    <w:p>
      <w:pPr>
        <w:pStyle w:val="ListBullet"/>
      </w:pPr>
      <w:r>
        <w:rPr>
          <w:rFonts w:ascii="Arial" w:hAnsi="Arial" w:cs="Arial"/>
          <w:sz w:val="22"/>
        </w:rPr>
        <w:t>declaración firme de culpabilidad en la muerte del causante;</w:t>
      </w:r>
    </w:p>
    <w:p>
      <w:pPr>
        <w:pStyle w:val="ListBullet"/>
      </w:pPr>
      <w:r>
        <w:rPr>
          <w:rFonts w:ascii="Arial" w:hAnsi="Arial" w:cs="Arial"/>
          <w:sz w:val="22"/>
        </w:rPr>
        <w:t>fallecimiento del beneficiario;</w:t>
      </w:r>
    </w:p>
    <w:p>
      <w:pPr>
        <w:pStyle w:val="ListBullet"/>
      </w:pPr>
      <w:r>
        <w:rPr>
          <w:rFonts w:ascii="Arial" w:hAnsi="Arial" w:cs="Arial"/>
          <w:sz w:val="22"/>
        </w:rPr>
        <w:t>comprobarse que no murió el trabajador desaparecido;</w:t>
      </w:r>
    </w:p>
    <w:p>
      <w:pPr>
        <w:pStyle w:val="ListBullet"/>
      </w:pPr>
      <w:r>
        <w:rPr>
          <w:rFonts w:ascii="Arial" w:hAnsi="Arial" w:cs="Arial"/>
          <w:sz w:val="22"/>
        </w:rPr>
        <w:t>supuestos reglamentarios de violencia o falsedad determinantes del derecho.</w:t>
      </w:r>
    </w:p>
    <w:p>
      <w:pPr>
        <w:jc w:val="both"/>
      </w:pPr>
      <w:r>
        <w:rPr>
          <w:rFonts w:ascii="Arial" w:hAnsi="Arial" w:cs="Arial"/>
          <w:sz w:val="22"/>
        </w:rPr>
        <w:t>El nuevo matrimonio o pareja no extingue si concurren acumulativamente las excepciones reglamentarias: edad superior a sesenta y un años o discapacidad/incapacidad en grado exigido; la viudedad constituye la principal fuente de ingresos; y los ingresos conjuntos no superan el límite establecido. La excepción debe probarse; no existe compatibilidad automática por ser pensionista.</w:t>
      </w:r>
    </w:p>
    <w:p>
      <w:pPr>
        <w:pStyle w:val="Heading2"/>
        <w:keepNext/>
      </w:pPr>
      <w:r>
        <w:rPr>
          <w:rFonts w:ascii="Arial" w:hAnsi="Arial" w:cs="Arial"/>
          <w:sz w:val="25"/>
        </w:rPr>
        <w:t>15.2. Orfandad</w:t>
      </w:r>
    </w:p>
    <w:p>
      <w:pPr>
        <w:jc w:val="both"/>
      </w:pPr>
      <w:r>
        <w:rPr>
          <w:rFonts w:ascii="Arial" w:hAnsi="Arial" w:cs="Arial"/>
          <w:sz w:val="22"/>
        </w:rPr>
        <w:t>Se extingue, como regla:</w:t>
      </w:r>
    </w:p>
    <w:p>
      <w:pPr>
        <w:pStyle w:val="ListBullet"/>
      </w:pPr>
      <w:r>
        <w:rPr>
          <w:rFonts w:ascii="Arial" w:hAnsi="Arial" w:cs="Arial"/>
          <w:sz w:val="22"/>
        </w:rPr>
        <w:t>al cumplir la edad límite;</w:t>
      </w:r>
    </w:p>
    <w:p>
      <w:pPr>
        <w:pStyle w:val="ListBullet"/>
      </w:pPr>
      <w:r>
        <w:rPr>
          <w:rFonts w:ascii="Arial" w:hAnsi="Arial" w:cs="Arial"/>
          <w:sz w:val="22"/>
        </w:rPr>
        <w:t>al cesar la incapacidad para el trabajo;</w:t>
      </w:r>
    </w:p>
    <w:p>
      <w:pPr>
        <w:pStyle w:val="ListBullet"/>
      </w:pPr>
      <w:r>
        <w:rPr>
          <w:rFonts w:ascii="Arial" w:hAnsi="Arial" w:cs="Arial"/>
          <w:sz w:val="22"/>
        </w:rPr>
        <w:t>por adopción en los supuestos reglamentarios, salvo reglas especiales de violencia;</w:t>
      </w:r>
    </w:p>
    <w:p>
      <w:pPr>
        <w:pStyle w:val="ListBullet"/>
      </w:pPr>
      <w:r>
        <w:rPr>
          <w:rFonts w:ascii="Arial" w:hAnsi="Arial" w:cs="Arial"/>
          <w:sz w:val="22"/>
        </w:rPr>
        <w:t>por contraer matrimonio cuando la normativa aplicable así lo determina;</w:t>
      </w:r>
    </w:p>
    <w:p>
      <w:pPr>
        <w:pStyle w:val="ListBullet"/>
      </w:pPr>
      <w:r>
        <w:rPr>
          <w:rFonts w:ascii="Arial" w:hAnsi="Arial" w:cs="Arial"/>
          <w:sz w:val="22"/>
        </w:rPr>
        <w:t>por fallecimiento;</w:t>
      </w:r>
    </w:p>
    <w:p>
      <w:pPr>
        <w:pStyle w:val="ListBullet"/>
      </w:pPr>
      <w:r>
        <w:rPr>
          <w:rFonts w:ascii="Arial" w:hAnsi="Arial" w:cs="Arial"/>
          <w:sz w:val="22"/>
        </w:rPr>
        <w:t>por comprobarse que vive el causante desaparecido.</w:t>
      </w:r>
    </w:p>
    <w:p>
      <w:pPr>
        <w:jc w:val="both"/>
      </w:pPr>
      <w:r>
        <w:rPr>
          <w:rFonts w:ascii="Arial" w:hAnsi="Arial" w:cs="Arial"/>
          <w:sz w:val="22"/>
        </w:rPr>
        <w:t>Si la extinción se produce por edad o cese de incapacidad sin haber percibido doce mensualidades, puede reconocerse una entrega única hasta completarlas en los términos reglamentarios. La suspensión por trabajo no equivale a extinción definitiva.</w:t>
      </w:r>
    </w:p>
    <w:p>
      <w:pPr>
        <w:pStyle w:val="Heading2"/>
        <w:keepNext/>
      </w:pPr>
      <w:r>
        <w:rPr>
          <w:rFonts w:ascii="Arial" w:hAnsi="Arial" w:cs="Arial"/>
          <w:sz w:val="25"/>
        </w:rPr>
        <w:t>15.3. Favor de familiares</w:t>
      </w:r>
    </w:p>
    <w:p>
      <w:pPr>
        <w:jc w:val="both"/>
      </w:pPr>
      <w:r>
        <w:rPr>
          <w:rFonts w:ascii="Arial" w:hAnsi="Arial" w:cs="Arial"/>
          <w:sz w:val="22"/>
        </w:rPr>
        <w:t>La pensión o subsidio se extingue por fallecimiento, desaparición de requisitos, matrimonio en categorías afectadas, edad o finalización del plazo temporal. El subsidio termina al agotar sus doce meses aunque persista la relación familiar.</w:t>
      </w:r>
    </w:p>
    <w:p>
      <w:pPr>
        <w:pStyle w:val="Heading1"/>
        <w:keepNext/>
      </w:pPr>
      <w:r>
        <w:rPr>
          <w:rFonts w:ascii="Arial" w:hAnsi="Arial" w:cs="Arial"/>
          <w:sz w:val="30"/>
        </w:rPr>
        <w:t>16. Efectividad económica y solicitud</w:t>
      </w:r>
    </w:p>
    <w:p>
      <w:pPr>
        <w:jc w:val="both"/>
      </w:pPr>
      <w:r>
        <w:rPr>
          <w:rFonts w:ascii="Arial" w:hAnsi="Arial" w:cs="Arial"/>
          <w:sz w:val="22"/>
        </w:rPr>
        <w:t xml:space="preserve">El artículo 230 declara imprescriptible el derecho al reconocimiento de las prestaciones de muerte y supervivencia, </w:t>
      </w:r>
      <w:r>
        <w:rPr>
          <w:rFonts w:ascii="Arial" w:hAnsi="Arial" w:cs="Arial"/>
          <w:b/>
          <w:sz w:val="22"/>
        </w:rPr>
        <w:t>excepto el auxilio por defunción</w:t>
      </w:r>
      <w:r>
        <w:rPr>
          <w:rFonts w:ascii="Arial" w:hAnsi="Arial" w:cs="Arial"/>
          <w:sz w:val="22"/>
        </w:rPr>
        <w:t>. Sin embargo, si se solicita tarde, los efectos económicos solo se retrotraen como máximo tres meses desde la solicitud.</w:t>
      </w:r>
    </w:p>
    <w:p>
      <w:pPr>
        <w:jc w:val="both"/>
      </w:pPr>
      <w:r>
        <w:rPr>
          <w:rFonts w:ascii="Arial" w:hAnsi="Arial" w:cs="Arial"/>
          <w:sz w:val="22"/>
        </w:rPr>
        <w:t>Como reglas generales:</w:t>
      </w:r>
    </w:p>
    <w:p>
      <w:pPr>
        <w:pStyle w:val="ListBullet"/>
      </w:pPr>
      <w:r>
        <w:rPr>
          <w:rFonts w:ascii="Arial" w:hAnsi="Arial" w:cs="Arial"/>
          <w:sz w:val="22"/>
        </w:rPr>
        <w:t>si el causante era trabajador, los efectos de las pensiones se producen desde el día siguiente al fallecimiento;</w:t>
      </w:r>
    </w:p>
    <w:p>
      <w:pPr>
        <w:pStyle w:val="ListBullet"/>
      </w:pPr>
      <w:r>
        <w:rPr>
          <w:rFonts w:ascii="Arial" w:hAnsi="Arial" w:cs="Arial"/>
          <w:sz w:val="22"/>
        </w:rPr>
        <w:t>si era pensionista, desde el primer día del mes siguiente;</w:t>
      </w:r>
    </w:p>
    <w:p>
      <w:pPr>
        <w:pStyle w:val="ListBullet"/>
      </w:pPr>
      <w:r>
        <w:rPr>
          <w:rFonts w:ascii="Arial" w:hAnsi="Arial" w:cs="Arial"/>
          <w:sz w:val="22"/>
        </w:rPr>
        <w:t>si la solicitud se presenta fuera del plazo de tres meses, la retroactividad queda limitada;</w:t>
      </w:r>
    </w:p>
    <w:p>
      <w:pPr>
        <w:pStyle w:val="ListBullet"/>
      </w:pPr>
      <w:r>
        <w:rPr>
          <w:rFonts w:ascii="Arial" w:hAnsi="Arial" w:cs="Arial"/>
          <w:sz w:val="22"/>
        </w:rPr>
        <w:t>en desaparición por accidente, los efectos se retrotraen a la fecha del accidente;</w:t>
      </w:r>
    </w:p>
    <w:p>
      <w:pPr>
        <w:pStyle w:val="ListBullet"/>
      </w:pPr>
      <w:r>
        <w:rPr>
          <w:rFonts w:ascii="Arial" w:hAnsi="Arial" w:cs="Arial"/>
          <w:sz w:val="22"/>
        </w:rPr>
        <w:t>el auxilio se reconoce a quien pagó el sepelio y está sujeto al plazo general de prescripción.</w:t>
      </w:r>
    </w:p>
    <w:p>
      <w:pPr>
        <w:jc w:val="both"/>
      </w:pPr>
      <w:r>
        <w:rPr>
          <w:rFonts w:ascii="Arial" w:hAnsi="Arial" w:cs="Arial"/>
          <w:sz w:val="22"/>
        </w:rPr>
        <w:t>Las pensiones se abonan habitualmente en catorce pagas. Cuando derivan de accidente de trabajo o enfermedad profesional, las pagas extraordinarias están prorrateadas en las doce mensualidades ordinarias porque se computaron en la base reguladora. No debe pagarse dos veces el mismo concepto.</w:t>
      </w:r>
    </w:p>
    <w:p>
      <w:pPr>
        <w:pStyle w:val="Heading1"/>
        <w:keepNext/>
      </w:pPr>
      <w:r>
        <w:rPr>
          <w:rFonts w:ascii="Arial" w:hAnsi="Arial" w:cs="Arial"/>
          <w:sz w:val="30"/>
        </w:rPr>
        <w:t>17. Procedimiento y gestión</w:t>
      </w:r>
    </w:p>
    <w:p>
      <w:pPr>
        <w:jc w:val="both"/>
      </w:pPr>
      <w:r>
        <w:rPr>
          <w:rFonts w:ascii="Arial" w:hAnsi="Arial" w:cs="Arial"/>
          <w:sz w:val="22"/>
        </w:rPr>
        <w:t>La solicitud se dirige al INSS o al ISM según el régimen. Deben acreditarse fallecimiento, vínculo, convivencia formal, filiación, situación económica, dependencia y demás requisitos. La Administración debe consultar los datos que obren en sus sistemas, sin perjuicio de documentos que solo posee el interesado.</w:t>
      </w:r>
    </w:p>
    <w:p>
      <w:pPr>
        <w:jc w:val="both"/>
      </w:pPr>
      <w:r>
        <w:rPr>
          <w:rFonts w:ascii="Arial" w:hAnsi="Arial" w:cs="Arial"/>
          <w:sz w:val="22"/>
        </w:rPr>
        <w:t>En contingencia profesional se incorpora el parte y la determinación del origen. Si hay discrepancia, puede tramitarse determinación de contingencia. La mutua colaboradora puede resultar responsable del pago cuando cubre el riesgo, mientras que el INSS conserva competencias de reconocimiento en los términos legales y la TGSS desarrolla funciones financieras.</w:t>
      </w:r>
    </w:p>
    <w:p>
      <w:pPr>
        <w:jc w:val="both"/>
      </w:pPr>
      <w:r>
        <w:rPr>
          <w:rFonts w:ascii="Arial" w:hAnsi="Arial" w:cs="Arial"/>
          <w:sz w:val="22"/>
        </w:rPr>
        <w:t>La resolución debe identificar prestación, base, porcentaje, fecha de efectos, revalorización, límites y recurso. Una misma solicitud puede dar lugar a expedientes relacionados, pero cada beneficiario posee un derecho propio.</w:t>
      </w:r>
    </w:p>
    <w:p>
      <w:pPr>
        <w:pStyle w:val="Heading1"/>
        <w:keepNext/>
      </w:pPr>
      <w:r>
        <w:rPr>
          <w:rFonts w:ascii="Arial" w:hAnsi="Arial" w:cs="Arial"/>
          <w:sz w:val="30"/>
        </w:rPr>
        <w:t>18. Cuadro operativo de resolución</w:t>
      </w:r>
    </w:p>
    <w:tbl>
      <w:tblPr>
        <w:tblStyle w:val="TableGrid"/>
        <w:tblW w:type="dxa" w:w="9026"/>
        <w:jc w:val="left"/>
        <w:tblLayout w:type="fixed"/>
        <w:tblLook w:firstColumn="1" w:firstRow="1" w:lastColumn="0" w:lastRow="0" w:noHBand="0" w:noVBand="1" w:val="04A0"/>
        <w:tblInd w:w="120" w:type="dxa"/>
      </w:tblPr>
      <w:tblGrid>
        <w:gridCol w:w="2344"/>
        <w:gridCol w:w="6682"/>
      </w:tblGrid>
      <w:tr>
        <w:trPr>
          <w:tblHeader w:val="true"/>
        </w:trPr>
        <w:tc>
          <w:tcPr>
            <w:tcW w:type="dxa" w:w="234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Pregunta</w:t>
            </w:r>
          </w:p>
        </w:tc>
        <w:tc>
          <w:tcPr>
            <w:tcW w:type="dxa" w:w="6682"/>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Comprobación</w:t>
            </w:r>
          </w:p>
        </w:tc>
      </w:tr>
      <w:tr>
        <w:tc>
          <w:tcPr>
            <w:tcW w:type="dxa" w:w="2344"/>
            <w:tcMar>
              <w:top w:w="80" w:type="dxa"/>
              <w:start w:w="120" w:type="dxa"/>
              <w:bottom w:w="80" w:type="dxa"/>
              <w:end w:w="120" w:type="dxa"/>
            </w:tcMar>
            <w:vAlign w:val="center"/>
          </w:tcPr>
          <w:p>
            <w:pPr>
              <w:spacing w:before="0" w:after="0" w:line="240" w:lineRule="auto"/>
              <w:jc w:val="left"/>
            </w:pPr>
            <w:r/>
            <w:r>
              <w:rPr>
                <w:rFonts w:ascii="Arial" w:hAnsi="Arial" w:cs="Arial"/>
                <w:sz w:val="18"/>
              </w:rPr>
              <w:t>¿Quién fallece?</w:t>
            </w:r>
          </w:p>
        </w:tc>
        <w:tc>
          <w:tcPr>
            <w:tcW w:type="dxa" w:w="6682"/>
            <w:tcMar>
              <w:top w:w="80" w:type="dxa"/>
              <w:start w:w="120" w:type="dxa"/>
              <w:bottom w:w="80" w:type="dxa"/>
              <w:end w:w="120" w:type="dxa"/>
            </w:tcMar>
            <w:vAlign w:val="center"/>
          </w:tcPr>
          <w:p>
            <w:pPr>
              <w:spacing w:before="0" w:after="0" w:line="240" w:lineRule="auto"/>
              <w:jc w:val="left"/>
            </w:pPr>
            <w:r/>
            <w:r>
              <w:rPr>
                <w:rFonts w:ascii="Arial" w:hAnsi="Arial" w:cs="Arial"/>
                <w:sz w:val="18"/>
              </w:rPr>
              <w:t>Trabajador, subsidiado o pensionista</w:t>
            </w:r>
          </w:p>
        </w:tc>
      </w:tr>
      <w:tr>
        <w:tc>
          <w:tcPr>
            <w:tcW w:type="dxa" w:w="2344"/>
            <w:tcMar>
              <w:top w:w="80" w:type="dxa"/>
              <w:start w:w="120" w:type="dxa"/>
              <w:bottom w:w="80" w:type="dxa"/>
              <w:end w:w="120" w:type="dxa"/>
            </w:tcMar>
            <w:vAlign w:val="center"/>
          </w:tcPr>
          <w:p>
            <w:pPr>
              <w:spacing w:before="0" w:after="0" w:line="240" w:lineRule="auto"/>
              <w:jc w:val="left"/>
            </w:pPr>
            <w:r/>
            <w:r>
              <w:rPr>
                <w:rFonts w:ascii="Arial" w:hAnsi="Arial" w:cs="Arial"/>
                <w:sz w:val="18"/>
              </w:rPr>
              <w:t>¿En qué situación?</w:t>
            </w:r>
          </w:p>
        </w:tc>
        <w:tc>
          <w:tcPr>
            <w:tcW w:type="dxa" w:w="6682"/>
            <w:tcMar>
              <w:top w:w="80" w:type="dxa"/>
              <w:start w:w="120" w:type="dxa"/>
              <w:bottom w:w="80" w:type="dxa"/>
              <w:end w:w="120" w:type="dxa"/>
            </w:tcMar>
            <w:vAlign w:val="center"/>
          </w:tcPr>
          <w:p>
            <w:pPr>
              <w:spacing w:before="0" w:after="0" w:line="240" w:lineRule="auto"/>
              <w:jc w:val="left"/>
            </w:pPr>
            <w:r/>
            <w:r>
              <w:rPr>
                <w:rFonts w:ascii="Arial" w:hAnsi="Arial" w:cs="Arial"/>
                <w:sz w:val="18"/>
              </w:rPr>
              <w:t>Alta, asimilada, no alta</w:t>
            </w:r>
          </w:p>
        </w:tc>
      </w:tr>
      <w:tr>
        <w:tc>
          <w:tcPr>
            <w:tcW w:type="dxa" w:w="2344"/>
            <w:tcMar>
              <w:top w:w="80" w:type="dxa"/>
              <w:start w:w="120" w:type="dxa"/>
              <w:bottom w:w="80" w:type="dxa"/>
              <w:end w:w="120" w:type="dxa"/>
            </w:tcMar>
            <w:vAlign w:val="center"/>
          </w:tcPr>
          <w:p>
            <w:pPr>
              <w:spacing w:before="0" w:after="0" w:line="240" w:lineRule="auto"/>
              <w:jc w:val="left"/>
            </w:pPr>
            <w:r/>
            <w:r>
              <w:rPr>
                <w:rFonts w:ascii="Arial" w:hAnsi="Arial" w:cs="Arial"/>
                <w:sz w:val="18"/>
              </w:rPr>
              <w:t>¿Por qué causa?</w:t>
            </w:r>
          </w:p>
        </w:tc>
        <w:tc>
          <w:tcPr>
            <w:tcW w:type="dxa" w:w="6682"/>
            <w:tcMar>
              <w:top w:w="80" w:type="dxa"/>
              <w:start w:w="120" w:type="dxa"/>
              <w:bottom w:w="80" w:type="dxa"/>
              <w:end w:w="120" w:type="dxa"/>
            </w:tcMar>
            <w:vAlign w:val="center"/>
          </w:tcPr>
          <w:p>
            <w:pPr>
              <w:spacing w:before="0" w:after="0" w:line="240" w:lineRule="auto"/>
              <w:jc w:val="left"/>
            </w:pPr>
            <w:r/>
            <w:r>
              <w:rPr>
                <w:rFonts w:ascii="Arial" w:hAnsi="Arial" w:cs="Arial"/>
                <w:sz w:val="18"/>
              </w:rPr>
              <w:t>Enfermedad común, accidente no laboral, AT o EP</w:t>
            </w:r>
          </w:p>
        </w:tc>
      </w:tr>
      <w:tr>
        <w:tc>
          <w:tcPr>
            <w:tcW w:type="dxa" w:w="2344"/>
            <w:tcMar>
              <w:top w:w="80" w:type="dxa"/>
              <w:start w:w="120" w:type="dxa"/>
              <w:bottom w:w="80" w:type="dxa"/>
              <w:end w:w="120" w:type="dxa"/>
            </w:tcMar>
            <w:vAlign w:val="center"/>
          </w:tcPr>
          <w:p>
            <w:pPr>
              <w:spacing w:before="0" w:after="0" w:line="240" w:lineRule="auto"/>
              <w:jc w:val="left"/>
            </w:pPr>
            <w:r/>
            <w:r>
              <w:rPr>
                <w:rFonts w:ascii="Arial" w:hAnsi="Arial" w:cs="Arial"/>
                <w:sz w:val="18"/>
              </w:rPr>
              <w:t>¿Qué carencia?</w:t>
            </w:r>
          </w:p>
        </w:tc>
        <w:tc>
          <w:tcPr>
            <w:tcW w:type="dxa" w:w="6682"/>
            <w:tcMar>
              <w:top w:w="80" w:type="dxa"/>
              <w:start w:w="120" w:type="dxa"/>
              <w:bottom w:w="80" w:type="dxa"/>
              <w:end w:w="120" w:type="dxa"/>
            </w:tcMar>
            <w:vAlign w:val="center"/>
          </w:tcPr>
          <w:p>
            <w:pPr>
              <w:spacing w:before="0" w:after="0" w:line="240" w:lineRule="auto"/>
              <w:jc w:val="left"/>
            </w:pPr>
            <w:r/>
            <w:r>
              <w:rPr>
                <w:rFonts w:ascii="Arial" w:hAnsi="Arial" w:cs="Arial"/>
                <w:sz w:val="18"/>
              </w:rPr>
              <w:t>500/5, ninguna o 15 años</w:t>
            </w:r>
          </w:p>
        </w:tc>
      </w:tr>
      <w:tr>
        <w:tc>
          <w:tcPr>
            <w:tcW w:type="dxa" w:w="2344"/>
            <w:tcMar>
              <w:top w:w="80" w:type="dxa"/>
              <w:start w:w="120" w:type="dxa"/>
              <w:bottom w:w="80" w:type="dxa"/>
              <w:end w:w="120" w:type="dxa"/>
            </w:tcMar>
            <w:vAlign w:val="center"/>
          </w:tcPr>
          <w:p>
            <w:pPr>
              <w:spacing w:before="0" w:after="0" w:line="240" w:lineRule="auto"/>
              <w:jc w:val="left"/>
            </w:pPr>
            <w:r/>
            <w:r>
              <w:rPr>
                <w:rFonts w:ascii="Arial" w:hAnsi="Arial" w:cs="Arial"/>
                <w:sz w:val="18"/>
              </w:rPr>
              <w:t>¿Quién solicita?</w:t>
            </w:r>
          </w:p>
        </w:tc>
        <w:tc>
          <w:tcPr>
            <w:tcW w:type="dxa" w:w="6682"/>
            <w:tcMar>
              <w:top w:w="80" w:type="dxa"/>
              <w:start w:w="120" w:type="dxa"/>
              <w:bottom w:w="80" w:type="dxa"/>
              <w:end w:w="120" w:type="dxa"/>
            </w:tcMar>
            <w:vAlign w:val="center"/>
          </w:tcPr>
          <w:p>
            <w:pPr>
              <w:spacing w:before="0" w:after="0" w:line="240" w:lineRule="auto"/>
              <w:jc w:val="left"/>
            </w:pPr>
            <w:r/>
            <w:r>
              <w:rPr>
                <w:rFonts w:ascii="Arial" w:hAnsi="Arial" w:cs="Arial"/>
                <w:sz w:val="18"/>
              </w:rPr>
              <w:t>Cónyuge, pareja, excónyuge, hijo o familiar</w:t>
            </w:r>
          </w:p>
        </w:tc>
      </w:tr>
      <w:tr>
        <w:tc>
          <w:tcPr>
            <w:tcW w:type="dxa" w:w="2344"/>
            <w:tcMar>
              <w:top w:w="80" w:type="dxa"/>
              <w:start w:w="120" w:type="dxa"/>
              <w:bottom w:w="80" w:type="dxa"/>
              <w:end w:w="120" w:type="dxa"/>
            </w:tcMar>
            <w:vAlign w:val="center"/>
          </w:tcPr>
          <w:p>
            <w:pPr>
              <w:spacing w:before="0" w:after="0" w:line="240" w:lineRule="auto"/>
              <w:jc w:val="left"/>
            </w:pPr>
            <w:r/>
            <w:r>
              <w:rPr>
                <w:rFonts w:ascii="Arial" w:hAnsi="Arial" w:cs="Arial"/>
                <w:sz w:val="18"/>
              </w:rPr>
              <w:t>¿Qué vínculo adicional?</w:t>
            </w:r>
          </w:p>
        </w:tc>
        <w:tc>
          <w:tcPr>
            <w:tcW w:type="dxa" w:w="6682"/>
            <w:tcMar>
              <w:top w:w="80" w:type="dxa"/>
              <w:start w:w="120" w:type="dxa"/>
              <w:bottom w:w="80" w:type="dxa"/>
              <w:end w:w="120" w:type="dxa"/>
            </w:tcMar>
            <w:vAlign w:val="center"/>
          </w:tcPr>
          <w:p>
            <w:pPr>
              <w:spacing w:before="0" w:after="0" w:line="240" w:lineRule="auto"/>
              <w:jc w:val="left"/>
            </w:pPr>
            <w:r/>
            <w:r>
              <w:rPr>
                <w:rFonts w:ascii="Arial" w:hAnsi="Arial" w:cs="Arial"/>
                <w:sz w:val="18"/>
              </w:rPr>
              <w:t>Duración, formalización, convivencia, compensatoria o dependencia</w:t>
            </w:r>
          </w:p>
        </w:tc>
      </w:tr>
      <w:tr>
        <w:tc>
          <w:tcPr>
            <w:tcW w:type="dxa" w:w="2344"/>
            <w:tcMar>
              <w:top w:w="80" w:type="dxa"/>
              <w:start w:w="120" w:type="dxa"/>
              <w:bottom w:w="80" w:type="dxa"/>
              <w:end w:w="120" w:type="dxa"/>
            </w:tcMar>
            <w:vAlign w:val="center"/>
          </w:tcPr>
          <w:p>
            <w:pPr>
              <w:spacing w:before="0" w:after="0" w:line="240" w:lineRule="auto"/>
              <w:jc w:val="left"/>
            </w:pPr>
            <w:r/>
            <w:r>
              <w:rPr>
                <w:rFonts w:ascii="Arial" w:hAnsi="Arial" w:cs="Arial"/>
                <w:sz w:val="18"/>
              </w:rPr>
              <w:t>¿Qué base?</w:t>
            </w:r>
          </w:p>
        </w:tc>
        <w:tc>
          <w:tcPr>
            <w:tcW w:type="dxa" w:w="6682"/>
            <w:tcMar>
              <w:top w:w="80" w:type="dxa"/>
              <w:start w:w="120" w:type="dxa"/>
              <w:bottom w:w="80" w:type="dxa"/>
              <w:end w:w="120" w:type="dxa"/>
            </w:tcMar>
            <w:vAlign w:val="center"/>
          </w:tcPr>
          <w:p>
            <w:pPr>
              <w:spacing w:before="0" w:after="0" w:line="240" w:lineRule="auto"/>
              <w:jc w:val="left"/>
            </w:pPr>
            <w:r/>
            <w:r>
              <w:rPr>
                <w:rFonts w:ascii="Arial" w:hAnsi="Arial" w:cs="Arial"/>
                <w:sz w:val="18"/>
              </w:rPr>
              <w:t>Común, profesional o pensionista</w:t>
            </w:r>
          </w:p>
        </w:tc>
      </w:tr>
      <w:tr>
        <w:tc>
          <w:tcPr>
            <w:tcW w:type="dxa" w:w="2344"/>
            <w:tcMar>
              <w:top w:w="80" w:type="dxa"/>
              <w:start w:w="120" w:type="dxa"/>
              <w:bottom w:w="80" w:type="dxa"/>
              <w:end w:w="120" w:type="dxa"/>
            </w:tcMar>
            <w:vAlign w:val="center"/>
          </w:tcPr>
          <w:p>
            <w:pPr>
              <w:spacing w:before="0" w:after="0" w:line="240" w:lineRule="auto"/>
              <w:jc w:val="left"/>
            </w:pPr>
            <w:r/>
            <w:r>
              <w:rPr>
                <w:rFonts w:ascii="Arial" w:hAnsi="Arial" w:cs="Arial"/>
                <w:sz w:val="18"/>
              </w:rPr>
              <w:t>¿Qué porcentaje?</w:t>
            </w:r>
          </w:p>
        </w:tc>
        <w:tc>
          <w:tcPr>
            <w:tcW w:type="dxa" w:w="6682"/>
            <w:tcMar>
              <w:top w:w="80" w:type="dxa"/>
              <w:start w:w="120" w:type="dxa"/>
              <w:bottom w:w="80" w:type="dxa"/>
              <w:end w:w="120" w:type="dxa"/>
            </w:tcMar>
            <w:vAlign w:val="center"/>
          </w:tcPr>
          <w:p>
            <w:pPr>
              <w:spacing w:before="0" w:after="0" w:line="240" w:lineRule="auto"/>
              <w:jc w:val="left"/>
            </w:pPr>
            <w:r/>
            <w:r>
              <w:rPr>
                <w:rFonts w:ascii="Arial" w:hAnsi="Arial" w:cs="Arial"/>
                <w:sz w:val="18"/>
              </w:rPr>
              <w:t>52/60/70, 20 u otro</w:t>
            </w:r>
          </w:p>
        </w:tc>
      </w:tr>
      <w:tr>
        <w:tc>
          <w:tcPr>
            <w:tcW w:type="dxa" w:w="2344"/>
            <w:tcMar>
              <w:top w:w="80" w:type="dxa"/>
              <w:start w:w="120" w:type="dxa"/>
              <w:bottom w:w="80" w:type="dxa"/>
              <w:end w:w="120" w:type="dxa"/>
            </w:tcMar>
            <w:vAlign w:val="center"/>
          </w:tcPr>
          <w:p>
            <w:pPr>
              <w:spacing w:before="0" w:after="0" w:line="240" w:lineRule="auto"/>
              <w:jc w:val="left"/>
            </w:pPr>
            <w:r/>
            <w:r>
              <w:rPr>
                <w:rFonts w:ascii="Arial" w:hAnsi="Arial" w:cs="Arial"/>
                <w:sz w:val="18"/>
              </w:rPr>
              <w:t>¿Hay concurrencia?</w:t>
            </w:r>
          </w:p>
        </w:tc>
        <w:tc>
          <w:tcPr>
            <w:tcW w:type="dxa" w:w="6682"/>
            <w:tcMar>
              <w:top w:w="80" w:type="dxa"/>
              <w:start w:w="120" w:type="dxa"/>
              <w:bottom w:w="80" w:type="dxa"/>
              <w:end w:w="120" w:type="dxa"/>
            </w:tcMar>
            <w:vAlign w:val="center"/>
          </w:tcPr>
          <w:p>
            <w:pPr>
              <w:spacing w:before="0" w:after="0" w:line="240" w:lineRule="auto"/>
              <w:jc w:val="left"/>
            </w:pPr>
            <w:r/>
            <w:r>
              <w:rPr>
                <w:rFonts w:ascii="Arial" w:hAnsi="Arial" w:cs="Arial"/>
                <w:sz w:val="18"/>
              </w:rPr>
              <w:t>Límite 100 %, preferencia e incremento</w:t>
            </w:r>
          </w:p>
        </w:tc>
      </w:tr>
      <w:tr>
        <w:tc>
          <w:tcPr>
            <w:tcW w:type="dxa" w:w="2344"/>
            <w:tcMar>
              <w:top w:w="80" w:type="dxa"/>
              <w:start w:w="120" w:type="dxa"/>
              <w:bottom w:w="80" w:type="dxa"/>
              <w:end w:w="120" w:type="dxa"/>
            </w:tcMar>
            <w:vAlign w:val="center"/>
          </w:tcPr>
          <w:p>
            <w:pPr>
              <w:spacing w:before="0" w:after="0" w:line="240" w:lineRule="auto"/>
              <w:jc w:val="left"/>
            </w:pPr>
            <w:r/>
            <w:r>
              <w:rPr>
                <w:rFonts w:ascii="Arial" w:hAnsi="Arial" w:cs="Arial"/>
                <w:sz w:val="18"/>
              </w:rPr>
              <w:t>¿Cuándo produce efectos?</w:t>
            </w:r>
          </w:p>
        </w:tc>
        <w:tc>
          <w:tcPr>
            <w:tcW w:type="dxa" w:w="6682"/>
            <w:tcMar>
              <w:top w:w="80" w:type="dxa"/>
              <w:start w:w="120" w:type="dxa"/>
              <w:bottom w:w="80" w:type="dxa"/>
              <w:end w:w="120" w:type="dxa"/>
            </w:tcMar>
            <w:vAlign w:val="center"/>
          </w:tcPr>
          <w:p>
            <w:pPr>
              <w:spacing w:before="0" w:after="0" w:line="240" w:lineRule="auto"/>
              <w:jc w:val="left"/>
            </w:pPr>
            <w:r/>
            <w:r>
              <w:rPr>
                <w:rFonts w:ascii="Arial" w:hAnsi="Arial" w:cs="Arial"/>
                <w:sz w:val="18"/>
              </w:rPr>
              <w:t>Día siguiente, primer día del mes o retroactividad</w:t>
            </w:r>
          </w:p>
        </w:tc>
      </w:tr>
    </w:tbl>
    <w:p>
      <w:pPr>
        <w:spacing w:after="40"/>
      </w:pPr>
    </w:p>
    <w:p>
      <w:pPr>
        <w:pStyle w:val="Heading1"/>
        <w:keepNext/>
      </w:pPr>
      <w:r>
        <w:rPr>
          <w:rFonts w:ascii="Arial" w:hAnsi="Arial" w:cs="Arial"/>
          <w:sz w:val="30"/>
        </w:rPr>
        <w:t>19. Supuestos integrados</w:t>
      </w:r>
    </w:p>
    <w:p>
      <w:pPr>
        <w:jc w:val="both"/>
      </w:pPr>
      <w:r>
        <w:rPr>
          <w:rFonts w:ascii="Arial" w:hAnsi="Arial" w:cs="Arial"/>
          <w:b/>
          <w:sz w:val="22"/>
        </w:rPr>
        <w:t>Supuesto 1: enfermedad común y matrimonio reciente.</w:t>
      </w:r>
      <w:r>
        <w:rPr>
          <w:rFonts w:ascii="Arial" w:hAnsi="Arial" w:cs="Arial"/>
          <w:sz w:val="22"/>
        </w:rPr>
        <w:t xml:space="preserve"> Un trabajador en alta fallece por una enfermedad común que ya padecía antes de casarse. Acredita 500 días en los cinco años anteriores. El matrimonio duró ocho meses, no hay hijos comunes y no consta convivencia previa. El causante cumple la carencia, pero el cónyuge no reúne la duración adicional del artículo 219.2. Si concurren los restantes requisitos, no obtiene pensión vitalicia, sino prestación temporal por dos años y con la misma cuantía que habría tenido la viudedad. Si la enfermedad hubiera aparecido después del matrimonio, la exigencia temporal adicional no operaría.</w:t>
      </w:r>
    </w:p>
    <w:p>
      <w:pPr>
        <w:jc w:val="both"/>
      </w:pPr>
      <w:r>
        <w:rPr>
          <w:rFonts w:ascii="Arial" w:hAnsi="Arial" w:cs="Arial"/>
          <w:b/>
          <w:sz w:val="22"/>
        </w:rPr>
        <w:t>Supuesto 2: pareja de hecho e hijos comunes.</w:t>
      </w:r>
      <w:r>
        <w:rPr>
          <w:rFonts w:ascii="Arial" w:hAnsi="Arial" w:cs="Arial"/>
          <w:sz w:val="22"/>
        </w:rPr>
        <w:t xml:space="preserve"> Una pareja está inscrita tres años antes del fallecimiento, convive desde hace dos y tiene un hijo común. La existencia de hijo común elimina la exigencia de cinco años de convivencia, mientras la inscripción supera la antelación de dos años. Si el causante reúne la carencia aplicable, puede reconocerse viudedad. La solución no descansa en una equiparación genérica de toda convivencia al matrimonio, sino en el cumplimiento separado de la constitución formal y la excepción legal.</w:t>
      </w:r>
    </w:p>
    <w:p>
      <w:pPr>
        <w:jc w:val="both"/>
      </w:pPr>
      <w:r>
        <w:rPr>
          <w:rFonts w:ascii="Arial" w:hAnsi="Arial" w:cs="Arial"/>
          <w:b/>
          <w:sz w:val="22"/>
        </w:rPr>
        <w:t>Supuesto 3: varias personas beneficiarias.</w:t>
      </w:r>
      <w:r>
        <w:rPr>
          <w:rFonts w:ascii="Arial" w:hAnsi="Arial" w:cs="Arial"/>
          <w:sz w:val="22"/>
        </w:rPr>
        <w:t xml:space="preserve"> Fallece un trabajador por accidente laboral y deja cónyuge, excónyuge acreedora de pensión compensatoria y dos hijos menores. Primero se reconoce la viudedad global y se distribuye por tiempo de convivencia, garantizando al cónyuge actual al menos el 40 % de esa pensión. Después se calculan las orfandades, con preferencia sobre favor de familiares, y se aplica el límite conjunto. Por ser accidente de trabajo, no hay carencia, se usa base profesional y se añade la indemnización a tanto alzado.</w:t>
      </w:r>
    </w:p>
    <w:p>
      <w:pPr>
        <w:jc w:val="both"/>
      </w:pPr>
      <w:r>
        <w:rPr>
          <w:rFonts w:ascii="Arial" w:hAnsi="Arial" w:cs="Arial"/>
          <w:b/>
          <w:sz w:val="22"/>
        </w:rPr>
        <w:t>Supuesto 4: huérfano que trabaja.</w:t>
      </w:r>
      <w:r>
        <w:rPr>
          <w:rFonts w:ascii="Arial" w:hAnsi="Arial" w:cs="Arial"/>
          <w:sz w:val="22"/>
        </w:rPr>
        <w:t xml:space="preserve"> Un huérfano de veintidós años inicia un empleo. Si sus ingresos anuales son inferiores al SMI anual, puede mantener la pensión hasta veinticinco años; si lo superan, el abono se suspende en los términos reglamentarios. Cumplir veinticinco durante el curso permite prolongar hasta la fecha académica fijada por el artículo 224.3. El análisis exige edad, ingresos anuales y estudios, no solo la existencia de un contrato.</w:t>
      </w:r>
    </w:p>
    <w:p>
      <w:pPr>
        <w:pStyle w:val="Heading1"/>
        <w:keepNext/>
      </w:pPr>
      <w:r>
        <w:rPr>
          <w:rFonts w:ascii="Arial" w:hAnsi="Arial" w:cs="Arial"/>
          <w:sz w:val="30"/>
        </w:rPr>
        <w:t>20. Errores frecuentes</w:t>
      </w:r>
    </w:p>
    <w:p>
      <w:pPr>
        <w:spacing w:after="40"/>
        <w:ind w:left="369" w:hanging="227"/>
      </w:pPr>
      <w:r>
        <w:rPr>
          <w:rFonts w:ascii="Arial" w:hAnsi="Arial" w:cs="Arial"/>
          <w:sz w:val="22"/>
        </w:rPr>
        <w:t>1. Exigir 500 días cualquiera que sea la causa de muerte.</w:t>
      </w:r>
    </w:p>
    <w:p>
      <w:pPr>
        <w:spacing w:after="40"/>
        <w:ind w:left="369" w:hanging="227"/>
      </w:pPr>
      <w:r>
        <w:rPr>
          <w:rFonts w:ascii="Arial" w:hAnsi="Arial" w:cs="Arial"/>
          <w:sz w:val="22"/>
        </w:rPr>
        <w:t>2. Creer que accidente no laboral genera indemnización especial.</w:t>
      </w:r>
    </w:p>
    <w:p>
      <w:pPr>
        <w:spacing w:after="40"/>
        <w:ind w:left="369" w:hanging="227"/>
      </w:pPr>
      <w:r>
        <w:rPr>
          <w:rFonts w:ascii="Arial" w:hAnsi="Arial" w:cs="Arial"/>
          <w:sz w:val="22"/>
        </w:rPr>
        <w:t>3. Confundir el plazo probatorio de cinco años del accidente laboral con prescripción.</w:t>
      </w:r>
    </w:p>
    <w:p>
      <w:pPr>
        <w:spacing w:after="40"/>
        <w:ind w:left="369" w:hanging="227"/>
      </w:pPr>
      <w:r>
        <w:rPr>
          <w:rFonts w:ascii="Arial" w:hAnsi="Arial" w:cs="Arial"/>
          <w:sz w:val="22"/>
        </w:rPr>
        <w:t>4. Olvidar que en enfermedad profesional puede probarse el nexo sin límite temporal.</w:t>
      </w:r>
    </w:p>
    <w:p>
      <w:pPr>
        <w:spacing w:after="40"/>
        <w:ind w:left="369" w:hanging="227"/>
      </w:pPr>
      <w:r>
        <w:rPr>
          <w:rFonts w:ascii="Arial" w:hAnsi="Arial" w:cs="Arial"/>
          <w:sz w:val="22"/>
        </w:rPr>
        <w:t>5. Reconocer auxilio en desaparición presunta de noventa días.</w:t>
      </w:r>
    </w:p>
    <w:p>
      <w:pPr>
        <w:spacing w:after="40"/>
        <w:ind w:left="369" w:hanging="227"/>
      </w:pPr>
      <w:r>
        <w:rPr>
          <w:rFonts w:ascii="Arial" w:hAnsi="Arial" w:cs="Arial"/>
          <w:sz w:val="22"/>
        </w:rPr>
        <w:t>6. Exigir dependencia económica a todo cónyuge o pareja de hecho.</w:t>
      </w:r>
    </w:p>
    <w:p>
      <w:pPr>
        <w:spacing w:after="40"/>
        <w:ind w:left="369" w:hanging="227"/>
      </w:pPr>
      <w:r>
        <w:rPr>
          <w:rFonts w:ascii="Arial" w:hAnsi="Arial" w:cs="Arial"/>
          <w:sz w:val="22"/>
        </w:rPr>
        <w:t>7. Mantener el antiguo requisito de ingresos para parejas de hecho.</w:t>
      </w:r>
    </w:p>
    <w:p>
      <w:pPr>
        <w:spacing w:after="40"/>
        <w:ind w:left="369" w:hanging="227"/>
      </w:pPr>
      <w:r>
        <w:rPr>
          <w:rFonts w:ascii="Arial" w:hAnsi="Arial" w:cs="Arial"/>
          <w:sz w:val="22"/>
        </w:rPr>
        <w:t>8. Confundir cinco años de convivencia con dos años de formalización.</w:t>
      </w:r>
    </w:p>
    <w:p>
      <w:pPr>
        <w:spacing w:after="40"/>
        <w:ind w:left="369" w:hanging="227"/>
      </w:pPr>
      <w:r>
        <w:rPr>
          <w:rFonts w:ascii="Arial" w:hAnsi="Arial" w:cs="Arial"/>
          <w:sz w:val="22"/>
        </w:rPr>
        <w:t>9. Eliminar ambos requisitos de pareja por existir hijos comunes; la excepción legal debe leerse con precisión.</w:t>
      </w:r>
    </w:p>
    <w:p>
      <w:pPr>
        <w:spacing w:after="40"/>
        <w:ind w:left="369" w:hanging="227"/>
      </w:pPr>
      <w:r>
        <w:rPr>
          <w:rFonts w:ascii="Arial" w:hAnsi="Arial" w:cs="Arial"/>
          <w:sz w:val="22"/>
        </w:rPr>
        <w:t>10. Negar viudedad a toda persona divorciada sin pensión compensatoria, ignorando violencia y transitorios.</w:t>
      </w:r>
    </w:p>
    <w:p>
      <w:pPr>
        <w:spacing w:after="40"/>
        <w:ind w:left="369" w:hanging="227"/>
      </w:pPr>
      <w:r>
        <w:rPr>
          <w:rFonts w:ascii="Arial" w:hAnsi="Arial" w:cs="Arial"/>
          <w:sz w:val="22"/>
        </w:rPr>
        <w:t>11. Entender la garantía del 40 % como porcentaje directo de la base reguladora.</w:t>
      </w:r>
    </w:p>
    <w:p>
      <w:pPr>
        <w:spacing w:after="40"/>
        <w:ind w:left="369" w:hanging="227"/>
      </w:pPr>
      <w:r>
        <w:rPr>
          <w:rFonts w:ascii="Arial" w:hAnsi="Arial" w:cs="Arial"/>
          <w:sz w:val="22"/>
        </w:rPr>
        <w:t>12. Aplicar el 70 % de viudedad solo por tener hijos, sin comprobar cargas e ingresos.</w:t>
      </w:r>
    </w:p>
    <w:p>
      <w:pPr>
        <w:spacing w:after="40"/>
        <w:ind w:left="369" w:hanging="227"/>
      </w:pPr>
      <w:r>
        <w:rPr>
          <w:rFonts w:ascii="Arial" w:hAnsi="Arial" w:cs="Arial"/>
          <w:sz w:val="22"/>
        </w:rPr>
        <w:t>13. Fijar la edad ordinaria de orfandad en veinticinco; la regla general es veintiún años.</w:t>
      </w:r>
    </w:p>
    <w:p>
      <w:pPr>
        <w:spacing w:after="40"/>
        <w:ind w:left="369" w:hanging="227"/>
      </w:pPr>
      <w:r>
        <w:rPr>
          <w:rFonts w:ascii="Arial" w:hAnsi="Arial" w:cs="Arial"/>
          <w:sz w:val="22"/>
        </w:rPr>
        <w:t>14. Suspender orfandad de un menor de veintiún años por cualquier trabajo.</w:t>
      </w:r>
    </w:p>
    <w:p>
      <w:pPr>
        <w:spacing w:after="40"/>
        <w:ind w:left="369" w:hanging="227"/>
      </w:pPr>
      <w:r>
        <w:rPr>
          <w:rFonts w:ascii="Arial" w:hAnsi="Arial" w:cs="Arial"/>
          <w:sz w:val="22"/>
        </w:rPr>
        <w:t>15. Confundir la prestación especial de orfandad del 70 % con la pensión ordinaria del 20 %.</w:t>
      </w:r>
    </w:p>
    <w:p>
      <w:pPr>
        <w:spacing w:after="40"/>
        <w:ind w:left="369" w:hanging="227"/>
      </w:pPr>
      <w:r>
        <w:rPr>
          <w:rFonts w:ascii="Arial" w:hAnsi="Arial" w:cs="Arial"/>
          <w:sz w:val="22"/>
        </w:rPr>
        <w:t>16. Sumar pensiones sin aplicar el límite del artículo 229.</w:t>
      </w:r>
    </w:p>
    <w:p>
      <w:pPr>
        <w:spacing w:after="40"/>
        <w:ind w:left="369" w:hanging="227"/>
      </w:pPr>
      <w:r>
        <w:rPr>
          <w:rFonts w:ascii="Arial" w:hAnsi="Arial" w:cs="Arial"/>
          <w:sz w:val="22"/>
        </w:rPr>
        <w:t>17. Dar preferencia a favor de familiares sobre orfandad.</w:t>
      </w:r>
    </w:p>
    <w:p>
      <w:pPr>
        <w:spacing w:after="40"/>
        <w:ind w:left="369" w:hanging="227"/>
      </w:pPr>
      <w:r>
        <w:rPr>
          <w:rFonts w:ascii="Arial" w:hAnsi="Arial" w:cs="Arial"/>
          <w:sz w:val="22"/>
        </w:rPr>
        <w:t>18. Considerar prescriptibles todas las pensiones por haber pasado cinco años.</w:t>
      </w:r>
    </w:p>
    <w:p>
      <w:pPr>
        <w:spacing w:after="40"/>
        <w:ind w:left="369" w:hanging="227"/>
      </w:pPr>
      <w:r>
        <w:rPr>
          <w:rFonts w:ascii="Arial" w:hAnsi="Arial" w:cs="Arial"/>
          <w:sz w:val="22"/>
        </w:rPr>
        <w:t>19. Dar los mismos efectos iniciales si el causante era trabajador o pensionista.</w:t>
      </w:r>
    </w:p>
    <w:p>
      <w:pPr>
        <w:spacing w:after="40"/>
        <w:ind w:left="369" w:hanging="227"/>
      </w:pPr>
      <w:r>
        <w:rPr>
          <w:rFonts w:ascii="Arial" w:hAnsi="Arial" w:cs="Arial"/>
          <w:sz w:val="22"/>
        </w:rPr>
        <w:t>20. Olvidar que AT/EP lleva pagas extraordinarias prorrateadas.</w:t>
      </w: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S11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24</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4, 2025: 17, 2026: 3</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17 / 7</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1</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2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2</w:t>
            </w:r>
          </w:p>
        </w:tc>
      </w:tr>
    </w:tbl>
    <w:p>
      <w:pPr>
        <w:spacing w:after="40"/>
      </w:pPr>
    </w:p>
    <w:p>
      <w:pPr>
        <w:jc w:val="both"/>
      </w:pPr>
      <w:r>
        <w:rPr>
          <w:rFonts w:ascii="Arial" w:hAnsi="Arial" w:cs="Arial"/>
          <w:b/>
          <w:sz w:val="22"/>
        </w:rPr>
        <w:t>Normas que más aparecen:</w:t>
      </w:r>
      <w:r>
        <w:rPr>
          <w:rFonts w:ascii="Arial" w:hAnsi="Arial" w:cs="Arial"/>
          <w:sz w:val="22"/>
        </w:rPr>
        <w:t xml:space="preserve"> texto refundido de la Ley General de la Seguridad Social (6); Texto Refundido de la Ley General de la Seguridad Social (1).</w:t>
      </w:r>
    </w:p>
    <w:p>
      <w:pPr>
        <w:jc w:val="both"/>
      </w:pPr>
      <w:r>
        <w:rPr>
          <w:rFonts w:ascii="Arial" w:hAnsi="Arial" w:cs="Arial"/>
          <w:b/>
          <w:sz w:val="22"/>
        </w:rPr>
        <w:t>Artículos o preceptos más repetidos:</w:t>
      </w:r>
      <w:r>
        <w:rPr>
          <w:rFonts w:ascii="Arial" w:hAnsi="Arial" w:cs="Arial"/>
          <w:sz w:val="22"/>
        </w:rPr>
        <w:t xml:space="preserve"> 224 (2); 31 (2); 224.1 (1); 232 (1); 7.2 (1); 231 (1); 2 (1); 9 (1).</w:t>
      </w:r>
    </w:p>
    <w:p>
      <w:pPr>
        <w:jc w:val="both"/>
      </w:pPr>
      <w:r>
        <w:rPr>
          <w:rFonts w:ascii="Arial" w:hAnsi="Arial" w:cs="Arial"/>
          <w:b/>
          <w:sz w:val="22"/>
        </w:rPr>
        <w:t>Formas de pregunta predominantes:</w:t>
      </w:r>
      <w:r>
        <w:rPr>
          <w:rFonts w:ascii="Arial" w:hAnsi="Arial" w:cs="Arial"/>
          <w:sz w:val="22"/>
        </w:rPr>
        <w:t xml:space="preserve"> Muerte y supervivencia (13); Cálculos (5); Personas beneficiarias (4); Causas de suspensión (1); Procedimientos (1).</w:t>
      </w:r>
    </w:p>
    <w:p>
      <w:pPr>
        <w:pStyle w:val="Heading2"/>
        <w:keepNext/>
      </w:pPr>
      <w:r>
        <w:rPr>
          <w:rFonts w:ascii="Arial" w:hAnsi="Arial" w:cs="Arial"/>
          <w:sz w:val="25"/>
        </w:rPr>
        <w:t>Patrones observados</w:t>
      </w:r>
    </w:p>
    <w:p>
      <w:pPr>
        <w:pStyle w:val="ListBullet"/>
      </w:pPr>
      <w:r>
        <w:rPr>
          <w:rFonts w:ascii="Arial" w:hAnsi="Arial" w:cs="Arial"/>
          <w:b/>
          <w:sz w:val="22"/>
        </w:rPr>
        <w:t>2025, supuesto 16, reserva:</w:t>
      </w:r>
      <w:r>
        <w:rPr>
          <w:rFonts w:ascii="Arial" w:hAnsi="Arial" w:cs="Arial"/>
          <w:sz w:val="22"/>
        </w:rPr>
        <w:t xml:space="preserve"> ¿Tendrá derecho Lucas, el hijo de Pedro, a la pensión de orfandad?</w:t>
      </w:r>
    </w:p>
    <w:p>
      <w:pPr>
        <w:pStyle w:val="ListBullet"/>
      </w:pPr>
      <w:r>
        <w:rPr>
          <w:rFonts w:ascii="Arial" w:hAnsi="Arial" w:cs="Arial"/>
          <w:b/>
          <w:sz w:val="22"/>
        </w:rPr>
        <w:t>2025, supuesto 10:</w:t>
      </w:r>
      <w:r>
        <w:rPr>
          <w:rFonts w:ascii="Arial" w:hAnsi="Arial" w:cs="Arial"/>
          <w:sz w:val="22"/>
        </w:rPr>
        <w:t xml:space="preserve"> ¿Cuál sería el importe inicial de la pensión mensual de orfandad de LUIS, hijo de D. PEDRO RAMÍREZ?</w:t>
      </w:r>
    </w:p>
    <w:p>
      <w:pPr>
        <w:pStyle w:val="ListBullet"/>
      </w:pPr>
      <w:r>
        <w:rPr>
          <w:rFonts w:ascii="Arial" w:hAnsi="Arial" w:cs="Arial"/>
          <w:b/>
          <w:sz w:val="22"/>
        </w:rPr>
        <w:t>2025, supuesto 11:</w:t>
      </w:r>
      <w:r>
        <w:rPr>
          <w:rFonts w:ascii="Arial" w:hAnsi="Arial" w:cs="Arial"/>
          <w:sz w:val="22"/>
        </w:rPr>
        <w:t xml:space="preserve"> ¿A partir de qu é fecha nacerían los efectos económicos de la pensión de viudedad solicitada por Dña. CAROLINA PÉREZ el 1 de octubre de 2024 por el fallecimiento de D. ALBERTO SANTOS?</w:t>
      </w:r>
    </w:p>
    <w:p>
      <w:pPr>
        <w:pStyle w:val="ListBullet"/>
      </w:pPr>
      <w:r>
        <w:rPr>
          <w:rFonts w:ascii="Arial" w:hAnsi="Arial" w:cs="Arial"/>
          <w:b/>
          <w:sz w:val="22"/>
        </w:rPr>
        <w:t>2025, supuesto 12:</w:t>
      </w:r>
      <w:r>
        <w:rPr>
          <w:rFonts w:ascii="Arial" w:hAnsi="Arial" w:cs="Arial"/>
          <w:sz w:val="22"/>
        </w:rPr>
        <w:t xml:space="preserve"> ¿Tendría derecho JUAN a que se le reconociera una pensión de orfandad derivada al fallecimiento de su padre, D. ALBERTO SANTOS?</w:t>
      </w:r>
    </w:p>
    <w:p>
      <w:pPr>
        <w:pStyle w:val="ListBullet"/>
      </w:pPr>
      <w:r>
        <w:rPr>
          <w:rFonts w:ascii="Arial" w:hAnsi="Arial" w:cs="Arial"/>
          <w:b/>
          <w:sz w:val="22"/>
        </w:rPr>
        <w:t>2025, supuesto 13:</w:t>
      </w:r>
      <w:r>
        <w:rPr>
          <w:rFonts w:ascii="Arial" w:hAnsi="Arial" w:cs="Arial"/>
          <w:sz w:val="22"/>
        </w:rPr>
        <w:t xml:space="preserve"> ¿A partir de qué día nacerían los efectos económicos de la pensión de orfandad de LUIS por el fallecimiento de D. PEDRO RAMÍREZ si la solicitud se presentó el día 1 de abril de 2024?</w:t>
      </w:r>
    </w:p>
    <w:p>
      <w:pPr>
        <w:pStyle w:val="ListBullet"/>
      </w:pPr>
      <w:r>
        <w:rPr>
          <w:rFonts w:ascii="Arial" w:hAnsi="Arial" w:cs="Arial"/>
          <w:b/>
          <w:sz w:val="22"/>
        </w:rPr>
        <w:t>2025, supuesto 14:</w:t>
      </w:r>
      <w:r>
        <w:rPr>
          <w:rFonts w:ascii="Arial" w:hAnsi="Arial" w:cs="Arial"/>
          <w:sz w:val="22"/>
        </w:rPr>
        <w:t xml:space="preserve"> ¿Lola podrá ser beneficiaria de la pensión de viudedad?</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2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p>
      <w:pPr>
        <w:pStyle w:val="Heading1"/>
        <w:keepNext/>
      </w:pPr>
      <w:r>
        <w:rPr>
          <w:rFonts w:ascii="Arial" w:hAnsi="Arial" w:cs="Arial"/>
          <w:sz w:val="30"/>
        </w:rPr>
        <w:t>21. Método integrado para resolver un supuesto</w:t>
      </w:r>
    </w:p>
    <w:p>
      <w:pPr>
        <w:jc w:val="both"/>
      </w:pPr>
      <w:r>
        <w:rPr>
          <w:rFonts w:ascii="Arial" w:hAnsi="Arial" w:cs="Arial"/>
          <w:sz w:val="22"/>
        </w:rPr>
        <w:t>El primer paso es construir una ficha del causante: situación de alta, fecha y causa del fallecimiento, período cotizado y condición de trabajador o pensionista. La contingencia decide si existe carencia y qué base reguladora se utiliza. En enfermedad común desde alta se comprueban los quinientos días en cinco años; en accidente o enfermedad profesional no se exige carencia; fuera de alta se acude al período de quince años. Solo después se analiza a las personas beneficiarias. Este orden impide reconocer un vínculo válido sobre una prestación que el causante no podía originar.</w:t>
      </w:r>
    </w:p>
    <w:p>
      <w:pPr>
        <w:jc w:val="both"/>
      </w:pPr>
      <w:r>
        <w:rPr>
          <w:rFonts w:ascii="Arial" w:hAnsi="Arial" w:cs="Arial"/>
          <w:sz w:val="22"/>
        </w:rPr>
        <w:t>El segundo paso consiste en formar grupos. Para viudedad se separan cónyuge actual, excónyuges, matrimonio nulo y pareja de hecho. A cada figura se aplican sus propios requisitos, sin trasladar automáticamente los de otra. En un matrimonio reciente por enfermedad común previa se examinan duración, hijos y convivencia; en divorcio, pensión compensatoria y excepciones; en pareja de hecho, convivencia y constitución formal. Si concurren varias personas, se calcula una pensión global y se distribuye por tiempo de convivencia, respetando la garantía del conviviente superviviente. La garantía del cuarenta por ciento opera sobre la pensión distribuible, no directamente sobre la base reguladora.</w:t>
      </w:r>
    </w:p>
    <w:p>
      <w:pPr>
        <w:jc w:val="both"/>
      </w:pPr>
      <w:r>
        <w:rPr>
          <w:rFonts w:ascii="Arial" w:hAnsi="Arial" w:cs="Arial"/>
          <w:sz w:val="22"/>
        </w:rPr>
        <w:t>El tercer paso identifica huérfanos y familiares dependientes. En orfandad se anotan edad, incapacidad, actividad, ingresos y estudios. El derecho ordinario hasta veintiún años no queda suspendido por el mero trabajo; entre veintiuno y veinticinco adquiere importancia el límite anual de ingresos. Las prestaciones en favor de familiares se estudian después, porque la orfandad tiene preferencia y porque cada categoría exige convivencia, dependencia y falta de medios en distinta combinación.</w:t>
      </w:r>
    </w:p>
    <w:p>
      <w:pPr>
        <w:jc w:val="both"/>
      </w:pPr>
      <w:r>
        <w:rPr>
          <w:rFonts w:ascii="Arial" w:hAnsi="Arial" w:cs="Arial"/>
          <w:sz w:val="22"/>
        </w:rPr>
        <w:t>El cuarto paso es numérico: base reguladora, porcentaje de viudedad, veinte por ciento por huérfano, posibles incrementos, orden de preferencia y límite conjunto. Si la muerte es profesional, se añade la indemnización a tanto alzado sin sustituir las pensiones y se recuerda el prorrateo de extraordinarias. Finalmente se fijan efectos económicos, compatibilidad, suspensión y extinción. En una solicitud tardía debe distinguirse la imprescriptibilidad del derecho de la retroacción máxima de tres meses; en desaparición por accidente, los efectos se llevan a la fecha del accidente y se excluye el auxilio. Una respuesta completa debe justificar cada transición, no limitarse a ofrecer una suma final.</w:t>
      </w:r>
    </w:p>
    <w:p>
      <w:pPr>
        <w:pStyle w:val="Heading1"/>
        <w:keepNext/>
      </w:pPr>
      <w:r>
        <w:rPr>
          <w:rFonts w:ascii="Arial" w:hAnsi="Arial" w:cs="Arial"/>
          <w:sz w:val="30"/>
        </w:rPr>
        <w:t>22. Resumen de repaso</w:t>
      </w:r>
    </w:p>
    <w:p>
      <w:pPr>
        <w:jc w:val="both"/>
      </w:pPr>
      <w:r>
        <w:rPr>
          <w:rFonts w:ascii="Arial" w:hAnsi="Arial" w:cs="Arial"/>
          <w:sz w:val="22"/>
        </w:rPr>
        <w:t>La muerte puede generar auxilio, viudedad, orfandad, favor de familiares e indemnización AT/EP. En enfermedad común desde alta se exigen 500 días en cinco años; por accidente o EP no hay carencia; desde no alta, quince años. El accidente laboral solo puede vincularse a una muerte dentro de cinco años, salvo presunción; la EP puede probarse sin límite.</w:t>
      </w:r>
    </w:p>
    <w:p>
      <w:pPr>
        <w:jc w:val="both"/>
      </w:pPr>
      <w:r>
        <w:rPr>
          <w:rFonts w:ascii="Arial" w:hAnsi="Arial" w:cs="Arial"/>
          <w:sz w:val="22"/>
        </w:rPr>
        <w:t>El cónyuge accede con reglas adicionales si la enfermedad era anterior al matrimonio. La pareja debe acreditar convivencia de cinco años y formalización dos años antes, con la excepción legal de hijos comunes respecto de la convivencia. Separados y divorciados necesitan normalmente pensión compensatoria. La viudedad aplica 52 %, 60 % o 70 %.</w:t>
      </w:r>
    </w:p>
    <w:p>
      <w:pPr>
        <w:jc w:val="both"/>
      </w:pPr>
      <w:r>
        <w:rPr>
          <w:rFonts w:ascii="Arial" w:hAnsi="Arial" w:cs="Arial"/>
          <w:sz w:val="22"/>
        </w:rPr>
        <w:t>La orfandad corresponde hasta 21 años o incapacidad, y hasta 25 con inactividad o ingresos inferiores al SMI. Su porcentaje general es 20 %. Favor de familiares exige dependencia y requisitos específicos. El auxilio es de 46,50 euros y no es imprescriptible.</w:t>
      </w:r>
    </w:p>
    <w:p>
      <w:pPr>
        <w:jc w:val="both"/>
      </w:pPr>
      <w:r>
        <w:rPr>
          <w:rFonts w:ascii="Arial" w:hAnsi="Arial" w:cs="Arial"/>
          <w:sz w:val="22"/>
        </w:rPr>
        <w:t>Las pensiones son imprescriptibles, pero una solicitud tardía limita sus efectos a tres meses. Viudedad es compatible con trabajo; orfandad tiene reglas por edad e ingresos. Nuevo matrimonio, mayoría de edad, desaparición de requisitos, fallecimiento o condena por homicidio pueden extinguir el derecho.</w:t>
      </w:r>
    </w:p>
    <w:p>
      <w:pPr>
        <w:pStyle w:val="Heading1"/>
        <w:keepNext/>
      </w:pPr>
      <w:r>
        <w:rPr>
          <w:rFonts w:ascii="Arial" w:hAnsi="Arial" w:cs="Arial"/>
          <w:sz w:val="30"/>
        </w:rPr>
        <w:t>23. Datos especialmente preguntables</w:t>
      </w:r>
    </w:p>
    <w:p>
      <w:pPr>
        <w:pStyle w:val="ListBullet"/>
      </w:pPr>
      <w:r>
        <w:rPr>
          <w:rFonts w:ascii="Arial" w:hAnsi="Arial" w:cs="Arial"/>
          <w:sz w:val="22"/>
        </w:rPr>
        <w:t xml:space="preserve">Catálogo: artículo </w:t>
      </w:r>
      <w:r>
        <w:rPr>
          <w:rFonts w:ascii="Arial" w:hAnsi="Arial" w:cs="Arial"/>
          <w:b/>
          <w:sz w:val="22"/>
        </w:rPr>
        <w:t>216 TRLGSS</w:t>
      </w:r>
      <w:r>
        <w:rPr>
          <w:rFonts w:ascii="Arial" w:hAnsi="Arial" w:cs="Arial"/>
          <w:sz w:val="22"/>
        </w:rPr>
        <w:t>.</w:t>
      </w:r>
    </w:p>
    <w:p>
      <w:pPr>
        <w:pStyle w:val="ListBullet"/>
      </w:pPr>
      <w:r>
        <w:rPr>
          <w:rFonts w:ascii="Arial" w:hAnsi="Arial" w:cs="Arial"/>
          <w:sz w:val="22"/>
        </w:rPr>
        <w:t xml:space="preserve">Sujetos causantes: artículo </w:t>
      </w:r>
      <w:r>
        <w:rPr>
          <w:rFonts w:ascii="Arial" w:hAnsi="Arial" w:cs="Arial"/>
          <w:b/>
          <w:sz w:val="22"/>
        </w:rPr>
        <w:t>217</w:t>
      </w:r>
      <w:r>
        <w:rPr>
          <w:rFonts w:ascii="Arial" w:hAnsi="Arial" w:cs="Arial"/>
          <w:sz w:val="22"/>
        </w:rPr>
        <w:t>.</w:t>
      </w:r>
    </w:p>
    <w:p>
      <w:pPr>
        <w:pStyle w:val="ListBullet"/>
      </w:pPr>
      <w:r>
        <w:rPr>
          <w:rFonts w:ascii="Arial" w:hAnsi="Arial" w:cs="Arial"/>
          <w:sz w:val="22"/>
        </w:rPr>
        <w:t xml:space="preserve">Desaparición: </w:t>
      </w:r>
      <w:r>
        <w:rPr>
          <w:rFonts w:ascii="Arial" w:hAnsi="Arial" w:cs="Arial"/>
          <w:b/>
          <w:sz w:val="22"/>
        </w:rPr>
        <w:t>90 días naturales</w:t>
      </w:r>
      <w:r>
        <w:rPr>
          <w:rFonts w:ascii="Arial" w:hAnsi="Arial" w:cs="Arial"/>
          <w:sz w:val="22"/>
        </w:rPr>
        <w:t>; sin auxilio.</w:t>
      </w:r>
    </w:p>
    <w:p>
      <w:pPr>
        <w:pStyle w:val="ListBullet"/>
      </w:pPr>
      <w:r>
        <w:rPr>
          <w:rFonts w:ascii="Arial" w:hAnsi="Arial" w:cs="Arial"/>
          <w:sz w:val="22"/>
        </w:rPr>
        <w:t xml:space="preserve">Prueba de muerte por AT: dentro de </w:t>
      </w:r>
      <w:r>
        <w:rPr>
          <w:rFonts w:ascii="Arial" w:hAnsi="Arial" w:cs="Arial"/>
          <w:b/>
          <w:sz w:val="22"/>
        </w:rPr>
        <w:t>5 años</w:t>
      </w:r>
      <w:r>
        <w:rPr>
          <w:rFonts w:ascii="Arial" w:hAnsi="Arial" w:cs="Arial"/>
          <w:sz w:val="22"/>
        </w:rPr>
        <w:t xml:space="preserve"> del accidente.</w:t>
      </w:r>
    </w:p>
    <w:p>
      <w:pPr>
        <w:pStyle w:val="ListBullet"/>
      </w:pPr>
      <w:r>
        <w:rPr>
          <w:rFonts w:ascii="Arial" w:hAnsi="Arial" w:cs="Arial"/>
          <w:sz w:val="22"/>
        </w:rPr>
        <w:t xml:space="preserve">Prueba de EP: </w:t>
      </w:r>
      <w:r>
        <w:rPr>
          <w:rFonts w:ascii="Arial" w:hAnsi="Arial" w:cs="Arial"/>
          <w:b/>
          <w:sz w:val="22"/>
        </w:rPr>
        <w:t>sin límite temporal</w:t>
      </w:r>
      <w:r>
        <w:rPr>
          <w:rFonts w:ascii="Arial" w:hAnsi="Arial" w:cs="Arial"/>
          <w:sz w:val="22"/>
        </w:rPr>
        <w:t>.</w:t>
      </w:r>
    </w:p>
    <w:p>
      <w:pPr>
        <w:pStyle w:val="ListBullet"/>
      </w:pPr>
      <w:r>
        <w:rPr>
          <w:rFonts w:ascii="Arial" w:hAnsi="Arial" w:cs="Arial"/>
          <w:sz w:val="22"/>
        </w:rPr>
        <w:t xml:space="preserve">Enfermedad común desde alta: </w:t>
      </w:r>
      <w:r>
        <w:rPr>
          <w:rFonts w:ascii="Arial" w:hAnsi="Arial" w:cs="Arial"/>
          <w:b/>
          <w:sz w:val="22"/>
        </w:rPr>
        <w:t>500 días en 5 años</w:t>
      </w:r>
      <w:r>
        <w:rPr>
          <w:rFonts w:ascii="Arial" w:hAnsi="Arial" w:cs="Arial"/>
          <w:sz w:val="22"/>
        </w:rPr>
        <w:t>.</w:t>
      </w:r>
    </w:p>
    <w:p>
      <w:pPr>
        <w:pStyle w:val="ListBullet"/>
      </w:pPr>
      <w:r>
        <w:rPr>
          <w:rFonts w:ascii="Arial" w:hAnsi="Arial" w:cs="Arial"/>
          <w:sz w:val="22"/>
        </w:rPr>
        <w:t xml:space="preserve">Muerte desde no alta: </w:t>
      </w:r>
      <w:r>
        <w:rPr>
          <w:rFonts w:ascii="Arial" w:hAnsi="Arial" w:cs="Arial"/>
          <w:b/>
          <w:sz w:val="22"/>
        </w:rPr>
        <w:t>15 años</w:t>
      </w:r>
      <w:r>
        <w:rPr>
          <w:rFonts w:ascii="Arial" w:hAnsi="Arial" w:cs="Arial"/>
          <w:sz w:val="22"/>
        </w:rPr>
        <w:t>.</w:t>
      </w:r>
    </w:p>
    <w:p>
      <w:pPr>
        <w:pStyle w:val="ListBullet"/>
      </w:pPr>
      <w:r>
        <w:rPr>
          <w:rFonts w:ascii="Arial" w:hAnsi="Arial" w:cs="Arial"/>
          <w:sz w:val="22"/>
        </w:rPr>
        <w:t xml:space="preserve">Matrimonio por enfermedad previa: </w:t>
      </w:r>
      <w:r>
        <w:rPr>
          <w:rFonts w:ascii="Arial" w:hAnsi="Arial" w:cs="Arial"/>
          <w:b/>
          <w:sz w:val="22"/>
        </w:rPr>
        <w:t>1 año</w:t>
      </w:r>
      <w:r>
        <w:rPr>
          <w:rFonts w:ascii="Arial" w:hAnsi="Arial" w:cs="Arial"/>
          <w:sz w:val="22"/>
        </w:rPr>
        <w:t>, hijos comunes o convivencia total superior a 2.</w:t>
      </w:r>
    </w:p>
    <w:p>
      <w:pPr>
        <w:pStyle w:val="ListBullet"/>
      </w:pPr>
      <w:r>
        <w:rPr>
          <w:rFonts w:ascii="Arial" w:hAnsi="Arial" w:cs="Arial"/>
          <w:sz w:val="22"/>
        </w:rPr>
        <w:t xml:space="preserve">Pareja de hecho: convivencia </w:t>
      </w:r>
      <w:r>
        <w:rPr>
          <w:rFonts w:ascii="Arial" w:hAnsi="Arial" w:cs="Arial"/>
          <w:b/>
          <w:sz w:val="22"/>
        </w:rPr>
        <w:t>5 años</w:t>
      </w:r>
      <w:r>
        <w:rPr>
          <w:rFonts w:ascii="Arial" w:hAnsi="Arial" w:cs="Arial"/>
          <w:sz w:val="22"/>
        </w:rPr>
        <w:t xml:space="preserve">; formalización </w:t>
      </w:r>
      <w:r>
        <w:rPr>
          <w:rFonts w:ascii="Arial" w:hAnsi="Arial" w:cs="Arial"/>
          <w:b/>
          <w:sz w:val="22"/>
        </w:rPr>
        <w:t>2 años</w:t>
      </w:r>
      <w:r>
        <w:rPr>
          <w:rFonts w:ascii="Arial" w:hAnsi="Arial" w:cs="Arial"/>
          <w:sz w:val="22"/>
        </w:rPr>
        <w:t>.</w:t>
      </w:r>
    </w:p>
    <w:p>
      <w:pPr>
        <w:pStyle w:val="ListBullet"/>
      </w:pPr>
      <w:r>
        <w:rPr>
          <w:rFonts w:ascii="Arial" w:hAnsi="Arial" w:cs="Arial"/>
          <w:sz w:val="22"/>
        </w:rPr>
        <w:t xml:space="preserve">Prestación temporal de viudedad: </w:t>
      </w:r>
      <w:r>
        <w:rPr>
          <w:rFonts w:ascii="Arial" w:hAnsi="Arial" w:cs="Arial"/>
          <w:b/>
          <w:sz w:val="22"/>
        </w:rPr>
        <w:t>2 años</w:t>
      </w:r>
      <w:r>
        <w:rPr>
          <w:rFonts w:ascii="Arial" w:hAnsi="Arial" w:cs="Arial"/>
          <w:sz w:val="22"/>
        </w:rPr>
        <w:t>.</w:t>
      </w:r>
    </w:p>
    <w:p>
      <w:pPr>
        <w:pStyle w:val="ListBullet"/>
      </w:pPr>
      <w:r>
        <w:rPr>
          <w:rFonts w:ascii="Arial" w:hAnsi="Arial" w:cs="Arial"/>
          <w:sz w:val="22"/>
        </w:rPr>
        <w:t xml:space="preserve">Garantía en concurrencia: </w:t>
      </w:r>
      <w:r>
        <w:rPr>
          <w:rFonts w:ascii="Arial" w:hAnsi="Arial" w:cs="Arial"/>
          <w:b/>
          <w:sz w:val="22"/>
        </w:rPr>
        <w:t>40 %</w:t>
      </w:r>
      <w:r>
        <w:rPr>
          <w:rFonts w:ascii="Arial" w:hAnsi="Arial" w:cs="Arial"/>
          <w:sz w:val="22"/>
        </w:rPr>
        <w:t xml:space="preserve"> para cónyuge o pareja actual.</w:t>
      </w:r>
    </w:p>
    <w:p>
      <w:pPr>
        <w:pStyle w:val="ListBullet"/>
      </w:pPr>
      <w:r>
        <w:rPr>
          <w:rFonts w:ascii="Arial" w:hAnsi="Arial" w:cs="Arial"/>
          <w:sz w:val="22"/>
        </w:rPr>
        <w:t xml:space="preserve">Viudedad: </w:t>
      </w:r>
      <w:r>
        <w:rPr>
          <w:rFonts w:ascii="Arial" w:hAnsi="Arial" w:cs="Arial"/>
          <w:b/>
          <w:sz w:val="22"/>
        </w:rPr>
        <w:t>52 %, 60 % o 70 %</w:t>
      </w:r>
      <w:r>
        <w:rPr>
          <w:rFonts w:ascii="Arial" w:hAnsi="Arial" w:cs="Arial"/>
          <w:sz w:val="22"/>
        </w:rPr>
        <w:t>.</w:t>
      </w:r>
    </w:p>
    <w:p>
      <w:pPr>
        <w:pStyle w:val="ListBullet"/>
      </w:pPr>
      <w:r>
        <w:rPr>
          <w:rFonts w:ascii="Arial" w:hAnsi="Arial" w:cs="Arial"/>
          <w:sz w:val="22"/>
        </w:rPr>
        <w:t xml:space="preserve">Orfandad: menor de </w:t>
      </w:r>
      <w:r>
        <w:rPr>
          <w:rFonts w:ascii="Arial" w:hAnsi="Arial" w:cs="Arial"/>
          <w:b/>
          <w:sz w:val="22"/>
        </w:rPr>
        <w:t>21</w:t>
      </w:r>
      <w:r>
        <w:rPr>
          <w:rFonts w:ascii="Arial" w:hAnsi="Arial" w:cs="Arial"/>
          <w:sz w:val="22"/>
        </w:rPr>
        <w:t xml:space="preserve">; extensión hasta </w:t>
      </w:r>
      <w:r>
        <w:rPr>
          <w:rFonts w:ascii="Arial" w:hAnsi="Arial" w:cs="Arial"/>
          <w:b/>
          <w:sz w:val="22"/>
        </w:rPr>
        <w:t>25</w:t>
      </w:r>
      <w:r>
        <w:rPr>
          <w:rFonts w:ascii="Arial" w:hAnsi="Arial" w:cs="Arial"/>
          <w:sz w:val="22"/>
        </w:rPr>
        <w:t>.</w:t>
      </w:r>
    </w:p>
    <w:p>
      <w:pPr>
        <w:pStyle w:val="ListBullet"/>
      </w:pPr>
      <w:r>
        <w:rPr>
          <w:rFonts w:ascii="Arial" w:hAnsi="Arial" w:cs="Arial"/>
          <w:sz w:val="22"/>
        </w:rPr>
        <w:t xml:space="preserve">Orfandad ordinaria: </w:t>
      </w:r>
      <w:r>
        <w:rPr>
          <w:rFonts w:ascii="Arial" w:hAnsi="Arial" w:cs="Arial"/>
          <w:b/>
          <w:sz w:val="22"/>
        </w:rPr>
        <w:t>20 %</w:t>
      </w:r>
      <w:r>
        <w:rPr>
          <w:rFonts w:ascii="Arial" w:hAnsi="Arial" w:cs="Arial"/>
          <w:sz w:val="22"/>
        </w:rPr>
        <w:t xml:space="preserve"> de la base.</w:t>
      </w:r>
    </w:p>
    <w:p>
      <w:pPr>
        <w:pStyle w:val="ListBullet"/>
      </w:pPr>
      <w:r>
        <w:rPr>
          <w:rFonts w:ascii="Arial" w:hAnsi="Arial" w:cs="Arial"/>
          <w:sz w:val="22"/>
        </w:rPr>
        <w:t xml:space="preserve">Prestación de orfandad por violencia: </w:t>
      </w:r>
      <w:r>
        <w:rPr>
          <w:rFonts w:ascii="Arial" w:hAnsi="Arial" w:cs="Arial"/>
          <w:b/>
          <w:sz w:val="22"/>
        </w:rPr>
        <w:t>70 %</w:t>
      </w:r>
      <w:r>
        <w:rPr>
          <w:rFonts w:ascii="Arial" w:hAnsi="Arial" w:cs="Arial"/>
          <w:sz w:val="22"/>
        </w:rPr>
        <w:t xml:space="preserve">; conjunto hasta </w:t>
      </w:r>
      <w:r>
        <w:rPr>
          <w:rFonts w:ascii="Arial" w:hAnsi="Arial" w:cs="Arial"/>
          <w:b/>
          <w:sz w:val="22"/>
        </w:rPr>
        <w:t>118 %</w:t>
      </w:r>
      <w:r>
        <w:rPr>
          <w:rFonts w:ascii="Arial" w:hAnsi="Arial" w:cs="Arial"/>
          <w:sz w:val="22"/>
        </w:rPr>
        <w:t>.</w:t>
      </w:r>
    </w:p>
    <w:p>
      <w:pPr>
        <w:pStyle w:val="ListBullet"/>
      </w:pPr>
      <w:r>
        <w:rPr>
          <w:rFonts w:ascii="Arial" w:hAnsi="Arial" w:cs="Arial"/>
          <w:sz w:val="22"/>
        </w:rPr>
        <w:t xml:space="preserve">Límite conjunto ordinario: </w:t>
      </w:r>
      <w:r>
        <w:rPr>
          <w:rFonts w:ascii="Arial" w:hAnsi="Arial" w:cs="Arial"/>
          <w:b/>
          <w:sz w:val="22"/>
        </w:rPr>
        <w:t>100 %</w:t>
      </w:r>
      <w:r>
        <w:rPr>
          <w:rFonts w:ascii="Arial" w:hAnsi="Arial" w:cs="Arial"/>
          <w:sz w:val="22"/>
        </w:rPr>
        <w:t xml:space="preserve"> de la base.</w:t>
      </w:r>
    </w:p>
    <w:p>
      <w:pPr>
        <w:pStyle w:val="ListBullet"/>
      </w:pPr>
      <w:r>
        <w:rPr>
          <w:rFonts w:ascii="Arial" w:hAnsi="Arial" w:cs="Arial"/>
          <w:sz w:val="22"/>
        </w:rPr>
        <w:t xml:space="preserve">Límite de orfandades con viudedad superior al 52 %: </w:t>
      </w:r>
      <w:r>
        <w:rPr>
          <w:rFonts w:ascii="Arial" w:hAnsi="Arial" w:cs="Arial"/>
          <w:b/>
          <w:sz w:val="22"/>
        </w:rPr>
        <w:t>48 %</w:t>
      </w:r>
      <w:r>
        <w:rPr>
          <w:rFonts w:ascii="Arial" w:hAnsi="Arial" w:cs="Arial"/>
          <w:sz w:val="22"/>
        </w:rPr>
        <w:t>.</w:t>
      </w:r>
    </w:p>
    <w:p>
      <w:pPr>
        <w:pStyle w:val="ListBullet"/>
      </w:pPr>
      <w:r>
        <w:rPr>
          <w:rFonts w:ascii="Arial" w:hAnsi="Arial" w:cs="Arial"/>
          <w:sz w:val="22"/>
        </w:rPr>
        <w:t xml:space="preserve">Auxilio por defunción: </w:t>
      </w:r>
      <w:r>
        <w:rPr>
          <w:rFonts w:ascii="Arial" w:hAnsi="Arial" w:cs="Arial"/>
          <w:b/>
          <w:sz w:val="22"/>
        </w:rPr>
        <w:t>46,50 €</w:t>
      </w:r>
      <w:r>
        <w:rPr>
          <w:rFonts w:ascii="Arial" w:hAnsi="Arial" w:cs="Arial"/>
          <w:sz w:val="22"/>
        </w:rPr>
        <w:t>.</w:t>
      </w:r>
    </w:p>
    <w:p>
      <w:pPr>
        <w:pStyle w:val="ListBullet"/>
      </w:pPr>
      <w:r>
        <w:rPr>
          <w:rFonts w:ascii="Arial" w:hAnsi="Arial" w:cs="Arial"/>
          <w:sz w:val="22"/>
        </w:rPr>
        <w:t xml:space="preserve">Indemnización AT/EP: cónyuge/pareja </w:t>
      </w:r>
      <w:r>
        <w:rPr>
          <w:rFonts w:ascii="Arial" w:hAnsi="Arial" w:cs="Arial"/>
          <w:b/>
          <w:sz w:val="22"/>
        </w:rPr>
        <w:t>6 mensualidades</w:t>
      </w:r>
      <w:r>
        <w:rPr>
          <w:rFonts w:ascii="Arial" w:hAnsi="Arial" w:cs="Arial"/>
          <w:sz w:val="22"/>
        </w:rPr>
        <w:t xml:space="preserve">; cada huérfano </w:t>
      </w:r>
      <w:r>
        <w:rPr>
          <w:rFonts w:ascii="Arial" w:hAnsi="Arial" w:cs="Arial"/>
          <w:b/>
          <w:sz w:val="22"/>
        </w:rPr>
        <w:t>1</w:t>
      </w:r>
      <w:r>
        <w:rPr>
          <w:rFonts w:ascii="Arial" w:hAnsi="Arial" w:cs="Arial"/>
          <w:sz w:val="22"/>
        </w:rPr>
        <w:t>.</w:t>
      </w:r>
    </w:p>
    <w:p>
      <w:pPr>
        <w:pStyle w:val="ListBullet"/>
      </w:pPr>
      <w:r>
        <w:rPr>
          <w:rFonts w:ascii="Arial" w:hAnsi="Arial" w:cs="Arial"/>
          <w:sz w:val="22"/>
        </w:rPr>
        <w:t xml:space="preserve">Padre o madre sin otros familiares: </w:t>
      </w:r>
      <w:r>
        <w:rPr>
          <w:rFonts w:ascii="Arial" w:hAnsi="Arial" w:cs="Arial"/>
          <w:b/>
          <w:sz w:val="22"/>
        </w:rPr>
        <w:t>9 mensualidades uno; 12 ambos</w:t>
      </w:r>
      <w:r>
        <w:rPr>
          <w:rFonts w:ascii="Arial" w:hAnsi="Arial" w:cs="Arial"/>
          <w:sz w:val="22"/>
        </w:rPr>
        <w:t>.</w:t>
      </w:r>
    </w:p>
    <w:p>
      <w:pPr>
        <w:pStyle w:val="ListBullet"/>
      </w:pPr>
      <w:r>
        <w:rPr>
          <w:rFonts w:ascii="Arial" w:hAnsi="Arial" w:cs="Arial"/>
          <w:sz w:val="22"/>
        </w:rPr>
        <w:t xml:space="preserve">Retroactividad ordinaria máxima por solicitud tardía: </w:t>
      </w:r>
      <w:r>
        <w:rPr>
          <w:rFonts w:ascii="Arial" w:hAnsi="Arial" w:cs="Arial"/>
          <w:b/>
          <w:sz w:val="22"/>
        </w:rPr>
        <w:t>3 meses</w:t>
      </w:r>
      <w:r>
        <w:rPr>
          <w:rFonts w:ascii="Arial" w:hAnsi="Arial" w:cs="Arial"/>
          <w:sz w:val="22"/>
        </w:rPr>
        <w:t>.</w:t>
      </w:r>
    </w:p>
    <w:p>
      <w:pPr>
        <w:pStyle w:val="ListBullet"/>
      </w:pPr>
      <w:r>
        <w:rPr>
          <w:rFonts w:ascii="Arial" w:hAnsi="Arial" w:cs="Arial"/>
          <w:sz w:val="22"/>
        </w:rPr>
        <w:t xml:space="preserve">Preceptos sobre homicidio: artículos </w:t>
      </w:r>
      <w:r>
        <w:rPr>
          <w:rFonts w:ascii="Arial" w:hAnsi="Arial" w:cs="Arial"/>
          <w:b/>
          <w:sz w:val="22"/>
        </w:rPr>
        <w:t>231 a 234</w:t>
      </w:r>
      <w:r>
        <w:rPr>
          <w:rFonts w:ascii="Arial" w:hAnsi="Arial" w:cs="Arial"/>
          <w:sz w:val="22"/>
        </w:rPr>
        <w:t>.</w:t>
      </w:r>
    </w:p>
    <w:p>
      <w:pPr>
        <w:pStyle w:val="Heading1"/>
        <w:keepNext/>
      </w:pPr>
      <w:r>
        <w:rPr>
          <w:rFonts w:ascii="Arial" w:hAnsi="Arial" w:cs="Arial"/>
          <w:sz w:val="30"/>
        </w:rPr>
        <w:t>24. Fuentes oficiales</w:t>
      </w:r>
    </w:p>
    <w:p>
      <w:pPr>
        <w:pStyle w:val="ListBullet"/>
      </w:pPr>
      <w:r>
        <w:rPr>
          <w:rFonts w:ascii="Arial" w:hAnsi="Arial" w:cs="Arial"/>
          <w:sz w:val="22"/>
        </w:rPr>
        <w:t>Texto refundido de la Ley General de la Seguridad Social (https://www.boe.es/buscar/act.php?id=BOE-A-2015-11724).</w:t>
      </w:r>
    </w:p>
    <w:p>
      <w:pPr>
        <w:pStyle w:val="ListBullet"/>
      </w:pPr>
      <w:r>
        <w:rPr>
          <w:rFonts w:ascii="Arial" w:hAnsi="Arial" w:cs="Arial"/>
          <w:sz w:val="22"/>
        </w:rPr>
        <w:t>Decreto 3158/1966, Reglamento General de Prestaciones Económicas (https://www.boe.es/buscar/act.php?id=BOE-A-1966-21126).</w:t>
      </w:r>
    </w:p>
    <w:p>
      <w:pPr>
        <w:pStyle w:val="ListBullet"/>
      </w:pPr>
      <w:r>
        <w:rPr>
          <w:rFonts w:ascii="Arial" w:hAnsi="Arial" w:cs="Arial"/>
          <w:sz w:val="22"/>
        </w:rPr>
        <w:t>Orden de 13 de febrero de 1967 sobre muerte y supervivencia (https://www.boe.es/buscar/doc.php?id=BOE-A-1967-2877).</w:t>
      </w:r>
    </w:p>
    <w:p>
      <w:pPr>
        <w:pStyle w:val="ListBullet"/>
      </w:pPr>
      <w:r>
        <w:rPr>
          <w:rFonts w:ascii="Arial" w:hAnsi="Arial" w:cs="Arial"/>
          <w:sz w:val="22"/>
        </w:rPr>
        <w:t>Real Decreto 241/2026, cuantías y mínimos de 2026 (https://www.boe.es/buscar/act.php?id=BOE-A-2026-6977).</w:t>
      </w:r>
    </w:p>
    <w:p>
      <w:pPr>
        <w:pStyle w:val="ListBullet"/>
      </w:pPr>
      <w:r>
        <w:rPr>
          <w:rFonts w:ascii="Arial" w:hAnsi="Arial" w:cs="Arial"/>
          <w:sz w:val="22"/>
        </w:rPr>
        <w:t>Información oficial de muerte y supervivencia (https://www.seg-social.es/wps/portal/wss/internet/Trabajadores/PrestacionesPensionesTrabajadores/10964).</w:t>
      </w:r>
    </w:p>
    <w:p>
      <w:pPr>
        <w:pStyle w:val="ListBullet"/>
      </w:pPr>
      <w:r>
        <w:rPr>
          <w:rFonts w:ascii="Arial" w:hAnsi="Arial" w:cs="Arial"/>
          <w:sz w:val="22"/>
        </w:rPr>
        <w:t>Ley Orgánica 1/2004, de medidas contra la violencia de género (https://www.boe.es/buscar/act.php?id=BOE-A-2004-21760).</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S11 · Tema 11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11. La protección por muerte y supervivencia. Hecho causante. Requisitos para las prestaciones de viudedad, orfandad y en favor de familiares. C…</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