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12</w:t>
      </w:r>
    </w:p>
    <w:p>
      <w:pPr>
        <w:keepNext/>
        <w:spacing w:before="0" w:after="280"/>
        <w:pBdr>
          <w:bottom w:val="single" w:sz="12" w:space="1" w:color="2F75B5"/>
        </w:pBdr>
      </w:pPr>
      <w:r>
        <w:rPr>
          <w:rFonts w:ascii="Arial" w:hAnsi="Arial" w:cs="Arial"/>
          <w:b/>
          <w:color w:val="17365D"/>
          <w:sz w:val="40"/>
        </w:rPr>
        <w:t>Prestaciones no contributivas y asistenciales. El ingreso mínimo vital: beneficiarios, requisitos y duración. Obligaciones de las personas beneficiarias. Cuantía, pago, reintegro de prestaciones indebidas. Prestaciones familiares múltiples. Prestaciones familiares en la modalidad contributiva. Las pensiones no contributivas: Invalidez no contributiva: Jubilación no contributiva.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Actualizado a 30 de julio de 2026.</w:t>
      </w:r>
    </w:p>
    <w:p>
      <w:pPr>
        <w:jc w:val="both"/>
      </w:pPr>
      <w:r>
        <w:rPr>
          <w:rFonts w:ascii="Arial" w:hAnsi="Arial" w:cs="Arial"/>
          <w:sz w:val="22"/>
        </w:rPr>
        <w:t>La protección no contributiva atiende situaciones de necesidad sin exigir una carrera previa de cotización. No significa ausencia de requisitos: residencia, edad, discapacidad, ingresos, patrimonio o composición familiar delimitan cada derecho. En este tema conviven tres grupos que deben mantenerse separados: el ingreso mínimo vital —IMV—, regulado por la Ley 19/2021; las prestaciones familiares del título VI del texto refundido de la Ley General de la Seguridad Social —TRLGSS—; y las pensiones no contributivas de incapacidad y jubilación de los artículos 363 a 373.</w:t>
      </w:r>
    </w:p>
    <w:p>
      <w:pPr>
        <w:jc w:val="both"/>
      </w:pPr>
      <w:r>
        <w:rPr>
          <w:rFonts w:ascii="Arial" w:hAnsi="Arial" w:cs="Arial"/>
          <w:sz w:val="22"/>
        </w:rPr>
        <w:t>Las cifras de 2026 proceden del Real Decreto 241/2026 y son anuales salvo indicación distinta. Cambian cada ejercicio, mientras la estructura legal permanece. La Ley 1/2026 modificó en abril diversos artículos del IMV, entre ellos reglas sobre requisitos, cuantía, actualización y acreditación. El texto que sigue incorpora la redacción consolidada vigente el 30 de julio de 2026.</w:t>
      </w:r>
    </w:p>
    <w:p>
      <w:pPr>
        <w:pStyle w:val="Heading1"/>
        <w:keepNext/>
      </w:pPr>
      <w:r>
        <w:rPr>
          <w:rFonts w:ascii="Arial" w:hAnsi="Arial" w:cs="Arial"/>
          <w:sz w:val="30"/>
        </w:rPr>
        <w:t>1. Prestaciones no contributivas y asistenciales: delimitación</w:t>
      </w:r>
    </w:p>
    <w:p>
      <w:pPr>
        <w:jc w:val="both"/>
      </w:pPr>
      <w:r>
        <w:rPr>
          <w:rFonts w:ascii="Arial" w:hAnsi="Arial" w:cs="Arial"/>
          <w:sz w:val="22"/>
        </w:rPr>
        <w:t>El artículo 109.3.b TRLGSS califica como no contributivas, entre otras:</w:t>
      </w:r>
    </w:p>
    <w:p>
      <w:pPr>
        <w:pStyle w:val="ListBullet"/>
      </w:pPr>
      <w:r>
        <w:rPr>
          <w:rFonts w:ascii="Arial" w:hAnsi="Arial" w:cs="Arial"/>
          <w:sz w:val="22"/>
        </w:rPr>
        <w:t>asistencia sanitaria y servicios sociales, salvo los derivados de contingencias profesionales;</w:t>
      </w:r>
    </w:p>
    <w:p>
      <w:pPr>
        <w:pStyle w:val="ListBullet"/>
      </w:pPr>
      <w:r>
        <w:rPr>
          <w:rFonts w:ascii="Arial" w:hAnsi="Arial" w:cs="Arial"/>
          <w:sz w:val="22"/>
        </w:rPr>
        <w:t>pensiones no contributivas de incapacidad y jubilación;</w:t>
      </w:r>
    </w:p>
    <w:p>
      <w:pPr>
        <w:pStyle w:val="ListBullet"/>
      </w:pPr>
      <w:r>
        <w:rPr>
          <w:rFonts w:ascii="Arial" w:hAnsi="Arial" w:cs="Arial"/>
          <w:sz w:val="22"/>
        </w:rPr>
        <w:t>prestaciones familiares del capítulo I del título VI;</w:t>
      </w:r>
    </w:p>
    <w:p>
      <w:pPr>
        <w:pStyle w:val="ListBullet"/>
      </w:pPr>
      <w:r>
        <w:rPr>
          <w:rFonts w:ascii="Arial" w:hAnsi="Arial" w:cs="Arial"/>
          <w:sz w:val="22"/>
        </w:rPr>
        <w:t>complementos por mínimos;</w:t>
      </w:r>
    </w:p>
    <w:p>
      <w:pPr>
        <w:pStyle w:val="ListBullet"/>
      </w:pPr>
      <w:r>
        <w:rPr>
          <w:rFonts w:ascii="Arial" w:hAnsi="Arial" w:cs="Arial"/>
          <w:sz w:val="22"/>
        </w:rPr>
        <w:t>ingreso mínimo vital;</w:t>
      </w:r>
    </w:p>
    <w:p>
      <w:pPr>
        <w:pStyle w:val="ListBullet"/>
      </w:pPr>
      <w:r>
        <w:rPr>
          <w:rFonts w:ascii="Arial" w:hAnsi="Arial" w:cs="Arial"/>
          <w:sz w:val="22"/>
        </w:rPr>
        <w:t>otras prestaciones expresamente calificadas por la ley.</w:t>
      </w:r>
    </w:p>
    <w:p>
      <w:pPr>
        <w:jc w:val="both"/>
      </w:pPr>
      <w:r>
        <w:rPr>
          <w:rFonts w:ascii="Arial" w:hAnsi="Arial" w:cs="Arial"/>
          <w:sz w:val="22"/>
        </w:rPr>
        <w:t>La financiación no contributiva se realiza mediante aportaciones del Estado al presupuesto de la Seguridad Social. No existe correspondencia individual entre cuota y prestación. Ello contrasta con jubilación, incapacidad permanente o muerte y supervivencia contributivas, calculadas sobre bases cotizadas.</w:t>
      </w:r>
    </w:p>
    <w:p>
      <w:pPr>
        <w:jc w:val="both"/>
      </w:pPr>
      <w:r>
        <w:rPr>
          <w:rFonts w:ascii="Arial" w:hAnsi="Arial" w:cs="Arial"/>
          <w:sz w:val="22"/>
        </w:rPr>
        <w:t xml:space="preserve">El término </w:t>
      </w:r>
      <w:r>
        <w:rPr>
          <w:rFonts w:ascii="Arial" w:hAnsi="Arial" w:cs="Arial"/>
          <w:b/>
          <w:sz w:val="22"/>
        </w:rPr>
        <w:t>asistencial</w:t>
      </w:r>
      <w:r>
        <w:rPr>
          <w:rFonts w:ascii="Arial" w:hAnsi="Arial" w:cs="Arial"/>
          <w:sz w:val="22"/>
        </w:rPr>
        <w:t xml:space="preserve"> es más amplio. Comprende ayudas condicionadas a necesidad y financiadas públicamente, incluidas algunas prestaciones transitorias históricas, servicios sociales o rentas autonómicas. No toda ayuda asistencial forma parte del sistema estatal de Seguridad Social ni la gestiona el INSS. Las antiguas pensiones asistenciales y determinados subsidios de la legislación de discapacidad se conservan solo para quienes mantienen derechos transitorios; no deben presentarse como vías ordinarias nuevas.</w:t>
      </w:r>
    </w:p>
    <w:tbl>
      <w:tblPr>
        <w:tblStyle w:val="TableGrid"/>
        <w:tblW w:type="dxa" w:w="9026"/>
        <w:jc w:val="left"/>
        <w:tblLayout w:type="fixed"/>
        <w:tblLook w:firstColumn="1" w:firstRow="1" w:lastColumn="0" w:lastRow="0" w:noHBand="0" w:noVBand="1" w:val="04A0"/>
        <w:tblInd w:w="120" w:type="dxa"/>
      </w:tblPr>
      <w:tblGrid>
        <w:gridCol w:w="2172"/>
        <w:gridCol w:w="2240"/>
        <w:gridCol w:w="2307"/>
        <w:gridCol w:w="2307"/>
      </w:tblGrid>
      <w:tr>
        <w:trPr>
          <w:tblHeader w:val="true"/>
        </w:trPr>
        <w:tc>
          <w:tcPr>
            <w:tcW w:type="dxa" w:w="217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224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Cotización previa</w:t>
            </w:r>
          </w:p>
        </w:tc>
        <w:tc>
          <w:tcPr>
            <w:tcW w:type="dxa" w:w="23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Requisito económico</w:t>
            </w:r>
          </w:p>
        </w:tc>
        <w:tc>
          <w:tcPr>
            <w:tcW w:type="dxa" w:w="23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Gestión principal</w:t>
            </w:r>
          </w:p>
        </w:tc>
      </w:tr>
      <w:tr>
        <w:tc>
          <w:tcPr>
            <w:tcW w:type="dxa" w:w="2172"/>
            <w:tcMar>
              <w:top w:w="80" w:type="dxa"/>
              <w:start w:w="120" w:type="dxa"/>
              <w:bottom w:w="80" w:type="dxa"/>
              <w:end w:w="120" w:type="dxa"/>
            </w:tcMar>
            <w:vAlign w:val="center"/>
          </w:tcPr>
          <w:p>
            <w:pPr>
              <w:spacing w:before="0" w:after="0" w:line="240" w:lineRule="auto"/>
              <w:jc w:val="left"/>
            </w:pPr>
            <w:r/>
            <w:r>
              <w:rPr>
                <w:rFonts w:ascii="Arial" w:hAnsi="Arial" w:cs="Arial"/>
                <w:sz w:val="18"/>
              </w:rPr>
              <w:t>IMV</w:t>
            </w:r>
          </w:p>
        </w:tc>
        <w:tc>
          <w:tcPr>
            <w:tcW w:type="dxa" w:w="2240"/>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307"/>
            <w:tcMar>
              <w:top w:w="80" w:type="dxa"/>
              <w:start w:w="120" w:type="dxa"/>
              <w:bottom w:w="80" w:type="dxa"/>
              <w:end w:w="120" w:type="dxa"/>
            </w:tcMar>
            <w:vAlign w:val="center"/>
          </w:tcPr>
          <w:p>
            <w:pPr>
              <w:spacing w:before="0" w:after="0" w:line="240" w:lineRule="auto"/>
              <w:jc w:val="left"/>
            </w:pPr>
            <w:r/>
            <w:r>
              <w:rPr>
                <w:rFonts w:ascii="Arial" w:hAnsi="Arial" w:cs="Arial"/>
                <w:sz w:val="18"/>
              </w:rPr>
              <w:t>Renta y patrimonio</w:t>
            </w:r>
          </w:p>
        </w:tc>
        <w:tc>
          <w:tcPr>
            <w:tcW w:type="dxa" w:w="2307"/>
            <w:tcMar>
              <w:top w:w="80" w:type="dxa"/>
              <w:start w:w="120" w:type="dxa"/>
              <w:bottom w:w="80" w:type="dxa"/>
              <w:end w:w="120" w:type="dxa"/>
            </w:tcMar>
            <w:vAlign w:val="center"/>
          </w:tcPr>
          <w:p>
            <w:pPr>
              <w:spacing w:before="0" w:after="0" w:line="240" w:lineRule="auto"/>
              <w:jc w:val="center"/>
            </w:pPr>
            <w:r/>
            <w:r>
              <w:rPr>
                <w:rFonts w:ascii="Arial" w:hAnsi="Arial" w:cs="Arial"/>
                <w:sz w:val="18"/>
              </w:rPr>
              <w:t>INSS</w:t>
            </w:r>
          </w:p>
        </w:tc>
      </w:tr>
      <w:tr>
        <w:tc>
          <w:tcPr>
            <w:tcW w:type="dxa" w:w="2172"/>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no contributiva</w:t>
            </w:r>
          </w:p>
        </w:tc>
        <w:tc>
          <w:tcPr>
            <w:tcW w:type="dxa" w:w="2240"/>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307"/>
            <w:tcMar>
              <w:top w:w="80" w:type="dxa"/>
              <w:start w:w="120" w:type="dxa"/>
              <w:bottom w:w="80" w:type="dxa"/>
              <w:end w:w="120" w:type="dxa"/>
            </w:tcMar>
            <w:vAlign w:val="center"/>
          </w:tcPr>
          <w:p>
            <w:pPr>
              <w:spacing w:before="0" w:after="0" w:line="240" w:lineRule="auto"/>
              <w:jc w:val="left"/>
            </w:pPr>
            <w:r/>
            <w:r>
              <w:rPr>
                <w:rFonts w:ascii="Arial" w:hAnsi="Arial" w:cs="Arial"/>
                <w:sz w:val="18"/>
              </w:rPr>
              <w:t>Rentas propias y unidad económica</w:t>
            </w:r>
          </w:p>
        </w:tc>
        <w:tc>
          <w:tcPr>
            <w:tcW w:type="dxa" w:w="2307"/>
            <w:tcMar>
              <w:top w:w="80" w:type="dxa"/>
              <w:start w:w="120" w:type="dxa"/>
              <w:bottom w:w="80" w:type="dxa"/>
              <w:end w:w="120" w:type="dxa"/>
            </w:tcMar>
            <w:vAlign w:val="center"/>
          </w:tcPr>
          <w:p>
            <w:pPr>
              <w:spacing w:before="0" w:after="0" w:line="240" w:lineRule="auto"/>
              <w:jc w:val="center"/>
            </w:pPr>
            <w:r/>
            <w:r>
              <w:rPr>
                <w:rFonts w:ascii="Arial" w:hAnsi="Arial" w:cs="Arial"/>
                <w:sz w:val="18"/>
              </w:rPr>
              <w:t>IMSERSO/CC. AA.</w:t>
            </w:r>
          </w:p>
        </w:tc>
      </w:tr>
      <w:tr>
        <w:tc>
          <w:tcPr>
            <w:tcW w:type="dxa" w:w="2172"/>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no contributiva</w:t>
            </w:r>
          </w:p>
        </w:tc>
        <w:tc>
          <w:tcPr>
            <w:tcW w:type="dxa" w:w="2240"/>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307"/>
            <w:tcMar>
              <w:top w:w="80" w:type="dxa"/>
              <w:start w:w="120" w:type="dxa"/>
              <w:bottom w:w="80" w:type="dxa"/>
              <w:end w:w="120" w:type="dxa"/>
            </w:tcMar>
            <w:vAlign w:val="center"/>
          </w:tcPr>
          <w:p>
            <w:pPr>
              <w:spacing w:before="0" w:after="0" w:line="240" w:lineRule="auto"/>
              <w:jc w:val="left"/>
            </w:pPr>
            <w:r/>
            <w:r>
              <w:rPr>
                <w:rFonts w:ascii="Arial" w:hAnsi="Arial" w:cs="Arial"/>
                <w:sz w:val="18"/>
              </w:rPr>
              <w:t>Rentas propias y unidad económica</w:t>
            </w:r>
          </w:p>
        </w:tc>
        <w:tc>
          <w:tcPr>
            <w:tcW w:type="dxa" w:w="2307"/>
            <w:tcMar>
              <w:top w:w="80" w:type="dxa"/>
              <w:start w:w="120" w:type="dxa"/>
              <w:bottom w:w="80" w:type="dxa"/>
              <w:end w:w="120" w:type="dxa"/>
            </w:tcMar>
            <w:vAlign w:val="center"/>
          </w:tcPr>
          <w:p>
            <w:pPr>
              <w:spacing w:before="0" w:after="0" w:line="240" w:lineRule="auto"/>
              <w:jc w:val="center"/>
            </w:pPr>
            <w:r/>
            <w:r>
              <w:rPr>
                <w:rFonts w:ascii="Arial" w:hAnsi="Arial" w:cs="Arial"/>
                <w:sz w:val="18"/>
              </w:rPr>
              <w:t>IMSERSO/CC. AA.</w:t>
            </w:r>
          </w:p>
        </w:tc>
      </w:tr>
      <w:tr>
        <w:tc>
          <w:tcPr>
            <w:tcW w:type="dxa" w:w="2172"/>
            <w:tcMar>
              <w:top w:w="80" w:type="dxa"/>
              <w:start w:w="120" w:type="dxa"/>
              <w:bottom w:w="80" w:type="dxa"/>
              <w:end w:w="120" w:type="dxa"/>
            </w:tcMar>
            <w:vAlign w:val="center"/>
          </w:tcPr>
          <w:p>
            <w:pPr>
              <w:spacing w:before="0" w:after="0" w:line="240" w:lineRule="auto"/>
              <w:jc w:val="left"/>
            </w:pPr>
            <w:r/>
            <w:r>
              <w:rPr>
                <w:rFonts w:ascii="Arial" w:hAnsi="Arial" w:cs="Arial"/>
                <w:sz w:val="18"/>
              </w:rPr>
              <w:t>Prestación familiar no contributiva</w:t>
            </w:r>
          </w:p>
        </w:tc>
        <w:tc>
          <w:tcPr>
            <w:tcW w:type="dxa" w:w="2240"/>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307"/>
            <w:tcMar>
              <w:top w:w="80" w:type="dxa"/>
              <w:start w:w="120" w:type="dxa"/>
              <w:bottom w:w="80" w:type="dxa"/>
              <w:end w:w="120" w:type="dxa"/>
            </w:tcMar>
            <w:vAlign w:val="center"/>
          </w:tcPr>
          <w:p>
            <w:pPr>
              <w:spacing w:before="0" w:after="0" w:line="240" w:lineRule="auto"/>
              <w:jc w:val="left"/>
            </w:pPr>
            <w:r/>
            <w:r>
              <w:rPr>
                <w:rFonts w:ascii="Arial" w:hAnsi="Arial" w:cs="Arial"/>
                <w:sz w:val="18"/>
              </w:rPr>
              <w:t>Según modalidad; discapacidad o límites</w:t>
            </w:r>
          </w:p>
        </w:tc>
        <w:tc>
          <w:tcPr>
            <w:tcW w:type="dxa" w:w="2307"/>
            <w:tcMar>
              <w:top w:w="80" w:type="dxa"/>
              <w:start w:w="120" w:type="dxa"/>
              <w:bottom w:w="80" w:type="dxa"/>
              <w:end w:w="120" w:type="dxa"/>
            </w:tcMar>
            <w:vAlign w:val="center"/>
          </w:tcPr>
          <w:p>
            <w:pPr>
              <w:spacing w:before="0" w:after="0" w:line="240" w:lineRule="auto"/>
              <w:jc w:val="center"/>
            </w:pPr>
            <w:r/>
            <w:r>
              <w:rPr>
                <w:rFonts w:ascii="Arial" w:hAnsi="Arial" w:cs="Arial"/>
                <w:sz w:val="18"/>
              </w:rPr>
              <w:t>INSS</w:t>
            </w:r>
          </w:p>
        </w:tc>
      </w:tr>
      <w:tr>
        <w:tc>
          <w:tcPr>
            <w:tcW w:type="dxa" w:w="2172"/>
            <w:tcMar>
              <w:top w:w="80" w:type="dxa"/>
              <w:start w:w="120" w:type="dxa"/>
              <w:bottom w:w="80" w:type="dxa"/>
              <w:end w:w="120" w:type="dxa"/>
            </w:tcMar>
            <w:vAlign w:val="center"/>
          </w:tcPr>
          <w:p>
            <w:pPr>
              <w:spacing w:before="0" w:after="0" w:line="240" w:lineRule="auto"/>
              <w:jc w:val="left"/>
            </w:pPr>
            <w:r/>
            <w:r>
              <w:rPr>
                <w:rFonts w:ascii="Arial" w:hAnsi="Arial" w:cs="Arial"/>
                <w:sz w:val="18"/>
              </w:rPr>
              <w:t>Prestación familiar contributiva</w:t>
            </w:r>
          </w:p>
        </w:tc>
        <w:tc>
          <w:tcPr>
            <w:tcW w:type="dxa" w:w="2240"/>
            <w:tcMar>
              <w:top w:w="80" w:type="dxa"/>
              <w:start w:w="120" w:type="dxa"/>
              <w:bottom w:w="80" w:type="dxa"/>
              <w:end w:w="120" w:type="dxa"/>
            </w:tcMar>
            <w:vAlign w:val="center"/>
          </w:tcPr>
          <w:p>
            <w:pPr>
              <w:spacing w:before="0" w:after="0" w:line="240" w:lineRule="auto"/>
              <w:jc w:val="left"/>
            </w:pPr>
            <w:r/>
            <w:r>
              <w:rPr>
                <w:rFonts w:ascii="Arial" w:hAnsi="Arial" w:cs="Arial"/>
                <w:sz w:val="18"/>
              </w:rPr>
              <w:t>No es pago autónomo; asimila cotización</w:t>
            </w:r>
          </w:p>
        </w:tc>
        <w:tc>
          <w:tcPr>
            <w:tcW w:type="dxa" w:w="2307"/>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307"/>
            <w:tcMar>
              <w:top w:w="80" w:type="dxa"/>
              <w:start w:w="120" w:type="dxa"/>
              <w:bottom w:w="80" w:type="dxa"/>
              <w:end w:w="120" w:type="dxa"/>
            </w:tcMar>
            <w:vAlign w:val="center"/>
          </w:tcPr>
          <w:p>
            <w:pPr>
              <w:spacing w:before="0" w:after="0" w:line="240" w:lineRule="auto"/>
              <w:jc w:val="left"/>
            </w:pPr>
            <w:r/>
            <w:r>
              <w:rPr>
                <w:rFonts w:ascii="Arial" w:hAnsi="Arial" w:cs="Arial"/>
                <w:sz w:val="18"/>
              </w:rPr>
              <w:t>Entidad que reconoce futura prestación</w:t>
            </w:r>
          </w:p>
        </w:tc>
      </w:tr>
    </w:tbl>
    <w:p>
      <w:pPr>
        <w:spacing w:after="40"/>
      </w:pPr>
    </w:p>
    <w:p>
      <w:pPr>
        <w:pStyle w:val="Heading1"/>
        <w:keepNext/>
      </w:pPr>
      <w:r>
        <w:rPr>
          <w:rFonts w:ascii="Arial" w:hAnsi="Arial" w:cs="Arial"/>
          <w:sz w:val="30"/>
        </w:rPr>
        <w:t>2. Ingreso mínimo vital: concepto y características</w:t>
      </w:r>
    </w:p>
    <w:p>
      <w:pPr>
        <w:jc w:val="both"/>
      </w:pPr>
      <w:r>
        <w:rPr>
          <w:rFonts w:ascii="Arial" w:hAnsi="Arial" w:cs="Arial"/>
          <w:sz w:val="22"/>
        </w:rPr>
        <w:t>El IMV es una prestación económica de la Seguridad Social que garantiza un nivel mínimo de renta a personas solas o unidades de convivencia en vulnerabilidad económica. Cubre la diferencia entre los recursos computables y la renta garantizada aplicable.</w:t>
      </w:r>
    </w:p>
    <w:p>
      <w:pPr>
        <w:jc w:val="both"/>
      </w:pPr>
      <w:r>
        <w:rPr>
          <w:rFonts w:ascii="Arial" w:hAnsi="Arial" w:cs="Arial"/>
          <w:sz w:val="22"/>
        </w:rPr>
        <w:t>El artículo 3 de la Ley 19/2021 le atribuye estos caracteres:</w:t>
      </w:r>
    </w:p>
    <w:p>
      <w:pPr>
        <w:pStyle w:val="ListBullet"/>
      </w:pPr>
      <w:r>
        <w:rPr>
          <w:rFonts w:ascii="Arial" w:hAnsi="Arial" w:cs="Arial"/>
          <w:sz w:val="22"/>
        </w:rPr>
        <w:t>diferencia entre recursos y renta garantizada;</w:t>
      </w:r>
    </w:p>
    <w:p>
      <w:pPr>
        <w:pStyle w:val="ListBullet"/>
      </w:pPr>
      <w:r>
        <w:rPr>
          <w:rFonts w:ascii="Arial" w:hAnsi="Arial" w:cs="Arial"/>
          <w:sz w:val="22"/>
        </w:rPr>
        <w:t>cuantía adaptada al beneficiario individual o a la estructura de la unidad;</w:t>
      </w:r>
    </w:p>
    <w:p>
      <w:pPr>
        <w:pStyle w:val="ListBullet"/>
      </w:pPr>
      <w:r>
        <w:rPr>
          <w:rFonts w:ascii="Arial" w:hAnsi="Arial" w:cs="Arial"/>
          <w:sz w:val="22"/>
        </w:rPr>
        <w:t>duración mientras persista la vulnerabilidad y se mantengan requisitos;</w:t>
      </w:r>
    </w:p>
    <w:p>
      <w:pPr>
        <w:pStyle w:val="ListBullet"/>
      </w:pPr>
      <w:r>
        <w:rPr>
          <w:rFonts w:ascii="Arial" w:hAnsi="Arial" w:cs="Arial"/>
          <w:sz w:val="22"/>
        </w:rPr>
        <w:t>red de protección orientada a inclusión social y laboral;</w:t>
      </w:r>
    </w:p>
    <w:p>
      <w:pPr>
        <w:pStyle w:val="ListBullet"/>
      </w:pPr>
      <w:r>
        <w:rPr>
          <w:rFonts w:ascii="Arial" w:hAnsi="Arial" w:cs="Arial"/>
          <w:sz w:val="22"/>
        </w:rPr>
        <w:t>compatibilidad incentivada con trabajo en los términos reglamentarios;</w:t>
      </w:r>
    </w:p>
    <w:p>
      <w:pPr>
        <w:pStyle w:val="ListBullet"/>
      </w:pPr>
      <w:r>
        <w:rPr>
          <w:rFonts w:ascii="Arial" w:hAnsi="Arial" w:cs="Arial"/>
          <w:sz w:val="22"/>
        </w:rPr>
        <w:t>intransferibilidad, sin cesión, compensación, descuento, retención o embargo salvo los supuestos y límites legales.</w:t>
      </w:r>
    </w:p>
    <w:p>
      <w:pPr>
        <w:jc w:val="both"/>
      </w:pPr>
      <w:r>
        <w:rPr>
          <w:rFonts w:ascii="Arial" w:hAnsi="Arial" w:cs="Arial"/>
          <w:sz w:val="22"/>
        </w:rPr>
        <w:t>No es una renta uniforme. Dos unidades con igual número de miembros pueden recibir distinto importe por ingresos, monoparentalidad, discapacidad o complemento infantil. Tampoco es una pensión vitalicia: carece de fecha final predeterminada, pero se revisa mientras se percibe.</w:t>
      </w:r>
    </w:p>
    <w:p>
      <w:pPr>
        <w:pStyle w:val="Heading1"/>
        <w:keepNext/>
      </w:pPr>
      <w:r>
        <w:rPr>
          <w:rFonts w:ascii="Arial" w:hAnsi="Arial" w:cs="Arial"/>
          <w:sz w:val="30"/>
        </w:rPr>
        <w:t>3. Personas beneficiarias y titulares del IMV</w:t>
      </w:r>
    </w:p>
    <w:p>
      <w:pPr>
        <w:pStyle w:val="Heading2"/>
        <w:keepNext/>
      </w:pPr>
      <w:r>
        <w:rPr>
          <w:rFonts w:ascii="Arial" w:hAnsi="Arial" w:cs="Arial"/>
          <w:sz w:val="25"/>
        </w:rPr>
        <w:t>3.1. Beneficiarios</w:t>
      </w:r>
    </w:p>
    <w:p>
      <w:pPr>
        <w:jc w:val="both"/>
      </w:pPr>
      <w:r>
        <w:rPr>
          <w:rFonts w:ascii="Arial" w:hAnsi="Arial" w:cs="Arial"/>
          <w:sz w:val="22"/>
        </w:rPr>
        <w:t>El artículo 4 distingue:</w:t>
      </w:r>
    </w:p>
    <w:p>
      <w:pPr>
        <w:spacing w:after="40"/>
        <w:ind w:left="369" w:hanging="227"/>
      </w:pPr>
      <w:r>
        <w:rPr>
          <w:rFonts w:ascii="Arial" w:hAnsi="Arial" w:cs="Arial"/>
          <w:sz w:val="22"/>
        </w:rPr>
        <w:t>1. integrantes de una unidad de convivencia;</w:t>
      </w:r>
    </w:p>
    <w:p>
      <w:pPr>
        <w:spacing w:after="40"/>
        <w:ind w:left="369" w:hanging="227"/>
      </w:pPr>
      <w:r>
        <w:rPr>
          <w:rFonts w:ascii="Arial" w:hAnsi="Arial" w:cs="Arial"/>
          <w:sz w:val="22"/>
        </w:rPr>
        <w:t>2. personas de al menos veintitrés años que no forman parte de una unidad, no están casadas ni constituyen pareja de hecho, salvo trámites de separación, divorcio u otras excepciones.</w:t>
      </w:r>
    </w:p>
    <w:p>
      <w:pPr>
        <w:jc w:val="both"/>
      </w:pPr>
      <w:r>
        <w:rPr>
          <w:rFonts w:ascii="Arial" w:hAnsi="Arial" w:cs="Arial"/>
          <w:sz w:val="22"/>
        </w:rPr>
        <w:t>No se exige edad ni haber iniciado separación o divorcio a mujeres víctimas de violencia de género o víctimas de trata y explotación sexual. Las personas de dieciocho a veintidós años pueden acceder individualmente cuando:</w:t>
      </w:r>
    </w:p>
    <w:p>
      <w:pPr>
        <w:pStyle w:val="ListBullet"/>
      </w:pPr>
      <w:r>
        <w:rPr>
          <w:rFonts w:ascii="Arial" w:hAnsi="Arial" w:cs="Arial"/>
          <w:sz w:val="22"/>
        </w:rPr>
        <w:t>proceden de centros residenciales de protección de menores y estuvieron tuteladas dentro de los tres años anteriores a la mayoría de edad, o son huérfanas absolutas, y viven solas;</w:t>
      </w:r>
    </w:p>
    <w:p>
      <w:pPr>
        <w:pStyle w:val="ListBullet"/>
      </w:pPr>
      <w:r>
        <w:rPr>
          <w:rFonts w:ascii="Arial" w:hAnsi="Arial" w:cs="Arial"/>
          <w:sz w:val="22"/>
        </w:rPr>
        <w:t>han sido liberadas de prisión después de una privación de libertad superior a seis meses.</w:t>
      </w:r>
    </w:p>
    <w:p>
      <w:pPr>
        <w:jc w:val="both"/>
      </w:pPr>
      <w:r>
        <w:rPr>
          <w:rFonts w:ascii="Arial" w:hAnsi="Arial" w:cs="Arial"/>
          <w:sz w:val="22"/>
        </w:rPr>
        <w:t>También pueden ser beneficiarias quienes usan temporalmente una prestación residencial social, sanitaria o sociosanitaria. Para víctimas de violencia de género, trata o explotación sexual, la residencia puede ser permanente.</w:t>
      </w:r>
    </w:p>
    <w:p>
      <w:pPr>
        <w:pStyle w:val="Heading2"/>
        <w:keepNext/>
      </w:pPr>
      <w:r>
        <w:rPr>
          <w:rFonts w:ascii="Arial" w:hAnsi="Arial" w:cs="Arial"/>
          <w:sz w:val="25"/>
        </w:rPr>
        <w:t>3.2. Titular</w:t>
      </w:r>
    </w:p>
    <w:p>
      <w:pPr>
        <w:jc w:val="both"/>
      </w:pPr>
      <w:r>
        <w:rPr>
          <w:rFonts w:ascii="Arial" w:hAnsi="Arial" w:cs="Arial"/>
          <w:sz w:val="22"/>
        </w:rPr>
        <w:t>Titular es la persona con capacidad jurídica que solicita y percibe el IMV en nombre propio o representando a la unidad. La solicitud de una unidad contiene la declaración responsable de consentimiento de sus integrantes mayores de edad.</w:t>
      </w:r>
    </w:p>
    <w:p>
      <w:pPr>
        <w:jc w:val="both"/>
      </w:pPr>
      <w:r>
        <w:rPr>
          <w:rFonts w:ascii="Arial" w:hAnsi="Arial" w:cs="Arial"/>
          <w:sz w:val="22"/>
        </w:rPr>
        <w:t>La edad ordinaria del titular es veintitrés años. Puede ser mayor de edad o menor emancipado si tiene hijos o menores en guarda, acogimiento permanente o fines de adopción. Los huérfanos absolutos que constituyen una unidad sin miembro de veintitrés años pueden tener titular menor de esa edad. Las excepciones de víctimas, extutelados y liberados de prisión permiten titularidad desde la mayoría de edad en los términos legales.</w:t>
      </w:r>
    </w:p>
    <w:p>
      <w:pPr>
        <w:jc w:val="both"/>
      </w:pPr>
      <w:r>
        <w:rPr>
          <w:rFonts w:ascii="Arial" w:hAnsi="Arial" w:cs="Arial"/>
          <w:sz w:val="22"/>
        </w:rPr>
        <w:t>Si varios miembros pueden ser titulares, lo será aquel a cuyo nombre se reconoce. La entidad gestora puede acordar el pago a otro integrante cuando lo permita el desarrollo reglamentario. Titular y beneficiario no son sinónimos: todos los miembros protegidos son beneficiarios, pero una persona representa a la unidad.</w:t>
      </w:r>
    </w:p>
    <w:p>
      <w:pPr>
        <w:pStyle w:val="Heading1"/>
        <w:keepNext/>
      </w:pPr>
      <w:r>
        <w:rPr>
          <w:rFonts w:ascii="Arial" w:hAnsi="Arial" w:cs="Arial"/>
          <w:sz w:val="30"/>
        </w:rPr>
        <w:t>4. Unidad de convivencia</w:t>
      </w:r>
    </w:p>
    <w:p>
      <w:pPr>
        <w:jc w:val="both"/>
      </w:pPr>
      <w:r>
        <w:rPr>
          <w:rFonts w:ascii="Arial" w:hAnsi="Arial" w:cs="Arial"/>
          <w:sz w:val="22"/>
        </w:rPr>
        <w:t>El artículo 6 define la unidad como las personas que residen en el mismo domicilio unidas por:</w:t>
      </w:r>
    </w:p>
    <w:p>
      <w:pPr>
        <w:pStyle w:val="ListBullet"/>
      </w:pPr>
      <w:r>
        <w:rPr>
          <w:rFonts w:ascii="Arial" w:hAnsi="Arial" w:cs="Arial"/>
          <w:sz w:val="22"/>
        </w:rPr>
        <w:t>matrimonio;</w:t>
      </w:r>
    </w:p>
    <w:p>
      <w:pPr>
        <w:pStyle w:val="ListBullet"/>
      </w:pPr>
      <w:r>
        <w:rPr>
          <w:rFonts w:ascii="Arial" w:hAnsi="Arial" w:cs="Arial"/>
          <w:sz w:val="22"/>
        </w:rPr>
        <w:t>pareja de hecho;</w:t>
      </w:r>
    </w:p>
    <w:p>
      <w:pPr>
        <w:pStyle w:val="ListBullet"/>
      </w:pPr>
      <w:r>
        <w:rPr>
          <w:rFonts w:ascii="Arial" w:hAnsi="Arial" w:cs="Arial"/>
          <w:sz w:val="22"/>
        </w:rPr>
        <w:t>parentesco hasta segundo grado por consanguinidad, afinidad o adopción;</w:t>
      </w:r>
    </w:p>
    <w:p>
      <w:pPr>
        <w:pStyle w:val="ListBullet"/>
      </w:pPr>
      <w:r>
        <w:rPr>
          <w:rFonts w:ascii="Arial" w:hAnsi="Arial" w:cs="Arial"/>
          <w:sz w:val="22"/>
        </w:rPr>
        <w:t>guarda con fines de adopción o acogimiento familiar permanente.</w:t>
      </w:r>
    </w:p>
    <w:p>
      <w:pPr>
        <w:jc w:val="both"/>
      </w:pPr>
      <w:r>
        <w:rPr>
          <w:rFonts w:ascii="Arial" w:hAnsi="Arial" w:cs="Arial"/>
          <w:sz w:val="22"/>
        </w:rPr>
        <w:t>El fallecimiento de un miembro no rompe por sí solo la unidad aunque desaparezca el vínculo que conectaba a los supervivientes. La separación transitoria por estudios, trabajo, tratamiento médico, rehabilitación o causa similar tampoco rompe la convivencia. Nadie puede pertenecer simultáneamente a dos unidades.</w:t>
      </w:r>
    </w:p>
    <w:p>
      <w:pPr>
        <w:pStyle w:val="Heading2"/>
        <w:keepNext/>
      </w:pPr>
      <w:r>
        <w:rPr>
          <w:rFonts w:ascii="Arial" w:hAnsi="Arial" w:cs="Arial"/>
          <w:sz w:val="25"/>
        </w:rPr>
        <w:t>4.1. Situaciones especiales</w:t>
      </w:r>
    </w:p>
    <w:p>
      <w:pPr>
        <w:jc w:val="both"/>
      </w:pPr>
      <w:r>
        <w:rPr>
          <w:rFonts w:ascii="Arial" w:hAnsi="Arial" w:cs="Arial"/>
          <w:sz w:val="22"/>
        </w:rPr>
        <w:t>Pueden constituir unidad independiente, aunque compartan domicilio con personas vinculadas:</w:t>
      </w:r>
    </w:p>
    <w:p>
      <w:pPr>
        <w:pStyle w:val="ListBullet"/>
      </w:pPr>
      <w:r>
        <w:rPr>
          <w:rFonts w:ascii="Arial" w:hAnsi="Arial" w:cs="Arial"/>
          <w:sz w:val="22"/>
        </w:rPr>
        <w:t>mujer víctima de violencia de género que abandonó el domicilio;</w:t>
      </w:r>
    </w:p>
    <w:p>
      <w:pPr>
        <w:pStyle w:val="ListBullet"/>
      </w:pPr>
      <w:r>
        <w:rPr>
          <w:rFonts w:ascii="Arial" w:hAnsi="Arial" w:cs="Arial"/>
          <w:sz w:val="22"/>
        </w:rPr>
        <w:t>persona que lo abandonó por separación, nulidad, divorcio o disolución de pareja;</w:t>
      </w:r>
    </w:p>
    <w:p>
      <w:pPr>
        <w:pStyle w:val="ListBullet"/>
      </w:pPr>
      <w:r>
        <w:rPr>
          <w:rFonts w:ascii="Arial" w:hAnsi="Arial" w:cs="Arial"/>
          <w:sz w:val="22"/>
        </w:rPr>
        <w:t>persona desalojada por desahucio o cuya vivienda quedó inhabitable por accidente o fuerza mayor.</w:t>
      </w:r>
    </w:p>
    <w:p>
      <w:pPr>
        <w:jc w:val="both"/>
      </w:pPr>
      <w:r>
        <w:rPr>
          <w:rFonts w:ascii="Arial" w:hAnsi="Arial" w:cs="Arial"/>
          <w:sz w:val="22"/>
        </w:rPr>
        <w:t>En separación y pérdida de vivienda, la consideración independiente se limita normalmente a tres años desde el hecho. Existen reglas para establecimientos colectivos, empadronamiento ficticio de personas sin hogar, habitaciones hoteleras con uso individualizado y zonas de uso exclusivo acreditadas mediante título jurídico.</w:t>
      </w:r>
    </w:p>
    <w:p>
      <w:pPr>
        <w:jc w:val="both"/>
      </w:pPr>
      <w:r>
        <w:rPr>
          <w:rFonts w:ascii="Arial" w:hAnsi="Arial" w:cs="Arial"/>
          <w:sz w:val="22"/>
        </w:rPr>
        <w:t>Si conviven personas sin vínculos del artículo 6, pueden ser titulares quienes se hallen en riesgo de exclusión, acreditado por los servicios sociales. Compartir padrón no crea automáticamente una única unidad.</w:t>
      </w:r>
    </w:p>
    <w:p>
      <w:pPr>
        <w:pStyle w:val="Heading1"/>
        <w:keepNext/>
      </w:pPr>
      <w:r>
        <w:rPr>
          <w:rFonts w:ascii="Arial" w:hAnsi="Arial" w:cs="Arial"/>
          <w:sz w:val="30"/>
        </w:rPr>
        <w:t>5. Requisitos de acceso al IMV</w:t>
      </w:r>
    </w:p>
    <w:p>
      <w:pPr>
        <w:pStyle w:val="Heading2"/>
        <w:keepNext/>
      </w:pPr>
      <w:r>
        <w:rPr>
          <w:rFonts w:ascii="Arial" w:hAnsi="Arial" w:cs="Arial"/>
          <w:sz w:val="25"/>
        </w:rPr>
        <w:t>5.1. Residencia</w:t>
      </w:r>
    </w:p>
    <w:p>
      <w:pPr>
        <w:jc w:val="both"/>
      </w:pPr>
      <w:r>
        <w:rPr>
          <w:rFonts w:ascii="Arial" w:hAnsi="Arial" w:cs="Arial"/>
          <w:sz w:val="22"/>
        </w:rPr>
        <w:t>Todas las personas beneficiarias deben tener residencia legal y efectiva en España durante al menos el año inmediatamente anterior a la solicitud. No se exige el año a:</w:t>
      </w:r>
    </w:p>
    <w:p>
      <w:pPr>
        <w:pStyle w:val="ListBullet"/>
      </w:pPr>
      <w:r>
        <w:rPr>
          <w:rFonts w:ascii="Arial" w:hAnsi="Arial" w:cs="Arial"/>
          <w:sz w:val="22"/>
        </w:rPr>
        <w:t>menores incorporados por nacimiento, adopción, reagrupación, guarda o acogimiento;</w:t>
      </w:r>
    </w:p>
    <w:p>
      <w:pPr>
        <w:pStyle w:val="ListBullet"/>
      </w:pPr>
      <w:r>
        <w:rPr>
          <w:rFonts w:ascii="Arial" w:hAnsi="Arial" w:cs="Arial"/>
          <w:sz w:val="22"/>
        </w:rPr>
        <w:t>víctimas de trata y explotación sexual;</w:t>
      </w:r>
    </w:p>
    <w:p>
      <w:pPr>
        <w:pStyle w:val="ListBullet"/>
      </w:pPr>
      <w:r>
        <w:rPr>
          <w:rFonts w:ascii="Arial" w:hAnsi="Arial" w:cs="Arial"/>
          <w:sz w:val="22"/>
        </w:rPr>
        <w:t>mujeres víctimas de violencia de género.</w:t>
      </w:r>
    </w:p>
    <w:p>
      <w:pPr>
        <w:jc w:val="both"/>
      </w:pPr>
      <w:r>
        <w:rPr>
          <w:rFonts w:ascii="Arial" w:hAnsi="Arial" w:cs="Arial"/>
          <w:sz w:val="22"/>
        </w:rPr>
        <w:t>Se mantiene residencia habitual pese a estancias en el extranjero que no superen noventa días naturales por año, o cuando una ausencia superior obedece a enfermedad debidamente justificada. Las salidas relevantes deben comunicarse previamente.</w:t>
      </w:r>
    </w:p>
    <w:p>
      <w:pPr>
        <w:pStyle w:val="Heading2"/>
        <w:keepNext/>
      </w:pPr>
      <w:r>
        <w:rPr>
          <w:rFonts w:ascii="Arial" w:hAnsi="Arial" w:cs="Arial"/>
          <w:sz w:val="25"/>
        </w:rPr>
        <w:t>5.2. Vulnerabilidad económica</w:t>
      </w:r>
    </w:p>
    <w:p>
      <w:pPr>
        <w:jc w:val="both"/>
      </w:pPr>
      <w:r>
        <w:rPr>
          <w:rFonts w:ascii="Arial" w:hAnsi="Arial" w:cs="Arial"/>
          <w:sz w:val="22"/>
        </w:rPr>
        <w:t xml:space="preserve">El promedio mensual de ingresos y rentas computables del ejercicio anterior debe ser inferior al menos en </w:t>
      </w:r>
      <w:r>
        <w:rPr>
          <w:rFonts w:ascii="Arial" w:hAnsi="Arial" w:cs="Arial"/>
          <w:b/>
          <w:sz w:val="22"/>
        </w:rPr>
        <w:t>diez euros</w:t>
      </w:r>
      <w:r>
        <w:rPr>
          <w:rFonts w:ascii="Arial" w:hAnsi="Arial" w:cs="Arial"/>
          <w:sz w:val="22"/>
        </w:rPr>
        <w:t xml:space="preserve"> a la renta garantizada mensual aplicable. Se computan conjuntamente los recursos de todos los miembros.</w:t>
      </w:r>
    </w:p>
    <w:p>
      <w:pPr>
        <w:jc w:val="both"/>
      </w:pPr>
      <w:r>
        <w:rPr>
          <w:rFonts w:ascii="Arial" w:hAnsi="Arial" w:cs="Arial"/>
          <w:sz w:val="22"/>
        </w:rPr>
        <w:t>No existe vulnerabilidad cuando:</w:t>
      </w:r>
    </w:p>
    <w:p>
      <w:pPr>
        <w:pStyle w:val="ListBullet"/>
      </w:pPr>
      <w:r>
        <w:rPr>
          <w:rFonts w:ascii="Arial" w:hAnsi="Arial" w:cs="Arial"/>
          <w:sz w:val="22"/>
        </w:rPr>
        <w:t>el patrimonio neto del beneficiario individual alcanza tres veces la renta garantizada anual individual;</w:t>
      </w:r>
    </w:p>
    <w:p>
      <w:pPr>
        <w:pStyle w:val="ListBullet"/>
      </w:pPr>
      <w:r>
        <w:rPr>
          <w:rFonts w:ascii="Arial" w:hAnsi="Arial" w:cs="Arial"/>
          <w:sz w:val="22"/>
        </w:rPr>
        <w:t>la unidad supera la escala patrimonial del anexo II;</w:t>
      </w:r>
    </w:p>
    <w:p>
      <w:pPr>
        <w:pStyle w:val="ListBullet"/>
      </w:pPr>
      <w:r>
        <w:rPr>
          <w:rFonts w:ascii="Arial" w:hAnsi="Arial" w:cs="Arial"/>
          <w:sz w:val="22"/>
        </w:rPr>
        <w:t>los activos no societarios, excluida vivienda habitual, superan el anexo III;</w:t>
      </w:r>
    </w:p>
    <w:p>
      <w:pPr>
        <w:pStyle w:val="ListBullet"/>
      </w:pPr>
      <w:r>
        <w:rPr>
          <w:rFonts w:ascii="Arial" w:hAnsi="Arial" w:cs="Arial"/>
          <w:sz w:val="22"/>
        </w:rPr>
        <w:t>algún miembro es administrador de derecho de una sociedad mercantil que no cesó en su actividad.</w:t>
      </w:r>
    </w:p>
    <w:p>
      <w:pPr>
        <w:jc w:val="both"/>
      </w:pPr>
      <w:r>
        <w:rPr>
          <w:rFonts w:ascii="Arial" w:hAnsi="Arial" w:cs="Arial"/>
          <w:sz w:val="22"/>
        </w:rPr>
        <w:t>La vivienda habitual se excluye del patrimonio no societario, pero otros inmuebles, cuentas, depósitos, valores, seguros, planes y participaciones se valoran conforme al artículo 20. Las deudas asociadas a esos activos pueden minorar en los términos legales.</w:t>
      </w:r>
    </w:p>
    <w:p>
      <w:pPr>
        <w:jc w:val="both"/>
      </w:pPr>
      <w:r>
        <w:rPr>
          <w:rFonts w:ascii="Arial" w:hAnsi="Arial" w:cs="Arial"/>
          <w:sz w:val="22"/>
        </w:rPr>
        <w:t>Si la vulnerabilidad surge durante el año, puede solicitarse entre el 1 de abril y el 31 de diciembre con datos del ejercicio en curso. El reconocimiento queda sujeto a regularización posterior. No se convierte en una elección para ignorar ingresos del ejercicio anterior.</w:t>
      </w:r>
    </w:p>
    <w:p>
      <w:pPr>
        <w:pStyle w:val="Heading2"/>
        <w:keepNext/>
      </w:pPr>
      <w:r>
        <w:rPr>
          <w:rFonts w:ascii="Arial" w:hAnsi="Arial" w:cs="Arial"/>
          <w:sz w:val="25"/>
        </w:rPr>
        <w:t>5.3. Vida independiente</w:t>
      </w:r>
    </w:p>
    <w:p>
      <w:pPr>
        <w:jc w:val="both"/>
      </w:pPr>
      <w:r>
        <w:rPr>
          <w:rFonts w:ascii="Arial" w:hAnsi="Arial" w:cs="Arial"/>
          <w:sz w:val="22"/>
        </w:rPr>
        <w:t>El beneficiario individual menor de treinta años debe acreditar dos años de domicilio distinto al de progenitores, tutores o acogedores y, dentro de ese período, al menos doce meses —continuos o no— de alta en Seguridad Social, Clases Pasivas o mutualidad alternativa.</w:t>
      </w:r>
    </w:p>
    <w:p>
      <w:pPr>
        <w:jc w:val="both"/>
      </w:pPr>
      <w:r>
        <w:rPr>
          <w:rFonts w:ascii="Arial" w:hAnsi="Arial" w:cs="Arial"/>
          <w:sz w:val="22"/>
        </w:rPr>
        <w:t>Si tiene treinta años o más, debe acreditar que durante el año anterior su domicilio fue distinto. Se exceptúan fallecimiento de progenitores, violencia de género, personas sin hogar, separación o divorcio, trata, explotación sexual, liberados de prisión tras más de seis meses y demás supuestos legalmente admitidos.</w:t>
      </w:r>
    </w:p>
    <w:p>
      <w:pPr>
        <w:pStyle w:val="Heading2"/>
        <w:keepNext/>
      </w:pPr>
      <w:r>
        <w:rPr>
          <w:rFonts w:ascii="Arial" w:hAnsi="Arial" w:cs="Arial"/>
          <w:sz w:val="25"/>
        </w:rPr>
        <w:t>5.4. Antigüedad de la unidad</w:t>
      </w:r>
    </w:p>
    <w:p>
      <w:pPr>
        <w:jc w:val="both"/>
      </w:pPr>
      <w:r>
        <w:rPr>
          <w:rFonts w:ascii="Arial" w:hAnsi="Arial" w:cs="Arial"/>
          <w:sz w:val="22"/>
        </w:rPr>
        <w:t xml:space="preserve">La unidad debe estar constituida de forma continuada durante al menos </w:t>
      </w:r>
      <w:r>
        <w:rPr>
          <w:rFonts w:ascii="Arial" w:hAnsi="Arial" w:cs="Arial"/>
          <w:b/>
          <w:sz w:val="22"/>
        </w:rPr>
        <w:t>seis meses</w:t>
      </w:r>
      <w:r>
        <w:rPr>
          <w:rFonts w:ascii="Arial" w:hAnsi="Arial" w:cs="Arial"/>
          <w:sz w:val="22"/>
        </w:rPr>
        <w:t xml:space="preserve"> antes de solicitar. No se exige por nacimiento, adopción, guarda, acogimiento, reagrupación de hijos menores, violencia, trata u otros supuestos justificados. La incorporación posterior de una persona vinculada no obliga a esperar otros seis meses; se comunica y la entidad revisa.</w:t>
      </w:r>
    </w:p>
    <w:p>
      <w:pPr>
        <w:jc w:val="both"/>
      </w:pPr>
      <w:r>
        <w:rPr>
          <w:rFonts w:ascii="Arial" w:hAnsi="Arial" w:cs="Arial"/>
          <w:sz w:val="22"/>
        </w:rPr>
        <w:t>Los requisitos deben existir al solicitar o revisar, mantenerse al resolver y durante toda la percepción.</w:t>
      </w:r>
    </w:p>
    <w:p>
      <w:pPr>
        <w:spacing w:after="100"/>
        <w:ind w:left="340" w:right="227"/>
        <w:shd w:fill="EAF2F8"/>
      </w:pPr>
      <w:r>
        <w:rPr>
          <w:rFonts w:ascii="Arial" w:hAnsi="Arial" w:cs="Arial"/>
          <w:b/>
          <w:sz w:val="20"/>
        </w:rPr>
        <w:t>Esquema de acceso IMV:</w:t>
      </w:r>
      <w:r>
        <w:rPr>
          <w:rFonts w:ascii="Arial" w:hAnsi="Arial" w:cs="Arial"/>
          <w:sz w:val="20"/>
        </w:rPr>
        <w:t xml:space="preserve"> residencia + unidad/vida independiente + vulnerabilidad de renta + patrimonio dentro de límite + ausencia de exclusión societaria.</w:t>
      </w:r>
    </w:p>
    <w:p>
      <w:pPr>
        <w:pStyle w:val="Heading1"/>
        <w:keepNext/>
      </w:pPr>
      <w:r>
        <w:rPr>
          <w:rFonts w:ascii="Arial" w:hAnsi="Arial" w:cs="Arial"/>
          <w:sz w:val="30"/>
        </w:rPr>
        <w:t>6. Determinación de la cuantía</w:t>
      </w:r>
    </w:p>
    <w:p>
      <w:pPr>
        <w:jc w:val="both"/>
      </w:pPr>
      <w:r>
        <w:rPr>
          <w:rFonts w:ascii="Arial" w:hAnsi="Arial" w:cs="Arial"/>
          <w:sz w:val="22"/>
        </w:rPr>
        <w:t>La cuantía mensual es:</w:t>
      </w:r>
    </w:p>
    <w:p>
      <w:pPr>
        <w:spacing w:after="100"/>
        <w:ind w:left="340" w:right="227"/>
        <w:shd w:fill="EAF2F8"/>
      </w:pPr>
      <w:r>
        <w:rPr>
          <w:rFonts w:ascii="Arial" w:hAnsi="Arial" w:cs="Arial"/>
          <w:b/>
          <w:sz w:val="20"/>
        </w:rPr>
        <w:t>IMV = renta garantizada mensual aplicable − promedio mensual de rentas e ingresos computables</w:t>
      </w:r>
      <w:r>
        <w:rPr>
          <w:rFonts w:ascii="Arial" w:hAnsi="Arial" w:cs="Arial"/>
          <w:sz w:val="20"/>
        </w:rPr>
        <w:t>, siempre que la diferencia sea al menos diez euros.</w:t>
      </w:r>
    </w:p>
    <w:p>
      <w:pPr>
        <w:pStyle w:val="Heading2"/>
        <w:keepNext/>
      </w:pPr>
      <w:r>
        <w:rPr>
          <w:rFonts w:ascii="Arial" w:hAnsi="Arial" w:cs="Arial"/>
          <w:sz w:val="25"/>
        </w:rPr>
        <w:t>6.1. Renta garantizada en 2026</w:t>
      </w:r>
    </w:p>
    <w:p>
      <w:pPr>
        <w:jc w:val="both"/>
      </w:pPr>
      <w:r>
        <w:rPr>
          <w:rFonts w:ascii="Arial" w:hAnsi="Arial" w:cs="Arial"/>
          <w:sz w:val="22"/>
        </w:rPr>
        <w:t xml:space="preserve">La renta individual equivale al importe anual de la pensión no contributiva dividido entre doce. En 2026 la PNC anual es </w:t>
      </w:r>
      <w:r>
        <w:rPr>
          <w:rFonts w:ascii="Arial" w:hAnsi="Arial" w:cs="Arial"/>
          <w:b/>
          <w:sz w:val="22"/>
        </w:rPr>
        <w:t>8.803,20 euros</w:t>
      </w:r>
      <w:r>
        <w:rPr>
          <w:rFonts w:ascii="Arial" w:hAnsi="Arial" w:cs="Arial"/>
          <w:sz w:val="22"/>
        </w:rPr>
        <w:t xml:space="preserve">, por lo que la referencia individual es </w:t>
      </w:r>
      <w:r>
        <w:rPr>
          <w:rFonts w:ascii="Arial" w:hAnsi="Arial" w:cs="Arial"/>
          <w:b/>
          <w:sz w:val="22"/>
        </w:rPr>
        <w:t>733,60 euros mensuales</w:t>
      </w:r>
      <w:r>
        <w:rPr>
          <w:rFonts w:ascii="Arial" w:hAnsi="Arial" w:cs="Arial"/>
          <w:sz w:val="22"/>
        </w:rPr>
        <w:t>.</w:t>
      </w:r>
    </w:p>
    <w:p>
      <w:pPr>
        <w:jc w:val="both"/>
      </w:pPr>
      <w:r>
        <w:rPr>
          <w:rFonts w:ascii="Arial" w:hAnsi="Arial" w:cs="Arial"/>
          <w:sz w:val="22"/>
        </w:rPr>
        <w:t>Para una unidad:</w:t>
      </w:r>
    </w:p>
    <w:p>
      <w:pPr>
        <w:pStyle w:val="ListBullet"/>
      </w:pPr>
      <w:r>
        <w:rPr>
          <w:rFonts w:ascii="Arial" w:hAnsi="Arial" w:cs="Arial"/>
          <w:sz w:val="22"/>
        </w:rPr>
        <w:t>se incrementa un 30 % por cada miembro adicional desde el segundo;</w:t>
      </w:r>
    </w:p>
    <w:p>
      <w:pPr>
        <w:pStyle w:val="ListBullet"/>
      </w:pPr>
      <w:r>
        <w:rPr>
          <w:rFonts w:ascii="Arial" w:hAnsi="Arial" w:cs="Arial"/>
          <w:sz w:val="22"/>
        </w:rPr>
        <w:t>existe un máximo del 220 % de la referencia individual;</w:t>
      </w:r>
    </w:p>
    <w:p>
      <w:pPr>
        <w:pStyle w:val="ListBullet"/>
      </w:pPr>
      <w:r>
        <w:rPr>
          <w:rFonts w:ascii="Arial" w:hAnsi="Arial" w:cs="Arial"/>
          <w:sz w:val="22"/>
        </w:rPr>
        <w:t>se añade un 22 % en unidad monoparental;</w:t>
      </w:r>
    </w:p>
    <w:p>
      <w:pPr>
        <w:pStyle w:val="ListBullet"/>
      </w:pPr>
      <w:r>
        <w:rPr>
          <w:rFonts w:ascii="Arial" w:hAnsi="Arial" w:cs="Arial"/>
          <w:sz w:val="22"/>
        </w:rPr>
        <w:t>se añade otro 22 % si algún miembro tiene discapacidad igual o superior al 65 %;</w:t>
      </w:r>
    </w:p>
    <w:p>
      <w:pPr>
        <w:pStyle w:val="ListBullet"/>
      </w:pPr>
      <w:r>
        <w:rPr>
          <w:rFonts w:ascii="Arial" w:hAnsi="Arial" w:cs="Arial"/>
          <w:sz w:val="22"/>
        </w:rPr>
        <w:t>la persona beneficiaria individual con discapacidad igual o superior al 65 % recibe también complemento del 22 %.</w:t>
      </w:r>
    </w:p>
    <w:tbl>
      <w:tblPr>
        <w:tblStyle w:val="TableGrid"/>
        <w:tblW w:type="dxa" w:w="9026"/>
        <w:jc w:val="left"/>
        <w:tblLayout w:type="fixed"/>
        <w:tblLook w:firstColumn="1" w:firstRow="1" w:lastColumn="0" w:lastRow="0" w:noHBand="0" w:noVBand="1" w:val="04A0"/>
        <w:tblInd w:w="120" w:type="dxa"/>
      </w:tblPr>
      <w:tblGrid>
        <w:gridCol w:w="2842"/>
        <w:gridCol w:w="6184"/>
      </w:tblGrid>
      <w:tr>
        <w:trPr>
          <w:tblHeader w:val="true"/>
        </w:trPr>
        <w:tc>
          <w:tcPr>
            <w:tcW w:type="dxa" w:w="284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Composición básica</w:t>
            </w:r>
          </w:p>
        </w:tc>
        <w:tc>
          <w:tcPr>
            <w:tcW w:type="dxa" w:w="618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Porcentaje de referencia, sin complementos</w:t>
            </w:r>
          </w:p>
        </w:tc>
      </w:tr>
      <w:tr>
        <w:tc>
          <w:tcPr>
            <w:tcW w:type="dxa" w:w="2842"/>
            <w:tcMar>
              <w:top w:w="80" w:type="dxa"/>
              <w:start w:w="120" w:type="dxa"/>
              <w:bottom w:w="80" w:type="dxa"/>
              <w:end w:w="120" w:type="dxa"/>
            </w:tcMar>
            <w:vAlign w:val="center"/>
          </w:tcPr>
          <w:p>
            <w:pPr>
              <w:spacing w:before="0" w:after="0" w:line="240" w:lineRule="auto"/>
              <w:jc w:val="left"/>
            </w:pPr>
            <w:r/>
            <w:r>
              <w:rPr>
                <w:rFonts w:ascii="Arial" w:hAnsi="Arial" w:cs="Arial"/>
                <w:sz w:val="18"/>
              </w:rPr>
              <w:t>Una persona</w:t>
            </w:r>
          </w:p>
        </w:tc>
        <w:tc>
          <w:tcPr>
            <w:tcW w:type="dxa" w:w="6184"/>
            <w:tcMar>
              <w:top w:w="80" w:type="dxa"/>
              <w:start w:w="120" w:type="dxa"/>
              <w:bottom w:w="80" w:type="dxa"/>
              <w:end w:w="120" w:type="dxa"/>
            </w:tcMar>
            <w:vAlign w:val="center"/>
          </w:tcPr>
          <w:p>
            <w:pPr>
              <w:spacing w:before="0" w:after="0" w:line="240" w:lineRule="auto"/>
              <w:jc w:val="center"/>
            </w:pPr>
            <w:r/>
            <w:r>
              <w:rPr>
                <w:rFonts w:ascii="Arial" w:hAnsi="Arial" w:cs="Arial"/>
                <w:sz w:val="18"/>
              </w:rPr>
              <w:t>100 %</w:t>
            </w:r>
          </w:p>
        </w:tc>
      </w:tr>
      <w:tr>
        <w:tc>
          <w:tcPr>
            <w:tcW w:type="dxa" w:w="2842"/>
            <w:tcMar>
              <w:top w:w="80" w:type="dxa"/>
              <w:start w:w="120" w:type="dxa"/>
              <w:bottom w:w="80" w:type="dxa"/>
              <w:end w:w="120" w:type="dxa"/>
            </w:tcMar>
            <w:vAlign w:val="center"/>
          </w:tcPr>
          <w:p>
            <w:pPr>
              <w:spacing w:before="0" w:after="0" w:line="240" w:lineRule="auto"/>
              <w:jc w:val="left"/>
            </w:pPr>
            <w:r/>
            <w:r>
              <w:rPr>
                <w:rFonts w:ascii="Arial" w:hAnsi="Arial" w:cs="Arial"/>
                <w:sz w:val="18"/>
              </w:rPr>
              <w:t>Dos miembros</w:t>
            </w:r>
          </w:p>
        </w:tc>
        <w:tc>
          <w:tcPr>
            <w:tcW w:type="dxa" w:w="6184"/>
            <w:tcMar>
              <w:top w:w="80" w:type="dxa"/>
              <w:start w:w="120" w:type="dxa"/>
              <w:bottom w:w="80" w:type="dxa"/>
              <w:end w:w="120" w:type="dxa"/>
            </w:tcMar>
            <w:vAlign w:val="center"/>
          </w:tcPr>
          <w:p>
            <w:pPr>
              <w:spacing w:before="0" w:after="0" w:line="240" w:lineRule="auto"/>
              <w:jc w:val="center"/>
            </w:pPr>
            <w:r/>
            <w:r>
              <w:rPr>
                <w:rFonts w:ascii="Arial" w:hAnsi="Arial" w:cs="Arial"/>
                <w:sz w:val="18"/>
              </w:rPr>
              <w:t>130 %</w:t>
            </w:r>
          </w:p>
        </w:tc>
      </w:tr>
      <w:tr>
        <w:tc>
          <w:tcPr>
            <w:tcW w:type="dxa" w:w="2842"/>
            <w:tcMar>
              <w:top w:w="80" w:type="dxa"/>
              <w:start w:w="120" w:type="dxa"/>
              <w:bottom w:w="80" w:type="dxa"/>
              <w:end w:w="120" w:type="dxa"/>
            </w:tcMar>
            <w:vAlign w:val="center"/>
          </w:tcPr>
          <w:p>
            <w:pPr>
              <w:spacing w:before="0" w:after="0" w:line="240" w:lineRule="auto"/>
              <w:jc w:val="left"/>
            </w:pPr>
            <w:r/>
            <w:r>
              <w:rPr>
                <w:rFonts w:ascii="Arial" w:hAnsi="Arial" w:cs="Arial"/>
                <w:sz w:val="18"/>
              </w:rPr>
              <w:t>Tres miembros</w:t>
            </w:r>
          </w:p>
        </w:tc>
        <w:tc>
          <w:tcPr>
            <w:tcW w:type="dxa" w:w="6184"/>
            <w:tcMar>
              <w:top w:w="80" w:type="dxa"/>
              <w:start w:w="120" w:type="dxa"/>
              <w:bottom w:w="80" w:type="dxa"/>
              <w:end w:w="120" w:type="dxa"/>
            </w:tcMar>
            <w:vAlign w:val="center"/>
          </w:tcPr>
          <w:p>
            <w:pPr>
              <w:spacing w:before="0" w:after="0" w:line="240" w:lineRule="auto"/>
              <w:jc w:val="center"/>
            </w:pPr>
            <w:r/>
            <w:r>
              <w:rPr>
                <w:rFonts w:ascii="Arial" w:hAnsi="Arial" w:cs="Arial"/>
                <w:sz w:val="18"/>
              </w:rPr>
              <w:t>160 %</w:t>
            </w:r>
          </w:p>
        </w:tc>
      </w:tr>
      <w:tr>
        <w:tc>
          <w:tcPr>
            <w:tcW w:type="dxa" w:w="2842"/>
            <w:tcMar>
              <w:top w:w="80" w:type="dxa"/>
              <w:start w:w="120" w:type="dxa"/>
              <w:bottom w:w="80" w:type="dxa"/>
              <w:end w:w="120" w:type="dxa"/>
            </w:tcMar>
            <w:vAlign w:val="center"/>
          </w:tcPr>
          <w:p>
            <w:pPr>
              <w:spacing w:before="0" w:after="0" w:line="240" w:lineRule="auto"/>
              <w:jc w:val="left"/>
            </w:pPr>
            <w:r/>
            <w:r>
              <w:rPr>
                <w:rFonts w:ascii="Arial" w:hAnsi="Arial" w:cs="Arial"/>
                <w:sz w:val="18"/>
              </w:rPr>
              <w:t>Cuatro miembros</w:t>
            </w:r>
          </w:p>
        </w:tc>
        <w:tc>
          <w:tcPr>
            <w:tcW w:type="dxa" w:w="6184"/>
            <w:tcMar>
              <w:top w:w="80" w:type="dxa"/>
              <w:start w:w="120" w:type="dxa"/>
              <w:bottom w:w="80" w:type="dxa"/>
              <w:end w:w="120" w:type="dxa"/>
            </w:tcMar>
            <w:vAlign w:val="center"/>
          </w:tcPr>
          <w:p>
            <w:pPr>
              <w:spacing w:before="0" w:after="0" w:line="240" w:lineRule="auto"/>
              <w:jc w:val="center"/>
            </w:pPr>
            <w:r/>
            <w:r>
              <w:rPr>
                <w:rFonts w:ascii="Arial" w:hAnsi="Arial" w:cs="Arial"/>
                <w:sz w:val="18"/>
              </w:rPr>
              <w:t>190 %</w:t>
            </w:r>
          </w:p>
        </w:tc>
      </w:tr>
      <w:tr>
        <w:tc>
          <w:tcPr>
            <w:tcW w:type="dxa" w:w="2842"/>
            <w:tcMar>
              <w:top w:w="80" w:type="dxa"/>
              <w:start w:w="120" w:type="dxa"/>
              <w:bottom w:w="80" w:type="dxa"/>
              <w:end w:w="120" w:type="dxa"/>
            </w:tcMar>
            <w:vAlign w:val="center"/>
          </w:tcPr>
          <w:p>
            <w:pPr>
              <w:spacing w:before="0" w:after="0" w:line="240" w:lineRule="auto"/>
              <w:jc w:val="left"/>
            </w:pPr>
            <w:r/>
            <w:r>
              <w:rPr>
                <w:rFonts w:ascii="Arial" w:hAnsi="Arial" w:cs="Arial"/>
                <w:sz w:val="18"/>
              </w:rPr>
              <w:t>Cinco o más</w:t>
            </w:r>
          </w:p>
        </w:tc>
        <w:tc>
          <w:tcPr>
            <w:tcW w:type="dxa" w:w="6184"/>
            <w:tcMar>
              <w:top w:w="80" w:type="dxa"/>
              <w:start w:w="120" w:type="dxa"/>
              <w:bottom w:w="80" w:type="dxa"/>
              <w:end w:w="120" w:type="dxa"/>
            </w:tcMar>
            <w:vAlign w:val="center"/>
          </w:tcPr>
          <w:p>
            <w:pPr>
              <w:spacing w:before="0" w:after="0" w:line="240" w:lineRule="auto"/>
              <w:jc w:val="center"/>
            </w:pPr>
            <w:r/>
            <w:r>
              <w:rPr>
                <w:rFonts w:ascii="Arial" w:hAnsi="Arial" w:cs="Arial"/>
                <w:sz w:val="18"/>
              </w:rPr>
              <w:t>hasta 220 %</w:t>
            </w:r>
          </w:p>
        </w:tc>
      </w:tr>
    </w:tbl>
    <w:p>
      <w:pPr>
        <w:spacing w:after="40"/>
      </w:pPr>
    </w:p>
    <w:p>
      <w:pPr>
        <w:jc w:val="both"/>
      </w:pPr>
      <w:r>
        <w:rPr>
          <w:rFonts w:ascii="Arial" w:hAnsi="Arial" w:cs="Arial"/>
          <w:sz w:val="22"/>
        </w:rPr>
        <w:t>El complemento monoparental exige la configuración legal, no únicamente que un adulto figure empadronado con menores. Comprende guarda exclusiva y supuestos equiparados, como ingreso prolongado del otro progenitor o determinadas unidades encabezadas por víctima de violencia.</w:t>
      </w:r>
    </w:p>
    <w:p>
      <w:pPr>
        <w:pStyle w:val="Heading2"/>
        <w:keepNext/>
      </w:pPr>
      <w:r>
        <w:rPr>
          <w:rFonts w:ascii="Arial" w:hAnsi="Arial" w:cs="Arial"/>
          <w:sz w:val="25"/>
        </w:rPr>
        <w:t>6.2. Complemento de ayuda para la infancia</w:t>
      </w:r>
    </w:p>
    <w:p>
      <w:pPr>
        <w:jc w:val="both"/>
      </w:pPr>
      <w:r>
        <w:rPr>
          <w:rFonts w:ascii="Arial" w:hAnsi="Arial" w:cs="Arial"/>
          <w:sz w:val="22"/>
        </w:rPr>
        <w:t>Puede reconocerse cuando hay menores y se cumplen umbrales ampliados: ingresos inferiores al 300 % del anexo I, patrimonio inferior al 150 % del anexo II y test de activos. La cuantía mensual por menor depende de la edad a 1 de enero:</w:t>
      </w:r>
    </w:p>
    <w:tbl>
      <w:tblPr>
        <w:tblStyle w:val="TableGrid"/>
        <w:tblW w:type="dxa" w:w="9026"/>
        <w:jc w:val="left"/>
        <w:tblLayout w:type="fixed"/>
        <w:tblLook w:firstColumn="1" w:firstRow="1" w:lastColumn="0" w:lastRow="0" w:noHBand="0" w:noVBand="1" w:val="04A0"/>
        <w:tblInd w:w="120" w:type="dxa"/>
      </w:tblPr>
      <w:tblGrid>
        <w:gridCol w:w="4346"/>
        <w:gridCol w:w="4680"/>
      </w:tblGrid>
      <w:tr>
        <w:trPr>
          <w:tblHeader w:val="true"/>
        </w:trPr>
        <w:tc>
          <w:tcPr>
            <w:tcW w:type="dxa" w:w="434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Edad</w:t>
            </w:r>
          </w:p>
        </w:tc>
        <w:tc>
          <w:tcPr>
            <w:tcW w:type="dxa" w:w="468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Cuantía mensual</w:t>
            </w:r>
          </w:p>
        </w:tc>
      </w:tr>
      <w:tr>
        <w:tc>
          <w:tcPr>
            <w:tcW w:type="dxa" w:w="4346"/>
            <w:tcMar>
              <w:top w:w="80" w:type="dxa"/>
              <w:start w:w="120" w:type="dxa"/>
              <w:bottom w:w="80" w:type="dxa"/>
              <w:end w:w="120" w:type="dxa"/>
            </w:tcMar>
            <w:vAlign w:val="center"/>
          </w:tcPr>
          <w:p>
            <w:pPr>
              <w:spacing w:before="0" w:after="0" w:line="240" w:lineRule="auto"/>
              <w:jc w:val="left"/>
            </w:pPr>
            <w:r/>
            <w:r>
              <w:rPr>
                <w:rFonts w:ascii="Arial" w:hAnsi="Arial" w:cs="Arial"/>
                <w:sz w:val="18"/>
              </w:rPr>
              <w:t>Menor de 3 años</w:t>
            </w:r>
          </w:p>
        </w:tc>
        <w:tc>
          <w:tcPr>
            <w:tcW w:type="dxa" w:w="4680"/>
            <w:tcMar>
              <w:top w:w="80" w:type="dxa"/>
              <w:start w:w="120" w:type="dxa"/>
              <w:bottom w:w="80" w:type="dxa"/>
              <w:end w:w="120" w:type="dxa"/>
            </w:tcMar>
            <w:vAlign w:val="center"/>
          </w:tcPr>
          <w:p>
            <w:pPr>
              <w:spacing w:before="0" w:after="0" w:line="240" w:lineRule="auto"/>
              <w:jc w:val="center"/>
            </w:pPr>
            <w:r/>
            <w:r>
              <w:rPr>
                <w:rFonts w:ascii="Arial" w:hAnsi="Arial" w:cs="Arial"/>
                <w:sz w:val="18"/>
              </w:rPr>
              <w:t>100 €</w:t>
            </w:r>
          </w:p>
        </w:tc>
      </w:tr>
      <w:tr>
        <w:tc>
          <w:tcPr>
            <w:tcW w:type="dxa" w:w="4346"/>
            <w:tcMar>
              <w:top w:w="80" w:type="dxa"/>
              <w:start w:w="120" w:type="dxa"/>
              <w:bottom w:w="80" w:type="dxa"/>
              <w:end w:w="120" w:type="dxa"/>
            </w:tcMar>
            <w:vAlign w:val="center"/>
          </w:tcPr>
          <w:p>
            <w:pPr>
              <w:spacing w:before="0" w:after="0" w:line="240" w:lineRule="auto"/>
              <w:jc w:val="left"/>
            </w:pPr>
            <w:r/>
            <w:r>
              <w:rPr>
                <w:rFonts w:ascii="Arial" w:hAnsi="Arial" w:cs="Arial"/>
                <w:sz w:val="18"/>
              </w:rPr>
              <w:t>De 3 a menos de 6</w:t>
            </w:r>
          </w:p>
        </w:tc>
        <w:tc>
          <w:tcPr>
            <w:tcW w:type="dxa" w:w="4680"/>
            <w:tcMar>
              <w:top w:w="80" w:type="dxa"/>
              <w:start w:w="120" w:type="dxa"/>
              <w:bottom w:w="80" w:type="dxa"/>
              <w:end w:w="120" w:type="dxa"/>
            </w:tcMar>
            <w:vAlign w:val="center"/>
          </w:tcPr>
          <w:p>
            <w:pPr>
              <w:spacing w:before="0" w:after="0" w:line="240" w:lineRule="auto"/>
              <w:jc w:val="center"/>
            </w:pPr>
            <w:r/>
            <w:r>
              <w:rPr>
                <w:rFonts w:ascii="Arial" w:hAnsi="Arial" w:cs="Arial"/>
                <w:sz w:val="18"/>
              </w:rPr>
              <w:t>70 €</w:t>
            </w:r>
          </w:p>
        </w:tc>
      </w:tr>
      <w:tr>
        <w:tc>
          <w:tcPr>
            <w:tcW w:type="dxa" w:w="4346"/>
            <w:tcMar>
              <w:top w:w="80" w:type="dxa"/>
              <w:start w:w="120" w:type="dxa"/>
              <w:bottom w:w="80" w:type="dxa"/>
              <w:end w:w="120" w:type="dxa"/>
            </w:tcMar>
            <w:vAlign w:val="center"/>
          </w:tcPr>
          <w:p>
            <w:pPr>
              <w:spacing w:before="0" w:after="0" w:line="240" w:lineRule="auto"/>
              <w:jc w:val="left"/>
            </w:pPr>
            <w:r/>
            <w:r>
              <w:rPr>
                <w:rFonts w:ascii="Arial" w:hAnsi="Arial" w:cs="Arial"/>
                <w:sz w:val="18"/>
              </w:rPr>
              <w:t>De 6 a menos de 18</w:t>
            </w:r>
          </w:p>
        </w:tc>
        <w:tc>
          <w:tcPr>
            <w:tcW w:type="dxa" w:w="4680"/>
            <w:tcMar>
              <w:top w:w="80" w:type="dxa"/>
              <w:start w:w="120" w:type="dxa"/>
              <w:bottom w:w="80" w:type="dxa"/>
              <w:end w:w="120" w:type="dxa"/>
            </w:tcMar>
            <w:vAlign w:val="center"/>
          </w:tcPr>
          <w:p>
            <w:pPr>
              <w:spacing w:before="0" w:after="0" w:line="240" w:lineRule="auto"/>
              <w:jc w:val="center"/>
            </w:pPr>
            <w:r/>
            <w:r>
              <w:rPr>
                <w:rFonts w:ascii="Arial" w:hAnsi="Arial" w:cs="Arial"/>
                <w:sz w:val="18"/>
              </w:rPr>
              <w:t>50 €</w:t>
            </w:r>
          </w:p>
        </w:tc>
      </w:tr>
    </w:tbl>
    <w:p>
      <w:pPr>
        <w:spacing w:after="40"/>
      </w:pPr>
    </w:p>
    <w:p>
      <w:pPr>
        <w:jc w:val="both"/>
      </w:pPr>
      <w:r>
        <w:rPr>
          <w:rFonts w:ascii="Arial" w:hAnsi="Arial" w:cs="Arial"/>
          <w:sz w:val="22"/>
        </w:rPr>
        <w:t>El complemento puede existir aunque la unidad no perciba la cuantía ordinaria del IMV, si reúne sus requisitos específicos. Se calcula por cada menor.</w:t>
      </w:r>
    </w:p>
    <w:p>
      <w:pPr>
        <w:pStyle w:val="Heading2"/>
        <w:keepNext/>
      </w:pPr>
      <w:r>
        <w:rPr>
          <w:rFonts w:ascii="Arial" w:hAnsi="Arial" w:cs="Arial"/>
          <w:sz w:val="25"/>
        </w:rPr>
        <w:t>6.3. Pensiones e ingresos</w:t>
      </w:r>
    </w:p>
    <w:p>
      <w:pPr>
        <w:jc w:val="both"/>
      </w:pPr>
      <w:r>
        <w:rPr>
          <w:rFonts w:ascii="Arial" w:hAnsi="Arial" w:cs="Arial"/>
          <w:sz w:val="22"/>
        </w:rPr>
        <w:t>Las pensiones contributivas o no contributivas y el subsidio para mayores de cincuenta y dos años computan. Si su suma mensual, con prorrata de extras, iguala o supera la renta garantizada, no procede IMV. Si es inferior, el IMV no supera la diferencia.</w:t>
      </w:r>
    </w:p>
    <w:p>
      <w:pPr>
        <w:jc w:val="both"/>
      </w:pPr>
      <w:r>
        <w:rPr>
          <w:rFonts w:ascii="Arial" w:hAnsi="Arial" w:cs="Arial"/>
          <w:sz w:val="22"/>
        </w:rPr>
        <w:t>Las rentas se computan en general por su importe íntegro; actividades económicas y arrendamientos, por rendimiento neto. Se excluyen las rentas expresamente enumeradas en el artículo 20, determinadas ayudas de estudio y vivienda y otras partidas. Del conjunto se restan impuesto sobre la renta y cotizaciones sociales conforme a la ley.</w:t>
      </w:r>
    </w:p>
    <w:p>
      <w:pPr>
        <w:pStyle w:val="Heading1"/>
        <w:keepNext/>
      </w:pPr>
      <w:r>
        <w:rPr>
          <w:rFonts w:ascii="Arial" w:hAnsi="Arial" w:cs="Arial"/>
          <w:sz w:val="30"/>
        </w:rPr>
        <w:t>7. Nacimiento, duración, pago y actualización</w:t>
      </w:r>
    </w:p>
    <w:p>
      <w:pPr>
        <w:jc w:val="both"/>
      </w:pPr>
      <w:r>
        <w:rPr>
          <w:rFonts w:ascii="Arial" w:hAnsi="Arial" w:cs="Arial"/>
          <w:sz w:val="22"/>
        </w:rPr>
        <w:t xml:space="preserve">El derecho nace el </w:t>
      </w:r>
      <w:r>
        <w:rPr>
          <w:rFonts w:ascii="Arial" w:hAnsi="Arial" w:cs="Arial"/>
          <w:b/>
          <w:sz w:val="22"/>
        </w:rPr>
        <w:t>primer día del mes siguiente</w:t>
      </w:r>
      <w:r>
        <w:rPr>
          <w:rFonts w:ascii="Arial" w:hAnsi="Arial" w:cs="Arial"/>
          <w:sz w:val="22"/>
        </w:rPr>
        <w:t xml:space="preserve"> al de la solicitud. El pago es mensual por transferencia a una cuenta del titular.</w:t>
      </w:r>
    </w:p>
    <w:p>
      <w:pPr>
        <w:jc w:val="both"/>
      </w:pPr>
      <w:r>
        <w:rPr>
          <w:rFonts w:ascii="Arial" w:hAnsi="Arial" w:cs="Arial"/>
          <w:sz w:val="22"/>
        </w:rPr>
        <w:t>La duración no está prefijada: subsiste mientras continúen vulnerabilidad, requisitos y obligaciones. No equivale a reconocimiento indefinido inmune a revisión.</w:t>
      </w:r>
    </w:p>
    <w:p>
      <w:pPr>
        <w:jc w:val="both"/>
      </w:pPr>
      <w:r>
        <w:rPr>
          <w:rFonts w:ascii="Arial" w:hAnsi="Arial" w:cs="Arial"/>
          <w:sz w:val="22"/>
        </w:rPr>
        <w:t xml:space="preserve">Desde la reforma de 2026, la cuantía se actualiza </w:t>
      </w:r>
      <w:r>
        <w:rPr>
          <w:rFonts w:ascii="Arial" w:hAnsi="Arial" w:cs="Arial"/>
          <w:b/>
          <w:sz w:val="22"/>
        </w:rPr>
        <w:t>dos veces por ejercicio</w:t>
      </w:r>
      <w:r>
        <w:rPr>
          <w:rFonts w:ascii="Arial" w:hAnsi="Arial" w:cs="Arial"/>
          <w:sz w:val="22"/>
        </w:rPr>
        <w:t>:</w:t>
      </w:r>
    </w:p>
    <w:p>
      <w:pPr>
        <w:spacing w:after="40"/>
        <w:ind w:left="369" w:hanging="227"/>
      </w:pPr>
      <w:r>
        <w:rPr>
          <w:rFonts w:ascii="Arial" w:hAnsi="Arial" w:cs="Arial"/>
          <w:sz w:val="22"/>
        </w:rPr>
        <w:t>1. actualización provisional con datos tributarios disponibles, con efectos desde el primer día del mes siguiente a su realización;</w:t>
      </w:r>
    </w:p>
    <w:p>
      <w:pPr>
        <w:spacing w:after="40"/>
        <w:ind w:left="369" w:hanging="227"/>
      </w:pPr>
      <w:r>
        <w:rPr>
          <w:rFonts w:ascii="Arial" w:hAnsi="Arial" w:cs="Arial"/>
          <w:sz w:val="22"/>
        </w:rPr>
        <w:t>2. actualización definitiva con datos consolidados, con efectos del 1 de enero.</w:t>
      </w:r>
    </w:p>
    <w:p>
      <w:pPr>
        <w:jc w:val="both"/>
      </w:pPr>
      <w:r>
        <w:rPr>
          <w:rFonts w:ascii="Arial" w:hAnsi="Arial" w:cs="Arial"/>
          <w:sz w:val="22"/>
        </w:rPr>
        <w:t>Los cambios personales producen modificación desde el primer día del mes siguiente al hecho. Si generan aumento y se comunican fuera del plazo, el incremento solo produce efectos desde el mes siguiente a la comunicación. La entidad puede revisar de oficio con datos interoperables.</w:t>
      </w:r>
    </w:p>
    <w:p>
      <w:pPr>
        <w:pStyle w:val="Heading1"/>
        <w:keepNext/>
      </w:pPr>
      <w:r>
        <w:rPr>
          <w:rFonts w:ascii="Arial" w:hAnsi="Arial" w:cs="Arial"/>
          <w:sz w:val="30"/>
        </w:rPr>
        <w:t>8. Compatibilidad con el trabajo</w:t>
      </w:r>
    </w:p>
    <w:p>
      <w:pPr>
        <w:jc w:val="both"/>
      </w:pPr>
      <w:r>
        <w:rPr>
          <w:rFonts w:ascii="Arial" w:hAnsi="Arial" w:cs="Arial"/>
          <w:sz w:val="22"/>
        </w:rPr>
        <w:t>El IMV es compatible con rentas del trabajo o actividad propia en los términos reglamentarios. El Real Decreto 789/2022 establece un incentivo para evitar que cada euro ganado reduzca inmediatamente un euro de prestación. El Real Decreto 240/2026 actualizó el cálculo y los anexos.</w:t>
      </w:r>
    </w:p>
    <w:p>
      <w:pPr>
        <w:jc w:val="both"/>
      </w:pPr>
      <w:r>
        <w:rPr>
          <w:rFonts w:ascii="Arial" w:hAnsi="Arial" w:cs="Arial"/>
          <w:sz w:val="22"/>
        </w:rPr>
        <w:t>La compatibilidad no elimina:</w:t>
      </w:r>
    </w:p>
    <w:p>
      <w:pPr>
        <w:pStyle w:val="ListBullet"/>
      </w:pPr>
      <w:r>
        <w:rPr>
          <w:rFonts w:ascii="Arial" w:hAnsi="Arial" w:cs="Arial"/>
          <w:sz w:val="22"/>
        </w:rPr>
        <w:t>deber de comunicar;</w:t>
      </w:r>
    </w:p>
    <w:p>
      <w:pPr>
        <w:pStyle w:val="ListBullet"/>
      </w:pPr>
      <w:r>
        <w:rPr>
          <w:rFonts w:ascii="Arial" w:hAnsi="Arial" w:cs="Arial"/>
          <w:sz w:val="22"/>
        </w:rPr>
        <w:t>declaración fiscal;</w:t>
      </w:r>
    </w:p>
    <w:p>
      <w:pPr>
        <w:pStyle w:val="ListBullet"/>
      </w:pPr>
      <w:r>
        <w:rPr>
          <w:rFonts w:ascii="Arial" w:hAnsi="Arial" w:cs="Arial"/>
          <w:sz w:val="22"/>
        </w:rPr>
        <w:t>actualización con datos reales;</w:t>
      </w:r>
    </w:p>
    <w:p>
      <w:pPr>
        <w:pStyle w:val="ListBullet"/>
      </w:pPr>
      <w:r>
        <w:rPr>
          <w:rFonts w:ascii="Arial" w:hAnsi="Arial" w:cs="Arial"/>
          <w:sz w:val="22"/>
        </w:rPr>
        <w:t>límites patrimoniales;</w:t>
      </w:r>
    </w:p>
    <w:p>
      <w:pPr>
        <w:pStyle w:val="ListBullet"/>
      </w:pPr>
      <w:r>
        <w:rPr>
          <w:rFonts w:ascii="Arial" w:hAnsi="Arial" w:cs="Arial"/>
          <w:sz w:val="22"/>
        </w:rPr>
        <w:t>regularización;</w:t>
      </w:r>
    </w:p>
    <w:p>
      <w:pPr>
        <w:pStyle w:val="ListBullet"/>
      </w:pPr>
      <w:r>
        <w:rPr>
          <w:rFonts w:ascii="Arial" w:hAnsi="Arial" w:cs="Arial"/>
          <w:sz w:val="22"/>
        </w:rPr>
        <w:t>condiciones específicas del incentivo.</w:t>
      </w:r>
    </w:p>
    <w:p>
      <w:pPr>
        <w:jc w:val="both"/>
      </w:pPr>
      <w:r>
        <w:rPr>
          <w:rFonts w:ascii="Arial" w:hAnsi="Arial" w:cs="Arial"/>
          <w:sz w:val="22"/>
        </w:rPr>
        <w:t>Superar temporalmente el umbral por ingresos laborales puede no extinguir al año siguiente si se cumplen las reglas del incentivo. Ocultar trabajo o incumplir sus condiciones puede suspender y, si es reiterado, extinguir.</w:t>
      </w:r>
    </w:p>
    <w:p>
      <w:pPr>
        <w:pStyle w:val="Heading1"/>
        <w:keepNext/>
      </w:pPr>
      <w:r>
        <w:rPr>
          <w:rFonts w:ascii="Arial" w:hAnsi="Arial" w:cs="Arial"/>
          <w:sz w:val="30"/>
        </w:rPr>
        <w:t>9. Obligaciones de titulares e integrantes</w:t>
      </w:r>
    </w:p>
    <w:p>
      <w:pPr>
        <w:jc w:val="both"/>
      </w:pPr>
      <w:r>
        <w:rPr>
          <w:rFonts w:ascii="Arial" w:hAnsi="Arial" w:cs="Arial"/>
          <w:sz w:val="22"/>
        </w:rPr>
        <w:t>El artículo 36 impone al titular:</w:t>
      </w:r>
    </w:p>
    <w:p>
      <w:pPr>
        <w:pStyle w:val="ListBullet"/>
      </w:pPr>
      <w:r>
        <w:rPr>
          <w:rFonts w:ascii="Arial" w:hAnsi="Arial" w:cs="Arial"/>
          <w:sz w:val="22"/>
        </w:rPr>
        <w:t>aportar documentación e información y garantizar comunicaciones;</w:t>
      </w:r>
    </w:p>
    <w:p>
      <w:pPr>
        <w:pStyle w:val="ListBullet"/>
      </w:pPr>
      <w:r>
        <w:rPr>
          <w:rFonts w:ascii="Arial" w:hAnsi="Arial" w:cs="Arial"/>
          <w:sz w:val="22"/>
        </w:rPr>
        <w:t>comunicar en treinta días naturales cambios que afecten al derecho;</w:t>
      </w:r>
    </w:p>
    <w:p>
      <w:pPr>
        <w:pStyle w:val="ListBullet"/>
      </w:pPr>
      <w:r>
        <w:rPr>
          <w:rFonts w:ascii="Arial" w:hAnsi="Arial" w:cs="Arial"/>
          <w:sz w:val="22"/>
        </w:rPr>
        <w:t>comunicar en treinta días cambios de domicilio o padrón;</w:t>
      </w:r>
    </w:p>
    <w:p>
      <w:pPr>
        <w:pStyle w:val="ListBullet"/>
      </w:pPr>
      <w:r>
        <w:rPr>
          <w:rFonts w:ascii="Arial" w:hAnsi="Arial" w:cs="Arial"/>
          <w:sz w:val="22"/>
        </w:rPr>
        <w:t>reintegrar pagos indebidos;</w:t>
      </w:r>
    </w:p>
    <w:p>
      <w:pPr>
        <w:pStyle w:val="ListBullet"/>
      </w:pPr>
      <w:r>
        <w:rPr>
          <w:rFonts w:ascii="Arial" w:hAnsi="Arial" w:cs="Arial"/>
          <w:sz w:val="22"/>
        </w:rPr>
        <w:t>comunicar previamente salidas al extranjero superiores a noventa días por año y justificar ausencias;</w:t>
      </w:r>
    </w:p>
    <w:p>
      <w:pPr>
        <w:pStyle w:val="ListBullet"/>
      </w:pPr>
      <w:r>
        <w:rPr>
          <w:rFonts w:ascii="Arial" w:hAnsi="Arial" w:cs="Arial"/>
          <w:sz w:val="22"/>
        </w:rPr>
        <w:t>presentar anualmente IRPF;</w:t>
      </w:r>
    </w:p>
    <w:p>
      <w:pPr>
        <w:pStyle w:val="ListBullet"/>
      </w:pPr>
      <w:r>
        <w:rPr>
          <w:rFonts w:ascii="Arial" w:hAnsi="Arial" w:cs="Arial"/>
          <w:sz w:val="22"/>
        </w:rPr>
        <w:t>cumplir condiciones de compatibilidad laboral;</w:t>
      </w:r>
    </w:p>
    <w:p>
      <w:pPr>
        <w:pStyle w:val="ListBullet"/>
      </w:pPr>
      <w:r>
        <w:rPr>
          <w:rFonts w:ascii="Arial" w:hAnsi="Arial" w:cs="Arial"/>
          <w:sz w:val="22"/>
        </w:rPr>
        <w:t>participar en estrategias de inclusión;</w:t>
      </w:r>
    </w:p>
    <w:p>
      <w:pPr>
        <w:pStyle w:val="ListBullet"/>
      </w:pPr>
      <w:r>
        <w:rPr>
          <w:rFonts w:ascii="Arial" w:hAnsi="Arial" w:cs="Arial"/>
          <w:sz w:val="22"/>
        </w:rPr>
        <w:t>cumplir obligaciones reglamentarias.</w:t>
      </w:r>
    </w:p>
    <w:p>
      <w:pPr>
        <w:jc w:val="both"/>
      </w:pPr>
      <w:r>
        <w:rPr>
          <w:rFonts w:ascii="Arial" w:hAnsi="Arial" w:cs="Arial"/>
          <w:sz w:val="22"/>
        </w:rPr>
        <w:t>Los restantes miembros deben comunicar fallecimiento del titular, hechos que desvirtúen la finalidad, presentar IRPF, suplir obligaciones incumplidas por el titular, respetar compatibilidad y participar en inclusión.</w:t>
      </w:r>
    </w:p>
    <w:p>
      <w:pPr>
        <w:jc w:val="both"/>
      </w:pPr>
      <w:r>
        <w:rPr>
          <w:rFonts w:ascii="Arial" w:hAnsi="Arial" w:cs="Arial"/>
          <w:sz w:val="22"/>
        </w:rPr>
        <w:t>No presentar IRPF durante dos ejercicios seguidos puede causar suspensión. La obligación alcanza incluso a quien no estaría normalmente obligado por la normativa tributaria, porque deriva de la Ley del IMV.</w:t>
      </w:r>
    </w:p>
    <w:p>
      <w:pPr>
        <w:pStyle w:val="Heading1"/>
        <w:keepNext/>
      </w:pPr>
      <w:r>
        <w:rPr>
          <w:rFonts w:ascii="Arial" w:hAnsi="Arial" w:cs="Arial"/>
          <w:sz w:val="30"/>
        </w:rPr>
        <w:t>10. Suspensión y extinción del IMV</w:t>
      </w:r>
    </w:p>
    <w:p>
      <w:pPr>
        <w:pStyle w:val="Heading2"/>
        <w:keepNext/>
      </w:pPr>
      <w:r>
        <w:rPr>
          <w:rFonts w:ascii="Arial" w:hAnsi="Arial" w:cs="Arial"/>
          <w:sz w:val="25"/>
        </w:rPr>
        <w:t>10.1. Suspensión</w:t>
      </w:r>
    </w:p>
    <w:p>
      <w:pPr>
        <w:jc w:val="both"/>
      </w:pPr>
      <w:r>
        <w:rPr>
          <w:rFonts w:ascii="Arial" w:hAnsi="Arial" w:cs="Arial"/>
          <w:sz w:val="22"/>
        </w:rPr>
        <w:t>El artículo 17 incluye:</w:t>
      </w:r>
    </w:p>
    <w:p>
      <w:pPr>
        <w:pStyle w:val="ListBullet"/>
      </w:pPr>
      <w:r>
        <w:rPr>
          <w:rFonts w:ascii="Arial" w:hAnsi="Arial" w:cs="Arial"/>
          <w:sz w:val="22"/>
        </w:rPr>
        <w:t>pérdida temporal de requisito;</w:t>
      </w:r>
    </w:p>
    <w:p>
      <w:pPr>
        <w:pStyle w:val="ListBullet"/>
      </w:pPr>
      <w:r>
        <w:rPr>
          <w:rFonts w:ascii="Arial" w:hAnsi="Arial" w:cs="Arial"/>
          <w:sz w:val="22"/>
        </w:rPr>
        <w:t>incumplimiento temporal de obligación;</w:t>
      </w:r>
    </w:p>
    <w:p>
      <w:pPr>
        <w:pStyle w:val="ListBullet"/>
      </w:pPr>
      <w:r>
        <w:rPr>
          <w:rFonts w:ascii="Arial" w:hAnsi="Arial" w:cs="Arial"/>
          <w:sz w:val="22"/>
        </w:rPr>
        <w:t>indicios de incumplimiento;</w:t>
      </w:r>
    </w:p>
    <w:p>
      <w:pPr>
        <w:pStyle w:val="ListBullet"/>
      </w:pPr>
      <w:r>
        <w:rPr>
          <w:rFonts w:ascii="Arial" w:hAnsi="Arial" w:cs="Arial"/>
          <w:sz w:val="22"/>
        </w:rPr>
        <w:t>salida no comunicada al extranjero por más de noventa días;</w:t>
      </w:r>
    </w:p>
    <w:p>
      <w:pPr>
        <w:pStyle w:val="ListBullet"/>
      </w:pPr>
      <w:r>
        <w:rPr>
          <w:rFonts w:ascii="Arial" w:hAnsi="Arial" w:cs="Arial"/>
          <w:sz w:val="22"/>
        </w:rPr>
        <w:t>falta de certificados sociales anuales;</w:t>
      </w:r>
    </w:p>
    <w:p>
      <w:pPr>
        <w:pStyle w:val="ListBullet"/>
      </w:pPr>
      <w:r>
        <w:rPr>
          <w:rFonts w:ascii="Arial" w:hAnsi="Arial" w:cs="Arial"/>
          <w:sz w:val="22"/>
        </w:rPr>
        <w:t>incumplimiento de compatibilidad laboral;</w:t>
      </w:r>
    </w:p>
    <w:p>
      <w:pPr>
        <w:pStyle w:val="ListBullet"/>
      </w:pPr>
      <w:r>
        <w:rPr>
          <w:rFonts w:ascii="Arial" w:hAnsi="Arial" w:cs="Arial"/>
          <w:sz w:val="22"/>
        </w:rPr>
        <w:t>omisión reiterada de declaración fiscal;</w:t>
      </w:r>
    </w:p>
    <w:p>
      <w:pPr>
        <w:pStyle w:val="ListBullet"/>
      </w:pPr>
      <w:r>
        <w:rPr>
          <w:rFonts w:ascii="Arial" w:hAnsi="Arial" w:cs="Arial"/>
          <w:sz w:val="22"/>
        </w:rPr>
        <w:t>causa reglamentaria.</w:t>
      </w:r>
    </w:p>
    <w:p>
      <w:pPr>
        <w:jc w:val="both"/>
      </w:pPr>
      <w:r>
        <w:rPr>
          <w:rFonts w:ascii="Arial" w:hAnsi="Arial" w:cs="Arial"/>
          <w:sz w:val="22"/>
        </w:rPr>
        <w:t>El pago se suspende desde el primer día del mes siguiente al hecho o a su conocimiento. Si la suspensión dura un año, el derecho se extingue. Al desaparecer la causa, se reanuda desde el primer día del mes siguiente si continúan los requisitos.</w:t>
      </w:r>
    </w:p>
    <w:p>
      <w:pPr>
        <w:pStyle w:val="Heading2"/>
        <w:keepNext/>
      </w:pPr>
      <w:r>
        <w:rPr>
          <w:rFonts w:ascii="Arial" w:hAnsi="Arial" w:cs="Arial"/>
          <w:sz w:val="25"/>
        </w:rPr>
        <w:t>10.2. Extinción</w:t>
      </w:r>
    </w:p>
    <w:p>
      <w:pPr>
        <w:jc w:val="both"/>
      </w:pPr>
      <w:r>
        <w:rPr>
          <w:rFonts w:ascii="Arial" w:hAnsi="Arial" w:cs="Arial"/>
          <w:sz w:val="22"/>
        </w:rPr>
        <w:t>El artículo 18 prevé:</w:t>
      </w:r>
    </w:p>
    <w:p>
      <w:pPr>
        <w:pStyle w:val="ListBullet"/>
      </w:pPr>
      <w:r>
        <w:rPr>
          <w:rFonts w:ascii="Arial" w:hAnsi="Arial" w:cs="Arial"/>
          <w:sz w:val="22"/>
        </w:rPr>
        <w:t>fallecimiento del titular;</w:t>
      </w:r>
    </w:p>
    <w:p>
      <w:pPr>
        <w:pStyle w:val="ListBullet"/>
      </w:pPr>
      <w:r>
        <w:rPr>
          <w:rFonts w:ascii="Arial" w:hAnsi="Arial" w:cs="Arial"/>
          <w:sz w:val="22"/>
        </w:rPr>
        <w:t>pérdida definitiva de requisitos;</w:t>
      </w:r>
    </w:p>
    <w:p>
      <w:pPr>
        <w:pStyle w:val="ListBullet"/>
      </w:pPr>
      <w:r>
        <w:rPr>
          <w:rFonts w:ascii="Arial" w:hAnsi="Arial" w:cs="Arial"/>
          <w:sz w:val="22"/>
        </w:rPr>
        <w:t>resolución sancionadora;</w:t>
      </w:r>
    </w:p>
    <w:p>
      <w:pPr>
        <w:pStyle w:val="ListBullet"/>
      </w:pPr>
      <w:r>
        <w:rPr>
          <w:rFonts w:ascii="Arial" w:hAnsi="Arial" w:cs="Arial"/>
          <w:sz w:val="22"/>
        </w:rPr>
        <w:t>salida al extranjero superior a noventa días sin comunicar ni justificar;</w:t>
      </w:r>
    </w:p>
    <w:p>
      <w:pPr>
        <w:pStyle w:val="ListBullet"/>
      </w:pPr>
      <w:r>
        <w:rPr>
          <w:rFonts w:ascii="Arial" w:hAnsi="Arial" w:cs="Arial"/>
          <w:sz w:val="22"/>
        </w:rPr>
        <w:t>renuncia;</w:t>
      </w:r>
    </w:p>
    <w:p>
      <w:pPr>
        <w:pStyle w:val="ListBullet"/>
      </w:pPr>
      <w:r>
        <w:rPr>
          <w:rFonts w:ascii="Arial" w:hAnsi="Arial" w:cs="Arial"/>
          <w:sz w:val="22"/>
        </w:rPr>
        <w:t>suspensión durante un año;</w:t>
      </w:r>
    </w:p>
    <w:p>
      <w:pPr>
        <w:pStyle w:val="ListBullet"/>
      </w:pPr>
      <w:r>
        <w:rPr>
          <w:rFonts w:ascii="Arial" w:hAnsi="Arial" w:cs="Arial"/>
          <w:sz w:val="22"/>
        </w:rPr>
        <w:t>incumplimiento reiterado de compatibilidad;</w:t>
      </w:r>
    </w:p>
    <w:p>
      <w:pPr>
        <w:pStyle w:val="ListBullet"/>
      </w:pPr>
      <w:r>
        <w:rPr>
          <w:rFonts w:ascii="Arial" w:hAnsi="Arial" w:cs="Arial"/>
          <w:sz w:val="22"/>
        </w:rPr>
        <w:t>otras causas reglamentarias.</w:t>
      </w:r>
    </w:p>
    <w:p>
      <w:pPr>
        <w:jc w:val="both"/>
      </w:pPr>
      <w:r>
        <w:rPr>
          <w:rFonts w:ascii="Arial" w:hAnsi="Arial" w:cs="Arial"/>
          <w:sz w:val="22"/>
        </w:rPr>
        <w:t>En una unidad, tras fallecer el titular otro miembro puede solicitar en tres meses. Si lo hace, el nuevo derecho puede producir efectos desde el primer día del mes siguiente al fallecimiento. La extinción ordinaria surte efecto el primer día del mes siguiente a la causa.</w:t>
      </w:r>
    </w:p>
    <w:p>
      <w:pPr>
        <w:pStyle w:val="Heading1"/>
        <w:keepNext/>
      </w:pPr>
      <w:r>
        <w:rPr>
          <w:rFonts w:ascii="Arial" w:hAnsi="Arial" w:cs="Arial"/>
          <w:sz w:val="30"/>
        </w:rPr>
        <w:t>11. Reintegro de prestaciones indebidas</w:t>
      </w:r>
    </w:p>
    <w:p>
      <w:pPr>
        <w:jc w:val="both"/>
      </w:pPr>
      <w:r>
        <w:rPr>
          <w:rFonts w:ascii="Arial" w:hAnsi="Arial" w:cs="Arial"/>
          <w:sz w:val="22"/>
        </w:rPr>
        <w:t xml:space="preserve">El INSS puede revisar de oficio en perjuicio dentro de los </w:t>
      </w:r>
      <w:r>
        <w:rPr>
          <w:rFonts w:ascii="Arial" w:hAnsi="Arial" w:cs="Arial"/>
          <w:b/>
          <w:sz w:val="22"/>
        </w:rPr>
        <w:t>cuatro años</w:t>
      </w:r>
      <w:r>
        <w:rPr>
          <w:rFonts w:ascii="Arial" w:hAnsi="Arial" w:cs="Arial"/>
          <w:sz w:val="22"/>
        </w:rPr>
        <w:t xml:space="preserve"> desde la resolución no impugnada y declarar la deuda. Puede rectificar en cualquier momento errores materiales, de hecho o aritméticos y revisar omisiones o inexactitudes declaradas. Fuera de esos supuestos, la revisión perjudicial sigue el artículo 146 de la Ley reguladora de la jurisdicción social.</w:t>
      </w:r>
    </w:p>
    <w:p>
      <w:pPr>
        <w:jc w:val="both"/>
      </w:pPr>
      <w:r>
        <w:rPr>
          <w:rFonts w:ascii="Arial" w:hAnsi="Arial" w:cs="Arial"/>
          <w:sz w:val="22"/>
        </w:rPr>
        <w:t>Si un cambio reduce o extingue el derecho, se reintegra lo cobrado de más mediante el procedimiento especial de prestaciones indebidas y el Reglamento General de Recaudación. Los miembros de la unidad pueden responder solidariamente en los términos del artículo 19.</w:t>
      </w:r>
    </w:p>
    <w:p>
      <w:pPr>
        <w:jc w:val="both"/>
      </w:pPr>
      <w:r>
        <w:rPr>
          <w:rFonts w:ascii="Arial" w:hAnsi="Arial" w:cs="Arial"/>
          <w:sz w:val="22"/>
        </w:rPr>
        <w:t>Tras el plazo voluntario se aplican recargos y, en ejecutiva, intereses. Puede compensarse deuda con mensualidades futuras dentro del porcentaje reglamentario. La buena fe no convierte un pago sin derecho en definitivo, aunque la ley establece reglas de no exigibilidad limitada para determinados importes y unidades con menores.</w:t>
      </w:r>
    </w:p>
    <w:p>
      <w:pPr>
        <w:spacing w:after="100"/>
        <w:ind w:left="340" w:right="227"/>
        <w:shd w:fill="EAF2F8"/>
      </w:pPr>
      <w:r>
        <w:rPr>
          <w:rFonts w:ascii="Arial" w:hAnsi="Arial" w:cs="Arial"/>
          <w:b/>
          <w:sz w:val="20"/>
        </w:rPr>
        <w:t>Diferencia:</w:t>
      </w:r>
      <w:r>
        <w:rPr>
          <w:rFonts w:ascii="Arial" w:hAnsi="Arial" w:cs="Arial"/>
          <w:sz w:val="20"/>
        </w:rPr>
        <w:t xml:space="preserve"> actualización corrige el importe futuro; reintegro recupera cantidades ya abonadas sin derecho; sanción castiga una conducta infractora. Pueden concurrir, pero no son la misma decisión.</w:t>
      </w:r>
    </w:p>
    <w:p>
      <w:pPr>
        <w:pStyle w:val="Heading1"/>
        <w:keepNext/>
      </w:pPr>
      <w:r>
        <w:rPr>
          <w:rFonts w:ascii="Arial" w:hAnsi="Arial" w:cs="Arial"/>
          <w:sz w:val="30"/>
        </w:rPr>
        <w:t>12. Gestión y acreditación del IMV</w:t>
      </w:r>
    </w:p>
    <w:p>
      <w:pPr>
        <w:jc w:val="both"/>
      </w:pPr>
      <w:r>
        <w:rPr>
          <w:rFonts w:ascii="Arial" w:hAnsi="Arial" w:cs="Arial"/>
          <w:sz w:val="22"/>
        </w:rPr>
        <w:t>El INSS reconoce y controla la prestación. Identidad, residencia, padrón, unidad, pareja, independencia, discapacidad, violencia, trata, exclusión, ingresos y patrimonio se acreditan por los medios del artículo 21.</w:t>
      </w:r>
    </w:p>
    <w:p>
      <w:pPr>
        <w:jc w:val="both"/>
      </w:pPr>
      <w:r>
        <w:rPr>
          <w:rFonts w:ascii="Arial" w:hAnsi="Arial" w:cs="Arial"/>
          <w:sz w:val="22"/>
        </w:rPr>
        <w:t>La Administración accede a padrón, datos tributarios, Catastro y registros de prestaciones. No debe pedir hechos que ya conoce. Los servicios sociales certifican domicilio real, ausencia de vínculos, vida independiente, antigüedad de unidad o riesgo de exclusión cuando proceda. Las entidades sociales habilitadas colaboran en supuestos legales.</w:t>
      </w:r>
    </w:p>
    <w:p>
      <w:pPr>
        <w:jc w:val="both"/>
      </w:pPr>
      <w:r>
        <w:rPr>
          <w:rFonts w:ascii="Arial" w:hAnsi="Arial" w:cs="Arial"/>
          <w:sz w:val="22"/>
        </w:rPr>
        <w:t>La existencia de pareja se acredita mediante registro o documento público con dos años de antelación a la solicitud; si hay hijos comunes no se exige inscripción ni documento. Esta regla de IMV no debe confundirse con la formalización exigida para viudedad, cuyo hecho de referencia es el fallecimiento.</w:t>
      </w:r>
    </w:p>
    <w:p>
      <w:pPr>
        <w:pStyle w:val="Heading1"/>
        <w:keepNext/>
      </w:pPr>
      <w:r>
        <w:rPr>
          <w:rFonts w:ascii="Arial" w:hAnsi="Arial" w:cs="Arial"/>
          <w:sz w:val="30"/>
        </w:rPr>
        <w:t>13. Prestaciones familiares no contributivas</w:t>
      </w:r>
    </w:p>
    <w:p>
      <w:pPr>
        <w:jc w:val="both"/>
      </w:pPr>
      <w:r>
        <w:rPr>
          <w:rFonts w:ascii="Arial" w:hAnsi="Arial" w:cs="Arial"/>
          <w:sz w:val="22"/>
        </w:rPr>
        <w:t>El artículo 351 enumera:</w:t>
      </w:r>
    </w:p>
    <w:p>
      <w:pPr>
        <w:spacing w:after="40"/>
        <w:ind w:left="369" w:hanging="227"/>
      </w:pPr>
      <w:r>
        <w:rPr>
          <w:rFonts w:ascii="Arial" w:hAnsi="Arial" w:cs="Arial"/>
          <w:sz w:val="22"/>
        </w:rPr>
        <w:t>1. asignación por hijo o menor a cargo con discapacidad;</w:t>
      </w:r>
    </w:p>
    <w:p>
      <w:pPr>
        <w:spacing w:after="40"/>
        <w:ind w:left="369" w:hanging="227"/>
      </w:pPr>
      <w:r>
        <w:rPr>
          <w:rFonts w:ascii="Arial" w:hAnsi="Arial" w:cs="Arial"/>
          <w:sz w:val="22"/>
        </w:rPr>
        <w:t>2. pago único por nacimiento o adopción en familia numerosa, monoparental o con madre o padre con discapacidad;</w:t>
      </w:r>
    </w:p>
    <w:p>
      <w:pPr>
        <w:spacing w:after="40"/>
        <w:ind w:left="369" w:hanging="227"/>
      </w:pPr>
      <w:r>
        <w:rPr>
          <w:rFonts w:ascii="Arial" w:hAnsi="Arial" w:cs="Arial"/>
          <w:sz w:val="22"/>
        </w:rPr>
        <w:t>3. pago único por parto o adopción múltiples.</w:t>
      </w:r>
    </w:p>
    <w:p>
      <w:pPr>
        <w:pStyle w:val="Heading2"/>
        <w:keepNext/>
      </w:pPr>
      <w:r>
        <w:rPr>
          <w:rFonts w:ascii="Arial" w:hAnsi="Arial" w:cs="Arial"/>
          <w:sz w:val="25"/>
        </w:rPr>
        <w:t>13.1. Asignación por hijo o menor con discapacidad</w:t>
      </w:r>
    </w:p>
    <w:p>
      <w:pPr>
        <w:jc w:val="both"/>
      </w:pPr>
      <w:r>
        <w:rPr>
          <w:rFonts w:ascii="Arial" w:hAnsi="Arial" w:cs="Arial"/>
          <w:sz w:val="22"/>
        </w:rPr>
        <w:t>El causante debe ser:</w:t>
      </w:r>
    </w:p>
    <w:p>
      <w:pPr>
        <w:pStyle w:val="ListBullet"/>
      </w:pPr>
      <w:r>
        <w:rPr>
          <w:rFonts w:ascii="Arial" w:hAnsi="Arial" w:cs="Arial"/>
          <w:sz w:val="22"/>
        </w:rPr>
        <w:t>menor de dieciocho años con discapacidad al menos del 33 %;</w:t>
      </w:r>
    </w:p>
    <w:p>
      <w:pPr>
        <w:pStyle w:val="ListBullet"/>
      </w:pPr>
      <w:r>
        <w:rPr>
          <w:rFonts w:ascii="Arial" w:hAnsi="Arial" w:cs="Arial"/>
          <w:sz w:val="22"/>
        </w:rPr>
        <w:t>mayor de dieciocho con discapacidad al menos del 65 %;</w:t>
      </w:r>
    </w:p>
    <w:p>
      <w:pPr>
        <w:pStyle w:val="ListBullet"/>
      </w:pPr>
      <w:r>
        <w:rPr>
          <w:rFonts w:ascii="Arial" w:hAnsi="Arial" w:cs="Arial"/>
          <w:sz w:val="22"/>
        </w:rPr>
        <w:t>menor en acogimiento permanente o guarda con fines de adopción con igual condición.</w:t>
      </w:r>
    </w:p>
    <w:p>
      <w:pPr>
        <w:jc w:val="both"/>
      </w:pPr>
      <w:r>
        <w:rPr>
          <w:rFonts w:ascii="Arial" w:hAnsi="Arial" w:cs="Arial"/>
          <w:sz w:val="22"/>
        </w:rPr>
        <w:t>Que el hijo trabaje no elimina su condición si continúa conviviendo y sus ingresos laborales anuales no superan el SMI anual. El beneficiario debe residir legalmente en España, tenerlo a cargo y no tener derecho a prestación análoga en otro régimen público.</w:t>
      </w:r>
    </w:p>
    <w:p>
      <w:pPr>
        <w:jc w:val="both"/>
      </w:pPr>
      <w:r>
        <w:rPr>
          <w:rFonts w:ascii="Arial" w:hAnsi="Arial" w:cs="Arial"/>
          <w:sz w:val="22"/>
        </w:rPr>
        <w:t>Cuantías 2026:</w:t>
      </w:r>
    </w:p>
    <w:tbl>
      <w:tblPr>
        <w:tblStyle w:val="TableGrid"/>
        <w:tblW w:type="dxa" w:w="9026"/>
        <w:jc w:val="left"/>
        <w:tblLayout w:type="fixed"/>
        <w:tblLook w:firstColumn="1" w:firstRow="1" w:lastColumn="0" w:lastRow="0" w:noHBand="0" w:noVBand="1" w:val="04A0"/>
        <w:tblInd w:w="120" w:type="dxa"/>
      </w:tblPr>
      <w:tblGrid>
        <w:gridCol w:w="7334"/>
        <w:gridCol w:w="1692"/>
      </w:tblGrid>
      <w:tr>
        <w:trPr>
          <w:tblHeader w:val="true"/>
        </w:trPr>
        <w:tc>
          <w:tcPr>
            <w:tcW w:type="dxa" w:w="733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Causante</w:t>
            </w:r>
          </w:p>
        </w:tc>
        <w:tc>
          <w:tcPr>
            <w:tcW w:type="dxa" w:w="169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Importe anual</w:t>
            </w:r>
          </w:p>
        </w:tc>
      </w:tr>
      <w:tr>
        <w:tc>
          <w:tcPr>
            <w:tcW w:type="dxa" w:w="7334"/>
            <w:tcMar>
              <w:top w:w="80" w:type="dxa"/>
              <w:start w:w="120" w:type="dxa"/>
              <w:bottom w:w="80" w:type="dxa"/>
              <w:end w:w="120" w:type="dxa"/>
            </w:tcMar>
            <w:vAlign w:val="center"/>
          </w:tcPr>
          <w:p>
            <w:pPr>
              <w:spacing w:before="0" w:after="0" w:line="240" w:lineRule="auto"/>
              <w:jc w:val="left"/>
            </w:pPr>
            <w:r/>
            <w:r>
              <w:rPr>
                <w:rFonts w:ascii="Arial" w:hAnsi="Arial" w:cs="Arial"/>
                <w:sz w:val="18"/>
              </w:rPr>
              <w:t>Menor de 18 con discapacidad ≥33 %</w:t>
            </w:r>
          </w:p>
        </w:tc>
        <w:tc>
          <w:tcPr>
            <w:tcW w:type="dxa" w:w="1692"/>
            <w:tcMar>
              <w:top w:w="80" w:type="dxa"/>
              <w:start w:w="120" w:type="dxa"/>
              <w:bottom w:w="80" w:type="dxa"/>
              <w:end w:w="120" w:type="dxa"/>
            </w:tcMar>
            <w:vAlign w:val="center"/>
          </w:tcPr>
          <w:p>
            <w:pPr>
              <w:spacing w:before="0" w:after="0" w:line="240" w:lineRule="auto"/>
              <w:jc w:val="center"/>
            </w:pPr>
            <w:r/>
            <w:r>
              <w:rPr>
                <w:rFonts w:ascii="Arial" w:hAnsi="Arial" w:cs="Arial"/>
                <w:sz w:val="18"/>
              </w:rPr>
              <w:t>1.000,00 €</w:t>
            </w:r>
          </w:p>
        </w:tc>
      </w:tr>
      <w:tr>
        <w:tc>
          <w:tcPr>
            <w:tcW w:type="dxa" w:w="7334"/>
            <w:tcMar>
              <w:top w:w="80" w:type="dxa"/>
              <w:start w:w="120" w:type="dxa"/>
              <w:bottom w:w="80" w:type="dxa"/>
              <w:end w:w="120" w:type="dxa"/>
            </w:tcMar>
            <w:vAlign w:val="center"/>
          </w:tcPr>
          <w:p>
            <w:pPr>
              <w:spacing w:before="0" w:after="0" w:line="240" w:lineRule="auto"/>
              <w:jc w:val="left"/>
            </w:pPr>
            <w:r/>
            <w:r>
              <w:rPr>
                <w:rFonts w:ascii="Arial" w:hAnsi="Arial" w:cs="Arial"/>
                <w:sz w:val="18"/>
              </w:rPr>
              <w:t>Mayor de 18 con discapacidad ≥65 %</w:t>
            </w:r>
          </w:p>
        </w:tc>
        <w:tc>
          <w:tcPr>
            <w:tcW w:type="dxa" w:w="1692"/>
            <w:tcMar>
              <w:top w:w="80" w:type="dxa"/>
              <w:start w:w="120" w:type="dxa"/>
              <w:bottom w:w="80" w:type="dxa"/>
              <w:end w:w="120" w:type="dxa"/>
            </w:tcMar>
            <w:vAlign w:val="center"/>
          </w:tcPr>
          <w:p>
            <w:pPr>
              <w:spacing w:before="0" w:after="0" w:line="240" w:lineRule="auto"/>
              <w:jc w:val="center"/>
            </w:pPr>
            <w:r/>
            <w:r>
              <w:rPr>
                <w:rFonts w:ascii="Arial" w:hAnsi="Arial" w:cs="Arial"/>
                <w:sz w:val="18"/>
              </w:rPr>
              <w:t>5.962,80 €</w:t>
            </w:r>
          </w:p>
        </w:tc>
      </w:tr>
      <w:tr>
        <w:tc>
          <w:tcPr>
            <w:tcW w:type="dxa" w:w="7334"/>
            <w:tcMar>
              <w:top w:w="80" w:type="dxa"/>
              <w:start w:w="120" w:type="dxa"/>
              <w:bottom w:w="80" w:type="dxa"/>
              <w:end w:w="120" w:type="dxa"/>
            </w:tcMar>
            <w:vAlign w:val="center"/>
          </w:tcPr>
          <w:p>
            <w:pPr>
              <w:spacing w:before="0" w:after="0" w:line="240" w:lineRule="auto"/>
              <w:jc w:val="left"/>
            </w:pPr>
            <w:r/>
            <w:r>
              <w:rPr>
                <w:rFonts w:ascii="Arial" w:hAnsi="Arial" w:cs="Arial"/>
                <w:sz w:val="18"/>
              </w:rPr>
              <w:t>Mayor de 18 con discapacidad ≥75 % y necesidad de tercera persona</w:t>
            </w:r>
          </w:p>
        </w:tc>
        <w:tc>
          <w:tcPr>
            <w:tcW w:type="dxa" w:w="1692"/>
            <w:tcMar>
              <w:top w:w="80" w:type="dxa"/>
              <w:start w:w="120" w:type="dxa"/>
              <w:bottom w:w="80" w:type="dxa"/>
              <w:end w:w="120" w:type="dxa"/>
            </w:tcMar>
            <w:vAlign w:val="center"/>
          </w:tcPr>
          <w:p>
            <w:pPr>
              <w:spacing w:before="0" w:after="0" w:line="240" w:lineRule="auto"/>
              <w:jc w:val="center"/>
            </w:pPr>
            <w:r/>
            <w:r>
              <w:rPr>
                <w:rFonts w:ascii="Arial" w:hAnsi="Arial" w:cs="Arial"/>
                <w:sz w:val="18"/>
              </w:rPr>
              <w:t>8.942,40 €</w:t>
            </w:r>
          </w:p>
        </w:tc>
      </w:tr>
    </w:tbl>
    <w:p>
      <w:pPr>
        <w:spacing w:after="40"/>
      </w:pPr>
    </w:p>
    <w:p>
      <w:pPr>
        <w:jc w:val="both"/>
      </w:pPr>
      <w:r>
        <w:rPr>
          <w:rFonts w:ascii="Arial" w:hAnsi="Arial" w:cs="Arial"/>
          <w:sz w:val="22"/>
        </w:rPr>
        <w:t>La asignación es incompatible con que el hijo sea pensionista de incapacidad o jubilación no contributiva. Los huérfanos absolutos, abandonados y determinados mayores con discapacidad pueden ser beneficiarios directos.</w:t>
      </w:r>
    </w:p>
    <w:p>
      <w:pPr>
        <w:pStyle w:val="Heading2"/>
        <w:keepNext/>
      </w:pPr>
      <w:r>
        <w:rPr>
          <w:rFonts w:ascii="Arial" w:hAnsi="Arial" w:cs="Arial"/>
          <w:sz w:val="25"/>
        </w:rPr>
        <w:t>13.2. Nacimiento o adopción en supuestos protegidos</w:t>
      </w:r>
    </w:p>
    <w:p>
      <w:pPr>
        <w:jc w:val="both"/>
      </w:pPr>
      <w:r>
        <w:rPr>
          <w:rFonts w:ascii="Arial" w:hAnsi="Arial" w:cs="Arial"/>
          <w:sz w:val="22"/>
        </w:rPr>
        <w:t>Se reconoce por nacimiento o adopción en España:</w:t>
      </w:r>
    </w:p>
    <w:p>
      <w:pPr>
        <w:pStyle w:val="ListBullet"/>
      </w:pPr>
      <w:r>
        <w:rPr>
          <w:rFonts w:ascii="Arial" w:hAnsi="Arial" w:cs="Arial"/>
          <w:sz w:val="22"/>
        </w:rPr>
        <w:t>dentro de familia numerosa o que adquiere esa condición;</w:t>
      </w:r>
    </w:p>
    <w:p>
      <w:pPr>
        <w:pStyle w:val="ListBullet"/>
      </w:pPr>
      <w:r>
        <w:rPr>
          <w:rFonts w:ascii="Arial" w:hAnsi="Arial" w:cs="Arial"/>
          <w:sz w:val="22"/>
        </w:rPr>
        <w:t>familia monoparental;</w:t>
      </w:r>
    </w:p>
    <w:p>
      <w:pPr>
        <w:pStyle w:val="ListBullet"/>
      </w:pPr>
      <w:r>
        <w:rPr>
          <w:rFonts w:ascii="Arial" w:hAnsi="Arial" w:cs="Arial"/>
          <w:sz w:val="22"/>
        </w:rPr>
        <w:t>madre o padre con discapacidad igual o superior al 65 %.</w:t>
      </w:r>
    </w:p>
    <w:p>
      <w:pPr>
        <w:jc w:val="both"/>
      </w:pPr>
      <w:r>
        <w:rPr>
          <w:rFonts w:ascii="Arial" w:hAnsi="Arial" w:cs="Arial"/>
          <w:sz w:val="22"/>
        </w:rPr>
        <w:t xml:space="preserve">La prestación es de </w:t>
      </w:r>
      <w:r>
        <w:rPr>
          <w:rFonts w:ascii="Arial" w:hAnsi="Arial" w:cs="Arial"/>
          <w:b/>
          <w:sz w:val="22"/>
        </w:rPr>
        <w:t>1.000 euros</w:t>
      </w:r>
      <w:r>
        <w:rPr>
          <w:rFonts w:ascii="Arial" w:hAnsi="Arial" w:cs="Arial"/>
          <w:sz w:val="22"/>
        </w:rPr>
        <w:t>. El límite general de ingresos en 2026 es 15.356,00 euros. Para familia numerosa es 23.109,00 euros, más 3.745,00 por cada hijo desde el cuarto. Si los ingresos superan el límite pero quedan por debajo de límite más prestación, se abona la diferencia; no se reconoce si resulta inferior a diez euros.</w:t>
      </w:r>
    </w:p>
    <w:p>
      <w:pPr>
        <w:jc w:val="both"/>
      </w:pPr>
      <w:r>
        <w:rPr>
          <w:rFonts w:ascii="Arial" w:hAnsi="Arial" w:cs="Arial"/>
          <w:sz w:val="22"/>
        </w:rPr>
        <w:t>En convivencia de ambos progenitores se suman sus ingresos. Solo uno puede ser beneficiario. Familia monoparental significa un solo progenitor conviviente que es sustentador único, no cualquier hogar con empadronamiento separado.</w:t>
      </w:r>
    </w:p>
    <w:p>
      <w:pPr>
        <w:pStyle w:val="Heading2"/>
        <w:keepNext/>
      </w:pPr>
      <w:r>
        <w:rPr>
          <w:rFonts w:ascii="Arial" w:hAnsi="Arial" w:cs="Arial"/>
          <w:sz w:val="25"/>
        </w:rPr>
        <w:t>13.3. Parto o adopción múltiples</w:t>
      </w:r>
    </w:p>
    <w:p>
      <w:pPr>
        <w:jc w:val="both"/>
      </w:pPr>
      <w:r>
        <w:rPr>
          <w:rFonts w:ascii="Arial" w:hAnsi="Arial" w:cs="Arial"/>
          <w:sz w:val="22"/>
        </w:rPr>
        <w:t>Existe cuando nacen o se adoptan al menos dos hijos. La cuantía utiliza el salario mínimo interprofesional mensual vigente:</w:t>
      </w:r>
    </w:p>
    <w:tbl>
      <w:tblPr>
        <w:tblStyle w:val="TableGrid"/>
        <w:tblW w:type="dxa" w:w="9026"/>
        <w:jc w:val="left"/>
        <w:tblLayout w:type="fixed"/>
        <w:tblLook w:firstColumn="1" w:firstRow="1" w:lastColumn="0" w:lastRow="0" w:noHBand="0" w:noVBand="1" w:val="04A0"/>
        <w:tblInd w:w="120" w:type="dxa"/>
      </w:tblPr>
      <w:tblGrid>
        <w:gridCol w:w="3667"/>
        <w:gridCol w:w="5359"/>
      </w:tblGrid>
      <w:tr>
        <w:trPr>
          <w:tblHeader w:val="true"/>
        </w:trPr>
        <w:tc>
          <w:tcPr>
            <w:tcW w:type="dxa" w:w="366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Número de hijos</w:t>
            </w:r>
          </w:p>
        </w:tc>
        <w:tc>
          <w:tcPr>
            <w:tcW w:type="dxa" w:w="535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Prestación</w:t>
            </w:r>
          </w:p>
        </w:tc>
      </w:tr>
      <w:tr>
        <w:tc>
          <w:tcPr>
            <w:tcW w:type="dxa" w:w="3667"/>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5359"/>
            <w:tcMar>
              <w:top w:w="80" w:type="dxa"/>
              <w:start w:w="120" w:type="dxa"/>
              <w:bottom w:w="80" w:type="dxa"/>
              <w:end w:w="120" w:type="dxa"/>
            </w:tcMar>
            <w:vAlign w:val="center"/>
          </w:tcPr>
          <w:p>
            <w:pPr>
              <w:spacing w:before="0" w:after="0" w:line="240" w:lineRule="auto"/>
              <w:jc w:val="left"/>
            </w:pPr>
            <w:r/>
            <w:r>
              <w:rPr>
                <w:rFonts w:ascii="Arial" w:hAnsi="Arial" w:cs="Arial"/>
                <w:sz w:val="18"/>
              </w:rPr>
              <w:t>4 veces el SMI mensual</w:t>
            </w:r>
          </w:p>
        </w:tc>
      </w:tr>
      <w:tr>
        <w:tc>
          <w:tcPr>
            <w:tcW w:type="dxa" w:w="3667"/>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5359"/>
            <w:tcMar>
              <w:top w:w="80" w:type="dxa"/>
              <w:start w:w="120" w:type="dxa"/>
              <w:bottom w:w="80" w:type="dxa"/>
              <w:end w:w="120" w:type="dxa"/>
            </w:tcMar>
            <w:vAlign w:val="center"/>
          </w:tcPr>
          <w:p>
            <w:pPr>
              <w:spacing w:before="0" w:after="0" w:line="240" w:lineRule="auto"/>
              <w:jc w:val="left"/>
            </w:pPr>
            <w:r/>
            <w:r>
              <w:rPr>
                <w:rFonts w:ascii="Arial" w:hAnsi="Arial" w:cs="Arial"/>
                <w:sz w:val="18"/>
              </w:rPr>
              <w:t>8 veces el SMI mensual</w:t>
            </w:r>
          </w:p>
        </w:tc>
      </w:tr>
      <w:tr>
        <w:tc>
          <w:tcPr>
            <w:tcW w:type="dxa" w:w="3667"/>
            <w:tcMar>
              <w:top w:w="80" w:type="dxa"/>
              <w:start w:w="120" w:type="dxa"/>
              <w:bottom w:w="80" w:type="dxa"/>
              <w:end w:w="120" w:type="dxa"/>
            </w:tcMar>
            <w:vAlign w:val="center"/>
          </w:tcPr>
          <w:p>
            <w:pPr>
              <w:spacing w:before="0" w:after="0" w:line="240" w:lineRule="auto"/>
              <w:jc w:val="left"/>
            </w:pPr>
            <w:r/>
            <w:r>
              <w:rPr>
                <w:rFonts w:ascii="Arial" w:hAnsi="Arial" w:cs="Arial"/>
                <w:sz w:val="18"/>
              </w:rPr>
              <w:t>4 o más</w:t>
            </w:r>
          </w:p>
        </w:tc>
        <w:tc>
          <w:tcPr>
            <w:tcW w:type="dxa" w:w="5359"/>
            <w:tcMar>
              <w:top w:w="80" w:type="dxa"/>
              <w:start w:w="120" w:type="dxa"/>
              <w:bottom w:w="80" w:type="dxa"/>
              <w:end w:w="120" w:type="dxa"/>
            </w:tcMar>
            <w:vAlign w:val="center"/>
          </w:tcPr>
          <w:p>
            <w:pPr>
              <w:spacing w:before="0" w:after="0" w:line="240" w:lineRule="auto"/>
              <w:jc w:val="left"/>
            </w:pPr>
            <w:r/>
            <w:r>
              <w:rPr>
                <w:rFonts w:ascii="Arial" w:hAnsi="Arial" w:cs="Arial"/>
                <w:sz w:val="18"/>
              </w:rPr>
              <w:t>12 veces el SMI mensual</w:t>
            </w:r>
          </w:p>
        </w:tc>
      </w:tr>
    </w:tbl>
    <w:p>
      <w:pPr>
        <w:spacing w:after="40"/>
      </w:pPr>
    </w:p>
    <w:p>
      <w:pPr>
        <w:jc w:val="both"/>
      </w:pPr>
      <w:r>
        <w:rPr>
          <w:rFonts w:ascii="Arial" w:hAnsi="Arial" w:cs="Arial"/>
          <w:sz w:val="22"/>
        </w:rPr>
        <w:t>Si uno de los hijos tiene discapacidad igual o superior al 33 %, computa doble para determinar el número. La prestación no depende de límite de ingresos, pero exige residencia y ausencia de derecho análogo. Solo se reconoce a uno de los progenitores.</w:t>
      </w:r>
    </w:p>
    <w:p>
      <w:pPr>
        <w:pStyle w:val="Heading2"/>
        <w:keepNext/>
      </w:pPr>
      <w:r>
        <w:rPr>
          <w:rFonts w:ascii="Arial" w:hAnsi="Arial" w:cs="Arial"/>
          <w:sz w:val="25"/>
        </w:rPr>
        <w:t>13.4. Reglas comunes y transición del IMV</w:t>
      </w:r>
    </w:p>
    <w:p>
      <w:pPr>
        <w:jc w:val="both"/>
      </w:pPr>
      <w:r>
        <w:rPr>
          <w:rFonts w:ascii="Arial" w:hAnsi="Arial" w:cs="Arial"/>
          <w:sz w:val="22"/>
        </w:rPr>
        <w:t>Si ambos progenitores reúnen requisitos, el derecho solo se reconoce a uno. Las prestaciones son incompatibles con ayudas análogas de otro régimen público.</w:t>
      </w:r>
    </w:p>
    <w:p>
      <w:pPr>
        <w:jc w:val="both"/>
      </w:pPr>
      <w:r>
        <w:rPr>
          <w:rFonts w:ascii="Arial" w:hAnsi="Arial" w:cs="Arial"/>
          <w:sz w:val="22"/>
        </w:rPr>
        <w:t>La antigua asignación por menor sin discapacidad quedó absorbida por el IMV para nuevos hechos. La disposición transitoria sexta de la Ley 19/2021 conserva o permite recuperar derechos anteriores. En 2026 su cuantía transitoria es 588,00 euros anuales, o 637,92 en hogares de ingresos especialmente bajos, con límites actualizados. No debe presentarse como prestación ordinaria abierta a nuevas solicitudes.</w:t>
      </w:r>
    </w:p>
    <w:p>
      <w:pPr>
        <w:pStyle w:val="Heading1"/>
        <w:keepNext/>
      </w:pPr>
      <w:r>
        <w:rPr>
          <w:rFonts w:ascii="Arial" w:hAnsi="Arial" w:cs="Arial"/>
          <w:sz w:val="30"/>
        </w:rPr>
        <w:t>14. Prestaciones familiares en modalidad contributiva</w:t>
      </w:r>
    </w:p>
    <w:p>
      <w:pPr>
        <w:jc w:val="both"/>
      </w:pPr>
      <w:r>
        <w:rPr>
          <w:rFonts w:ascii="Arial" w:hAnsi="Arial" w:cs="Arial"/>
          <w:sz w:val="22"/>
        </w:rPr>
        <w:t>No consisten normalmente en un pago inmediato. Son períodos que la ley considera cotizados para evitar que parto, cuidado o reducción de jornada perjudiquen futuras pensiones.</w:t>
      </w:r>
    </w:p>
    <w:p>
      <w:pPr>
        <w:pStyle w:val="Heading2"/>
        <w:keepNext/>
      </w:pPr>
      <w:r>
        <w:rPr>
          <w:rFonts w:ascii="Arial" w:hAnsi="Arial" w:cs="Arial"/>
          <w:sz w:val="25"/>
        </w:rPr>
        <w:t>14.1. Cotización asimilada por parto</w:t>
      </w:r>
    </w:p>
    <w:p>
      <w:pPr>
        <w:jc w:val="both"/>
      </w:pPr>
      <w:r>
        <w:rPr>
          <w:rFonts w:ascii="Arial" w:hAnsi="Arial" w:cs="Arial"/>
          <w:sz w:val="22"/>
        </w:rPr>
        <w:t>El artículo 235 computa a favor de la trabajadora solicitante de jubilación o incapacidad permanente:</w:t>
      </w:r>
    </w:p>
    <w:p>
      <w:pPr>
        <w:pStyle w:val="ListBullet"/>
      </w:pPr>
      <w:r>
        <w:rPr>
          <w:rFonts w:ascii="Arial" w:hAnsi="Arial" w:cs="Arial"/>
          <w:b/>
          <w:sz w:val="22"/>
        </w:rPr>
        <w:t>112 días</w:t>
      </w:r>
      <w:r>
        <w:rPr>
          <w:rFonts w:ascii="Arial" w:hAnsi="Arial" w:cs="Arial"/>
          <w:sz w:val="22"/>
        </w:rPr>
        <w:t xml:space="preserve"> por cada parto de un hijo;</w:t>
      </w:r>
    </w:p>
    <w:p>
      <w:pPr>
        <w:pStyle w:val="ListBullet"/>
      </w:pPr>
      <w:r>
        <w:rPr>
          <w:rFonts w:ascii="Arial" w:hAnsi="Arial" w:cs="Arial"/>
          <w:b/>
          <w:sz w:val="22"/>
        </w:rPr>
        <w:t>14 días más</w:t>
      </w:r>
      <w:r>
        <w:rPr>
          <w:rFonts w:ascii="Arial" w:hAnsi="Arial" w:cs="Arial"/>
          <w:sz w:val="22"/>
        </w:rPr>
        <w:t xml:space="preserve"> por cada hijo desde el segundo si el parto es múltiple.</w:t>
      </w:r>
    </w:p>
    <w:p>
      <w:pPr>
        <w:jc w:val="both"/>
      </w:pPr>
      <w:r>
        <w:rPr>
          <w:rFonts w:ascii="Arial" w:hAnsi="Arial" w:cs="Arial"/>
          <w:sz w:val="22"/>
        </w:rPr>
        <w:t>No se reconoce si ya cotizó durante la totalidad de las dieciséis semanas o el período superior correspondiente al parto múltiple. Se vincula al parto, no a la adopción, y solo produce efectos para jubilación e incapacidad permanente.</w:t>
      </w:r>
    </w:p>
    <w:p>
      <w:pPr>
        <w:pStyle w:val="Heading2"/>
        <w:keepNext/>
      </w:pPr>
      <w:r>
        <w:rPr>
          <w:rFonts w:ascii="Arial" w:hAnsi="Arial" w:cs="Arial"/>
          <w:sz w:val="25"/>
        </w:rPr>
        <w:t>14.2. Beneficio por cuidado</w:t>
      </w:r>
    </w:p>
    <w:p>
      <w:pPr>
        <w:jc w:val="both"/>
      </w:pPr>
      <w:r>
        <w:rPr>
          <w:rFonts w:ascii="Arial" w:hAnsi="Arial" w:cs="Arial"/>
          <w:sz w:val="22"/>
        </w:rPr>
        <w:t>El artículo 236 considera cotizado el período en que se interrumpió la cotización por extinción laboral o fin del desempleo entre:</w:t>
      </w:r>
    </w:p>
    <w:p>
      <w:pPr>
        <w:pStyle w:val="ListBullet"/>
      </w:pPr>
      <w:r>
        <w:rPr>
          <w:rFonts w:ascii="Arial" w:hAnsi="Arial" w:cs="Arial"/>
          <w:sz w:val="22"/>
        </w:rPr>
        <w:t>nueve meses antes del nacimiento, o tres antes de adopción o acogimiento permanente;</w:t>
      </w:r>
    </w:p>
    <w:p>
      <w:pPr>
        <w:pStyle w:val="ListBullet"/>
      </w:pPr>
      <w:r>
        <w:rPr>
          <w:rFonts w:ascii="Arial" w:hAnsi="Arial" w:cs="Arial"/>
          <w:sz w:val="22"/>
        </w:rPr>
        <w:t>y el final del sexto año posterior.</w:t>
      </w:r>
    </w:p>
    <w:p>
      <w:pPr>
        <w:jc w:val="both"/>
      </w:pPr>
      <w:r>
        <w:rPr>
          <w:rFonts w:ascii="Arial" w:hAnsi="Arial" w:cs="Arial"/>
          <w:sz w:val="22"/>
        </w:rPr>
        <w:t xml:space="preserve">El máximo es </w:t>
      </w:r>
      <w:r>
        <w:rPr>
          <w:rFonts w:ascii="Arial" w:hAnsi="Arial" w:cs="Arial"/>
          <w:b/>
          <w:sz w:val="22"/>
        </w:rPr>
        <w:t>270 días por hijo</w:t>
      </w:r>
      <w:r>
        <w:rPr>
          <w:rFonts w:ascii="Arial" w:hAnsi="Arial" w:cs="Arial"/>
          <w:sz w:val="22"/>
        </w:rPr>
        <w:t>, nunca superior a la interrupción real. Se reconoce a un progenitor; en controversia, a la madre. No sirve para completar el período mínimo de cotización. La suma por cuidado no puede superar cinco años por beneficiario, incluso al concurrir con excedencias del artículo 237.1.</w:t>
      </w:r>
    </w:p>
    <w:p>
      <w:pPr>
        <w:pStyle w:val="Heading2"/>
        <w:keepNext/>
      </w:pPr>
      <w:r>
        <w:rPr>
          <w:rFonts w:ascii="Arial" w:hAnsi="Arial" w:cs="Arial"/>
          <w:sz w:val="25"/>
        </w:rPr>
        <w:t>14.3. Excedencias y reducciones</w:t>
      </w:r>
    </w:p>
    <w:p>
      <w:pPr>
        <w:jc w:val="both"/>
      </w:pPr>
      <w:r>
        <w:rPr>
          <w:rFonts w:ascii="Arial" w:hAnsi="Arial" w:cs="Arial"/>
          <w:sz w:val="22"/>
        </w:rPr>
        <w:t>Se consideran cotizados:</w:t>
      </w:r>
    </w:p>
    <w:p>
      <w:pPr>
        <w:pStyle w:val="ListBullet"/>
      </w:pPr>
      <w:r>
        <w:rPr>
          <w:rFonts w:ascii="Arial" w:hAnsi="Arial" w:cs="Arial"/>
          <w:sz w:val="22"/>
        </w:rPr>
        <w:t>hasta tres años de excedencia por cada hijo o menor acogido o guardado;</w:t>
      </w:r>
    </w:p>
    <w:p>
      <w:pPr>
        <w:pStyle w:val="ListBullet"/>
      </w:pPr>
      <w:r>
        <w:rPr>
          <w:rFonts w:ascii="Arial" w:hAnsi="Arial" w:cs="Arial"/>
          <w:sz w:val="22"/>
        </w:rPr>
        <w:t>los tres primeros años de excedencia por cuidado de familiar hasta segundo grado que no pueda valerse y no trabaje;</w:t>
      </w:r>
    </w:p>
    <w:p>
      <w:pPr>
        <w:pStyle w:val="ListBullet"/>
      </w:pPr>
      <w:r>
        <w:rPr>
          <w:rFonts w:ascii="Arial" w:hAnsi="Arial" w:cs="Arial"/>
          <w:sz w:val="22"/>
        </w:rPr>
        <w:t>cotizaciones de los tres primeros años de reducción de jornada por cuidado, elevadas al 100 % de la base que habría correspondido sin reducción;</w:t>
      </w:r>
    </w:p>
    <w:p>
      <w:pPr>
        <w:pStyle w:val="ListBullet"/>
      </w:pPr>
      <w:r>
        <w:rPr>
          <w:rFonts w:ascii="Arial" w:hAnsi="Arial" w:cs="Arial"/>
          <w:sz w:val="22"/>
        </w:rPr>
        <w:t>determinadas reducciones por cuidado de menor, lactancia, hospitalización u otras situaciones, al 100 % para las prestaciones enumeradas.</w:t>
      </w:r>
    </w:p>
    <w:p>
      <w:pPr>
        <w:jc w:val="both"/>
      </w:pPr>
      <w:r>
        <w:rPr>
          <w:rFonts w:ascii="Arial" w:hAnsi="Arial" w:cs="Arial"/>
          <w:sz w:val="22"/>
        </w:rPr>
        <w:t>Los efectos alcanzan jubilación, incapacidad permanente, muerte y supervivencia y prestaciones familiares indicadas por el artículo 237. El período asimilado no es una nueva alta ficticia universal: su alcance viene delimitado.</w:t>
      </w:r>
    </w:p>
    <w:p>
      <w:pPr>
        <w:pStyle w:val="Heading1"/>
        <w:keepNext/>
      </w:pPr>
      <w:r>
        <w:rPr>
          <w:rFonts w:ascii="Arial" w:hAnsi="Arial" w:cs="Arial"/>
          <w:sz w:val="30"/>
        </w:rPr>
        <w:t>15. Incapacidad no contributiva</w:t>
      </w:r>
    </w:p>
    <w:p>
      <w:pPr>
        <w:jc w:val="both"/>
      </w:pPr>
      <w:r>
        <w:rPr>
          <w:rFonts w:ascii="Arial" w:hAnsi="Arial" w:cs="Arial"/>
          <w:sz w:val="22"/>
        </w:rPr>
        <w:t>Aunque el TRLGSS conserva la rúbrica «invalidez no contributiva», el lenguaje actualizado utiliza incapacidad no contributiva. El artículo 363 exige:</w:t>
      </w:r>
    </w:p>
    <w:p>
      <w:pPr>
        <w:pStyle w:val="ListBullet"/>
      </w:pPr>
      <w:r>
        <w:rPr>
          <w:rFonts w:ascii="Arial" w:hAnsi="Arial" w:cs="Arial"/>
          <w:sz w:val="22"/>
        </w:rPr>
        <w:t>edad superior a dieciocho y menor de sesenta y cinco años;</w:t>
      </w:r>
    </w:p>
    <w:p>
      <w:pPr>
        <w:pStyle w:val="ListBullet"/>
      </w:pPr>
      <w:r>
        <w:rPr>
          <w:rFonts w:ascii="Arial" w:hAnsi="Arial" w:cs="Arial"/>
          <w:sz w:val="22"/>
        </w:rPr>
        <w:t>residencia legal en España durante cinco años, dos inmediatamente anteriores a la solicitud;</w:t>
      </w:r>
    </w:p>
    <w:p>
      <w:pPr>
        <w:pStyle w:val="ListBullet"/>
      </w:pPr>
      <w:r>
        <w:rPr>
          <w:rFonts w:ascii="Arial" w:hAnsi="Arial" w:cs="Arial"/>
          <w:sz w:val="22"/>
        </w:rPr>
        <w:t>discapacidad o enfermedad crónica igual o superior al 65 %;</w:t>
      </w:r>
    </w:p>
    <w:p>
      <w:pPr>
        <w:pStyle w:val="ListBullet"/>
      </w:pPr>
      <w:r>
        <w:rPr>
          <w:rFonts w:ascii="Arial" w:hAnsi="Arial" w:cs="Arial"/>
          <w:sz w:val="22"/>
        </w:rPr>
        <w:t>carencia de rentas suficientes.</w:t>
      </w:r>
    </w:p>
    <w:p>
      <w:pPr>
        <w:pStyle w:val="Heading2"/>
        <w:keepNext/>
      </w:pPr>
      <w:r>
        <w:rPr>
          <w:rFonts w:ascii="Arial" w:hAnsi="Arial" w:cs="Arial"/>
          <w:sz w:val="25"/>
        </w:rPr>
        <w:t>15.1. Unidad económica y límites</w:t>
      </w:r>
    </w:p>
    <w:p>
      <w:pPr>
        <w:jc w:val="both"/>
      </w:pPr>
      <w:r>
        <w:rPr>
          <w:rFonts w:ascii="Arial" w:hAnsi="Arial" w:cs="Arial"/>
          <w:sz w:val="22"/>
        </w:rPr>
        <w:t>Existe unidad económica cuando se convive con personas unidas por matrimonio o consanguinidad hasta segundo grado. El límite general es:</w:t>
      </w:r>
    </w:p>
    <w:p>
      <w:pPr>
        <w:spacing w:after="100"/>
        <w:ind w:left="340" w:right="227"/>
        <w:shd w:fill="EAF2F8"/>
      </w:pPr>
      <w:r>
        <w:rPr>
          <w:rFonts w:ascii="Arial" w:hAnsi="Arial" w:cs="Arial"/>
          <w:sz w:val="20"/>
        </w:rPr>
        <w:t>cuantía anual de PNC + 70 % de esa cuantía × número de convivientes menos uno.</w:t>
      </w:r>
    </w:p>
    <w:p>
      <w:pPr>
        <w:jc w:val="both"/>
      </w:pPr>
      <w:r>
        <w:rPr>
          <w:rFonts w:ascii="Arial" w:hAnsi="Arial" w:cs="Arial"/>
          <w:sz w:val="22"/>
        </w:rPr>
        <w:t xml:space="preserve">Si convive con ascendientes o descendientes de primer grado, el resultado se multiplica por </w:t>
      </w:r>
      <w:r>
        <w:rPr>
          <w:rFonts w:ascii="Arial" w:hAnsi="Arial" w:cs="Arial"/>
          <w:b/>
          <w:sz w:val="22"/>
        </w:rPr>
        <w:t>2,5</w:t>
      </w:r>
      <w:r>
        <w:rPr>
          <w:rFonts w:ascii="Arial" w:hAnsi="Arial" w:cs="Arial"/>
          <w:sz w:val="22"/>
        </w:rPr>
        <w:t>. Se computan rentas de trabajo, capital y prestaciones, con exclusiones legales, y rendimientos de bienes salvo vivienda habitual.</w:t>
      </w:r>
    </w:p>
    <w:p>
      <w:pPr>
        <w:pStyle w:val="Heading2"/>
        <w:keepNext/>
      </w:pPr>
      <w:r>
        <w:rPr>
          <w:rFonts w:ascii="Arial" w:hAnsi="Arial" w:cs="Arial"/>
          <w:sz w:val="25"/>
        </w:rPr>
        <w:t>15.2. Cuantía en 2026</w:t>
      </w:r>
    </w:p>
    <w:p>
      <w:pPr>
        <w:jc w:val="both"/>
      </w:pPr>
      <w:r>
        <w:rPr>
          <w:rFonts w:ascii="Arial" w:hAnsi="Arial" w:cs="Arial"/>
          <w:sz w:val="22"/>
        </w:rPr>
        <w:t xml:space="preserve">La cuantía íntegra es </w:t>
      </w:r>
      <w:r>
        <w:rPr>
          <w:rFonts w:ascii="Arial" w:hAnsi="Arial" w:cs="Arial"/>
          <w:b/>
          <w:sz w:val="22"/>
        </w:rPr>
        <w:t>8.803,20 euros anuales</w:t>
      </w:r>
      <w:r>
        <w:rPr>
          <w:rFonts w:ascii="Arial" w:hAnsi="Arial" w:cs="Arial"/>
          <w:sz w:val="22"/>
        </w:rPr>
        <w:t xml:space="preserve">. Si hay varios beneficiarios PNC en la misma unidad, se suma el 70 % por cada beneficiario adicional y se divide entre ellos. La pensión puede reducirse por rentas, pero no baja del </w:t>
      </w:r>
      <w:r>
        <w:rPr>
          <w:rFonts w:ascii="Arial" w:hAnsi="Arial" w:cs="Arial"/>
          <w:b/>
          <w:sz w:val="22"/>
        </w:rPr>
        <w:t>25 %</w:t>
      </w:r>
      <w:r>
        <w:rPr>
          <w:rFonts w:ascii="Arial" w:hAnsi="Arial" w:cs="Arial"/>
          <w:sz w:val="22"/>
        </w:rPr>
        <w:t xml:space="preserve"> de la íntegra.</w:t>
      </w:r>
    </w:p>
    <w:p>
      <w:pPr>
        <w:jc w:val="both"/>
      </w:pPr>
      <w:r>
        <w:rPr>
          <w:rFonts w:ascii="Arial" w:hAnsi="Arial" w:cs="Arial"/>
          <w:sz w:val="22"/>
        </w:rPr>
        <w:t xml:space="preserve">Quien tiene discapacidad al menos del 75 % y necesita tercera persona recibe complemento del </w:t>
      </w:r>
      <w:r>
        <w:rPr>
          <w:rFonts w:ascii="Arial" w:hAnsi="Arial" w:cs="Arial"/>
          <w:b/>
          <w:sz w:val="22"/>
        </w:rPr>
        <w:t>50 %</w:t>
      </w:r>
      <w:r>
        <w:rPr>
          <w:rFonts w:ascii="Arial" w:hAnsi="Arial" w:cs="Arial"/>
          <w:sz w:val="22"/>
        </w:rPr>
        <w:t xml:space="preserve"> de la cuantía íntegra. El complemento no se calcula sobre la pensión individual ya reducida.</w:t>
      </w:r>
    </w:p>
    <w:p>
      <w:pPr>
        <w:pStyle w:val="Heading2"/>
        <w:keepNext/>
      </w:pPr>
      <w:r>
        <w:rPr>
          <w:rFonts w:ascii="Arial" w:hAnsi="Arial" w:cs="Arial"/>
          <w:sz w:val="25"/>
        </w:rPr>
        <w:t>15.3. Compatibilidad con actividad</w:t>
      </w:r>
    </w:p>
    <w:p>
      <w:pPr>
        <w:jc w:val="both"/>
      </w:pPr>
      <w:r>
        <w:rPr>
          <w:rFonts w:ascii="Arial" w:hAnsi="Arial" w:cs="Arial"/>
          <w:sz w:val="22"/>
        </w:rPr>
        <w:t>La actividad compatible con el estado no extingue automáticamente. Durante los cuatro años siguientes a iniciar trabajo, la suma de ingresos y pensión no puede superar el IPREM anual sin extras más la PNC anual; se reduce lo necesario. Al cesar el contrato, actividad o renta activa de inserción, puede recuperarse automáticamente el derecho en los términos legales.</w:t>
      </w:r>
    </w:p>
    <w:p>
      <w:pPr>
        <w:pStyle w:val="Heading2"/>
        <w:keepNext/>
      </w:pPr>
      <w:r>
        <w:rPr>
          <w:rFonts w:ascii="Arial" w:hAnsi="Arial" w:cs="Arial"/>
          <w:sz w:val="25"/>
        </w:rPr>
        <w:t>15.4. Efectos y obligaciones</w:t>
      </w:r>
    </w:p>
    <w:p>
      <w:pPr>
        <w:jc w:val="both"/>
      </w:pPr>
      <w:r>
        <w:rPr>
          <w:rFonts w:ascii="Arial" w:hAnsi="Arial" w:cs="Arial"/>
          <w:sz w:val="22"/>
        </w:rPr>
        <w:t>Produce efectos el primer día del mes siguiente a la solicitud. El beneficiario comunica cambios de convivencia, estado civil, residencia o ingresos y presenta en el primer trimestre declaración de ingresos del año anterior.</w:t>
      </w:r>
    </w:p>
    <w:p>
      <w:pPr>
        <w:jc w:val="both"/>
      </w:pPr>
      <w:r>
        <w:rPr>
          <w:rFonts w:ascii="Arial" w:hAnsi="Arial" w:cs="Arial"/>
          <w:sz w:val="22"/>
        </w:rPr>
        <w:t>A los sesenta y cinco años la pensión pasa a denominarse jubilación no contributiva, sin modificar condiciones ni cuantía. No se tramita como una nueva jubilación.</w:t>
      </w:r>
    </w:p>
    <w:p>
      <w:pPr>
        <w:pStyle w:val="Heading1"/>
        <w:keepNext/>
      </w:pPr>
      <w:r>
        <w:rPr>
          <w:rFonts w:ascii="Arial" w:hAnsi="Arial" w:cs="Arial"/>
          <w:sz w:val="30"/>
        </w:rPr>
        <w:t>16. Jubilación no contributiva</w:t>
      </w:r>
    </w:p>
    <w:p>
      <w:pPr>
        <w:jc w:val="both"/>
      </w:pPr>
      <w:r>
        <w:rPr>
          <w:rFonts w:ascii="Arial" w:hAnsi="Arial" w:cs="Arial"/>
          <w:sz w:val="22"/>
        </w:rPr>
        <w:t>El artículo 369 exige:</w:t>
      </w:r>
    </w:p>
    <w:p>
      <w:pPr>
        <w:pStyle w:val="ListBullet"/>
      </w:pPr>
      <w:r>
        <w:rPr>
          <w:rFonts w:ascii="Arial" w:hAnsi="Arial" w:cs="Arial"/>
          <w:sz w:val="22"/>
        </w:rPr>
        <w:t>haber cumplido sesenta y cinco años;</w:t>
      </w:r>
    </w:p>
    <w:p>
      <w:pPr>
        <w:pStyle w:val="ListBullet"/>
      </w:pPr>
      <w:r>
        <w:rPr>
          <w:rFonts w:ascii="Arial" w:hAnsi="Arial" w:cs="Arial"/>
          <w:sz w:val="22"/>
        </w:rPr>
        <w:t>residencia legal en España durante diez años entre los dieciséis y la edad de devengo;</w:t>
      </w:r>
    </w:p>
    <w:p>
      <w:pPr>
        <w:pStyle w:val="ListBullet"/>
      </w:pPr>
      <w:r>
        <w:rPr>
          <w:rFonts w:ascii="Arial" w:hAnsi="Arial" w:cs="Arial"/>
          <w:sz w:val="22"/>
        </w:rPr>
        <w:t>dos años consecutivos inmediatamente anteriores a la solicitud;</w:t>
      </w:r>
    </w:p>
    <w:p>
      <w:pPr>
        <w:pStyle w:val="ListBullet"/>
      </w:pPr>
      <w:r>
        <w:rPr>
          <w:rFonts w:ascii="Arial" w:hAnsi="Arial" w:cs="Arial"/>
          <w:sz w:val="22"/>
        </w:rPr>
        <w:t>rentas propias y familiares por debajo de los límites del artículo 363.</w:t>
      </w:r>
    </w:p>
    <w:p>
      <w:pPr>
        <w:jc w:val="both"/>
      </w:pPr>
      <w:r>
        <w:rPr>
          <w:rFonts w:ascii="Arial" w:hAnsi="Arial" w:cs="Arial"/>
          <w:sz w:val="22"/>
        </w:rPr>
        <w:t>La cuantía se calcula como en incapacidad no contributiva, sin el complemento de tercera persona. En 2026 la íntegra es 8.803,20 euros y la mínima individual resultante de reducción no baja del 25 %. Los límites de unidad económica utilizan las mismas fórmulas.</w:t>
      </w:r>
    </w:p>
    <w:p>
      <w:pPr>
        <w:jc w:val="both"/>
      </w:pPr>
      <w:r>
        <w:rPr>
          <w:rFonts w:ascii="Arial" w:hAnsi="Arial" w:cs="Arial"/>
          <w:sz w:val="22"/>
        </w:rPr>
        <w:t>Los efectos comienzan el primer día del mes siguiente a la solicitud. Se comunican variaciones y se presenta declaración anual en el primer trimestre. Residencia e ingresos condicionan tanto nacimiento como mantenimiento.</w:t>
      </w:r>
    </w:p>
    <w:p>
      <w:pPr>
        <w:pStyle w:val="Heading2"/>
        <w:keepNext/>
      </w:pPr>
      <w:r>
        <w:rPr>
          <w:rFonts w:ascii="Arial" w:hAnsi="Arial" w:cs="Arial"/>
          <w:sz w:val="25"/>
        </w:rPr>
        <w:t>16.1. Complemento de alquiler</w:t>
      </w:r>
    </w:p>
    <w:p>
      <w:pPr>
        <w:jc w:val="both"/>
      </w:pPr>
      <w:r>
        <w:rPr>
          <w:rFonts w:ascii="Arial" w:hAnsi="Arial" w:cs="Arial"/>
          <w:sz w:val="22"/>
        </w:rPr>
        <w:t xml:space="preserve">En 2026 existe complemento anual de </w:t>
      </w:r>
      <w:r>
        <w:rPr>
          <w:rFonts w:ascii="Arial" w:hAnsi="Arial" w:cs="Arial"/>
          <w:b/>
          <w:sz w:val="22"/>
        </w:rPr>
        <w:t>525 euros</w:t>
      </w:r>
      <w:r>
        <w:rPr>
          <w:rFonts w:ascii="Arial" w:hAnsi="Arial" w:cs="Arial"/>
          <w:sz w:val="22"/>
        </w:rPr>
        <w:t xml:space="preserve"> para pensionista PNC que carece de vivienda en propiedad y reside habitualmente en vivienda alquilada cuyo propietario no es cónyuge, pareja ni pariente hasta el grado establecido. Si conviven varios pensionistas, lo percibe el titular del contrato o el primero que figure. Se rige por el Real Decreto 1191/2012.</w:t>
      </w:r>
    </w:p>
    <w:p>
      <w:pPr>
        <w:pStyle w:val="Heading1"/>
        <w:keepNext/>
      </w:pPr>
      <w:r>
        <w:rPr>
          <w:rFonts w:ascii="Arial" w:hAnsi="Arial" w:cs="Arial"/>
          <w:sz w:val="30"/>
        </w:rPr>
        <w:t>17. Gestión de las pensiones no contributivas</w:t>
      </w:r>
    </w:p>
    <w:p>
      <w:pPr>
        <w:jc w:val="both"/>
      </w:pPr>
      <w:r>
        <w:rPr>
          <w:rFonts w:ascii="Arial" w:hAnsi="Arial" w:cs="Arial"/>
          <w:sz w:val="22"/>
        </w:rPr>
        <w:t>El artículo 373 atribuye al IMSERSO las pensiones de incapacidad y jubilación no contributivas. Las comunidades autónomas con servicios transferidos las gestionan. En Ceuta y Melilla actúa el IMSERSO; pueden existir conciertos en otros territorios.</w:t>
      </w:r>
    </w:p>
    <w:p>
      <w:pPr>
        <w:jc w:val="both"/>
      </w:pPr>
      <w:r>
        <w:rPr>
          <w:rFonts w:ascii="Arial" w:hAnsi="Arial" w:cs="Arial"/>
          <w:sz w:val="22"/>
        </w:rPr>
        <w:t>El INSS gestiona las restantes prestaciones no contributivas salvo atribución legal distinta. Todas las PNC de incapacidad y jubilación se integran en el Registro de Prestaciones Sociales Públicas y sus datos se comunican al INSS.</w:t>
      </w:r>
    </w:p>
    <w:p>
      <w:pPr>
        <w:jc w:val="both"/>
      </w:pPr>
      <w:r>
        <w:rPr>
          <w:rFonts w:ascii="Arial" w:hAnsi="Arial" w:cs="Arial"/>
          <w:sz w:val="22"/>
        </w:rPr>
        <w:t>No debe dirigirse automáticamente al INSS una solicitud de PNC autonómicamente transferida ni atribuir al IMSERSO el IMV.</w:t>
      </w:r>
    </w:p>
    <w:p>
      <w:pPr>
        <w:pStyle w:val="Heading1"/>
        <w:keepNext/>
      </w:pPr>
      <w:r>
        <w:rPr>
          <w:rFonts w:ascii="Arial" w:hAnsi="Arial" w:cs="Arial"/>
          <w:sz w:val="30"/>
        </w:rPr>
        <w:t>18. Cuadro comparativo final</w:t>
      </w:r>
    </w:p>
    <w:tbl>
      <w:tblPr>
        <w:tblStyle w:val="TableGrid"/>
        <w:tblW w:type="dxa" w:w="9026"/>
        <w:jc w:val="left"/>
        <w:tblLayout w:type="fixed"/>
        <w:tblLook w:firstColumn="1" w:firstRow="1" w:lastColumn="0" w:lastRow="0" w:noHBand="0" w:noVBand="1" w:val="04A0"/>
        <w:tblInd w:w="120" w:type="dxa"/>
      </w:tblPr>
      <w:tblGrid>
        <w:gridCol w:w="2471"/>
        <w:gridCol w:w="2364"/>
        <w:gridCol w:w="2042"/>
        <w:gridCol w:w="2149"/>
      </w:tblGrid>
      <w:tr>
        <w:trPr>
          <w:tblHeader w:val="true"/>
        </w:trPr>
        <w:tc>
          <w:tcPr>
            <w:tcW w:type="dxa" w:w="247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236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IMV</w:t>
            </w:r>
          </w:p>
        </w:tc>
        <w:tc>
          <w:tcPr>
            <w:tcW w:type="dxa" w:w="204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Incapacidad PNC</w:t>
            </w:r>
          </w:p>
        </w:tc>
        <w:tc>
          <w:tcPr>
            <w:tcW w:type="dxa" w:w="214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Jubilación PNC</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Edad</w:t>
            </w:r>
          </w:p>
        </w:tc>
        <w:tc>
          <w:tcPr>
            <w:tcW w:type="dxa" w:w="2364"/>
            <w:tcMar>
              <w:top w:w="80" w:type="dxa"/>
              <w:start w:w="120" w:type="dxa"/>
              <w:bottom w:w="80" w:type="dxa"/>
              <w:end w:w="120" w:type="dxa"/>
            </w:tcMar>
            <w:vAlign w:val="center"/>
          </w:tcPr>
          <w:p>
            <w:pPr>
              <w:spacing w:before="0" w:after="0" w:line="240" w:lineRule="auto"/>
              <w:jc w:val="left"/>
            </w:pPr>
            <w:r/>
            <w:r>
              <w:rPr>
                <w:rFonts w:ascii="Arial" w:hAnsi="Arial" w:cs="Arial"/>
                <w:sz w:val="18"/>
              </w:rPr>
              <w:t>23, con excepciones</w:t>
            </w:r>
          </w:p>
        </w:tc>
        <w:tc>
          <w:tcPr>
            <w:tcW w:type="dxa" w:w="2042"/>
            <w:tcMar>
              <w:top w:w="80" w:type="dxa"/>
              <w:start w:w="120" w:type="dxa"/>
              <w:bottom w:w="80" w:type="dxa"/>
              <w:end w:w="120" w:type="dxa"/>
            </w:tcMar>
            <w:vAlign w:val="center"/>
          </w:tcPr>
          <w:p>
            <w:pPr>
              <w:spacing w:before="0" w:after="0" w:line="240" w:lineRule="auto"/>
              <w:jc w:val="center"/>
            </w:pPr>
            <w:r/>
            <w:r>
              <w:rPr>
                <w:rFonts w:ascii="Arial" w:hAnsi="Arial" w:cs="Arial"/>
                <w:sz w:val="18"/>
              </w:rPr>
              <w:t>&gt;18 y &lt;65</w:t>
            </w:r>
          </w:p>
        </w:tc>
        <w:tc>
          <w:tcPr>
            <w:tcW w:type="dxa" w:w="2149"/>
            <w:tcMar>
              <w:top w:w="80" w:type="dxa"/>
              <w:start w:w="120" w:type="dxa"/>
              <w:bottom w:w="80" w:type="dxa"/>
              <w:end w:w="120" w:type="dxa"/>
            </w:tcMar>
            <w:vAlign w:val="center"/>
          </w:tcPr>
          <w:p>
            <w:pPr>
              <w:spacing w:before="0" w:after="0" w:line="240" w:lineRule="auto"/>
              <w:jc w:val="center"/>
            </w:pPr>
            <w:r/>
            <w:r>
              <w:rPr>
                <w:rFonts w:ascii="Arial" w:hAnsi="Arial" w:cs="Arial"/>
                <w:sz w:val="18"/>
              </w:rPr>
              <w:t>≥65</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Residencia previa</w:t>
            </w:r>
          </w:p>
        </w:tc>
        <w:tc>
          <w:tcPr>
            <w:tcW w:type="dxa" w:w="2364"/>
            <w:tcMar>
              <w:top w:w="80" w:type="dxa"/>
              <w:start w:w="120" w:type="dxa"/>
              <w:bottom w:w="80" w:type="dxa"/>
              <w:end w:w="120" w:type="dxa"/>
            </w:tcMar>
            <w:vAlign w:val="center"/>
          </w:tcPr>
          <w:p>
            <w:pPr>
              <w:spacing w:before="0" w:after="0" w:line="240" w:lineRule="auto"/>
              <w:jc w:val="left"/>
            </w:pPr>
            <w:r/>
            <w:r>
              <w:rPr>
                <w:rFonts w:ascii="Arial" w:hAnsi="Arial" w:cs="Arial"/>
                <w:sz w:val="18"/>
              </w:rPr>
              <w:t>1 año, salvo excepciones</w:t>
            </w:r>
          </w:p>
        </w:tc>
        <w:tc>
          <w:tcPr>
            <w:tcW w:type="dxa" w:w="2042"/>
            <w:tcMar>
              <w:top w:w="80" w:type="dxa"/>
              <w:start w:w="120" w:type="dxa"/>
              <w:bottom w:w="80" w:type="dxa"/>
              <w:end w:w="120" w:type="dxa"/>
            </w:tcMar>
            <w:vAlign w:val="center"/>
          </w:tcPr>
          <w:p>
            <w:pPr>
              <w:spacing w:before="0" w:after="0" w:line="240" w:lineRule="auto"/>
              <w:jc w:val="left"/>
            </w:pPr>
            <w:r/>
            <w:r>
              <w:rPr>
                <w:rFonts w:ascii="Arial" w:hAnsi="Arial" w:cs="Arial"/>
                <w:sz w:val="18"/>
              </w:rPr>
              <w:t>5 años; 2 inmediatos</w:t>
            </w:r>
          </w:p>
        </w:tc>
        <w:tc>
          <w:tcPr>
            <w:tcW w:type="dxa" w:w="2149"/>
            <w:tcMar>
              <w:top w:w="80" w:type="dxa"/>
              <w:start w:w="120" w:type="dxa"/>
              <w:bottom w:w="80" w:type="dxa"/>
              <w:end w:w="120" w:type="dxa"/>
            </w:tcMar>
            <w:vAlign w:val="center"/>
          </w:tcPr>
          <w:p>
            <w:pPr>
              <w:spacing w:before="0" w:after="0" w:line="240" w:lineRule="auto"/>
              <w:jc w:val="left"/>
            </w:pPr>
            <w:r/>
            <w:r>
              <w:rPr>
                <w:rFonts w:ascii="Arial" w:hAnsi="Arial" w:cs="Arial"/>
                <w:sz w:val="18"/>
              </w:rPr>
              <w:t>10 desde 16; 2 inmediatos</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Incapacidad</w:t>
            </w:r>
          </w:p>
        </w:tc>
        <w:tc>
          <w:tcPr>
            <w:tcW w:type="dxa" w:w="2364"/>
            <w:tcMar>
              <w:top w:w="80" w:type="dxa"/>
              <w:start w:w="120" w:type="dxa"/>
              <w:bottom w:w="80" w:type="dxa"/>
              <w:end w:w="120" w:type="dxa"/>
            </w:tcMar>
            <w:vAlign w:val="center"/>
          </w:tcPr>
          <w:p>
            <w:pPr>
              <w:spacing w:before="0" w:after="0" w:line="240" w:lineRule="auto"/>
              <w:jc w:val="center"/>
            </w:pPr>
            <w:r/>
            <w:r>
              <w:rPr>
                <w:rFonts w:ascii="Arial" w:hAnsi="Arial" w:cs="Arial"/>
                <w:sz w:val="18"/>
              </w:rPr>
              <w:t>No general</w:t>
            </w:r>
          </w:p>
        </w:tc>
        <w:tc>
          <w:tcPr>
            <w:tcW w:type="dxa" w:w="2042"/>
            <w:tcMar>
              <w:top w:w="80" w:type="dxa"/>
              <w:start w:w="120" w:type="dxa"/>
              <w:bottom w:w="80" w:type="dxa"/>
              <w:end w:w="120" w:type="dxa"/>
            </w:tcMar>
            <w:vAlign w:val="center"/>
          </w:tcPr>
          <w:p>
            <w:pPr>
              <w:spacing w:before="0" w:after="0" w:line="240" w:lineRule="auto"/>
              <w:jc w:val="center"/>
            </w:pPr>
            <w:r/>
            <w:r>
              <w:rPr>
                <w:rFonts w:ascii="Arial" w:hAnsi="Arial" w:cs="Arial"/>
                <w:sz w:val="18"/>
              </w:rPr>
              <w:t>≥65 %</w:t>
            </w:r>
          </w:p>
        </w:tc>
        <w:tc>
          <w:tcPr>
            <w:tcW w:type="dxa" w:w="214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Economía</w:t>
            </w:r>
          </w:p>
        </w:tc>
        <w:tc>
          <w:tcPr>
            <w:tcW w:type="dxa" w:w="2364"/>
            <w:tcMar>
              <w:top w:w="80" w:type="dxa"/>
              <w:start w:w="120" w:type="dxa"/>
              <w:bottom w:w="80" w:type="dxa"/>
              <w:end w:w="120" w:type="dxa"/>
            </w:tcMar>
            <w:vAlign w:val="center"/>
          </w:tcPr>
          <w:p>
            <w:pPr>
              <w:spacing w:before="0" w:after="0" w:line="240" w:lineRule="auto"/>
              <w:jc w:val="left"/>
            </w:pPr>
            <w:r/>
            <w:r>
              <w:rPr>
                <w:rFonts w:ascii="Arial" w:hAnsi="Arial" w:cs="Arial"/>
                <w:sz w:val="18"/>
              </w:rPr>
              <w:t>Renta y patrimonio</w:t>
            </w:r>
          </w:p>
        </w:tc>
        <w:tc>
          <w:tcPr>
            <w:tcW w:type="dxa" w:w="2042"/>
            <w:tcMar>
              <w:top w:w="80" w:type="dxa"/>
              <w:start w:w="120" w:type="dxa"/>
              <w:bottom w:w="80" w:type="dxa"/>
              <w:end w:w="120" w:type="dxa"/>
            </w:tcMar>
            <w:vAlign w:val="center"/>
          </w:tcPr>
          <w:p>
            <w:pPr>
              <w:spacing w:before="0" w:after="0" w:line="240" w:lineRule="auto"/>
              <w:jc w:val="left"/>
            </w:pPr>
            <w:r/>
            <w:r>
              <w:rPr>
                <w:rFonts w:ascii="Arial" w:hAnsi="Arial" w:cs="Arial"/>
                <w:sz w:val="18"/>
              </w:rPr>
              <w:t>Rentas propias/unidad</w:t>
            </w:r>
          </w:p>
        </w:tc>
        <w:tc>
          <w:tcPr>
            <w:tcW w:type="dxa" w:w="2149"/>
            <w:tcMar>
              <w:top w:w="80" w:type="dxa"/>
              <w:start w:w="120" w:type="dxa"/>
              <w:bottom w:w="80" w:type="dxa"/>
              <w:end w:w="120" w:type="dxa"/>
            </w:tcMar>
            <w:vAlign w:val="center"/>
          </w:tcPr>
          <w:p>
            <w:pPr>
              <w:spacing w:before="0" w:after="0" w:line="240" w:lineRule="auto"/>
              <w:jc w:val="left"/>
            </w:pPr>
            <w:r/>
            <w:r>
              <w:rPr>
                <w:rFonts w:ascii="Arial" w:hAnsi="Arial" w:cs="Arial"/>
                <w:sz w:val="18"/>
              </w:rPr>
              <w:t>Rentas propias/unidad</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Cuantía 2026 de referencia</w:t>
            </w:r>
          </w:p>
        </w:tc>
        <w:tc>
          <w:tcPr>
            <w:tcW w:type="dxa" w:w="2364"/>
            <w:tcMar>
              <w:top w:w="80" w:type="dxa"/>
              <w:start w:w="120" w:type="dxa"/>
              <w:bottom w:w="80" w:type="dxa"/>
              <w:end w:w="120" w:type="dxa"/>
            </w:tcMar>
            <w:vAlign w:val="center"/>
          </w:tcPr>
          <w:p>
            <w:pPr>
              <w:spacing w:before="0" w:after="0" w:line="240" w:lineRule="auto"/>
              <w:jc w:val="left"/>
            </w:pPr>
            <w:r/>
            <w:r>
              <w:rPr>
                <w:rFonts w:ascii="Arial" w:hAnsi="Arial" w:cs="Arial"/>
                <w:sz w:val="18"/>
              </w:rPr>
              <w:t>733,60 €/mes individual</w:t>
            </w:r>
          </w:p>
        </w:tc>
        <w:tc>
          <w:tcPr>
            <w:tcW w:type="dxa" w:w="2042"/>
            <w:tcMar>
              <w:top w:w="80" w:type="dxa"/>
              <w:start w:w="120" w:type="dxa"/>
              <w:bottom w:w="80" w:type="dxa"/>
              <w:end w:w="120" w:type="dxa"/>
            </w:tcMar>
            <w:vAlign w:val="center"/>
          </w:tcPr>
          <w:p>
            <w:pPr>
              <w:spacing w:before="0" w:after="0" w:line="240" w:lineRule="auto"/>
              <w:jc w:val="center"/>
            </w:pPr>
            <w:r/>
            <w:r>
              <w:rPr>
                <w:rFonts w:ascii="Arial" w:hAnsi="Arial" w:cs="Arial"/>
                <w:sz w:val="18"/>
              </w:rPr>
              <w:t>8.803,20 €/año</w:t>
            </w:r>
          </w:p>
        </w:tc>
        <w:tc>
          <w:tcPr>
            <w:tcW w:type="dxa" w:w="2149"/>
            <w:tcMar>
              <w:top w:w="80" w:type="dxa"/>
              <w:start w:w="120" w:type="dxa"/>
              <w:bottom w:w="80" w:type="dxa"/>
              <w:end w:w="120" w:type="dxa"/>
            </w:tcMar>
            <w:vAlign w:val="center"/>
          </w:tcPr>
          <w:p>
            <w:pPr>
              <w:spacing w:before="0" w:after="0" w:line="240" w:lineRule="auto"/>
              <w:jc w:val="center"/>
            </w:pPr>
            <w:r/>
            <w:r>
              <w:rPr>
                <w:rFonts w:ascii="Arial" w:hAnsi="Arial" w:cs="Arial"/>
                <w:sz w:val="18"/>
              </w:rPr>
              <w:t>8.803,20 €/año</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Efectos</w:t>
            </w:r>
          </w:p>
        </w:tc>
        <w:tc>
          <w:tcPr>
            <w:tcW w:type="dxa" w:w="2364"/>
            <w:tcMar>
              <w:top w:w="80" w:type="dxa"/>
              <w:start w:w="120" w:type="dxa"/>
              <w:bottom w:w="80" w:type="dxa"/>
              <w:end w:w="120" w:type="dxa"/>
            </w:tcMar>
            <w:vAlign w:val="center"/>
          </w:tcPr>
          <w:p>
            <w:pPr>
              <w:spacing w:before="0" w:after="0" w:line="240" w:lineRule="auto"/>
              <w:jc w:val="left"/>
            </w:pPr>
            <w:r/>
            <w:r>
              <w:rPr>
                <w:rFonts w:ascii="Arial" w:hAnsi="Arial" w:cs="Arial"/>
                <w:sz w:val="18"/>
              </w:rPr>
              <w:t>Mes siguiente a solicitud</w:t>
            </w:r>
          </w:p>
        </w:tc>
        <w:tc>
          <w:tcPr>
            <w:tcW w:type="dxa" w:w="2042"/>
            <w:tcMar>
              <w:top w:w="80" w:type="dxa"/>
              <w:start w:w="120" w:type="dxa"/>
              <w:bottom w:w="80" w:type="dxa"/>
              <w:end w:w="120" w:type="dxa"/>
            </w:tcMar>
            <w:vAlign w:val="center"/>
          </w:tcPr>
          <w:p>
            <w:pPr>
              <w:spacing w:before="0" w:after="0" w:line="240" w:lineRule="auto"/>
              <w:jc w:val="center"/>
            </w:pPr>
            <w:r/>
            <w:r>
              <w:rPr>
                <w:rFonts w:ascii="Arial" w:hAnsi="Arial" w:cs="Arial"/>
                <w:sz w:val="18"/>
              </w:rPr>
              <w:t>Mes siguiente</w:t>
            </w:r>
          </w:p>
        </w:tc>
        <w:tc>
          <w:tcPr>
            <w:tcW w:type="dxa" w:w="2149"/>
            <w:tcMar>
              <w:top w:w="80" w:type="dxa"/>
              <w:start w:w="120" w:type="dxa"/>
              <w:bottom w:w="80" w:type="dxa"/>
              <w:end w:w="120" w:type="dxa"/>
            </w:tcMar>
            <w:vAlign w:val="center"/>
          </w:tcPr>
          <w:p>
            <w:pPr>
              <w:spacing w:before="0" w:after="0" w:line="240" w:lineRule="auto"/>
              <w:jc w:val="center"/>
            </w:pPr>
            <w:r/>
            <w:r>
              <w:rPr>
                <w:rFonts w:ascii="Arial" w:hAnsi="Arial" w:cs="Arial"/>
                <w:sz w:val="18"/>
              </w:rPr>
              <w:t>Mes siguiente</w:t>
            </w:r>
          </w:p>
        </w:tc>
      </w:tr>
      <w:tr>
        <w:tc>
          <w:tcPr>
            <w:tcW w:type="dxa" w:w="2471"/>
            <w:tcMar>
              <w:top w:w="80" w:type="dxa"/>
              <w:start w:w="120" w:type="dxa"/>
              <w:bottom w:w="80" w:type="dxa"/>
              <w:end w:w="120" w:type="dxa"/>
            </w:tcMar>
            <w:vAlign w:val="center"/>
          </w:tcPr>
          <w:p>
            <w:pPr>
              <w:spacing w:before="0" w:after="0" w:line="240" w:lineRule="auto"/>
              <w:jc w:val="left"/>
            </w:pPr>
            <w:r/>
            <w:r>
              <w:rPr>
                <w:rFonts w:ascii="Arial" w:hAnsi="Arial" w:cs="Arial"/>
                <w:sz w:val="18"/>
              </w:rPr>
              <w:t>Gestión</w:t>
            </w:r>
          </w:p>
        </w:tc>
        <w:tc>
          <w:tcPr>
            <w:tcW w:type="dxa" w:w="2364"/>
            <w:tcMar>
              <w:top w:w="80" w:type="dxa"/>
              <w:start w:w="120" w:type="dxa"/>
              <w:bottom w:w="80" w:type="dxa"/>
              <w:end w:w="120" w:type="dxa"/>
            </w:tcMar>
            <w:vAlign w:val="center"/>
          </w:tcPr>
          <w:p>
            <w:pPr>
              <w:spacing w:before="0" w:after="0" w:line="240" w:lineRule="auto"/>
              <w:jc w:val="center"/>
            </w:pPr>
            <w:r/>
            <w:r>
              <w:rPr>
                <w:rFonts w:ascii="Arial" w:hAnsi="Arial" w:cs="Arial"/>
                <w:sz w:val="18"/>
              </w:rPr>
              <w:t>INSS</w:t>
            </w:r>
          </w:p>
        </w:tc>
        <w:tc>
          <w:tcPr>
            <w:tcW w:type="dxa" w:w="2042"/>
            <w:tcMar>
              <w:top w:w="80" w:type="dxa"/>
              <w:start w:w="120" w:type="dxa"/>
              <w:bottom w:w="80" w:type="dxa"/>
              <w:end w:w="120" w:type="dxa"/>
            </w:tcMar>
            <w:vAlign w:val="center"/>
          </w:tcPr>
          <w:p>
            <w:pPr>
              <w:spacing w:before="0" w:after="0" w:line="240" w:lineRule="auto"/>
              <w:jc w:val="center"/>
            </w:pPr>
            <w:r/>
            <w:r>
              <w:rPr>
                <w:rFonts w:ascii="Arial" w:hAnsi="Arial" w:cs="Arial"/>
                <w:sz w:val="18"/>
              </w:rPr>
              <w:t>IMSERSO/CC. AA.</w:t>
            </w:r>
          </w:p>
        </w:tc>
        <w:tc>
          <w:tcPr>
            <w:tcW w:type="dxa" w:w="2149"/>
            <w:tcMar>
              <w:top w:w="80" w:type="dxa"/>
              <w:start w:w="120" w:type="dxa"/>
              <w:bottom w:w="80" w:type="dxa"/>
              <w:end w:w="120" w:type="dxa"/>
            </w:tcMar>
            <w:vAlign w:val="center"/>
          </w:tcPr>
          <w:p>
            <w:pPr>
              <w:spacing w:before="0" w:after="0" w:line="240" w:lineRule="auto"/>
              <w:jc w:val="center"/>
            </w:pPr>
            <w:r/>
            <w:r>
              <w:rPr>
                <w:rFonts w:ascii="Arial" w:hAnsi="Arial" w:cs="Arial"/>
                <w:sz w:val="18"/>
              </w:rPr>
              <w:t>IMSERSO/CC. AA.</w:t>
            </w:r>
          </w:p>
        </w:tc>
      </w:tr>
    </w:tbl>
    <w:p>
      <w:pPr>
        <w:spacing w:after="40"/>
      </w:pPr>
    </w:p>
    <w:p>
      <w:pPr>
        <w:pStyle w:val="Heading1"/>
        <w:keepNext/>
      </w:pPr>
      <w:r>
        <w:rPr>
          <w:rFonts w:ascii="Arial" w:hAnsi="Arial" w:cs="Arial"/>
          <w:sz w:val="30"/>
        </w:rPr>
        <w:t>19. Supuestos prácticos</w:t>
      </w:r>
    </w:p>
    <w:p>
      <w:pPr>
        <w:jc w:val="both"/>
      </w:pPr>
      <w:r>
        <w:rPr>
          <w:rFonts w:ascii="Arial" w:hAnsi="Arial" w:cs="Arial"/>
          <w:b/>
          <w:sz w:val="22"/>
        </w:rPr>
        <w:t>Unidad con menores.</w:t>
      </w:r>
      <w:r>
        <w:rPr>
          <w:rFonts w:ascii="Arial" w:hAnsi="Arial" w:cs="Arial"/>
          <w:sz w:val="22"/>
        </w:rPr>
        <w:t xml:space="preserve"> Dos adultos y dos menores tienen una renta garantizada del 190 % de la referencia individual. Se restan ingresos computables y se añaden, si proceden, complemento monoparental o discapacidad; no ambos por mera presencia de menores. El complemento infantil se calcula separadamente por edad.</w:t>
      </w:r>
    </w:p>
    <w:p>
      <w:pPr>
        <w:jc w:val="both"/>
      </w:pPr>
      <w:r>
        <w:rPr>
          <w:rFonts w:ascii="Arial" w:hAnsi="Arial" w:cs="Arial"/>
          <w:b/>
          <w:sz w:val="22"/>
        </w:rPr>
        <w:t>Incapacidad PNC.</w:t>
      </w:r>
      <w:r>
        <w:rPr>
          <w:rFonts w:ascii="Arial" w:hAnsi="Arial" w:cs="Arial"/>
          <w:sz w:val="22"/>
        </w:rPr>
        <w:t xml:space="preserve"> Persona de cuarenta años, discapacidad del 76 %, cinco años de residencia con dos inmediatos y necesidad de tercera persona. Si cumple rentas, recibe cuantía resultante y complemento del 50 % de la íntegra. La discapacidad superior al 75 % no basta: debe necesitar ayuda para actos esenciales.</w:t>
      </w:r>
    </w:p>
    <w:p>
      <w:pPr>
        <w:jc w:val="both"/>
      </w:pPr>
      <w:r>
        <w:rPr>
          <w:rFonts w:ascii="Arial" w:hAnsi="Arial" w:cs="Arial"/>
          <w:b/>
          <w:sz w:val="22"/>
        </w:rPr>
        <w:t>Parto múltiple.</w:t>
      </w:r>
      <w:r>
        <w:rPr>
          <w:rFonts w:ascii="Arial" w:hAnsi="Arial" w:cs="Arial"/>
          <w:sz w:val="22"/>
        </w:rPr>
        <w:t xml:space="preserve"> Nacen trillizos. La prestación equivale a ocho veces el SMI mensual. Si uno tiene discapacidad del 33 %, computa doble y el número relevante pasa a cuatro, por lo que corresponden doce veces. Es distinta del pago de 1.000 euros por familia numerosa, que puede concurrir si se cumplen sus reglas.</w:t>
      </w:r>
    </w:p>
    <w:p>
      <w:pPr>
        <w:pStyle w:val="Heading1"/>
        <w:keepNext/>
      </w:pPr>
      <w:r>
        <w:rPr>
          <w:rFonts w:ascii="Arial" w:hAnsi="Arial" w:cs="Arial"/>
          <w:sz w:val="30"/>
        </w:rPr>
        <w:t>20. Errores frecuentes</w:t>
      </w:r>
    </w:p>
    <w:p>
      <w:pPr>
        <w:spacing w:after="40"/>
        <w:ind w:left="369" w:hanging="227"/>
      </w:pPr>
      <w:r>
        <w:rPr>
          <w:rFonts w:ascii="Arial" w:hAnsi="Arial" w:cs="Arial"/>
          <w:sz w:val="22"/>
        </w:rPr>
        <w:t>1. Considerar no contributiva como sin requisitos.</w:t>
      </w:r>
    </w:p>
    <w:p>
      <w:pPr>
        <w:spacing w:after="40"/>
        <w:ind w:left="369" w:hanging="227"/>
      </w:pPr>
      <w:r>
        <w:rPr>
          <w:rFonts w:ascii="Arial" w:hAnsi="Arial" w:cs="Arial"/>
          <w:sz w:val="22"/>
        </w:rPr>
        <w:t>2. Confundir IMV con PNC de jubilación.</w:t>
      </w:r>
    </w:p>
    <w:p>
      <w:pPr>
        <w:spacing w:after="40"/>
        <w:ind w:left="369" w:hanging="227"/>
      </w:pPr>
      <w:r>
        <w:rPr>
          <w:rFonts w:ascii="Arial" w:hAnsi="Arial" w:cs="Arial"/>
          <w:sz w:val="22"/>
        </w:rPr>
        <w:t>3. Exigir siempre veintitrés años, ignorando excepciones.</w:t>
      </w:r>
    </w:p>
    <w:p>
      <w:pPr>
        <w:spacing w:after="40"/>
        <w:ind w:left="369" w:hanging="227"/>
      </w:pPr>
      <w:r>
        <w:rPr>
          <w:rFonts w:ascii="Arial" w:hAnsi="Arial" w:cs="Arial"/>
          <w:sz w:val="22"/>
        </w:rPr>
        <w:t>4. Formar una unidad solo por compartir padrón.</w:t>
      </w:r>
    </w:p>
    <w:p>
      <w:pPr>
        <w:spacing w:after="40"/>
        <w:ind w:left="369" w:hanging="227"/>
      </w:pPr>
      <w:r>
        <w:rPr>
          <w:rFonts w:ascii="Arial" w:hAnsi="Arial" w:cs="Arial"/>
          <w:sz w:val="22"/>
        </w:rPr>
        <w:t>5. Olvidar los seis meses de constitución.</w:t>
      </w:r>
    </w:p>
    <w:p>
      <w:pPr>
        <w:spacing w:after="40"/>
        <w:ind w:left="369" w:hanging="227"/>
      </w:pPr>
      <w:r>
        <w:rPr>
          <w:rFonts w:ascii="Arial" w:hAnsi="Arial" w:cs="Arial"/>
          <w:sz w:val="22"/>
        </w:rPr>
        <w:t>6. Confundir ingreso con patrimonio.</w:t>
      </w:r>
    </w:p>
    <w:p>
      <w:pPr>
        <w:spacing w:after="40"/>
        <w:ind w:left="369" w:hanging="227"/>
      </w:pPr>
      <w:r>
        <w:rPr>
          <w:rFonts w:ascii="Arial" w:hAnsi="Arial" w:cs="Arial"/>
          <w:sz w:val="22"/>
        </w:rPr>
        <w:t>7. Incluir vivienda habitual en activos no societarios del IMV.</w:t>
      </w:r>
    </w:p>
    <w:p>
      <w:pPr>
        <w:spacing w:after="40"/>
        <w:ind w:left="369" w:hanging="227"/>
      </w:pPr>
      <w:r>
        <w:rPr>
          <w:rFonts w:ascii="Arial" w:hAnsi="Arial" w:cs="Arial"/>
          <w:sz w:val="22"/>
        </w:rPr>
        <w:t>8. Calcular el IMV como cuantía fija.</w:t>
      </w:r>
    </w:p>
    <w:p>
      <w:pPr>
        <w:spacing w:after="40"/>
        <w:ind w:left="369" w:hanging="227"/>
      </w:pPr>
      <w:r>
        <w:rPr>
          <w:rFonts w:ascii="Arial" w:hAnsi="Arial" w:cs="Arial"/>
          <w:sz w:val="22"/>
        </w:rPr>
        <w:t>9. No restar pensiones con prorrata de extras.</w:t>
      </w:r>
    </w:p>
    <w:p>
      <w:pPr>
        <w:spacing w:after="40"/>
        <w:ind w:left="369" w:hanging="227"/>
      </w:pPr>
      <w:r>
        <w:rPr>
          <w:rFonts w:ascii="Arial" w:hAnsi="Arial" w:cs="Arial"/>
          <w:sz w:val="22"/>
        </w:rPr>
        <w:t>10. Aplicar una sola actualización anual tras la reforma de 2026.</w:t>
      </w:r>
    </w:p>
    <w:p>
      <w:pPr>
        <w:spacing w:after="40"/>
        <w:ind w:left="369" w:hanging="227"/>
      </w:pPr>
      <w:r>
        <w:rPr>
          <w:rFonts w:ascii="Arial" w:hAnsi="Arial" w:cs="Arial"/>
          <w:sz w:val="22"/>
        </w:rPr>
        <w:t>11. Creer que trabajo extingue siempre el IMV.</w:t>
      </w:r>
    </w:p>
    <w:p>
      <w:pPr>
        <w:spacing w:after="40"/>
        <w:ind w:left="369" w:hanging="227"/>
      </w:pPr>
      <w:r>
        <w:rPr>
          <w:rFonts w:ascii="Arial" w:hAnsi="Arial" w:cs="Arial"/>
          <w:sz w:val="22"/>
        </w:rPr>
        <w:t>12. Omitir el deber anual de IRPF.</w:t>
      </w:r>
    </w:p>
    <w:p>
      <w:pPr>
        <w:spacing w:after="40"/>
        <w:ind w:left="369" w:hanging="227"/>
      </w:pPr>
      <w:r>
        <w:rPr>
          <w:rFonts w:ascii="Arial" w:hAnsi="Arial" w:cs="Arial"/>
          <w:sz w:val="22"/>
        </w:rPr>
        <w:t>13. Confundir suspensión de un año con simple mantenimiento.</w:t>
      </w:r>
    </w:p>
    <w:p>
      <w:pPr>
        <w:spacing w:after="40"/>
        <w:ind w:left="369" w:hanging="227"/>
      </w:pPr>
      <w:r>
        <w:rPr>
          <w:rFonts w:ascii="Arial" w:hAnsi="Arial" w:cs="Arial"/>
          <w:sz w:val="22"/>
        </w:rPr>
        <w:t>14. Equiparar revisión, reintegro y sanción.</w:t>
      </w:r>
    </w:p>
    <w:p>
      <w:pPr>
        <w:spacing w:after="40"/>
        <w:ind w:left="369" w:hanging="227"/>
      </w:pPr>
      <w:r>
        <w:rPr>
          <w:rFonts w:ascii="Arial" w:hAnsi="Arial" w:cs="Arial"/>
          <w:sz w:val="22"/>
        </w:rPr>
        <w:t>15. Abrir nuevas asignaciones por menor sin discapacidad bajo el régimen transitorio.</w:t>
      </w:r>
    </w:p>
    <w:p>
      <w:pPr>
        <w:spacing w:after="40"/>
        <w:ind w:left="369" w:hanging="227"/>
      </w:pPr>
      <w:r>
        <w:rPr>
          <w:rFonts w:ascii="Arial" w:hAnsi="Arial" w:cs="Arial"/>
          <w:sz w:val="22"/>
        </w:rPr>
        <w:t>16. Aplicar límite de ingresos al parto múltiple.</w:t>
      </w:r>
    </w:p>
    <w:p>
      <w:pPr>
        <w:spacing w:after="40"/>
        <w:ind w:left="369" w:hanging="227"/>
      </w:pPr>
      <w:r>
        <w:rPr>
          <w:rFonts w:ascii="Arial" w:hAnsi="Arial" w:cs="Arial"/>
          <w:sz w:val="22"/>
        </w:rPr>
        <w:t>17. Usar SMI anual en lugar del mensual para cuantificar el parto múltiple.</w:t>
      </w:r>
    </w:p>
    <w:p>
      <w:pPr>
        <w:spacing w:after="40"/>
        <w:ind w:left="369" w:hanging="227"/>
      </w:pPr>
      <w:r>
        <w:rPr>
          <w:rFonts w:ascii="Arial" w:hAnsi="Arial" w:cs="Arial"/>
          <w:sz w:val="22"/>
        </w:rPr>
        <w:t>18. Confundir los 112 días por parto con permiso retribuido.</w:t>
      </w:r>
    </w:p>
    <w:p>
      <w:pPr>
        <w:spacing w:after="40"/>
        <w:ind w:left="369" w:hanging="227"/>
      </w:pPr>
      <w:r>
        <w:rPr>
          <w:rFonts w:ascii="Arial" w:hAnsi="Arial" w:cs="Arial"/>
          <w:sz w:val="22"/>
        </w:rPr>
        <w:t>19. Usar los 270 días para completar carencia mínima.</w:t>
      </w:r>
    </w:p>
    <w:p>
      <w:pPr>
        <w:spacing w:after="40"/>
        <w:ind w:left="369" w:hanging="227"/>
      </w:pPr>
      <w:r>
        <w:rPr>
          <w:rFonts w:ascii="Arial" w:hAnsi="Arial" w:cs="Arial"/>
          <w:sz w:val="22"/>
        </w:rPr>
        <w:t>20. Exigir 65 años en incapacidad PNC; a esa edad cambia la denominación.</w:t>
      </w:r>
    </w:p>
    <w:p>
      <w:pPr>
        <w:spacing w:after="40"/>
        <w:ind w:left="369" w:hanging="227"/>
      </w:pPr>
      <w:r>
        <w:rPr>
          <w:rFonts w:ascii="Arial" w:hAnsi="Arial" w:cs="Arial"/>
          <w:sz w:val="22"/>
        </w:rPr>
        <w:t>21. Pedir diez años de residencia para incapacidad; son cinco.</w:t>
      </w:r>
    </w:p>
    <w:p>
      <w:pPr>
        <w:spacing w:after="40"/>
        <w:ind w:left="369" w:hanging="227"/>
      </w:pPr>
      <w:r>
        <w:rPr>
          <w:rFonts w:ascii="Arial" w:hAnsi="Arial" w:cs="Arial"/>
          <w:sz w:val="22"/>
        </w:rPr>
        <w:t>22. Atribuir al INSS toda gestión de PNC de jubilación.</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S12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6, 2025: 16, 2026: 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Ley 19/2021 (9); texto refundido de la Ley General de la Seguridad Social (5); Texto Refundido de la Ley General de la Seguridad Social (3); Ley 26/1990 (2); ley 19/2021 (2).</w:t>
      </w:r>
    </w:p>
    <w:p>
      <w:pPr>
        <w:jc w:val="both"/>
      </w:pPr>
      <w:r>
        <w:rPr>
          <w:rFonts w:ascii="Arial" w:hAnsi="Arial" w:cs="Arial"/>
          <w:b/>
          <w:sz w:val="22"/>
        </w:rPr>
        <w:t>Artículos o preceptos más repetidos:</w:t>
      </w:r>
      <w:r>
        <w:rPr>
          <w:rFonts w:ascii="Arial" w:hAnsi="Arial" w:cs="Arial"/>
          <w:sz w:val="22"/>
        </w:rPr>
        <w:t xml:space="preserve"> 3 (2); 363 (2); 5 (2); 7 (2); 4 (2); 235 (1); 6 (1); 366 (1).</w:t>
      </w:r>
    </w:p>
    <w:p>
      <w:pPr>
        <w:jc w:val="both"/>
      </w:pPr>
      <w:r>
        <w:rPr>
          <w:rFonts w:ascii="Arial" w:hAnsi="Arial" w:cs="Arial"/>
          <w:b/>
          <w:sz w:val="22"/>
        </w:rPr>
        <w:t>Formas de pregunta predominantes:</w:t>
      </w:r>
      <w:r>
        <w:rPr>
          <w:rFonts w:ascii="Arial" w:hAnsi="Arial" w:cs="Arial"/>
          <w:sz w:val="22"/>
        </w:rPr>
        <w:t xml:space="preserve"> Prestaciones no contributivas (16); Personas beneficiarias (4); Plazos (2); Cálculos (1); Definiciones (1).</w:t>
      </w:r>
    </w:p>
    <w:p>
      <w:pPr>
        <w:pStyle w:val="Heading2"/>
        <w:keepNext/>
      </w:pPr>
      <w:r>
        <w:rPr>
          <w:rFonts w:ascii="Arial" w:hAnsi="Arial" w:cs="Arial"/>
          <w:sz w:val="25"/>
        </w:rPr>
        <w:t>Patrones observados</w:t>
      </w:r>
    </w:p>
    <w:p>
      <w:pPr>
        <w:pStyle w:val="ListBullet"/>
      </w:pPr>
      <w:r>
        <w:rPr>
          <w:rFonts w:ascii="Arial" w:hAnsi="Arial" w:cs="Arial"/>
          <w:b/>
          <w:sz w:val="22"/>
        </w:rPr>
        <w:t>2025, teoría 73, reserva:</w:t>
      </w:r>
      <w:r>
        <w:rPr>
          <w:rFonts w:ascii="Arial" w:hAnsi="Arial" w:cs="Arial"/>
          <w:sz w:val="22"/>
        </w:rPr>
        <w:t xml:space="preserve"> De acuerdo con el Real Decreto 1191/2012, de 3 de agosto, por eI que se establecen normas para el reconocimiento del complemento de pensión para eI alquiler de vivienda a favor de los pensionistas de la…</w:t>
      </w:r>
    </w:p>
    <w:p>
      <w:pPr>
        <w:pStyle w:val="ListBullet"/>
      </w:pPr>
      <w:r>
        <w:rPr>
          <w:rFonts w:ascii="Arial" w:hAnsi="Arial" w:cs="Arial"/>
          <w:b/>
          <w:sz w:val="22"/>
        </w:rPr>
        <w:t>2024, teoría 57:</w:t>
      </w:r>
      <w:r>
        <w:rPr>
          <w:rFonts w:ascii="Arial" w:hAnsi="Arial" w:cs="Arial"/>
          <w:sz w:val="22"/>
        </w:rPr>
        <w:t xml:space="preserve"> Según el artículo 235 del texto refundido de la Ley General de la Seguridad Social, ¿qué número de días se reconocerán como periodos de cotización asimilados por parto a efectos de pensiones contributivas de…</w:t>
      </w:r>
    </w:p>
    <w:p>
      <w:pPr>
        <w:pStyle w:val="ListBullet"/>
      </w:pPr>
      <w:r>
        <w:rPr>
          <w:rFonts w:ascii="Arial" w:hAnsi="Arial" w:cs="Arial"/>
          <w:b/>
          <w:sz w:val="22"/>
        </w:rPr>
        <w:t>2024, teoría 65:</w:t>
      </w:r>
      <w:r>
        <w:rPr>
          <w:rFonts w:ascii="Arial" w:hAnsi="Arial" w:cs="Arial"/>
          <w:sz w:val="22"/>
        </w:rPr>
        <w:t xml:space="preserve"> De acuerdo con el articulo 3 de la Ley 19/2021, la prestación del Ingreso Mínimo Vital presenta alguna de las siguientes características:</w:t>
      </w:r>
    </w:p>
    <w:p>
      <w:pPr>
        <w:pStyle w:val="ListBullet"/>
      </w:pPr>
      <w:r>
        <w:rPr>
          <w:rFonts w:ascii="Arial" w:hAnsi="Arial" w:cs="Arial"/>
          <w:b/>
          <w:sz w:val="22"/>
        </w:rPr>
        <w:t>2024, teoría 66:</w:t>
      </w:r>
      <w:r>
        <w:rPr>
          <w:rFonts w:ascii="Arial" w:hAnsi="Arial" w:cs="Arial"/>
          <w:sz w:val="22"/>
        </w:rPr>
        <w:t xml:space="preserve"> Según el artículo 6 de la Ley 19/2021, por la que se establece eI Ingreso Minimo Vital, señale la respuesta CORRECTA en relación con la unidad de convivencia:</w:t>
      </w:r>
    </w:p>
    <w:p>
      <w:pPr>
        <w:pStyle w:val="ListBullet"/>
      </w:pPr>
      <w:r>
        <w:rPr>
          <w:rFonts w:ascii="Arial" w:hAnsi="Arial" w:cs="Arial"/>
          <w:b/>
          <w:sz w:val="22"/>
        </w:rPr>
        <w:t>2024, teoría 67:</w:t>
      </w:r>
      <w:r>
        <w:rPr>
          <w:rFonts w:ascii="Arial" w:hAnsi="Arial" w:cs="Arial"/>
          <w:sz w:val="22"/>
        </w:rPr>
        <w:t xml:space="preserve"> Según el articulo 363 del texto refundido de la Ley General de la Seguridad Social, se consideran beneficiarios de la pensión de invalidez no contributiva las personas que cumplan alguno de los siguientes…</w:t>
      </w:r>
    </w:p>
    <w:p>
      <w:pPr>
        <w:pStyle w:val="ListBullet"/>
      </w:pPr>
      <w:r>
        <w:rPr>
          <w:rFonts w:ascii="Arial" w:hAnsi="Arial" w:cs="Arial"/>
          <w:b/>
          <w:sz w:val="22"/>
        </w:rPr>
        <w:t>2024, teoría 68:</w:t>
      </w:r>
      <w:r>
        <w:rPr>
          <w:rFonts w:ascii="Arial" w:hAnsi="Arial" w:cs="Arial"/>
          <w:sz w:val="22"/>
        </w:rPr>
        <w:t xml:space="preserve"> De acuerdo con el artículo 366 del texto refundido de la Ley General de la Seguridad Social, las pensiones de invalidez en su modalidad no contributiva son compatibles: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21. Método integrado para resolver supuestos</w:t>
      </w:r>
    </w:p>
    <w:p>
      <w:pPr>
        <w:jc w:val="both"/>
      </w:pPr>
      <w:r>
        <w:rPr>
          <w:rFonts w:ascii="Arial" w:hAnsi="Arial" w:cs="Arial"/>
          <w:sz w:val="22"/>
        </w:rPr>
        <w:t>En un caso de IMV debe dibujarse primero la unidad de convivencia a la fecha de solicitud: quién reside en el domicilio, qué vínculo existe, desde cuándo está constituida y quién puede ser titular. Compartir empadronamiento no basta siempre para formar una única unidad, ni vivir solo convierte automáticamente a alguien en beneficiario individual. Después se comprueban edad, residencia legal y efectiva, vida independiente cuando proceda y excepciones por violencia, trata, separación, ausencia de hogar, fallecimiento de progenitores o salida de prisión. Los seis meses de constitución se revisan por separado, porque tienen excepciones propias.</w:t>
      </w:r>
    </w:p>
    <w:p>
      <w:pPr>
        <w:jc w:val="both"/>
      </w:pPr>
      <w:r>
        <w:rPr>
          <w:rFonts w:ascii="Arial" w:hAnsi="Arial" w:cs="Arial"/>
          <w:sz w:val="22"/>
        </w:rPr>
        <w:t>El segundo bloque es económico. Se identifica la renta garantizada según número de miembros y se incorporan, si proceden, los complementos de monoparentalidad o discapacidad. A continuación se calculan ingresos computables, con prorrata de pensiones y exclusiones legales, y se revisan patrimonio y test de activos. El IMV no es una cantidad fija: es la diferencia entre la garantía aplicable y los recursos medios mensuales, siempre que alcance diez euros. El complemento de ayuda para la infancia tiene umbrales ampliados y puede reconocerse aunque no resulte cuantía ordinaria de IMV; por ello debe calcularse separadamente por cada menor y su edad a 1 de enero.</w:t>
      </w:r>
    </w:p>
    <w:p>
      <w:pPr>
        <w:jc w:val="both"/>
      </w:pPr>
      <w:r>
        <w:rPr>
          <w:rFonts w:ascii="Arial" w:hAnsi="Arial" w:cs="Arial"/>
          <w:sz w:val="22"/>
        </w:rPr>
        <w:t>El tercer bloque es temporal. El derecho ordinario nace el primer día del mes siguiente a la solicitud y dura mientras se mantengan requisitos y obligaciones. Una variación personal puede modificar el importe desde el mes siguiente al hecho, pero un aumento comunicado fuera de plazo desplaza sus efectos al mes siguiente a la comunicación. La actualización provisional y la definitiva corrigen la cuantía con datos tributarios; no deben confundirse con la revisión de oficio, el reintegro de pagos indebidos o una sanción. Si existe trabajo, se aplica el incentivo reglamentario y se mantienen comunicación, declaración fiscal y regularización.</w:t>
      </w:r>
    </w:p>
    <w:p>
      <w:pPr>
        <w:jc w:val="both"/>
      </w:pPr>
      <w:r>
        <w:rPr>
          <w:rFonts w:ascii="Arial" w:hAnsi="Arial" w:cs="Arial"/>
          <w:sz w:val="22"/>
        </w:rPr>
        <w:t>Para una prestación familiar, debe clasificarse primero como asignación por discapacidad, pago por nacimiento protegido, parto o adopción múltiples o beneficio contributivo de cotización. En la asignación se atiende a edad y grado de discapacidad; en el pago de mil euros, al tipo de familia y límites de ingresos; en el múltiple, al número computable de hijos y al SMI mensual, sin prueba de rentas; y en los artículos 235 a 237 no se busca un abono inmediato, sino días o períodos considerados cotizados. Un hijo con discapacidad igual o superior al treinta y tres por ciento cuenta doble únicamente para determinar el tramo de parto múltiple.</w:t>
      </w:r>
    </w:p>
    <w:p>
      <w:pPr>
        <w:jc w:val="both"/>
      </w:pPr>
      <w:r>
        <w:rPr>
          <w:rFonts w:ascii="Arial" w:hAnsi="Arial" w:cs="Arial"/>
          <w:sz w:val="22"/>
        </w:rPr>
        <w:t>En una PNC se comienza por la modalidad. Incapacidad exige edad superior a dieciocho e inferior a sesenta y cinco, cinco años de residencia —dos inmediatos—, discapacidad mínima del sesenta y cinco por ciento y carencia de rentas. Jubilación exige sesenta y cinco años y diez años de residencia —dos inmediatos—. Después se analiza la unidad económica, la cuantía íntegra, la reducción por rentas y el suelo del veinticinco por ciento. El complemento de tercera persona requiere simultáneamente discapacidad igual o superior al setenta y cinco por ciento y necesidad de ayuda para actos esenciales: el porcentaje por sí solo no lo genera.</w:t>
      </w:r>
    </w:p>
    <w:p>
      <w:pPr>
        <w:pStyle w:val="Heading1"/>
        <w:keepNext/>
      </w:pPr>
      <w:r>
        <w:rPr>
          <w:rFonts w:ascii="Arial" w:hAnsi="Arial" w:cs="Arial"/>
          <w:sz w:val="30"/>
        </w:rPr>
        <w:t>22. Resumen de repaso</w:t>
      </w:r>
    </w:p>
    <w:p>
      <w:pPr>
        <w:jc w:val="both"/>
      </w:pPr>
      <w:r>
        <w:rPr>
          <w:rFonts w:ascii="Arial" w:hAnsi="Arial" w:cs="Arial"/>
          <w:sz w:val="22"/>
        </w:rPr>
        <w:t>El IMV garantiza la diferencia entre renta garantizada y recursos. Requiere residencia, vulnerabilidad, límites patrimoniales y unidad o vida independiente. Nace el mes siguiente, dura mientras subsistan requisitos, se paga por transferencia y se actualiza dos veces al año. Los cambios se comunican en treinta días y el INSS puede revisar y reclamar en cuatro años.</w:t>
      </w:r>
    </w:p>
    <w:p>
      <w:pPr>
        <w:jc w:val="both"/>
      </w:pPr>
      <w:r>
        <w:rPr>
          <w:rFonts w:ascii="Arial" w:hAnsi="Arial" w:cs="Arial"/>
          <w:sz w:val="22"/>
        </w:rPr>
        <w:t>Las prestaciones familiares no contributivas cubren discapacidad, nacimiento en familias protegidas y parto o adopción múltiple. En 2026 las asignaciones son 1.000, 5.962,80 o 8.942,40 euros según discapacidad. El nacimiento protegido paga 1.000; el múltiple, cuatro, ocho o doce veces el SMI mensual.</w:t>
      </w:r>
    </w:p>
    <w:p>
      <w:pPr>
        <w:jc w:val="both"/>
      </w:pPr>
      <w:r>
        <w:rPr>
          <w:rFonts w:ascii="Arial" w:hAnsi="Arial" w:cs="Arial"/>
          <w:sz w:val="22"/>
        </w:rPr>
        <w:t>Las familiares contributivas asimilan cotización: 112 días por parto, hasta 270 por cuidado y hasta tres años de excedencia o base elevada al 100 % en reducciones.</w:t>
      </w:r>
    </w:p>
    <w:p>
      <w:pPr>
        <w:jc w:val="both"/>
      </w:pPr>
      <w:r>
        <w:rPr>
          <w:rFonts w:ascii="Arial" w:hAnsi="Arial" w:cs="Arial"/>
          <w:sz w:val="22"/>
        </w:rPr>
        <w:t>La incapacidad PNC exige edad 18–64, residencia cinco años, discapacidad 65 % y rentas. Jubilación PNC exige 65 años y diez años de residencia. Ambas tienen cuantía íntegra de 8.803,20 euros en 2026 y gestión por IMSERSO o comunidades autónomas competentes.</w:t>
      </w:r>
    </w:p>
    <w:p>
      <w:pPr>
        <w:pStyle w:val="Heading1"/>
        <w:keepNext/>
      </w:pPr>
      <w:r>
        <w:rPr>
          <w:rFonts w:ascii="Arial" w:hAnsi="Arial" w:cs="Arial"/>
          <w:sz w:val="30"/>
        </w:rPr>
        <w:t>23. Datos especialmente preguntables</w:t>
      </w:r>
    </w:p>
    <w:p>
      <w:pPr>
        <w:pStyle w:val="ListBullet"/>
      </w:pPr>
      <w:r>
        <w:rPr>
          <w:rFonts w:ascii="Arial" w:hAnsi="Arial" w:cs="Arial"/>
          <w:sz w:val="22"/>
        </w:rPr>
        <w:t xml:space="preserve">IMV: </w:t>
      </w:r>
      <w:r>
        <w:rPr>
          <w:rFonts w:ascii="Arial" w:hAnsi="Arial" w:cs="Arial"/>
          <w:b/>
          <w:sz w:val="22"/>
        </w:rPr>
        <w:t>Ley 19/2021</w:t>
      </w:r>
      <w:r>
        <w:rPr>
          <w:rFonts w:ascii="Arial" w:hAnsi="Arial" w:cs="Arial"/>
          <w:sz w:val="22"/>
        </w:rPr>
        <w:t>.</w:t>
      </w:r>
    </w:p>
    <w:p>
      <w:pPr>
        <w:pStyle w:val="ListBullet"/>
      </w:pPr>
      <w:r>
        <w:rPr>
          <w:rFonts w:ascii="Arial" w:hAnsi="Arial" w:cs="Arial"/>
          <w:sz w:val="22"/>
        </w:rPr>
        <w:t xml:space="preserve">Edad ordinaria individual: </w:t>
      </w:r>
      <w:r>
        <w:rPr>
          <w:rFonts w:ascii="Arial" w:hAnsi="Arial" w:cs="Arial"/>
          <w:b/>
          <w:sz w:val="22"/>
        </w:rPr>
        <w:t>23 años</w:t>
      </w:r>
      <w:r>
        <w:rPr>
          <w:rFonts w:ascii="Arial" w:hAnsi="Arial" w:cs="Arial"/>
          <w:sz w:val="22"/>
        </w:rPr>
        <w:t>.</w:t>
      </w:r>
    </w:p>
    <w:p>
      <w:pPr>
        <w:pStyle w:val="ListBullet"/>
      </w:pPr>
      <w:r>
        <w:rPr>
          <w:rFonts w:ascii="Arial" w:hAnsi="Arial" w:cs="Arial"/>
          <w:sz w:val="22"/>
        </w:rPr>
        <w:t xml:space="preserve">Residencia IMV: </w:t>
      </w:r>
      <w:r>
        <w:rPr>
          <w:rFonts w:ascii="Arial" w:hAnsi="Arial" w:cs="Arial"/>
          <w:b/>
          <w:sz w:val="22"/>
        </w:rPr>
        <w:t>1 año</w:t>
      </w:r>
      <w:r>
        <w:rPr>
          <w:rFonts w:ascii="Arial" w:hAnsi="Arial" w:cs="Arial"/>
          <w:sz w:val="22"/>
        </w:rPr>
        <w:t>.</w:t>
      </w:r>
    </w:p>
    <w:p>
      <w:pPr>
        <w:pStyle w:val="ListBullet"/>
      </w:pPr>
      <w:r>
        <w:rPr>
          <w:rFonts w:ascii="Arial" w:hAnsi="Arial" w:cs="Arial"/>
          <w:sz w:val="22"/>
        </w:rPr>
        <w:t xml:space="preserve">Unidad constituida: </w:t>
      </w:r>
      <w:r>
        <w:rPr>
          <w:rFonts w:ascii="Arial" w:hAnsi="Arial" w:cs="Arial"/>
          <w:b/>
          <w:sz w:val="22"/>
        </w:rPr>
        <w:t>6 meses</w:t>
      </w:r>
      <w:r>
        <w:rPr>
          <w:rFonts w:ascii="Arial" w:hAnsi="Arial" w:cs="Arial"/>
          <w:sz w:val="22"/>
        </w:rPr>
        <w:t>.</w:t>
      </w:r>
    </w:p>
    <w:p>
      <w:pPr>
        <w:pStyle w:val="ListBullet"/>
      </w:pPr>
      <w:r>
        <w:rPr>
          <w:rFonts w:ascii="Arial" w:hAnsi="Arial" w:cs="Arial"/>
          <w:sz w:val="22"/>
        </w:rPr>
        <w:t xml:space="preserve">Independencia menor de 30: </w:t>
      </w:r>
      <w:r>
        <w:rPr>
          <w:rFonts w:ascii="Arial" w:hAnsi="Arial" w:cs="Arial"/>
          <w:b/>
          <w:sz w:val="22"/>
        </w:rPr>
        <w:t>2 años</w:t>
      </w:r>
      <w:r>
        <w:rPr>
          <w:rFonts w:ascii="Arial" w:hAnsi="Arial" w:cs="Arial"/>
          <w:sz w:val="22"/>
        </w:rPr>
        <w:t xml:space="preserve">, con </w:t>
      </w:r>
      <w:r>
        <w:rPr>
          <w:rFonts w:ascii="Arial" w:hAnsi="Arial" w:cs="Arial"/>
          <w:b/>
          <w:sz w:val="22"/>
        </w:rPr>
        <w:t>12 meses</w:t>
      </w:r>
      <w:r>
        <w:rPr>
          <w:rFonts w:ascii="Arial" w:hAnsi="Arial" w:cs="Arial"/>
          <w:sz w:val="22"/>
        </w:rPr>
        <w:t xml:space="preserve"> de alta.</w:t>
      </w:r>
    </w:p>
    <w:p>
      <w:pPr>
        <w:pStyle w:val="ListBullet"/>
      </w:pPr>
      <w:r>
        <w:rPr>
          <w:rFonts w:ascii="Arial" w:hAnsi="Arial" w:cs="Arial"/>
          <w:sz w:val="22"/>
        </w:rPr>
        <w:t xml:space="preserve">Vulnerabilidad: ingresos al menos </w:t>
      </w:r>
      <w:r>
        <w:rPr>
          <w:rFonts w:ascii="Arial" w:hAnsi="Arial" w:cs="Arial"/>
          <w:b/>
          <w:sz w:val="22"/>
        </w:rPr>
        <w:t>10 €</w:t>
      </w:r>
      <w:r>
        <w:rPr>
          <w:rFonts w:ascii="Arial" w:hAnsi="Arial" w:cs="Arial"/>
          <w:sz w:val="22"/>
        </w:rPr>
        <w:t xml:space="preserve"> inferiores a renta garantizada.</w:t>
      </w:r>
    </w:p>
    <w:p>
      <w:pPr>
        <w:pStyle w:val="ListBullet"/>
      </w:pPr>
      <w:r>
        <w:rPr>
          <w:rFonts w:ascii="Arial" w:hAnsi="Arial" w:cs="Arial"/>
          <w:sz w:val="22"/>
        </w:rPr>
        <w:t xml:space="preserve">PNC 2026: </w:t>
      </w:r>
      <w:r>
        <w:rPr>
          <w:rFonts w:ascii="Arial" w:hAnsi="Arial" w:cs="Arial"/>
          <w:b/>
          <w:sz w:val="22"/>
        </w:rPr>
        <w:t>8.803,20 €/año</w:t>
      </w:r>
      <w:r>
        <w:rPr>
          <w:rFonts w:ascii="Arial" w:hAnsi="Arial" w:cs="Arial"/>
          <w:sz w:val="22"/>
        </w:rPr>
        <w:t>.</w:t>
      </w:r>
    </w:p>
    <w:p>
      <w:pPr>
        <w:pStyle w:val="ListBullet"/>
      </w:pPr>
      <w:r>
        <w:rPr>
          <w:rFonts w:ascii="Arial" w:hAnsi="Arial" w:cs="Arial"/>
          <w:sz w:val="22"/>
        </w:rPr>
        <w:t xml:space="preserve">Referencia IMV individual: </w:t>
      </w:r>
      <w:r>
        <w:rPr>
          <w:rFonts w:ascii="Arial" w:hAnsi="Arial" w:cs="Arial"/>
          <w:b/>
          <w:sz w:val="22"/>
        </w:rPr>
        <w:t>733,60 €/mes</w:t>
      </w:r>
      <w:r>
        <w:rPr>
          <w:rFonts w:ascii="Arial" w:hAnsi="Arial" w:cs="Arial"/>
          <w:sz w:val="22"/>
        </w:rPr>
        <w:t>.</w:t>
      </w:r>
    </w:p>
    <w:p>
      <w:pPr>
        <w:pStyle w:val="ListBullet"/>
      </w:pPr>
      <w:r>
        <w:rPr>
          <w:rFonts w:ascii="Arial" w:hAnsi="Arial" w:cs="Arial"/>
          <w:sz w:val="22"/>
        </w:rPr>
        <w:t>Unidad: +</w:t>
      </w:r>
      <w:r>
        <w:rPr>
          <w:rFonts w:ascii="Arial" w:hAnsi="Arial" w:cs="Arial"/>
          <w:b/>
          <w:sz w:val="22"/>
        </w:rPr>
        <w:t>30 %</w:t>
      </w:r>
      <w:r>
        <w:rPr>
          <w:rFonts w:ascii="Arial" w:hAnsi="Arial" w:cs="Arial"/>
          <w:sz w:val="22"/>
        </w:rPr>
        <w:t xml:space="preserve"> por miembro, máximo </w:t>
      </w:r>
      <w:r>
        <w:rPr>
          <w:rFonts w:ascii="Arial" w:hAnsi="Arial" w:cs="Arial"/>
          <w:b/>
          <w:sz w:val="22"/>
        </w:rPr>
        <w:t>220 %</w:t>
      </w:r>
      <w:r>
        <w:rPr>
          <w:rFonts w:ascii="Arial" w:hAnsi="Arial" w:cs="Arial"/>
          <w:sz w:val="22"/>
        </w:rPr>
        <w:t>.</w:t>
      </w:r>
    </w:p>
    <w:p>
      <w:pPr>
        <w:pStyle w:val="ListBullet"/>
      </w:pPr>
      <w:r>
        <w:rPr>
          <w:rFonts w:ascii="Arial" w:hAnsi="Arial" w:cs="Arial"/>
          <w:sz w:val="22"/>
        </w:rPr>
        <w:t>Monoparentalidad/discapacidad: +</w:t>
      </w:r>
      <w:r>
        <w:rPr>
          <w:rFonts w:ascii="Arial" w:hAnsi="Arial" w:cs="Arial"/>
          <w:b/>
          <w:sz w:val="22"/>
        </w:rPr>
        <w:t>22 %</w:t>
      </w:r>
      <w:r>
        <w:rPr>
          <w:rFonts w:ascii="Arial" w:hAnsi="Arial" w:cs="Arial"/>
          <w:sz w:val="22"/>
        </w:rPr>
        <w:t>.</w:t>
      </w:r>
    </w:p>
    <w:p>
      <w:pPr>
        <w:pStyle w:val="ListBullet"/>
      </w:pPr>
      <w:r>
        <w:rPr>
          <w:rFonts w:ascii="Arial" w:hAnsi="Arial" w:cs="Arial"/>
          <w:sz w:val="22"/>
        </w:rPr>
        <w:t xml:space="preserve">CAPI: </w:t>
      </w:r>
      <w:r>
        <w:rPr>
          <w:rFonts w:ascii="Arial" w:hAnsi="Arial" w:cs="Arial"/>
          <w:b/>
          <w:sz w:val="22"/>
        </w:rPr>
        <w:t>100/70/50 €</w:t>
      </w:r>
      <w:r>
        <w:rPr>
          <w:rFonts w:ascii="Arial" w:hAnsi="Arial" w:cs="Arial"/>
          <w:sz w:val="22"/>
        </w:rPr>
        <w:t xml:space="preserve"> según edad.</w:t>
      </w:r>
    </w:p>
    <w:p>
      <w:pPr>
        <w:pStyle w:val="ListBullet"/>
      </w:pPr>
      <w:r>
        <w:rPr>
          <w:rFonts w:ascii="Arial" w:hAnsi="Arial" w:cs="Arial"/>
          <w:sz w:val="22"/>
        </w:rPr>
        <w:t xml:space="preserve">Comunicación: </w:t>
      </w:r>
      <w:r>
        <w:rPr>
          <w:rFonts w:ascii="Arial" w:hAnsi="Arial" w:cs="Arial"/>
          <w:b/>
          <w:sz w:val="22"/>
        </w:rPr>
        <w:t>30 días naturales</w:t>
      </w:r>
      <w:r>
        <w:rPr>
          <w:rFonts w:ascii="Arial" w:hAnsi="Arial" w:cs="Arial"/>
          <w:sz w:val="22"/>
        </w:rPr>
        <w:t>.</w:t>
      </w:r>
    </w:p>
    <w:p>
      <w:pPr>
        <w:pStyle w:val="ListBullet"/>
      </w:pPr>
      <w:r>
        <w:rPr>
          <w:rFonts w:ascii="Arial" w:hAnsi="Arial" w:cs="Arial"/>
          <w:sz w:val="22"/>
        </w:rPr>
        <w:t xml:space="preserve">Suspensión durante </w:t>
      </w:r>
      <w:r>
        <w:rPr>
          <w:rFonts w:ascii="Arial" w:hAnsi="Arial" w:cs="Arial"/>
          <w:b/>
          <w:sz w:val="22"/>
        </w:rPr>
        <w:t>1 año</w:t>
      </w:r>
      <w:r>
        <w:rPr>
          <w:rFonts w:ascii="Arial" w:hAnsi="Arial" w:cs="Arial"/>
          <w:sz w:val="22"/>
        </w:rPr>
        <w:t>: extinción.</w:t>
      </w:r>
    </w:p>
    <w:p>
      <w:pPr>
        <w:pStyle w:val="ListBullet"/>
      </w:pPr>
      <w:r>
        <w:rPr>
          <w:rFonts w:ascii="Arial" w:hAnsi="Arial" w:cs="Arial"/>
          <w:sz w:val="22"/>
        </w:rPr>
        <w:t xml:space="preserve">Revisión perjudicial IMV: </w:t>
      </w:r>
      <w:r>
        <w:rPr>
          <w:rFonts w:ascii="Arial" w:hAnsi="Arial" w:cs="Arial"/>
          <w:b/>
          <w:sz w:val="22"/>
        </w:rPr>
        <w:t>4 años</w:t>
      </w:r>
      <w:r>
        <w:rPr>
          <w:rFonts w:ascii="Arial" w:hAnsi="Arial" w:cs="Arial"/>
          <w:sz w:val="22"/>
        </w:rPr>
        <w:t>.</w:t>
      </w:r>
    </w:p>
    <w:p>
      <w:pPr>
        <w:pStyle w:val="ListBullet"/>
      </w:pPr>
      <w:r>
        <w:rPr>
          <w:rFonts w:ascii="Arial" w:hAnsi="Arial" w:cs="Arial"/>
          <w:sz w:val="22"/>
        </w:rPr>
        <w:t xml:space="preserve">Hijo con discapacidad: </w:t>
      </w:r>
      <w:r>
        <w:rPr>
          <w:rFonts w:ascii="Arial" w:hAnsi="Arial" w:cs="Arial"/>
          <w:b/>
          <w:sz w:val="22"/>
        </w:rPr>
        <w:t>1.000 / 5.962,80 / 8.942,40 €</w:t>
      </w:r>
      <w:r>
        <w:rPr>
          <w:rFonts w:ascii="Arial" w:hAnsi="Arial" w:cs="Arial"/>
          <w:sz w:val="22"/>
        </w:rPr>
        <w:t>.</w:t>
      </w:r>
    </w:p>
    <w:p>
      <w:pPr>
        <w:pStyle w:val="ListBullet"/>
      </w:pPr>
      <w:r>
        <w:rPr>
          <w:rFonts w:ascii="Arial" w:hAnsi="Arial" w:cs="Arial"/>
          <w:sz w:val="22"/>
        </w:rPr>
        <w:t xml:space="preserve">Nacimiento protegido: </w:t>
      </w:r>
      <w:r>
        <w:rPr>
          <w:rFonts w:ascii="Arial" w:hAnsi="Arial" w:cs="Arial"/>
          <w:b/>
          <w:sz w:val="22"/>
        </w:rPr>
        <w:t>1.000 €</w:t>
      </w:r>
      <w:r>
        <w:rPr>
          <w:rFonts w:ascii="Arial" w:hAnsi="Arial" w:cs="Arial"/>
          <w:sz w:val="22"/>
        </w:rPr>
        <w:t>.</w:t>
      </w:r>
    </w:p>
    <w:p>
      <w:pPr>
        <w:pStyle w:val="ListBullet"/>
      </w:pPr>
      <w:r>
        <w:rPr>
          <w:rFonts w:ascii="Arial" w:hAnsi="Arial" w:cs="Arial"/>
          <w:sz w:val="22"/>
        </w:rPr>
        <w:t xml:space="preserve">Parto múltiple: </w:t>
      </w:r>
      <w:r>
        <w:rPr>
          <w:rFonts w:ascii="Arial" w:hAnsi="Arial" w:cs="Arial"/>
          <w:b/>
          <w:sz w:val="22"/>
        </w:rPr>
        <w:t>4/8/12 SMI mensuales</w:t>
      </w:r>
      <w:r>
        <w:rPr>
          <w:rFonts w:ascii="Arial" w:hAnsi="Arial" w:cs="Arial"/>
          <w:sz w:val="22"/>
        </w:rPr>
        <w:t>.</w:t>
      </w:r>
    </w:p>
    <w:p>
      <w:pPr>
        <w:pStyle w:val="ListBullet"/>
      </w:pPr>
      <w:r>
        <w:rPr>
          <w:rFonts w:ascii="Arial" w:hAnsi="Arial" w:cs="Arial"/>
          <w:sz w:val="22"/>
        </w:rPr>
        <w:t xml:space="preserve">Parto asimilado: </w:t>
      </w:r>
      <w:r>
        <w:rPr>
          <w:rFonts w:ascii="Arial" w:hAnsi="Arial" w:cs="Arial"/>
          <w:b/>
          <w:sz w:val="22"/>
        </w:rPr>
        <w:t>112 días + 14</w:t>
      </w:r>
      <w:r>
        <w:rPr>
          <w:rFonts w:ascii="Arial" w:hAnsi="Arial" w:cs="Arial"/>
          <w:sz w:val="22"/>
        </w:rPr>
        <w:t xml:space="preserve"> por hijo desde segundo.</w:t>
      </w:r>
    </w:p>
    <w:p>
      <w:pPr>
        <w:pStyle w:val="ListBullet"/>
      </w:pPr>
      <w:r>
        <w:rPr>
          <w:rFonts w:ascii="Arial" w:hAnsi="Arial" w:cs="Arial"/>
          <w:sz w:val="22"/>
        </w:rPr>
        <w:t xml:space="preserve">Cuidado: máximo </w:t>
      </w:r>
      <w:r>
        <w:rPr>
          <w:rFonts w:ascii="Arial" w:hAnsi="Arial" w:cs="Arial"/>
          <w:b/>
          <w:sz w:val="22"/>
        </w:rPr>
        <w:t>270 días por hijo</w:t>
      </w:r>
      <w:r>
        <w:rPr>
          <w:rFonts w:ascii="Arial" w:hAnsi="Arial" w:cs="Arial"/>
          <w:sz w:val="22"/>
        </w:rPr>
        <w:t xml:space="preserve"> y </w:t>
      </w:r>
      <w:r>
        <w:rPr>
          <w:rFonts w:ascii="Arial" w:hAnsi="Arial" w:cs="Arial"/>
          <w:b/>
          <w:sz w:val="22"/>
        </w:rPr>
        <w:t>5 años</w:t>
      </w:r>
      <w:r>
        <w:rPr>
          <w:rFonts w:ascii="Arial" w:hAnsi="Arial" w:cs="Arial"/>
          <w:sz w:val="22"/>
        </w:rPr>
        <w:t xml:space="preserve"> por beneficiario.</w:t>
      </w:r>
    </w:p>
    <w:p>
      <w:pPr>
        <w:pStyle w:val="ListBullet"/>
      </w:pPr>
      <w:r>
        <w:rPr>
          <w:rFonts w:ascii="Arial" w:hAnsi="Arial" w:cs="Arial"/>
          <w:sz w:val="22"/>
        </w:rPr>
        <w:t xml:space="preserve">Incapacidad PNC: &gt;18 y &lt;65; </w:t>
      </w:r>
      <w:r>
        <w:rPr>
          <w:rFonts w:ascii="Arial" w:hAnsi="Arial" w:cs="Arial"/>
          <w:b/>
          <w:sz w:val="22"/>
        </w:rPr>
        <w:t>5 años</w:t>
      </w:r>
      <w:r>
        <w:rPr>
          <w:rFonts w:ascii="Arial" w:hAnsi="Arial" w:cs="Arial"/>
          <w:sz w:val="22"/>
        </w:rPr>
        <w:t xml:space="preserve">, 2 inmediatos; discapacidad </w:t>
      </w:r>
      <w:r>
        <w:rPr>
          <w:rFonts w:ascii="Arial" w:hAnsi="Arial" w:cs="Arial"/>
          <w:b/>
          <w:sz w:val="22"/>
        </w:rPr>
        <w:t>65 %</w:t>
      </w:r>
      <w:r>
        <w:rPr>
          <w:rFonts w:ascii="Arial" w:hAnsi="Arial" w:cs="Arial"/>
          <w:sz w:val="22"/>
        </w:rPr>
        <w:t>.</w:t>
      </w:r>
    </w:p>
    <w:p>
      <w:pPr>
        <w:pStyle w:val="ListBullet"/>
      </w:pPr>
      <w:r>
        <w:rPr>
          <w:rFonts w:ascii="Arial" w:hAnsi="Arial" w:cs="Arial"/>
          <w:sz w:val="22"/>
        </w:rPr>
        <w:t xml:space="preserve">Tercera persona: discapacidad </w:t>
      </w:r>
      <w:r>
        <w:rPr>
          <w:rFonts w:ascii="Arial" w:hAnsi="Arial" w:cs="Arial"/>
          <w:b/>
          <w:sz w:val="22"/>
        </w:rPr>
        <w:t>75 %</w:t>
      </w:r>
      <w:r>
        <w:rPr>
          <w:rFonts w:ascii="Arial" w:hAnsi="Arial" w:cs="Arial"/>
          <w:sz w:val="22"/>
        </w:rPr>
        <w:t xml:space="preserve"> y complemento </w:t>
      </w:r>
      <w:r>
        <w:rPr>
          <w:rFonts w:ascii="Arial" w:hAnsi="Arial" w:cs="Arial"/>
          <w:b/>
          <w:sz w:val="22"/>
        </w:rPr>
        <w:t>50 %</w:t>
      </w:r>
      <w:r>
        <w:rPr>
          <w:rFonts w:ascii="Arial" w:hAnsi="Arial" w:cs="Arial"/>
          <w:sz w:val="22"/>
        </w:rPr>
        <w:t>.</w:t>
      </w:r>
    </w:p>
    <w:p>
      <w:pPr>
        <w:pStyle w:val="ListBullet"/>
      </w:pPr>
      <w:r>
        <w:rPr>
          <w:rFonts w:ascii="Arial" w:hAnsi="Arial" w:cs="Arial"/>
          <w:sz w:val="22"/>
        </w:rPr>
        <w:t xml:space="preserve">Jubilación PNC: </w:t>
      </w:r>
      <w:r>
        <w:rPr>
          <w:rFonts w:ascii="Arial" w:hAnsi="Arial" w:cs="Arial"/>
          <w:b/>
          <w:sz w:val="22"/>
        </w:rPr>
        <w:t>65 años</w:t>
      </w:r>
      <w:r>
        <w:rPr>
          <w:rFonts w:ascii="Arial" w:hAnsi="Arial" w:cs="Arial"/>
          <w:sz w:val="22"/>
        </w:rPr>
        <w:t xml:space="preserve">; residencia </w:t>
      </w:r>
      <w:r>
        <w:rPr>
          <w:rFonts w:ascii="Arial" w:hAnsi="Arial" w:cs="Arial"/>
          <w:b/>
          <w:sz w:val="22"/>
        </w:rPr>
        <w:t>10 años</w:t>
      </w:r>
      <w:r>
        <w:rPr>
          <w:rFonts w:ascii="Arial" w:hAnsi="Arial" w:cs="Arial"/>
          <w:sz w:val="22"/>
        </w:rPr>
        <w:t>, 2 inmediatos.</w:t>
      </w:r>
    </w:p>
    <w:p>
      <w:pPr>
        <w:pStyle w:val="ListBullet"/>
      </w:pPr>
      <w:r>
        <w:rPr>
          <w:rFonts w:ascii="Arial" w:hAnsi="Arial" w:cs="Arial"/>
          <w:sz w:val="22"/>
        </w:rPr>
        <w:t xml:space="preserve">Complemento alquiler PNC 2026: </w:t>
      </w:r>
      <w:r>
        <w:rPr>
          <w:rFonts w:ascii="Arial" w:hAnsi="Arial" w:cs="Arial"/>
          <w:b/>
          <w:sz w:val="22"/>
        </w:rPr>
        <w:t>525 €</w:t>
      </w:r>
      <w:r>
        <w:rPr>
          <w:rFonts w:ascii="Arial" w:hAnsi="Arial" w:cs="Arial"/>
          <w:sz w:val="22"/>
        </w:rPr>
        <w:t>.</w:t>
      </w:r>
    </w:p>
    <w:p>
      <w:pPr>
        <w:pStyle w:val="ListBullet"/>
      </w:pPr>
      <w:r>
        <w:rPr>
          <w:rFonts w:ascii="Arial" w:hAnsi="Arial" w:cs="Arial"/>
          <w:sz w:val="22"/>
        </w:rPr>
        <w:t xml:space="preserve">Gestión PNC: artículo </w:t>
      </w:r>
      <w:r>
        <w:rPr>
          <w:rFonts w:ascii="Arial" w:hAnsi="Arial" w:cs="Arial"/>
          <w:b/>
          <w:sz w:val="22"/>
        </w:rPr>
        <w:t>373 TRLGSS</w:t>
      </w:r>
      <w:r>
        <w:rPr>
          <w:rFonts w:ascii="Arial" w:hAnsi="Arial" w:cs="Arial"/>
          <w:sz w:val="22"/>
        </w:rPr>
        <w:t>.</w:t>
      </w:r>
    </w:p>
    <w:p>
      <w:pPr>
        <w:pStyle w:val="Heading1"/>
        <w:keepNext/>
      </w:pPr>
      <w:r>
        <w:rPr>
          <w:rFonts w:ascii="Arial" w:hAnsi="Arial" w:cs="Arial"/>
          <w:sz w:val="30"/>
        </w:rPr>
        <w:t>24. Fuentes oficiales</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Ley 19/2021, de ingreso mínimo vital (https://www.boe.es/buscar/act.php?id=BOE-A-2021-21007).</w:t>
      </w:r>
    </w:p>
    <w:p>
      <w:pPr>
        <w:pStyle w:val="ListBullet"/>
      </w:pPr>
      <w:r>
        <w:rPr>
          <w:rFonts w:ascii="Arial" w:hAnsi="Arial" w:cs="Arial"/>
          <w:sz w:val="22"/>
        </w:rPr>
        <w:t>Ley 1/2026, integral de impulso de la economía social (https://www.boe.es/buscar/act.php?id=BOE-A-2026-7967).</w:t>
      </w:r>
    </w:p>
    <w:p>
      <w:pPr>
        <w:pStyle w:val="ListBullet"/>
      </w:pPr>
      <w:r>
        <w:rPr>
          <w:rFonts w:ascii="Arial" w:hAnsi="Arial" w:cs="Arial"/>
          <w:sz w:val="22"/>
        </w:rPr>
        <w:t>Real Decreto 789/2022, compatibilidad del IMV con trabajo (https://www.boe.es/buscar/act.php?id=BOE-A-2022-15764).</w:t>
      </w:r>
    </w:p>
    <w:p>
      <w:pPr>
        <w:pStyle w:val="ListBullet"/>
      </w:pPr>
      <w:r>
        <w:rPr>
          <w:rFonts w:ascii="Arial" w:hAnsi="Arial" w:cs="Arial"/>
          <w:sz w:val="22"/>
        </w:rPr>
        <w:t>Real Decreto 240/2026, modificación del incentivo al empleo (https://www.boe.es/buscar/act.php?id=BOE-A-2026-6976).</w:t>
      </w:r>
    </w:p>
    <w:p>
      <w:pPr>
        <w:pStyle w:val="ListBullet"/>
      </w:pPr>
      <w:r>
        <w:rPr>
          <w:rFonts w:ascii="Arial" w:hAnsi="Arial" w:cs="Arial"/>
          <w:sz w:val="22"/>
        </w:rPr>
        <w:t>Real Decreto 241/2026, cuantías de 2026 (https://www.boe.es/buscar/act.php?id=BOE-A-2026-6977).</w:t>
      </w:r>
    </w:p>
    <w:p>
      <w:pPr>
        <w:pStyle w:val="ListBullet"/>
      </w:pPr>
      <w:r>
        <w:rPr>
          <w:rFonts w:ascii="Arial" w:hAnsi="Arial" w:cs="Arial"/>
          <w:sz w:val="22"/>
        </w:rPr>
        <w:t>Real Decreto 1191/2012, complemento de alquiler de PNC (https://www.boe.es/buscar/act.php?id=BOE-A-2012-10807).</w:t>
      </w:r>
    </w:p>
    <w:p>
      <w:pPr>
        <w:pStyle w:val="ListBullet"/>
      </w:pPr>
      <w:r>
        <w:rPr>
          <w:rFonts w:ascii="Arial" w:hAnsi="Arial" w:cs="Arial"/>
          <w:sz w:val="22"/>
        </w:rPr>
        <w:t>Portal oficial del ingreso mínimo vital (https://www.seg-social.es/wps/portal/wss/internet/Trabajadores/PrestacionesPensionesTrabajadores/65850d68-8d06-4645-bde7-05374ee42ac7).</w:t>
      </w:r>
    </w:p>
    <w:p>
      <w:pPr>
        <w:pStyle w:val="ListBullet"/>
      </w:pPr>
      <w:r>
        <w:rPr>
          <w:rFonts w:ascii="Arial" w:hAnsi="Arial" w:cs="Arial"/>
          <w:sz w:val="22"/>
        </w:rPr>
        <w:t>Portal oficial de pensiones no contributivas (https://imserso.es/pnc-prestaciones-subvenciones/pensiones-no-contributivas).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S12 · Tema 12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12. Prestaciones no contributivas y asistenciales. El ingreso mínimo vital - beneficiarios, requisitos y duración. Obligaciones de las personas…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