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13</w:t>
      </w:r>
    </w:p>
    <w:p>
      <w:pPr>
        <w:keepNext/>
        <w:spacing w:before="0" w:after="280"/>
        <w:pBdr>
          <w:bottom w:val="single" w:sz="12" w:space="1" w:color="2F75B5"/>
        </w:pBdr>
      </w:pPr>
      <w:r>
        <w:rPr>
          <w:rFonts w:ascii="Arial" w:hAnsi="Arial" w:cs="Arial"/>
          <w:b/>
          <w:color w:val="17365D"/>
          <w:sz w:val="40"/>
        </w:rPr>
        <w:t>Recursos generales del sistema de la Seguridad Social. El patrimonio único de la seguridad social: titularidad, adscripción, administración y custodia. Los negocios jurídicos patrimoniales: adquisición, enajenación, arrendamiento y cesión. El Fondo de Reserva de la Seguridad Social: constitución, dotación y disposición. Gestión de los recursos financieros: atribución de funciones. Pago de prestaciones de la Seguridad Social.</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b/>
          <w:sz w:val="22"/>
        </w:rPr>
        <w:t>Actualizado a 30 de julio de 2026.</w:t>
      </w:r>
    </w:p>
    <w:p>
      <w:pPr>
        <w:jc w:val="both"/>
      </w:pPr>
      <w:r>
        <w:rPr>
          <w:rFonts w:ascii="Arial" w:hAnsi="Arial" w:cs="Arial"/>
          <w:sz w:val="22"/>
        </w:rPr>
        <w:t>El régimen económico de la Seguridad Social se apoya en tres ideas constitucionales y legales: unidad patrimonial, caja única y afectación de recursos a fines de protección. Las entidades gestoras reconocen prestaciones y utilizan inmuebles, pero ni cada entidad tiene una tesorería separada ni los bienes adscritos pasan a ser de su propiedad. La Tesorería General de la Seguridad Social —TGSS— es titular del patrimonio único, administra la caja del sistema y ordena los pagos.</w:t>
      </w:r>
    </w:p>
    <w:p>
      <w:pPr>
        <w:jc w:val="both"/>
      </w:pPr>
      <w:r>
        <w:rPr>
          <w:rFonts w:ascii="Arial" w:hAnsi="Arial" w:cs="Arial"/>
          <w:sz w:val="22"/>
        </w:rPr>
        <w:t>El tema combina normas legales y reglamentarias. Los artículos 103 a 127 bis del texto refundido de la Ley General de la Seguridad Social —TRLGSS— regulan patrimonio, recursos, sistema financiero y Fondo de Reserva. El Real Decreto 1221/1992 desarrolla los negocios patrimoniales. El Real Decreto 696/2018 regula la gestión financiera y el pago. El Real Decreto 337/2004 conserva desarrollo del Fondo en cuanto sea compatible con el TRLGSS; su antigua ley de cobertura, la Ley 28/2003, está derogada y no debe citarse como regulación legal vigente.</w:t>
      </w:r>
    </w:p>
    <w:p>
      <w:pPr>
        <w:pStyle w:val="Heading1"/>
        <w:keepNext/>
      </w:pPr>
      <w:r>
        <w:rPr>
          <w:rFonts w:ascii="Arial" w:hAnsi="Arial" w:cs="Arial"/>
          <w:sz w:val="30"/>
        </w:rPr>
        <w:t>1. Principios del régimen económico</w:t>
      </w:r>
    </w:p>
    <w:p>
      <w:pPr>
        <w:pStyle w:val="Heading2"/>
        <w:keepNext/>
      </w:pPr>
      <w:r>
        <w:rPr>
          <w:rFonts w:ascii="Arial" w:hAnsi="Arial" w:cs="Arial"/>
          <w:sz w:val="25"/>
        </w:rPr>
        <w:t>1.1. Caja única</w:t>
      </w:r>
    </w:p>
    <w:p>
      <w:pPr>
        <w:jc w:val="both"/>
      </w:pPr>
      <w:r>
        <w:rPr>
          <w:rFonts w:ascii="Arial" w:hAnsi="Arial" w:cs="Arial"/>
          <w:sz w:val="22"/>
        </w:rPr>
        <w:t>La TGSS actúa como caja única del sistema. Recauda, concentra disponibilidades, distribuye fondos en tiempo y territorio, ordena pagos y realiza operaciones financieras. La unidad no impide que entidades gestoras formulen presupuestos, reconozcan obligaciones o expidan propuestas de pago; significa que el circuito dinerario no se fragmenta por entidad o provincia.</w:t>
      </w:r>
    </w:p>
    <w:p>
      <w:pPr>
        <w:jc w:val="both"/>
      </w:pPr>
      <w:r>
        <w:rPr>
          <w:rFonts w:ascii="Arial" w:hAnsi="Arial" w:cs="Arial"/>
          <w:sz w:val="22"/>
        </w:rPr>
        <w:t>La caja única es garantía de solidaridad territorial y financiera. Las cuotas recaudadas en una provincia no quedan reservadas a sus pensionistas. Tampoco la entidad que reconoce una prestación conserva en una cuenta propia los recursos necesarios para abonarla.</w:t>
      </w:r>
    </w:p>
    <w:p>
      <w:pPr>
        <w:pStyle w:val="Heading2"/>
        <w:keepNext/>
      </w:pPr>
      <w:r>
        <w:rPr>
          <w:rFonts w:ascii="Arial" w:hAnsi="Arial" w:cs="Arial"/>
          <w:sz w:val="25"/>
        </w:rPr>
        <w:t>1.2. Patrimonio único y afectación</w:t>
      </w:r>
    </w:p>
    <w:p>
      <w:pPr>
        <w:jc w:val="both"/>
      </w:pPr>
      <w:r>
        <w:rPr>
          <w:rFonts w:ascii="Arial" w:hAnsi="Arial" w:cs="Arial"/>
          <w:sz w:val="22"/>
        </w:rPr>
        <w:t xml:space="preserve">El artículo 103 declara que cuotas, bienes, derechos, acciones y recursos de cualquier género constituyen un </w:t>
      </w:r>
      <w:r>
        <w:rPr>
          <w:rFonts w:ascii="Arial" w:hAnsi="Arial" w:cs="Arial"/>
          <w:b/>
          <w:sz w:val="22"/>
        </w:rPr>
        <w:t>patrimonio único</w:t>
      </w:r>
      <w:r>
        <w:rPr>
          <w:rFonts w:ascii="Arial" w:hAnsi="Arial" w:cs="Arial"/>
          <w:sz w:val="22"/>
        </w:rPr>
        <w:t>, afecto a los fines de Seguridad Social y distinto del patrimonio del Estado. Es titularidad pública diferenciada.</w:t>
      </w:r>
    </w:p>
    <w:p>
      <w:pPr>
        <w:jc w:val="both"/>
      </w:pPr>
      <w:r>
        <w:rPr>
          <w:rFonts w:ascii="Arial" w:hAnsi="Arial" w:cs="Arial"/>
          <w:sz w:val="22"/>
        </w:rPr>
        <w:t>Los inmuebles se afectan prioritariamente a esos fines, pero pueden destinarse a utilidad pública mediante adscripción o cesión de uso. La afectación no impide la explotación rentable de inmuebles innecesarios ni su enajenación conforme al procedimiento.</w:t>
      </w:r>
    </w:p>
    <w:p>
      <w:pPr>
        <w:pStyle w:val="Heading2"/>
        <w:keepNext/>
      </w:pPr>
      <w:r>
        <w:rPr>
          <w:rFonts w:ascii="Arial" w:hAnsi="Arial" w:cs="Arial"/>
          <w:sz w:val="25"/>
        </w:rPr>
        <w:t>1.3. Sistema financiero</w:t>
      </w:r>
    </w:p>
    <w:p>
      <w:pPr>
        <w:jc w:val="both"/>
      </w:pPr>
      <w:r>
        <w:rPr>
          <w:rFonts w:ascii="Arial" w:hAnsi="Arial" w:cs="Arial"/>
          <w:sz w:val="22"/>
        </w:rPr>
        <w:t xml:space="preserve">El artículo 110 establece el sistema de </w:t>
      </w:r>
      <w:r>
        <w:rPr>
          <w:rFonts w:ascii="Arial" w:hAnsi="Arial" w:cs="Arial"/>
          <w:b/>
          <w:sz w:val="22"/>
        </w:rPr>
        <w:t>reparto</w:t>
      </w:r>
      <w:r>
        <w:rPr>
          <w:rFonts w:ascii="Arial" w:hAnsi="Arial" w:cs="Arial"/>
          <w:sz w:val="22"/>
        </w:rPr>
        <w:t xml:space="preserve"> para todos los regímenes y contingencias, sin perjuicio de la capitalización de pensiones de incapacidad permanente o muerte derivadas de accidente de trabajo o enfermedad profesional cuya responsabilidad corresponde a mutuas o empresas. En esas contingencias se constituyen capitales coste en la TGSS.</w:t>
      </w:r>
    </w:p>
    <w:p>
      <w:pPr>
        <w:jc w:val="both"/>
      </w:pPr>
      <w:r>
        <w:rPr>
          <w:rFonts w:ascii="Arial" w:hAnsi="Arial" w:cs="Arial"/>
          <w:sz w:val="22"/>
        </w:rPr>
        <w:t>Existe además un fondo de estabilización único para atender desviaciones entre ingresos y gastos. No debe confundirse con el Fondo de Reserva: ambos cumplen funciones de equilibrio, pero tienen regulación y alcance distintos.</w:t>
      </w:r>
    </w:p>
    <w:p>
      <w:pPr>
        <w:pStyle w:val="Heading1"/>
        <w:keepNext/>
      </w:pPr>
      <w:r>
        <w:rPr>
          <w:rFonts w:ascii="Arial" w:hAnsi="Arial" w:cs="Arial"/>
          <w:sz w:val="30"/>
        </w:rPr>
        <w:t>2. Recursos generales del sistema</w:t>
      </w:r>
    </w:p>
    <w:p>
      <w:pPr>
        <w:jc w:val="both"/>
      </w:pPr>
      <w:r>
        <w:rPr>
          <w:rFonts w:ascii="Arial" w:hAnsi="Arial" w:cs="Arial"/>
          <w:sz w:val="22"/>
        </w:rPr>
        <w:t>El artículo 109.1 enumera cinco categorías:</w:t>
      </w:r>
    </w:p>
    <w:p>
      <w:pPr>
        <w:spacing w:after="40"/>
        <w:ind w:left="369" w:hanging="227"/>
      </w:pPr>
      <w:r>
        <w:rPr>
          <w:rFonts w:ascii="Arial" w:hAnsi="Arial" w:cs="Arial"/>
          <w:sz w:val="22"/>
        </w:rPr>
        <w:t>1. aportaciones progresivas del Estado consignadas permanentemente en los Presupuestos Generales y aportaciones especiales o coyunturales;</w:t>
      </w:r>
    </w:p>
    <w:p>
      <w:pPr>
        <w:spacing w:after="40"/>
        <w:ind w:left="369" w:hanging="227"/>
      </w:pPr>
      <w:r>
        <w:rPr>
          <w:rFonts w:ascii="Arial" w:hAnsi="Arial" w:cs="Arial"/>
          <w:sz w:val="22"/>
        </w:rPr>
        <w:t>2. cuotas de las personas obligadas;</w:t>
      </w:r>
    </w:p>
    <w:p>
      <w:pPr>
        <w:spacing w:after="40"/>
        <w:ind w:left="369" w:hanging="227"/>
      </w:pPr>
      <w:r>
        <w:rPr>
          <w:rFonts w:ascii="Arial" w:hAnsi="Arial" w:cs="Arial"/>
          <w:sz w:val="22"/>
        </w:rPr>
        <w:t>3. recargos, sanciones y cantidades análogas;</w:t>
      </w:r>
    </w:p>
    <w:p>
      <w:pPr>
        <w:spacing w:after="40"/>
        <w:ind w:left="369" w:hanging="227"/>
      </w:pPr>
      <w:r>
        <w:rPr>
          <w:rFonts w:ascii="Arial" w:hAnsi="Arial" w:cs="Arial"/>
          <w:sz w:val="22"/>
        </w:rPr>
        <w:t>4. frutos, rentas, intereses y productos de los recursos patrimoniales;</w:t>
      </w:r>
    </w:p>
    <w:p>
      <w:pPr>
        <w:spacing w:after="40"/>
        <w:ind w:left="369" w:hanging="227"/>
      </w:pPr>
      <w:r>
        <w:rPr>
          <w:rFonts w:ascii="Arial" w:hAnsi="Arial" w:cs="Arial"/>
          <w:sz w:val="22"/>
        </w:rPr>
        <w:t>5. cualesquiera otros ingresos.</w:t>
      </w:r>
    </w:p>
    <w:tbl>
      <w:tblPr>
        <w:tblStyle w:val="TableGrid"/>
        <w:tblW w:type="dxa" w:w="9026"/>
        <w:jc w:val="left"/>
        <w:tblLayout w:type="fixed"/>
        <w:tblLook w:firstColumn="1" w:firstRow="1" w:lastColumn="0" w:lastRow="0" w:noHBand="0" w:noVBand="1" w:val="04A0"/>
        <w:tblInd w:w="120" w:type="dxa"/>
      </w:tblPr>
      <w:tblGrid>
        <w:gridCol w:w="2382"/>
        <w:gridCol w:w="3259"/>
        <w:gridCol w:w="3385"/>
      </w:tblGrid>
      <w:tr>
        <w:trPr>
          <w:tblHeader w:val="true"/>
        </w:trPr>
        <w:tc>
          <w:tcPr>
            <w:tcW w:type="dxa" w:w="238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Recurso</w:t>
            </w:r>
          </w:p>
        </w:tc>
        <w:tc>
          <w:tcPr>
            <w:tcW w:type="dxa" w:w="325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Ejemplo</w:t>
            </w:r>
          </w:p>
        </w:tc>
        <w:tc>
          <w:tcPr>
            <w:tcW w:type="dxa" w:w="338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Naturaleza</w:t>
            </w:r>
          </w:p>
        </w:tc>
      </w:tr>
      <w:tr>
        <w:tc>
          <w:tcPr>
            <w:tcW w:type="dxa" w:w="2382"/>
            <w:tcMar>
              <w:top w:w="80" w:type="dxa"/>
              <w:start w:w="120" w:type="dxa"/>
              <w:bottom w:w="80" w:type="dxa"/>
              <w:end w:w="120" w:type="dxa"/>
            </w:tcMar>
            <w:vAlign w:val="center"/>
          </w:tcPr>
          <w:p>
            <w:pPr>
              <w:spacing w:before="0" w:after="0" w:line="240" w:lineRule="auto"/>
              <w:jc w:val="left"/>
            </w:pPr>
            <w:r/>
            <w:r>
              <w:rPr>
                <w:rFonts w:ascii="Arial" w:hAnsi="Arial" w:cs="Arial"/>
                <w:sz w:val="18"/>
              </w:rPr>
              <w:t>Aportación estatal</w:t>
            </w:r>
          </w:p>
        </w:tc>
        <w:tc>
          <w:tcPr>
            <w:tcW w:type="dxa" w:w="3259"/>
            <w:tcMar>
              <w:top w:w="80" w:type="dxa"/>
              <w:start w:w="120" w:type="dxa"/>
              <w:bottom w:w="80" w:type="dxa"/>
              <w:end w:w="120" w:type="dxa"/>
            </w:tcMar>
            <w:vAlign w:val="center"/>
          </w:tcPr>
          <w:p>
            <w:pPr>
              <w:spacing w:before="0" w:after="0" w:line="240" w:lineRule="auto"/>
              <w:jc w:val="left"/>
            </w:pPr>
            <w:r/>
            <w:r>
              <w:rPr>
                <w:rFonts w:ascii="Arial" w:hAnsi="Arial" w:cs="Arial"/>
                <w:sz w:val="18"/>
              </w:rPr>
              <w:t>Financiación no contributiva</w:t>
            </w:r>
          </w:p>
        </w:tc>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Transferencia presupuestaria</w:t>
            </w:r>
          </w:p>
        </w:tc>
      </w:tr>
      <w:tr>
        <w:tc>
          <w:tcPr>
            <w:tcW w:type="dxa" w:w="2382"/>
            <w:tcMar>
              <w:top w:w="80" w:type="dxa"/>
              <w:start w:w="120" w:type="dxa"/>
              <w:bottom w:w="80" w:type="dxa"/>
              <w:end w:w="120" w:type="dxa"/>
            </w:tcMar>
            <w:vAlign w:val="center"/>
          </w:tcPr>
          <w:p>
            <w:pPr>
              <w:spacing w:before="0" w:after="0" w:line="240" w:lineRule="auto"/>
              <w:jc w:val="left"/>
            </w:pPr>
            <w:r/>
            <w:r>
              <w:rPr>
                <w:rFonts w:ascii="Arial" w:hAnsi="Arial" w:cs="Arial"/>
                <w:sz w:val="18"/>
              </w:rPr>
              <w:t>Cuota</w:t>
            </w:r>
          </w:p>
        </w:tc>
        <w:tc>
          <w:tcPr>
            <w:tcW w:type="dxa" w:w="3259"/>
            <w:tcMar>
              <w:top w:w="80" w:type="dxa"/>
              <w:start w:w="120" w:type="dxa"/>
              <w:bottom w:w="80" w:type="dxa"/>
              <w:end w:w="120" w:type="dxa"/>
            </w:tcMar>
            <w:vAlign w:val="center"/>
          </w:tcPr>
          <w:p>
            <w:pPr>
              <w:spacing w:before="0" w:after="0" w:line="240" w:lineRule="auto"/>
              <w:jc w:val="left"/>
            </w:pPr>
            <w:r/>
            <w:r>
              <w:rPr>
                <w:rFonts w:ascii="Arial" w:hAnsi="Arial" w:cs="Arial"/>
                <w:sz w:val="18"/>
              </w:rPr>
              <w:t>Empresa y trabajador</w:t>
            </w:r>
          </w:p>
        </w:tc>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Recurso contributivo</w:t>
            </w:r>
          </w:p>
        </w:tc>
      </w:tr>
      <w:tr>
        <w:tc>
          <w:tcPr>
            <w:tcW w:type="dxa" w:w="2382"/>
            <w:tcMar>
              <w:top w:w="80" w:type="dxa"/>
              <w:start w:w="120" w:type="dxa"/>
              <w:bottom w:w="80" w:type="dxa"/>
              <w:end w:w="120" w:type="dxa"/>
            </w:tcMar>
            <w:vAlign w:val="center"/>
          </w:tcPr>
          <w:p>
            <w:pPr>
              <w:spacing w:before="0" w:after="0" w:line="240" w:lineRule="auto"/>
              <w:jc w:val="left"/>
            </w:pPr>
            <w:r/>
            <w:r>
              <w:rPr>
                <w:rFonts w:ascii="Arial" w:hAnsi="Arial" w:cs="Arial"/>
                <w:sz w:val="18"/>
              </w:rPr>
              <w:t>Recargo o sanción</w:t>
            </w:r>
          </w:p>
        </w:tc>
        <w:tc>
          <w:tcPr>
            <w:tcW w:type="dxa" w:w="3259"/>
            <w:tcMar>
              <w:top w:w="80" w:type="dxa"/>
              <w:start w:w="120" w:type="dxa"/>
              <w:bottom w:w="80" w:type="dxa"/>
              <w:end w:w="120" w:type="dxa"/>
            </w:tcMar>
            <w:vAlign w:val="center"/>
          </w:tcPr>
          <w:p>
            <w:pPr>
              <w:spacing w:before="0" w:after="0" w:line="240" w:lineRule="auto"/>
              <w:jc w:val="left"/>
            </w:pPr>
            <w:r/>
            <w:r>
              <w:rPr>
                <w:rFonts w:ascii="Arial" w:hAnsi="Arial" w:cs="Arial"/>
                <w:sz w:val="18"/>
              </w:rPr>
              <w:t>Recargo de mora, multa</w:t>
            </w:r>
          </w:p>
        </w:tc>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Ingreso de derecho público</w:t>
            </w:r>
          </w:p>
        </w:tc>
      </w:tr>
      <w:tr>
        <w:tc>
          <w:tcPr>
            <w:tcW w:type="dxa" w:w="2382"/>
            <w:tcMar>
              <w:top w:w="80" w:type="dxa"/>
              <w:start w:w="120" w:type="dxa"/>
              <w:bottom w:w="80" w:type="dxa"/>
              <w:end w:w="120" w:type="dxa"/>
            </w:tcMar>
            <w:vAlign w:val="center"/>
          </w:tcPr>
          <w:p>
            <w:pPr>
              <w:spacing w:before="0" w:after="0" w:line="240" w:lineRule="auto"/>
              <w:jc w:val="left"/>
            </w:pPr>
            <w:r/>
            <w:r>
              <w:rPr>
                <w:rFonts w:ascii="Arial" w:hAnsi="Arial" w:cs="Arial"/>
                <w:sz w:val="18"/>
              </w:rPr>
              <w:t>Producto patrimonial</w:t>
            </w:r>
          </w:p>
        </w:tc>
        <w:tc>
          <w:tcPr>
            <w:tcW w:type="dxa" w:w="3259"/>
            <w:tcMar>
              <w:top w:w="80" w:type="dxa"/>
              <w:start w:w="120" w:type="dxa"/>
              <w:bottom w:w="80" w:type="dxa"/>
              <w:end w:w="120" w:type="dxa"/>
            </w:tcMar>
            <w:vAlign w:val="center"/>
          </w:tcPr>
          <w:p>
            <w:pPr>
              <w:spacing w:before="0" w:after="0" w:line="240" w:lineRule="auto"/>
              <w:jc w:val="left"/>
            </w:pPr>
            <w:r/>
            <w:r>
              <w:rPr>
                <w:rFonts w:ascii="Arial" w:hAnsi="Arial" w:cs="Arial"/>
                <w:sz w:val="18"/>
              </w:rPr>
              <w:t>Renta de inmueble, interés</w:t>
            </w:r>
          </w:p>
        </w:tc>
        <w:tc>
          <w:tcPr>
            <w:tcW w:type="dxa" w:w="3385"/>
            <w:tcMar>
              <w:top w:w="80" w:type="dxa"/>
              <w:start w:w="120" w:type="dxa"/>
              <w:bottom w:w="80" w:type="dxa"/>
              <w:end w:w="120" w:type="dxa"/>
            </w:tcMar>
            <w:vAlign w:val="center"/>
          </w:tcPr>
          <w:p>
            <w:pPr>
              <w:spacing w:before="0" w:after="0" w:line="240" w:lineRule="auto"/>
              <w:jc w:val="center"/>
            </w:pPr>
            <w:r/>
            <w:r>
              <w:rPr>
                <w:rFonts w:ascii="Arial" w:hAnsi="Arial" w:cs="Arial"/>
                <w:sz w:val="18"/>
              </w:rPr>
              <w:t>Rendimiento</w:t>
            </w:r>
          </w:p>
        </w:tc>
      </w:tr>
      <w:tr>
        <w:tc>
          <w:tcPr>
            <w:tcW w:type="dxa" w:w="2382"/>
            <w:tcMar>
              <w:top w:w="80" w:type="dxa"/>
              <w:start w:w="120" w:type="dxa"/>
              <w:bottom w:w="80" w:type="dxa"/>
              <w:end w:w="120" w:type="dxa"/>
            </w:tcMar>
            <w:vAlign w:val="center"/>
          </w:tcPr>
          <w:p>
            <w:pPr>
              <w:spacing w:before="0" w:after="0" w:line="240" w:lineRule="auto"/>
              <w:jc w:val="left"/>
            </w:pPr>
            <w:r/>
            <w:r>
              <w:rPr>
                <w:rFonts w:ascii="Arial" w:hAnsi="Arial" w:cs="Arial"/>
                <w:sz w:val="18"/>
              </w:rPr>
              <w:t>Otro ingreso</w:t>
            </w:r>
          </w:p>
        </w:tc>
        <w:tc>
          <w:tcPr>
            <w:tcW w:type="dxa" w:w="3259"/>
            <w:tcMar>
              <w:top w:w="80" w:type="dxa"/>
              <w:start w:w="120" w:type="dxa"/>
              <w:bottom w:w="80" w:type="dxa"/>
              <w:end w:w="120" w:type="dxa"/>
            </w:tcMar>
            <w:vAlign w:val="center"/>
          </w:tcPr>
          <w:p>
            <w:pPr>
              <w:spacing w:before="0" w:after="0" w:line="240" w:lineRule="auto"/>
              <w:jc w:val="left"/>
            </w:pPr>
            <w:r/>
            <w:r>
              <w:rPr>
                <w:rFonts w:ascii="Arial" w:hAnsi="Arial" w:cs="Arial"/>
                <w:sz w:val="18"/>
              </w:rPr>
              <w:t>Reintegro o recurso legal</w:t>
            </w:r>
          </w:p>
        </w:tc>
        <w:tc>
          <w:tcPr>
            <w:tcW w:type="dxa" w:w="3385"/>
            <w:tcMar>
              <w:top w:w="80" w:type="dxa"/>
              <w:start w:w="120" w:type="dxa"/>
              <w:bottom w:w="80" w:type="dxa"/>
              <w:end w:w="120" w:type="dxa"/>
            </w:tcMar>
            <w:vAlign w:val="center"/>
          </w:tcPr>
          <w:p>
            <w:pPr>
              <w:spacing w:before="0" w:after="0" w:line="240" w:lineRule="auto"/>
              <w:jc w:val="left"/>
            </w:pPr>
            <w:r/>
            <w:r>
              <w:rPr>
                <w:rFonts w:ascii="Arial" w:hAnsi="Arial" w:cs="Arial"/>
                <w:sz w:val="18"/>
              </w:rPr>
              <w:t>Categoría residual</w:t>
            </w:r>
          </w:p>
        </w:tc>
      </w:tr>
    </w:tbl>
    <w:p>
      <w:pPr>
        <w:spacing w:after="40"/>
      </w:pPr>
    </w:p>
    <w:p>
      <w:pPr>
        <w:jc w:val="both"/>
      </w:pPr>
      <w:r>
        <w:rPr>
          <w:rFonts w:ascii="Arial" w:hAnsi="Arial" w:cs="Arial"/>
          <w:sz w:val="22"/>
        </w:rPr>
        <w:t>La lista no convierte todo ingreso de la TGSS en cuota. Cada recurso conserva su régimen de nacimiento, liquidación, prescripción y recaudación.</w:t>
      </w:r>
    </w:p>
    <w:p>
      <w:pPr>
        <w:pStyle w:val="Heading2"/>
        <w:keepNext/>
      </w:pPr>
      <w:r>
        <w:rPr>
          <w:rFonts w:ascii="Arial" w:hAnsi="Arial" w:cs="Arial"/>
          <w:sz w:val="25"/>
        </w:rPr>
        <w:t>2.1. Separación de fuentes</w:t>
      </w:r>
    </w:p>
    <w:p>
      <w:pPr>
        <w:jc w:val="both"/>
      </w:pPr>
      <w:r>
        <w:rPr>
          <w:rFonts w:ascii="Arial" w:hAnsi="Arial" w:cs="Arial"/>
          <w:sz w:val="22"/>
        </w:rPr>
        <w:t>La acción protectora no contributiva y universal se financia mediante aportaciones del Estado, con las particularidades de servicios transferidos. Las prestaciones contributivas, su gestión y las funciones de afiliación, recaudación y gestión económico-financiera y patrimonial se financian básicamente con cuotas, recargos, productos y otros ingresos, además de aportaciones específicas del Estado.</w:t>
      </w:r>
    </w:p>
    <w:p>
      <w:pPr>
        <w:jc w:val="both"/>
      </w:pPr>
      <w:r>
        <w:rPr>
          <w:rFonts w:ascii="Arial" w:hAnsi="Arial" w:cs="Arial"/>
          <w:sz w:val="22"/>
        </w:rPr>
        <w:t>Son contributivas, como regla, las prestaciones económicas salvo las calificadas como no contributivas y todas las derivadas de accidente de trabajo o enfermedad profesional. Son no contributivas asistencia sanitaria y servicios sociales no profesionales, pensiones no contributivas, complementos por mínimos, prestaciones familiares e IMV, entre otras.</w:t>
      </w:r>
    </w:p>
    <w:p>
      <w:pPr>
        <w:jc w:val="both"/>
      </w:pPr>
      <w:r>
        <w:rPr>
          <w:rFonts w:ascii="Arial" w:hAnsi="Arial" w:cs="Arial"/>
          <w:sz w:val="22"/>
        </w:rPr>
        <w:t>No es correcto afirmar que una prestación es contributiva solo porque la paga la TGSS. La naturaleza se determina por el artículo 109; la TGSS materializa pagos de obligaciones reconocidas por distintas entidades.</w:t>
      </w:r>
    </w:p>
    <w:p>
      <w:pPr>
        <w:pStyle w:val="Heading1"/>
        <w:keepNext/>
      </w:pPr>
      <w:r>
        <w:rPr>
          <w:rFonts w:ascii="Arial" w:hAnsi="Arial" w:cs="Arial"/>
          <w:sz w:val="30"/>
        </w:rPr>
        <w:t>3. Patrimonio único: titularidad</w:t>
      </w:r>
    </w:p>
    <w:p>
      <w:pPr>
        <w:jc w:val="both"/>
      </w:pPr>
      <w:r>
        <w:rPr>
          <w:rFonts w:ascii="Arial" w:hAnsi="Arial" w:cs="Arial"/>
          <w:sz w:val="22"/>
        </w:rPr>
        <w:t>El artículo 104.1 atribuye la titularidad del patrimonio único a la TGSS. Ello comprende:</w:t>
      </w:r>
    </w:p>
    <w:p>
      <w:pPr>
        <w:pStyle w:val="ListBullet"/>
      </w:pPr>
      <w:r>
        <w:rPr>
          <w:rFonts w:ascii="Arial" w:hAnsi="Arial" w:cs="Arial"/>
          <w:sz w:val="22"/>
        </w:rPr>
        <w:t>titulación a su nombre;</w:t>
      </w:r>
    </w:p>
    <w:p>
      <w:pPr>
        <w:pStyle w:val="ListBullet"/>
      </w:pPr>
      <w:r>
        <w:rPr>
          <w:rFonts w:ascii="Arial" w:hAnsi="Arial" w:cs="Arial"/>
          <w:sz w:val="22"/>
        </w:rPr>
        <w:t>inscripción registral;</w:t>
      </w:r>
    </w:p>
    <w:p>
      <w:pPr>
        <w:pStyle w:val="ListBullet"/>
      </w:pPr>
      <w:r>
        <w:rPr>
          <w:rFonts w:ascii="Arial" w:hAnsi="Arial" w:cs="Arial"/>
          <w:sz w:val="22"/>
        </w:rPr>
        <w:t>inventario general;</w:t>
      </w:r>
    </w:p>
    <w:p>
      <w:pPr>
        <w:pStyle w:val="ListBullet"/>
      </w:pPr>
      <w:r>
        <w:rPr>
          <w:rFonts w:ascii="Arial" w:hAnsi="Arial" w:cs="Arial"/>
          <w:sz w:val="22"/>
        </w:rPr>
        <w:t>administración y disposición;</w:t>
      </w:r>
    </w:p>
    <w:p>
      <w:pPr>
        <w:pStyle w:val="ListBullet"/>
      </w:pPr>
      <w:r>
        <w:rPr>
          <w:rFonts w:ascii="Arial" w:hAnsi="Arial" w:cs="Arial"/>
          <w:sz w:val="22"/>
        </w:rPr>
        <w:t>defensa y custodia;</w:t>
      </w:r>
    </w:p>
    <w:p>
      <w:pPr>
        <w:pStyle w:val="ListBullet"/>
      </w:pPr>
      <w:r>
        <w:rPr>
          <w:rFonts w:ascii="Arial" w:hAnsi="Arial" w:cs="Arial"/>
          <w:sz w:val="22"/>
        </w:rPr>
        <w:t>formalización de negocios;</w:t>
      </w:r>
    </w:p>
    <w:p>
      <w:pPr>
        <w:pStyle w:val="ListBullet"/>
      </w:pPr>
      <w:r>
        <w:rPr>
          <w:rFonts w:ascii="Arial" w:hAnsi="Arial" w:cs="Arial"/>
          <w:sz w:val="22"/>
        </w:rPr>
        <w:t>percepción de rendimientos.</w:t>
      </w:r>
    </w:p>
    <w:p>
      <w:pPr>
        <w:jc w:val="both"/>
      </w:pPr>
      <w:r>
        <w:rPr>
          <w:rFonts w:ascii="Arial" w:hAnsi="Arial" w:cs="Arial"/>
          <w:sz w:val="22"/>
        </w:rPr>
        <w:t>El Director General de la TGSS realiza los actos necesarios para ejercer esas funciones, sin perjuicio de autorizaciones ministeriales o del Consejo de Ministros.</w:t>
      </w:r>
    </w:p>
    <w:p>
      <w:pPr>
        <w:jc w:val="both"/>
      </w:pPr>
      <w:r>
        <w:rPr>
          <w:rFonts w:ascii="Arial" w:hAnsi="Arial" w:cs="Arial"/>
          <w:sz w:val="22"/>
        </w:rPr>
        <w:t>Las entidades gestoras —INSS, IMSERSO, INGESA— y servicios comunes pueden usar y administrar bienes adscritos, pero no adquieren el dominio. Una factura de conservación a cargo del INSS no convierte al Instituto en propietario del edificio.</w:t>
      </w:r>
    </w:p>
    <w:p>
      <w:pPr>
        <w:pStyle w:val="Heading2"/>
        <w:keepNext/>
      </w:pPr>
      <w:r>
        <w:rPr>
          <w:rFonts w:ascii="Arial" w:hAnsi="Arial" w:cs="Arial"/>
          <w:sz w:val="25"/>
        </w:rPr>
        <w:t>3.1. Titulación e inscripción</w:t>
      </w:r>
    </w:p>
    <w:p>
      <w:pPr>
        <w:jc w:val="both"/>
      </w:pPr>
      <w:r>
        <w:rPr>
          <w:rFonts w:ascii="Arial" w:hAnsi="Arial" w:cs="Arial"/>
          <w:sz w:val="22"/>
        </w:rPr>
        <w:t>Los bienes y derechos inscribibles se titulan a nombre de la TGSS. La Tesorería promueve su inscripción en los registros correspondientes. Antes de presentar títulos se oye al Servicio Jurídico de la Administración de la Seguridad Social conforme a las reglas del Real Decreto 1221/1992.</w:t>
      </w:r>
    </w:p>
    <w:p>
      <w:pPr>
        <w:jc w:val="both"/>
      </w:pPr>
      <w:r>
        <w:rPr>
          <w:rFonts w:ascii="Arial" w:hAnsi="Arial" w:cs="Arial"/>
          <w:sz w:val="22"/>
        </w:rPr>
        <w:t>Los certificados sobre inventarios y documentos oficiales son suficientes para titulación e inscripción en los términos del artículo 104.5. La concentración registral evita la dispersión histórica entre organismos extinguidos.</w:t>
      </w:r>
    </w:p>
    <w:p>
      <w:pPr>
        <w:pStyle w:val="Heading2"/>
        <w:keepNext/>
      </w:pPr>
      <w:r>
        <w:rPr>
          <w:rFonts w:ascii="Arial" w:hAnsi="Arial" w:cs="Arial"/>
          <w:sz w:val="25"/>
        </w:rPr>
        <w:t>3.2. Inventario general</w:t>
      </w:r>
    </w:p>
    <w:p>
      <w:pPr>
        <w:jc w:val="both"/>
      </w:pPr>
      <w:r>
        <w:rPr>
          <w:rFonts w:ascii="Arial" w:hAnsi="Arial" w:cs="Arial"/>
          <w:sz w:val="22"/>
        </w:rPr>
        <w:t>La TGSS forma, actualiza y contabiliza el Inventario General de Bienes y Derechos. Incluye bienes del patrimonio, cualquiera que sea su adquisición o entidad usuaria, salvo bienes muebles adquiridos por quien los utiliza y ciertos créditos corrientes.</w:t>
      </w:r>
    </w:p>
    <w:p>
      <w:pPr>
        <w:jc w:val="both"/>
      </w:pPr>
      <w:r>
        <w:rPr>
          <w:rFonts w:ascii="Arial" w:hAnsi="Arial" w:cs="Arial"/>
          <w:sz w:val="22"/>
        </w:rPr>
        <w:t>El inventario:</w:t>
      </w:r>
    </w:p>
    <w:p>
      <w:pPr>
        <w:pStyle w:val="ListBullet"/>
      </w:pPr>
      <w:r>
        <w:rPr>
          <w:rFonts w:ascii="Arial" w:hAnsi="Arial" w:cs="Arial"/>
          <w:sz w:val="22"/>
        </w:rPr>
        <w:t>debe estar actualizado;</w:t>
      </w:r>
    </w:p>
    <w:p>
      <w:pPr>
        <w:pStyle w:val="ListBullet"/>
      </w:pPr>
      <w:r>
        <w:rPr>
          <w:rFonts w:ascii="Arial" w:hAnsi="Arial" w:cs="Arial"/>
          <w:sz w:val="22"/>
        </w:rPr>
        <w:t>conserva la historia física y jurídica;</w:t>
      </w:r>
    </w:p>
    <w:p>
      <w:pPr>
        <w:pStyle w:val="ListBullet"/>
      </w:pPr>
      <w:r>
        <w:rPr>
          <w:rFonts w:ascii="Arial" w:hAnsi="Arial" w:cs="Arial"/>
          <w:sz w:val="22"/>
        </w:rPr>
        <w:t>incorpora documentación;</w:t>
      </w:r>
    </w:p>
    <w:p>
      <w:pPr>
        <w:pStyle w:val="ListBullet"/>
      </w:pPr>
      <w:r>
        <w:rPr>
          <w:rFonts w:ascii="Arial" w:hAnsi="Arial" w:cs="Arial"/>
          <w:sz w:val="22"/>
        </w:rPr>
        <w:t>pretende ser completo e interoperable con contabilidad;</w:t>
      </w:r>
    </w:p>
    <w:p>
      <w:pPr>
        <w:pStyle w:val="ListBullet"/>
      </w:pPr>
      <w:r>
        <w:rPr>
          <w:rFonts w:ascii="Arial" w:hAnsi="Arial" w:cs="Arial"/>
          <w:sz w:val="22"/>
        </w:rPr>
        <w:t>sirve a la gestión activa;</w:t>
      </w:r>
    </w:p>
    <w:p>
      <w:pPr>
        <w:pStyle w:val="ListBullet"/>
      </w:pPr>
      <w:r>
        <w:rPr>
          <w:rFonts w:ascii="Arial" w:hAnsi="Arial" w:cs="Arial"/>
          <w:sz w:val="22"/>
        </w:rPr>
        <w:t>no es registro público ni crea derechos frente a terceros.</w:t>
      </w:r>
    </w:p>
    <w:p>
      <w:pPr>
        <w:jc w:val="both"/>
      </w:pPr>
      <w:r>
        <w:rPr>
          <w:rFonts w:ascii="Arial" w:hAnsi="Arial" w:cs="Arial"/>
          <w:sz w:val="22"/>
        </w:rPr>
        <w:t>La relación de inmuebles de propiedad de la TGSS se publica conforme a transparencia. Las entidades usuarias registran contablemente los inmuebles indicando la titularidad de la TGSS.</w:t>
      </w:r>
    </w:p>
    <w:p>
      <w:pPr>
        <w:pStyle w:val="Heading1"/>
        <w:keepNext/>
      </w:pPr>
      <w:r>
        <w:rPr>
          <w:rFonts w:ascii="Arial" w:hAnsi="Arial" w:cs="Arial"/>
          <w:sz w:val="30"/>
        </w:rPr>
        <w:t>4. Adscripción, administración y custodia</w:t>
      </w:r>
    </w:p>
    <w:p>
      <w:pPr>
        <w:jc w:val="both"/>
      </w:pPr>
      <w:r>
        <w:rPr>
          <w:rFonts w:ascii="Arial" w:hAnsi="Arial" w:cs="Arial"/>
          <w:sz w:val="22"/>
        </w:rPr>
        <w:t>La adscripción atribuye uso y funciones de administración a un órgano o entidad, sin transferir el dominio.</w:t>
      </w:r>
    </w:p>
    <w:p>
      <w:pPr>
        <w:pStyle w:val="Heading2"/>
        <w:keepNext/>
      </w:pPr>
      <w:r>
        <w:rPr>
          <w:rFonts w:ascii="Arial" w:hAnsi="Arial" w:cs="Arial"/>
          <w:sz w:val="25"/>
        </w:rPr>
        <w:t>4.1. Adscripción a entidades gestoras y servicios comunes</w:t>
      </w:r>
    </w:p>
    <w:p>
      <w:pPr>
        <w:jc w:val="both"/>
      </w:pPr>
      <w:r>
        <w:rPr>
          <w:rFonts w:ascii="Arial" w:hAnsi="Arial" w:cs="Arial"/>
          <w:sz w:val="22"/>
        </w:rPr>
        <w:t>La TGSS adscribe los inmuebles necesarios a entidades gestoras o servicios comunes. El expediente se inicia a instancia de la entidad, que acredita necesidad. Puede quedar implícito en la adquisición solicitada por ella.</w:t>
      </w:r>
    </w:p>
    <w:p>
      <w:pPr>
        <w:jc w:val="both"/>
      </w:pPr>
      <w:r>
        <w:rPr>
          <w:rFonts w:ascii="Arial" w:hAnsi="Arial" w:cs="Arial"/>
          <w:sz w:val="22"/>
        </w:rPr>
        <w:t>Se firma acta de adscripción y se anota en inventario. Desde entonces la entidad adscrita asume, con su presupuesto:</w:t>
      </w:r>
    </w:p>
    <w:p>
      <w:pPr>
        <w:pStyle w:val="ListBullet"/>
      </w:pPr>
      <w:r>
        <w:rPr>
          <w:rFonts w:ascii="Arial" w:hAnsi="Arial" w:cs="Arial"/>
          <w:sz w:val="22"/>
        </w:rPr>
        <w:t>conservación;</w:t>
      </w:r>
    </w:p>
    <w:p>
      <w:pPr>
        <w:pStyle w:val="ListBullet"/>
      </w:pPr>
      <w:r>
        <w:rPr>
          <w:rFonts w:ascii="Arial" w:hAnsi="Arial" w:cs="Arial"/>
          <w:sz w:val="22"/>
        </w:rPr>
        <w:t>defensa posesoria;</w:t>
      </w:r>
    </w:p>
    <w:p>
      <w:pPr>
        <w:pStyle w:val="ListBullet"/>
      </w:pPr>
      <w:r>
        <w:rPr>
          <w:rFonts w:ascii="Arial" w:hAnsi="Arial" w:cs="Arial"/>
          <w:sz w:val="22"/>
        </w:rPr>
        <w:t>mejoras;</w:t>
      </w:r>
    </w:p>
    <w:p>
      <w:pPr>
        <w:pStyle w:val="ListBullet"/>
      </w:pPr>
      <w:r>
        <w:rPr>
          <w:rFonts w:ascii="Arial" w:hAnsi="Arial" w:cs="Arial"/>
          <w:sz w:val="22"/>
        </w:rPr>
        <w:t>servicios y suministros;</w:t>
      </w:r>
    </w:p>
    <w:p>
      <w:pPr>
        <w:pStyle w:val="ListBullet"/>
      </w:pPr>
      <w:r>
        <w:rPr>
          <w:rFonts w:ascii="Arial" w:hAnsi="Arial" w:cs="Arial"/>
          <w:sz w:val="22"/>
        </w:rPr>
        <w:t>tributos;</w:t>
      </w:r>
    </w:p>
    <w:p>
      <w:pPr>
        <w:pStyle w:val="ListBullet"/>
      </w:pPr>
      <w:r>
        <w:rPr>
          <w:rFonts w:ascii="Arial" w:hAnsi="Arial" w:cs="Arial"/>
          <w:sz w:val="22"/>
        </w:rPr>
        <w:t>obligaciones vinculadas al uso.</w:t>
      </w:r>
    </w:p>
    <w:p>
      <w:pPr>
        <w:jc w:val="both"/>
      </w:pPr>
      <w:r>
        <w:rPr>
          <w:rFonts w:ascii="Arial" w:hAnsi="Arial" w:cs="Arial"/>
          <w:sz w:val="22"/>
        </w:rPr>
        <w:t>Si comparten inmueble varias entidades, administra la que ocupa mayor superficie y los gastos se prorratean. Si la TGSS es usuaria, administra ella y las demás ponen a disposición los créditos proporcionales.</w:t>
      </w:r>
    </w:p>
    <w:p>
      <w:pPr>
        <w:jc w:val="both"/>
      </w:pPr>
      <w:r>
        <w:rPr>
          <w:rFonts w:ascii="Arial" w:hAnsi="Arial" w:cs="Arial"/>
          <w:sz w:val="22"/>
        </w:rPr>
        <w:t>Cuando el inmueble deja de ser necesario, la entidad lo comunica al menos con seis meses de antelación. La TGSS dicta desadscripción tras regularizar su situación. La entidad mantiene gastos hasta final del ejercicio, salvo nueva adscripción o explotación anterior.</w:t>
      </w:r>
    </w:p>
    <w:p>
      <w:pPr>
        <w:pStyle w:val="Heading2"/>
        <w:keepNext/>
      </w:pPr>
      <w:r>
        <w:rPr>
          <w:rFonts w:ascii="Arial" w:hAnsi="Arial" w:cs="Arial"/>
          <w:sz w:val="25"/>
        </w:rPr>
        <w:t>4.2. Adscripción a otras Administraciones</w:t>
      </w:r>
    </w:p>
    <w:p>
      <w:pPr>
        <w:jc w:val="both"/>
      </w:pPr>
      <w:r>
        <w:rPr>
          <w:rFonts w:ascii="Arial" w:hAnsi="Arial" w:cs="Arial"/>
          <w:sz w:val="22"/>
        </w:rPr>
        <w:t>La persona titular del Ministerio de Inclusión, Seguridad Social y Migraciones puede adscribir inmuebles a:</w:t>
      </w:r>
    </w:p>
    <w:p>
      <w:pPr>
        <w:pStyle w:val="ListBullet"/>
      </w:pPr>
      <w:r>
        <w:rPr>
          <w:rFonts w:ascii="Arial" w:hAnsi="Arial" w:cs="Arial"/>
          <w:sz w:val="22"/>
        </w:rPr>
        <w:t>Administración General del Estado;</w:t>
      </w:r>
    </w:p>
    <w:p>
      <w:pPr>
        <w:pStyle w:val="ListBullet"/>
      </w:pPr>
      <w:r>
        <w:rPr>
          <w:rFonts w:ascii="Arial" w:hAnsi="Arial" w:cs="Arial"/>
          <w:sz w:val="22"/>
        </w:rPr>
        <w:t>comunidades autónomas;</w:t>
      </w:r>
    </w:p>
    <w:p>
      <w:pPr>
        <w:pStyle w:val="ListBullet"/>
      </w:pPr>
      <w:r>
        <w:rPr>
          <w:rFonts w:ascii="Arial" w:hAnsi="Arial" w:cs="Arial"/>
          <w:sz w:val="22"/>
        </w:rPr>
        <w:t>entidades locales;</w:t>
      </w:r>
    </w:p>
    <w:p>
      <w:pPr>
        <w:pStyle w:val="ListBullet"/>
      </w:pPr>
      <w:r>
        <w:rPr>
          <w:rFonts w:ascii="Arial" w:hAnsi="Arial" w:cs="Arial"/>
          <w:sz w:val="22"/>
        </w:rPr>
        <w:t>organismos y entidades de derecho público;</w:t>
      </w:r>
    </w:p>
    <w:p>
      <w:pPr>
        <w:pStyle w:val="ListBullet"/>
      </w:pPr>
      <w:r>
        <w:rPr>
          <w:rFonts w:ascii="Arial" w:hAnsi="Arial" w:cs="Arial"/>
          <w:sz w:val="22"/>
        </w:rPr>
        <w:t>universidades públicas.</w:t>
      </w:r>
    </w:p>
    <w:p>
      <w:pPr>
        <w:jc w:val="both"/>
      </w:pPr>
      <w:r>
        <w:rPr>
          <w:rFonts w:ascii="Arial" w:hAnsi="Arial" w:cs="Arial"/>
          <w:sz w:val="22"/>
        </w:rPr>
        <w:t>La adscripción se acuerda por plazo o fin y no cambia titularidad. El destinatario conserva, mejora, defiende y asume tributos según acuerdo. El no uso o cambio de destino causa reversión, salvo autorización del cambio.</w:t>
      </w:r>
    </w:p>
    <w:p>
      <w:pPr>
        <w:pStyle w:val="Heading2"/>
        <w:keepNext/>
      </w:pPr>
      <w:r>
        <w:rPr>
          <w:rFonts w:ascii="Arial" w:hAnsi="Arial" w:cs="Arial"/>
          <w:sz w:val="25"/>
        </w:rPr>
        <w:t>4.3. Custodia y defensa</w:t>
      </w:r>
    </w:p>
    <w:p>
      <w:pPr>
        <w:jc w:val="both"/>
      </w:pPr>
      <w:r>
        <w:rPr>
          <w:rFonts w:ascii="Arial" w:hAnsi="Arial" w:cs="Arial"/>
          <w:sz w:val="22"/>
        </w:rPr>
        <w:t>Custodiar no significa únicamente vigilancia física. Incluye:</w:t>
      </w:r>
    </w:p>
    <w:p>
      <w:pPr>
        <w:pStyle w:val="ListBullet"/>
      </w:pPr>
      <w:r>
        <w:rPr>
          <w:rFonts w:ascii="Arial" w:hAnsi="Arial" w:cs="Arial"/>
          <w:sz w:val="22"/>
        </w:rPr>
        <w:t>mantener documentación y títulos;</w:t>
      </w:r>
    </w:p>
    <w:p>
      <w:pPr>
        <w:pStyle w:val="ListBullet"/>
      </w:pPr>
      <w:r>
        <w:rPr>
          <w:rFonts w:ascii="Arial" w:hAnsi="Arial" w:cs="Arial"/>
          <w:sz w:val="22"/>
        </w:rPr>
        <w:t>registrar cambios;</w:t>
      </w:r>
    </w:p>
    <w:p>
      <w:pPr>
        <w:pStyle w:val="ListBullet"/>
      </w:pPr>
      <w:r>
        <w:rPr>
          <w:rFonts w:ascii="Arial" w:hAnsi="Arial" w:cs="Arial"/>
          <w:sz w:val="22"/>
        </w:rPr>
        <w:t>conservar inmuebles;</w:t>
      </w:r>
    </w:p>
    <w:p>
      <w:pPr>
        <w:pStyle w:val="ListBullet"/>
      </w:pPr>
      <w:r>
        <w:rPr>
          <w:rFonts w:ascii="Arial" w:hAnsi="Arial" w:cs="Arial"/>
          <w:sz w:val="22"/>
        </w:rPr>
        <w:t>ejercer acciones posesorias;</w:t>
      </w:r>
    </w:p>
    <w:p>
      <w:pPr>
        <w:pStyle w:val="ListBullet"/>
      </w:pPr>
      <w:r>
        <w:rPr>
          <w:rFonts w:ascii="Arial" w:hAnsi="Arial" w:cs="Arial"/>
          <w:sz w:val="22"/>
        </w:rPr>
        <w:t>asegurar uso conforme a destino;</w:t>
      </w:r>
    </w:p>
    <w:p>
      <w:pPr>
        <w:pStyle w:val="ListBullet"/>
      </w:pPr>
      <w:r>
        <w:rPr>
          <w:rFonts w:ascii="Arial" w:hAnsi="Arial" w:cs="Arial"/>
          <w:sz w:val="22"/>
        </w:rPr>
        <w:t>inspeccionar bienes adscritos o cedidos;</w:t>
      </w:r>
    </w:p>
    <w:p>
      <w:pPr>
        <w:pStyle w:val="ListBullet"/>
      </w:pPr>
      <w:r>
        <w:rPr>
          <w:rFonts w:ascii="Arial" w:hAnsi="Arial" w:cs="Arial"/>
          <w:sz w:val="22"/>
        </w:rPr>
        <w:t>depurar situaciones registrales;</w:t>
      </w:r>
    </w:p>
    <w:p>
      <w:pPr>
        <w:pStyle w:val="ListBullet"/>
      </w:pPr>
      <w:r>
        <w:rPr>
          <w:rFonts w:ascii="Arial" w:hAnsi="Arial" w:cs="Arial"/>
          <w:sz w:val="22"/>
        </w:rPr>
        <w:t>prevenir ocupación, deterioro o pérdida.</w:t>
      </w:r>
    </w:p>
    <w:p>
      <w:pPr>
        <w:jc w:val="both"/>
      </w:pPr>
      <w:r>
        <w:rPr>
          <w:rFonts w:ascii="Arial" w:hAnsi="Arial" w:cs="Arial"/>
          <w:sz w:val="22"/>
        </w:rPr>
        <w:t xml:space="preserve">Los bienes y derechos del patrimonio son </w:t>
      </w:r>
      <w:r>
        <w:rPr>
          <w:rFonts w:ascii="Arial" w:hAnsi="Arial" w:cs="Arial"/>
          <w:b/>
          <w:sz w:val="22"/>
        </w:rPr>
        <w:t>inembargables</w:t>
      </w:r>
      <w:r>
        <w:rPr>
          <w:rFonts w:ascii="Arial" w:hAnsi="Arial" w:cs="Arial"/>
          <w:sz w:val="22"/>
        </w:rPr>
        <w:t>. Ningún tribunal o autoridad administrativa puede embargarlos ni ejecutar contra sus rentas, frutos o productos. Las obligaciones judiciales se cumplen mediante procedimiento presupuestario, no trabando un inmueble público.</w:t>
      </w:r>
    </w:p>
    <w:p>
      <w:pPr>
        <w:pStyle w:val="Heading1"/>
        <w:keepNext/>
      </w:pPr>
      <w:r>
        <w:rPr>
          <w:rFonts w:ascii="Arial" w:hAnsi="Arial" w:cs="Arial"/>
          <w:sz w:val="30"/>
        </w:rPr>
        <w:t>5. Normativa aplicable a los negocios patrimoniales</w:t>
      </w:r>
    </w:p>
    <w:p>
      <w:pPr>
        <w:jc w:val="both"/>
      </w:pPr>
      <w:r>
        <w:rPr>
          <w:rFonts w:ascii="Arial" w:hAnsi="Arial" w:cs="Arial"/>
          <w:sz w:val="22"/>
        </w:rPr>
        <w:t>El patrimonio se rige por:</w:t>
      </w:r>
    </w:p>
    <w:p>
      <w:pPr>
        <w:spacing w:after="40"/>
        <w:ind w:left="369" w:hanging="227"/>
      </w:pPr>
      <w:r>
        <w:rPr>
          <w:rFonts w:ascii="Arial" w:hAnsi="Arial" w:cs="Arial"/>
          <w:sz w:val="22"/>
        </w:rPr>
        <w:t>1. TRLGSS;</w:t>
      </w:r>
    </w:p>
    <w:p>
      <w:pPr>
        <w:spacing w:after="40"/>
        <w:ind w:left="369" w:hanging="227"/>
      </w:pPr>
      <w:r>
        <w:rPr>
          <w:rFonts w:ascii="Arial" w:hAnsi="Arial" w:cs="Arial"/>
          <w:sz w:val="22"/>
        </w:rPr>
        <w:t>2. Real Decreto 1221/1992 y normas específicas;</w:t>
      </w:r>
    </w:p>
    <w:p>
      <w:pPr>
        <w:spacing w:after="40"/>
        <w:ind w:left="369" w:hanging="227"/>
      </w:pPr>
      <w:r>
        <w:rPr>
          <w:rFonts w:ascii="Arial" w:hAnsi="Arial" w:cs="Arial"/>
          <w:sz w:val="22"/>
        </w:rPr>
        <w:t>3. supletoriamente, Ley 33/2003, del Patrimonio de las Administraciones Públicas, y su reglamento.</w:t>
      </w:r>
    </w:p>
    <w:p>
      <w:pPr>
        <w:jc w:val="both"/>
      </w:pPr>
      <w:r>
        <w:rPr>
          <w:rFonts w:ascii="Arial" w:hAnsi="Arial" w:cs="Arial"/>
          <w:sz w:val="22"/>
        </w:rPr>
        <w:t>Las referencias antiguas del reglamento a ministerios o entidades extinguidas deben entenderse actualizadas conforme a la estructura vigente. La reforma organizativa de julio de 2026 reconoce rango de dirección general al Servicio Jurídico de la Administración de la Seguridad Social; sus informes preceptivos siguen insertos en los procedimientos patrimoniales.</w:t>
      </w:r>
    </w:p>
    <w:p>
      <w:pPr>
        <w:jc w:val="both"/>
      </w:pPr>
      <w:r>
        <w:rPr>
          <w:rFonts w:ascii="Arial" w:hAnsi="Arial" w:cs="Arial"/>
          <w:sz w:val="22"/>
        </w:rPr>
        <w:t>Antes de disponer de un inmueble, la TGSS comunica la intención a entidades gestoras, servicios comunes y mutuas. Si en diez días alguna justifica necesidad de adscripción, se valora prioritariamente ese destino.</w:t>
      </w:r>
    </w:p>
    <w:p>
      <w:pPr>
        <w:pStyle w:val="Heading1"/>
        <w:keepNext/>
      </w:pPr>
      <w:r>
        <w:rPr>
          <w:rFonts w:ascii="Arial" w:hAnsi="Arial" w:cs="Arial"/>
          <w:sz w:val="30"/>
        </w:rPr>
        <w:t>6. Adquisición de bienes</w:t>
      </w:r>
    </w:p>
    <w:p>
      <w:pPr>
        <w:pStyle w:val="Heading2"/>
        <w:keepNext/>
      </w:pPr>
      <w:r>
        <w:rPr>
          <w:rFonts w:ascii="Arial" w:hAnsi="Arial" w:cs="Arial"/>
          <w:sz w:val="25"/>
        </w:rPr>
        <w:t>6.1. Modos de adquirir</w:t>
      </w:r>
    </w:p>
    <w:p>
      <w:pPr>
        <w:jc w:val="both"/>
      </w:pPr>
      <w:r>
        <w:rPr>
          <w:rFonts w:ascii="Arial" w:hAnsi="Arial" w:cs="Arial"/>
          <w:sz w:val="22"/>
        </w:rPr>
        <w:t>La TGSS puede adquirir inmuebles:</w:t>
      </w:r>
    </w:p>
    <w:p>
      <w:pPr>
        <w:pStyle w:val="ListBullet"/>
      </w:pPr>
      <w:r>
        <w:rPr>
          <w:rFonts w:ascii="Arial" w:hAnsi="Arial" w:cs="Arial"/>
          <w:sz w:val="22"/>
        </w:rPr>
        <w:t>por atribución legal;</w:t>
      </w:r>
    </w:p>
    <w:p>
      <w:pPr>
        <w:pStyle w:val="ListBullet"/>
      </w:pPr>
      <w:r>
        <w:rPr>
          <w:rFonts w:ascii="Arial" w:hAnsi="Arial" w:cs="Arial"/>
          <w:sz w:val="22"/>
        </w:rPr>
        <w:t>a título oneroso;</w:t>
      </w:r>
    </w:p>
    <w:p>
      <w:pPr>
        <w:pStyle w:val="ListBullet"/>
      </w:pPr>
      <w:r>
        <w:rPr>
          <w:rFonts w:ascii="Arial" w:hAnsi="Arial" w:cs="Arial"/>
          <w:sz w:val="22"/>
        </w:rPr>
        <w:t>por herencia, legado o donación;</w:t>
      </w:r>
    </w:p>
    <w:p>
      <w:pPr>
        <w:pStyle w:val="ListBullet"/>
      </w:pPr>
      <w:r>
        <w:rPr>
          <w:rFonts w:ascii="Arial" w:hAnsi="Arial" w:cs="Arial"/>
          <w:sz w:val="22"/>
        </w:rPr>
        <w:t>por prescripción;</w:t>
      </w:r>
    </w:p>
    <w:p>
      <w:pPr>
        <w:pStyle w:val="ListBullet"/>
      </w:pPr>
      <w:r>
        <w:rPr>
          <w:rFonts w:ascii="Arial" w:hAnsi="Arial" w:cs="Arial"/>
          <w:sz w:val="22"/>
        </w:rPr>
        <w:t>por cualquier modo admitido en Derecho.</w:t>
      </w:r>
    </w:p>
    <w:p>
      <w:pPr>
        <w:jc w:val="both"/>
      </w:pPr>
      <w:r>
        <w:rPr>
          <w:rFonts w:ascii="Arial" w:hAnsi="Arial" w:cs="Arial"/>
          <w:sz w:val="22"/>
        </w:rPr>
        <w:t>La aceptación de herencia, legado o donación requiere autorización ministerial; la herencia se acepta siempre a beneficio de inventario. Ello evita responder ilimitadamente de deudas hereditarias.</w:t>
      </w:r>
    </w:p>
    <w:p>
      <w:pPr>
        <w:pStyle w:val="Heading2"/>
        <w:keepNext/>
      </w:pPr>
      <w:r>
        <w:rPr>
          <w:rFonts w:ascii="Arial" w:hAnsi="Arial" w:cs="Arial"/>
          <w:sz w:val="25"/>
        </w:rPr>
        <w:t>6.2. Adquisición onerosa</w:t>
      </w:r>
    </w:p>
    <w:p>
      <w:pPr>
        <w:jc w:val="both"/>
      </w:pPr>
      <w:r>
        <w:rPr>
          <w:rFonts w:ascii="Arial" w:hAnsi="Arial" w:cs="Arial"/>
          <w:sz w:val="22"/>
        </w:rPr>
        <w:t xml:space="preserve">La regla es el </w:t>
      </w:r>
      <w:r>
        <w:rPr>
          <w:rFonts w:ascii="Arial" w:hAnsi="Arial" w:cs="Arial"/>
          <w:b/>
          <w:sz w:val="22"/>
        </w:rPr>
        <w:t>concurso público</w:t>
      </w:r>
      <w:r>
        <w:rPr>
          <w:rFonts w:ascii="Arial" w:hAnsi="Arial" w:cs="Arial"/>
          <w:sz w:val="22"/>
        </w:rPr>
        <w:t>. La entidad interesada instruye expediente que acredita necesidad, describe características y aporta informes. La TGSS adquiere cualquiera que sea el valor y formaliza administrativa o notarialmente, inscribe, adscribe e inventaría.</w:t>
      </w:r>
    </w:p>
    <w:p>
      <w:pPr>
        <w:jc w:val="both"/>
      </w:pPr>
      <w:r>
        <w:rPr>
          <w:rFonts w:ascii="Arial" w:hAnsi="Arial" w:cs="Arial"/>
          <w:sz w:val="22"/>
        </w:rPr>
        <w:t>Puede adquirirse directamente, previa autorización e informes, cuando:</w:t>
      </w:r>
    </w:p>
    <w:p>
      <w:pPr>
        <w:pStyle w:val="ListBullet"/>
      </w:pPr>
      <w:r>
        <w:rPr>
          <w:rFonts w:ascii="Arial" w:hAnsi="Arial" w:cs="Arial"/>
          <w:sz w:val="22"/>
        </w:rPr>
        <w:t>el vendedor es Administración o persona del sector público;</w:t>
      </w:r>
    </w:p>
    <w:p>
      <w:pPr>
        <w:pStyle w:val="ListBullet"/>
      </w:pPr>
      <w:r>
        <w:rPr>
          <w:rFonts w:ascii="Arial" w:hAnsi="Arial" w:cs="Arial"/>
          <w:sz w:val="22"/>
        </w:rPr>
        <w:t>el concurso quedó desierto o falló por incumplimiento;</w:t>
      </w:r>
    </w:p>
    <w:p>
      <w:pPr>
        <w:pStyle w:val="ListBullet"/>
      </w:pPr>
      <w:r>
        <w:rPr>
          <w:rFonts w:ascii="Arial" w:hAnsi="Arial" w:cs="Arial"/>
          <w:sz w:val="22"/>
        </w:rPr>
        <w:t>la TGSS ya es arrendataria y la compra es más conveniente;</w:t>
      </w:r>
    </w:p>
    <w:p>
      <w:pPr>
        <w:pStyle w:val="ListBullet"/>
      </w:pPr>
      <w:r>
        <w:rPr>
          <w:rFonts w:ascii="Arial" w:hAnsi="Arial" w:cs="Arial"/>
          <w:sz w:val="22"/>
        </w:rPr>
        <w:t>existe urgencia o circunstancia excepcional justificada.</w:t>
      </w:r>
    </w:p>
    <w:p>
      <w:pPr>
        <w:jc w:val="both"/>
      </w:pPr>
      <w:r>
        <w:rPr>
          <w:rFonts w:ascii="Arial" w:hAnsi="Arial" w:cs="Arial"/>
          <w:sz w:val="22"/>
        </w:rPr>
        <w:t>La adquisición directa es excepción motivada, no negociación libre. Debe existir tasación y control de competencia.</w:t>
      </w:r>
    </w:p>
    <w:p>
      <w:pPr>
        <w:pStyle w:val="Heading2"/>
        <w:keepNext/>
      </w:pPr>
      <w:r>
        <w:rPr>
          <w:rFonts w:ascii="Arial" w:hAnsi="Arial" w:cs="Arial"/>
          <w:sz w:val="25"/>
        </w:rPr>
        <w:t>6.3. Bienes muebles y valores</w:t>
      </w:r>
    </w:p>
    <w:p>
      <w:pPr>
        <w:jc w:val="both"/>
      </w:pPr>
      <w:r>
        <w:rPr>
          <w:rFonts w:ascii="Arial" w:hAnsi="Arial" w:cs="Arial"/>
          <w:sz w:val="22"/>
        </w:rPr>
        <w:t>Los muebles necesarios para el servicio se adquieren normalmente por la entidad que los utiliza y se inventarían por ella. Los valores mobiliarios se titulan a nombre de la TGSS; su adquisición y disposición se someten a las reglas legales y de mercado.</w:t>
      </w:r>
    </w:p>
    <w:p>
      <w:pPr>
        <w:spacing w:after="100"/>
        <w:ind w:left="340" w:right="227"/>
        <w:shd w:fill="EAF2F8"/>
      </w:pPr>
      <w:r>
        <w:rPr>
          <w:rFonts w:ascii="Arial" w:hAnsi="Arial" w:cs="Arial"/>
          <w:b/>
          <w:sz w:val="20"/>
        </w:rPr>
        <w:t>Secuencia de adquisición:</w:t>
      </w:r>
      <w:r>
        <w:rPr>
          <w:rFonts w:ascii="Arial" w:hAnsi="Arial" w:cs="Arial"/>
          <w:sz w:val="20"/>
        </w:rPr>
        <w:t xml:space="preserve"> necesidad → expediente e informes → concurso o excepción directa → adjudicación → formalización → inscripción → adscripción → inventario.</w:t>
      </w:r>
    </w:p>
    <w:p>
      <w:pPr>
        <w:pStyle w:val="Heading1"/>
        <w:keepNext/>
      </w:pPr>
      <w:r>
        <w:rPr>
          <w:rFonts w:ascii="Arial" w:hAnsi="Arial" w:cs="Arial"/>
          <w:sz w:val="30"/>
        </w:rPr>
        <w:t>7. Enajenación</w:t>
      </w:r>
    </w:p>
    <w:p>
      <w:pPr>
        <w:jc w:val="both"/>
      </w:pPr>
      <w:r>
        <w:rPr>
          <w:rFonts w:ascii="Arial" w:hAnsi="Arial" w:cs="Arial"/>
          <w:sz w:val="22"/>
        </w:rPr>
        <w:t>Enajenar transmite la titularidad a cambio de precio. Requiere que el bien no sea necesario, tasación pericial y autorización.</w:t>
      </w:r>
    </w:p>
    <w:p>
      <w:pPr>
        <w:pStyle w:val="Heading2"/>
        <w:keepNext/>
      </w:pPr>
      <w:r>
        <w:rPr>
          <w:rFonts w:ascii="Arial" w:hAnsi="Arial" w:cs="Arial"/>
          <w:sz w:val="25"/>
        </w:rPr>
        <w:t>7.1. Competencia</w:t>
      </w:r>
    </w:p>
    <w:p>
      <w:pPr>
        <w:jc w:val="both"/>
      </w:pPr>
      <w:r>
        <w:rPr>
          <w:rFonts w:ascii="Arial" w:hAnsi="Arial" w:cs="Arial"/>
          <w:sz w:val="22"/>
        </w:rPr>
        <w:t>Según el artículo 15 del Real Decreto 1221/1992:</w:t>
      </w:r>
    </w:p>
    <w:p>
      <w:pPr>
        <w:pStyle w:val="ListBullet"/>
      </w:pPr>
      <w:r>
        <w:rPr>
          <w:rFonts w:ascii="Arial" w:hAnsi="Arial" w:cs="Arial"/>
          <w:sz w:val="22"/>
        </w:rPr>
        <w:t xml:space="preserve">si el valor no excede de </w:t>
      </w:r>
      <w:r>
        <w:rPr>
          <w:rFonts w:ascii="Arial" w:hAnsi="Arial" w:cs="Arial"/>
          <w:b/>
          <w:sz w:val="22"/>
        </w:rPr>
        <w:t>20 millones de euros</w:t>
      </w:r>
      <w:r>
        <w:rPr>
          <w:rFonts w:ascii="Arial" w:hAnsi="Arial" w:cs="Arial"/>
          <w:sz w:val="22"/>
        </w:rPr>
        <w:t>, autoriza el Ministerio de Inclusión, Seguridad Social y Migraciones;</w:t>
      </w:r>
    </w:p>
    <w:p>
      <w:pPr>
        <w:pStyle w:val="ListBullet"/>
      </w:pPr>
      <w:r>
        <w:rPr>
          <w:rFonts w:ascii="Arial" w:hAnsi="Arial" w:cs="Arial"/>
          <w:sz w:val="22"/>
        </w:rPr>
        <w:t>si excede, autoriza el Consejo de Ministros.</w:t>
      </w:r>
    </w:p>
    <w:p>
      <w:pPr>
        <w:jc w:val="both"/>
      </w:pPr>
      <w:r>
        <w:rPr>
          <w:rFonts w:ascii="Arial" w:hAnsi="Arial" w:cs="Arial"/>
          <w:sz w:val="22"/>
        </w:rPr>
        <w:t>La tasación tiene validez de un año desde su aprobación. No basta el valor contable ni catastral.</w:t>
      </w:r>
    </w:p>
    <w:p>
      <w:pPr>
        <w:pStyle w:val="Heading2"/>
        <w:keepNext/>
      </w:pPr>
      <w:r>
        <w:rPr>
          <w:rFonts w:ascii="Arial" w:hAnsi="Arial" w:cs="Arial"/>
          <w:sz w:val="25"/>
        </w:rPr>
        <w:t>7.2. Subasta</w:t>
      </w:r>
    </w:p>
    <w:p>
      <w:pPr>
        <w:jc w:val="both"/>
      </w:pPr>
      <w:r>
        <w:rPr>
          <w:rFonts w:ascii="Arial" w:hAnsi="Arial" w:cs="Arial"/>
          <w:sz w:val="22"/>
        </w:rPr>
        <w:t>La forma ordinaria es subasta pública, al alza o a la baja cuando se motive, en acto público, sobre cerrado o sistema electrónico. Se adjudica al mejor postor.</w:t>
      </w:r>
    </w:p>
    <w:p>
      <w:pPr>
        <w:jc w:val="both"/>
      </w:pPr>
      <w:r>
        <w:rPr>
          <w:rFonts w:ascii="Arial" w:hAnsi="Arial" w:cs="Arial"/>
          <w:sz w:val="22"/>
        </w:rPr>
        <w:t>Si el adjudicatario renuncia o incumple, puede acudirse a la segunda oferta. Si la primera subasta queda desierta, pueden celebrarse hasta tres más. El tipo puede reducirse hasta un 15 % en cada nueva subasta mediante resolución motivada.</w:t>
      </w:r>
    </w:p>
    <w:p>
      <w:pPr>
        <w:pStyle w:val="Heading2"/>
        <w:keepNext/>
      </w:pPr>
      <w:r>
        <w:rPr>
          <w:rFonts w:ascii="Arial" w:hAnsi="Arial" w:cs="Arial"/>
          <w:sz w:val="25"/>
        </w:rPr>
        <w:t>7.3. Adjudicación directa</w:t>
      </w:r>
    </w:p>
    <w:p>
      <w:pPr>
        <w:jc w:val="both"/>
      </w:pPr>
      <w:r>
        <w:rPr>
          <w:rFonts w:ascii="Arial" w:hAnsi="Arial" w:cs="Arial"/>
          <w:sz w:val="22"/>
        </w:rPr>
        <w:t>Solo procede en supuestos del artículo 137.4 de la Ley 33/2003, con la misma autorización por cuantía. Si varios interesados están en igual supuesto, se elige el mayor precio.</w:t>
      </w:r>
    </w:p>
    <w:p>
      <w:pPr>
        <w:jc w:val="both"/>
      </w:pPr>
      <w:r>
        <w:rPr>
          <w:rFonts w:ascii="Arial" w:hAnsi="Arial" w:cs="Arial"/>
          <w:sz w:val="22"/>
        </w:rPr>
        <w:t>La comunicación a un posible comprador no genera derecho a adquirir. Debe aceptar precio y términos y constituir garantía. El expediente incluye informes del Servicio Jurídico y de la Intervención General de la Seguridad Social.</w:t>
      </w:r>
    </w:p>
    <w:p>
      <w:pPr>
        <w:pStyle w:val="Heading2"/>
        <w:keepNext/>
      </w:pPr>
      <w:r>
        <w:rPr>
          <w:rFonts w:ascii="Arial" w:hAnsi="Arial" w:cs="Arial"/>
          <w:sz w:val="25"/>
        </w:rPr>
        <w:t>7.4. Valores</w:t>
      </w:r>
    </w:p>
    <w:p>
      <w:pPr>
        <w:jc w:val="both"/>
      </w:pPr>
      <w:r>
        <w:rPr>
          <w:rFonts w:ascii="Arial" w:hAnsi="Arial" w:cs="Arial"/>
          <w:sz w:val="22"/>
        </w:rPr>
        <w:t>La enajenación de títulos exige autorización, salvo títulos negociados en mercados oficiales, que se venden por sus sistemas. Si la venta es necesaria para pagar prestaciones y no supera el límite presupuestario, puede no requerir autorización previa, dando cuenta inmediata al Ministerio.</w:t>
      </w:r>
    </w:p>
    <w:p>
      <w:pPr>
        <w:jc w:val="both"/>
      </w:pPr>
      <w:r>
        <w:rPr>
          <w:rFonts w:ascii="Arial" w:hAnsi="Arial" w:cs="Arial"/>
          <w:sz w:val="22"/>
        </w:rPr>
        <w:t>La enajenación no desvincula el producto: el ingreso vuelve a ser recurso de Seguridad Social.</w:t>
      </w:r>
    </w:p>
    <w:p>
      <w:pPr>
        <w:pStyle w:val="Heading1"/>
        <w:keepNext/>
      </w:pPr>
      <w:r>
        <w:rPr>
          <w:rFonts w:ascii="Arial" w:hAnsi="Arial" w:cs="Arial"/>
          <w:sz w:val="30"/>
        </w:rPr>
        <w:t>8. Permuta</w:t>
      </w:r>
    </w:p>
    <w:p>
      <w:pPr>
        <w:jc w:val="both"/>
      </w:pPr>
      <w:r>
        <w:rPr>
          <w:rFonts w:ascii="Arial" w:hAnsi="Arial" w:cs="Arial"/>
          <w:sz w:val="22"/>
        </w:rPr>
        <w:t>La permuta intercambia un inmueble declarado enajenable por otro. Requiere tasación de ambos. La diferencia no puede superar el 50 % del de mayor valor; si lo supera, se tramita como enajenación con parte del precio en especie.</w:t>
      </w:r>
    </w:p>
    <w:p>
      <w:pPr>
        <w:jc w:val="both"/>
      </w:pPr>
      <w:r>
        <w:rPr>
          <w:rFonts w:ascii="Arial" w:hAnsi="Arial" w:cs="Arial"/>
          <w:sz w:val="22"/>
        </w:rPr>
        <w:t>Autoriza el órgano competente por cuantía para la enajenación. El expediente incorpora informe jurídico y, si el valor supera un millón de euros, informe de la Intervención General. La diferencia puede pagarse en metálico o con otros bienes o derechos.</w:t>
      </w:r>
    </w:p>
    <w:p>
      <w:pPr>
        <w:jc w:val="both"/>
      </w:pPr>
      <w:r>
        <w:rPr>
          <w:rFonts w:ascii="Arial" w:hAnsi="Arial" w:cs="Arial"/>
          <w:sz w:val="22"/>
        </w:rPr>
        <w:t>Aunque la permuta no aparezca expresamente en el epígrafe, aclara que la disposición no siempre adopta forma de venta.</w:t>
      </w:r>
    </w:p>
    <w:p>
      <w:pPr>
        <w:pStyle w:val="Heading1"/>
        <w:keepNext/>
      </w:pPr>
      <w:r>
        <w:rPr>
          <w:rFonts w:ascii="Arial" w:hAnsi="Arial" w:cs="Arial"/>
          <w:sz w:val="30"/>
        </w:rPr>
        <w:t>9. Arrendamiento</w:t>
      </w:r>
    </w:p>
    <w:p>
      <w:pPr>
        <w:jc w:val="both"/>
      </w:pPr>
      <w:r>
        <w:rPr>
          <w:rFonts w:ascii="Arial" w:hAnsi="Arial" w:cs="Arial"/>
          <w:sz w:val="22"/>
        </w:rPr>
        <w:t>Hay dos posiciones distintas: la TGSS puede arrendar un inmueble ajeno para usarlo o explotar uno propio como arrendadora.</w:t>
      </w:r>
    </w:p>
    <w:p>
      <w:pPr>
        <w:pStyle w:val="Heading2"/>
        <w:keepNext/>
      </w:pPr>
      <w:r>
        <w:rPr>
          <w:rFonts w:ascii="Arial" w:hAnsi="Arial" w:cs="Arial"/>
          <w:sz w:val="25"/>
        </w:rPr>
        <w:t>9.1. TGSS arrendataria</w:t>
      </w:r>
    </w:p>
    <w:p>
      <w:pPr>
        <w:jc w:val="both"/>
      </w:pPr>
      <w:r>
        <w:rPr>
          <w:rFonts w:ascii="Arial" w:hAnsi="Arial" w:cs="Arial"/>
          <w:sz w:val="22"/>
        </w:rPr>
        <w:t>Si no hay inmuebles propios adecuados, puede tomar en arrendamiento los necesarios a petición de la entidad. La regla es concurso público. Cabe contratación directa por:</w:t>
      </w:r>
    </w:p>
    <w:p>
      <w:pPr>
        <w:pStyle w:val="ListBullet"/>
      </w:pPr>
      <w:r>
        <w:rPr>
          <w:rFonts w:ascii="Arial" w:hAnsi="Arial" w:cs="Arial"/>
          <w:sz w:val="22"/>
        </w:rPr>
        <w:t>condiciones del mercado;</w:t>
      </w:r>
    </w:p>
    <w:p>
      <w:pPr>
        <w:pStyle w:val="ListBullet"/>
      </w:pPr>
      <w:r>
        <w:rPr>
          <w:rFonts w:ascii="Arial" w:hAnsi="Arial" w:cs="Arial"/>
          <w:sz w:val="22"/>
        </w:rPr>
        <w:t>urgencia debida a acontecimientos imprevisibles;</w:t>
      </w:r>
    </w:p>
    <w:p>
      <w:pPr>
        <w:pStyle w:val="ListBullet"/>
      </w:pPr>
      <w:r>
        <w:rPr>
          <w:rFonts w:ascii="Arial" w:hAnsi="Arial" w:cs="Arial"/>
          <w:sz w:val="22"/>
        </w:rPr>
        <w:t>especial idoneidad del inmueble.</w:t>
      </w:r>
    </w:p>
    <w:p>
      <w:pPr>
        <w:jc w:val="both"/>
      </w:pPr>
      <w:r>
        <w:rPr>
          <w:rFonts w:ascii="Arial" w:hAnsi="Arial" w:cs="Arial"/>
          <w:sz w:val="22"/>
        </w:rPr>
        <w:t>Se exigen informe técnico con estudio de mercado e informe del Servicio Jurídico. En adjudicación directa informa además la Intervención General. El Director General de la TGSS acuerda contrato, prórroga, novación, resolución anticipada o cambio de organismo y formaliza.</w:t>
      </w:r>
    </w:p>
    <w:p>
      <w:pPr>
        <w:jc w:val="both"/>
      </w:pPr>
      <w:r>
        <w:rPr>
          <w:rFonts w:ascii="Arial" w:hAnsi="Arial" w:cs="Arial"/>
          <w:sz w:val="22"/>
        </w:rPr>
        <w:t>La entidad usuaria que prevé desalojar antes del término lo comunica con tres meses de antelación.</w:t>
      </w:r>
    </w:p>
    <w:p>
      <w:pPr>
        <w:pStyle w:val="Heading2"/>
        <w:keepNext/>
      </w:pPr>
      <w:r>
        <w:rPr>
          <w:rFonts w:ascii="Arial" w:hAnsi="Arial" w:cs="Arial"/>
          <w:sz w:val="25"/>
        </w:rPr>
        <w:t>9.2. TGSS arrendadora</w:t>
      </w:r>
    </w:p>
    <w:p>
      <w:pPr>
        <w:jc w:val="both"/>
      </w:pPr>
      <w:r>
        <w:rPr>
          <w:rFonts w:ascii="Arial" w:hAnsi="Arial" w:cs="Arial"/>
          <w:sz w:val="22"/>
        </w:rPr>
        <w:t>Los inmuebles innecesarios, no destinados a venta y explotables pueden arrendarse o someterse a otro negocio. La adjudicación ordinaria es concurso; cabe directa por peculiaridades, demanda limitada, urgencia imprevisible o singularidad.</w:t>
      </w:r>
    </w:p>
    <w:p>
      <w:pPr>
        <w:jc w:val="both"/>
      </w:pPr>
      <w:r>
        <w:rPr>
          <w:rFonts w:ascii="Arial" w:hAnsi="Arial" w:cs="Arial"/>
          <w:sz w:val="22"/>
        </w:rPr>
        <w:t>La duración inicial no supera veinte años y, con prórrogas, treinta. Puede pactarse que la renta se sustituya total o parcialmente por obras de reforma o rehabilitación, sin compensación final adicional. También cabe arrendamiento con opción de compra, sometido a reglas de enajenación.</w:t>
      </w:r>
    </w:p>
    <w:p>
      <w:pPr>
        <w:jc w:val="both"/>
      </w:pPr>
      <w:r>
        <w:rPr>
          <w:rFonts w:ascii="Arial" w:hAnsi="Arial" w:cs="Arial"/>
          <w:sz w:val="22"/>
        </w:rPr>
        <w:t>La autorización de uso por menos de treinta días o para eventos queda fuera del procedimiento general; el órgano usuario fija condiciones y contraprestación.</w:t>
      </w:r>
    </w:p>
    <w:p>
      <w:pPr>
        <w:pStyle w:val="Heading1"/>
        <w:keepNext/>
      </w:pPr>
      <w:r>
        <w:rPr>
          <w:rFonts w:ascii="Arial" w:hAnsi="Arial" w:cs="Arial"/>
          <w:sz w:val="30"/>
        </w:rPr>
        <w:t>10. Cesión gratuita de uso</w:t>
      </w:r>
    </w:p>
    <w:p>
      <w:pPr>
        <w:jc w:val="both"/>
      </w:pPr>
      <w:r>
        <w:rPr>
          <w:rFonts w:ascii="Arial" w:hAnsi="Arial" w:cs="Arial"/>
          <w:sz w:val="22"/>
        </w:rPr>
        <w:t>La cesión permite que otra entidad use gratuitamente un inmueble innecesario para utilidad pública o interés de Seguridad Social. No transmite dominio ni facultades dominicales.</w:t>
      </w:r>
    </w:p>
    <w:p>
      <w:pPr>
        <w:pStyle w:val="Heading2"/>
        <w:keepNext/>
      </w:pPr>
      <w:r>
        <w:rPr>
          <w:rFonts w:ascii="Arial" w:hAnsi="Arial" w:cs="Arial"/>
          <w:sz w:val="25"/>
        </w:rPr>
        <w:t>10.1. Bienes cedibles</w:t>
      </w:r>
    </w:p>
    <w:p>
      <w:pPr>
        <w:jc w:val="both"/>
      </w:pPr>
      <w:r>
        <w:rPr>
          <w:rFonts w:ascii="Arial" w:hAnsi="Arial" w:cs="Arial"/>
          <w:sz w:val="22"/>
        </w:rPr>
        <w:t>Debe concurrir alguna circunstancia:</w:t>
      </w:r>
    </w:p>
    <w:p>
      <w:pPr>
        <w:pStyle w:val="ListBullet"/>
      </w:pPr>
      <w:r>
        <w:rPr>
          <w:rFonts w:ascii="Arial" w:hAnsi="Arial" w:cs="Arial"/>
          <w:sz w:val="22"/>
        </w:rPr>
        <w:t>inmueble desocupado;</w:t>
      </w:r>
    </w:p>
    <w:p>
      <w:pPr>
        <w:pStyle w:val="ListBullet"/>
      </w:pPr>
      <w:r>
        <w:rPr>
          <w:rFonts w:ascii="Arial" w:hAnsi="Arial" w:cs="Arial"/>
          <w:sz w:val="22"/>
        </w:rPr>
        <w:t>no incluido en plan de venta o más de un año sin enajenarse;</w:t>
      </w:r>
    </w:p>
    <w:p>
      <w:pPr>
        <w:pStyle w:val="ListBullet"/>
      </w:pPr>
      <w:r>
        <w:rPr>
          <w:rFonts w:ascii="Arial" w:hAnsi="Arial" w:cs="Arial"/>
          <w:sz w:val="22"/>
        </w:rPr>
        <w:t>ausencia de solicitud onerosa durante el año anterior;</w:t>
      </w:r>
    </w:p>
    <w:p>
      <w:pPr>
        <w:pStyle w:val="ListBullet"/>
      </w:pPr>
      <w:r>
        <w:rPr>
          <w:rFonts w:ascii="Arial" w:hAnsi="Arial" w:cs="Arial"/>
          <w:sz w:val="22"/>
        </w:rPr>
        <w:t>costes de mantenimiento superiores a ofertas de compra o explotación.</w:t>
      </w:r>
    </w:p>
    <w:p>
      <w:pPr>
        <w:jc w:val="both"/>
      </w:pPr>
      <w:r>
        <w:rPr>
          <w:rFonts w:ascii="Arial" w:hAnsi="Arial" w:cs="Arial"/>
          <w:sz w:val="22"/>
        </w:rPr>
        <w:t>Puede cederse un inmueble pendiente de regularización si el cesionario conoce la situación y asume las actuaciones necesarias.</w:t>
      </w:r>
    </w:p>
    <w:p>
      <w:pPr>
        <w:pStyle w:val="Heading2"/>
        <w:keepNext/>
      </w:pPr>
      <w:r>
        <w:rPr>
          <w:rFonts w:ascii="Arial" w:hAnsi="Arial" w:cs="Arial"/>
          <w:sz w:val="25"/>
        </w:rPr>
        <w:t>10.2. Cesionarios y finalidad</w:t>
      </w:r>
    </w:p>
    <w:p>
      <w:pPr>
        <w:jc w:val="both"/>
      </w:pPr>
      <w:r>
        <w:rPr>
          <w:rFonts w:ascii="Arial" w:hAnsi="Arial" w:cs="Arial"/>
          <w:sz w:val="22"/>
        </w:rPr>
        <w:t>Pueden ser:</w:t>
      </w:r>
    </w:p>
    <w:p>
      <w:pPr>
        <w:pStyle w:val="ListBullet"/>
      </w:pPr>
      <w:r>
        <w:rPr>
          <w:rFonts w:ascii="Arial" w:hAnsi="Arial" w:cs="Arial"/>
          <w:sz w:val="22"/>
        </w:rPr>
        <w:t>asociaciones sin ánimo de lucro declaradas de utilidad pública;</w:t>
      </w:r>
    </w:p>
    <w:p>
      <w:pPr>
        <w:pStyle w:val="ListBullet"/>
      </w:pPr>
      <w:r>
        <w:rPr>
          <w:rFonts w:ascii="Arial" w:hAnsi="Arial" w:cs="Arial"/>
          <w:sz w:val="22"/>
        </w:rPr>
        <w:t>fundaciones;</w:t>
      </w:r>
    </w:p>
    <w:p>
      <w:pPr>
        <w:pStyle w:val="ListBullet"/>
      </w:pPr>
      <w:r>
        <w:rPr>
          <w:rFonts w:ascii="Arial" w:hAnsi="Arial" w:cs="Arial"/>
          <w:sz w:val="22"/>
        </w:rPr>
        <w:t>organizaciones internacionales de protección social de las que España forme parte;</w:t>
      </w:r>
    </w:p>
    <w:p>
      <w:pPr>
        <w:pStyle w:val="ListBullet"/>
      </w:pPr>
      <w:r>
        <w:rPr>
          <w:rFonts w:ascii="Arial" w:hAnsi="Arial" w:cs="Arial"/>
          <w:sz w:val="22"/>
        </w:rPr>
        <w:t>Administraciones y universidades públicas cuando no proceda adscripción.</w:t>
      </w:r>
    </w:p>
    <w:p>
      <w:pPr>
        <w:jc w:val="both"/>
      </w:pPr>
      <w:r>
        <w:rPr>
          <w:rFonts w:ascii="Arial" w:hAnsi="Arial" w:cs="Arial"/>
          <w:sz w:val="22"/>
        </w:rPr>
        <w:t>La actividad debe carecer de lucro y ser sanitaria, asistencial, educativa, de integración social, atención a vulnerables u otra vinculada a los fines. La condición privada sin ánimo de lucro no basta por sí sola.</w:t>
      </w:r>
    </w:p>
    <w:p>
      <w:pPr>
        <w:pStyle w:val="Heading2"/>
        <w:keepNext/>
      </w:pPr>
      <w:r>
        <w:rPr>
          <w:rFonts w:ascii="Arial" w:hAnsi="Arial" w:cs="Arial"/>
          <w:sz w:val="25"/>
        </w:rPr>
        <w:t>10.3. Procedimiento</w:t>
      </w:r>
    </w:p>
    <w:p>
      <w:pPr>
        <w:jc w:val="both"/>
      </w:pPr>
      <w:r>
        <w:rPr>
          <w:rFonts w:ascii="Arial" w:hAnsi="Arial" w:cs="Arial"/>
          <w:sz w:val="22"/>
        </w:rPr>
        <w:t>La solicitud identifica inmueble, fin, representación, estatutos, acuerdo del órgano, cumplimiento tributario y de Seguridad Social, medios y memoria.</w:t>
      </w:r>
    </w:p>
    <w:p>
      <w:pPr>
        <w:jc w:val="both"/>
      </w:pPr>
      <w:r>
        <w:rPr>
          <w:rFonts w:ascii="Arial" w:hAnsi="Arial" w:cs="Arial"/>
          <w:sz w:val="22"/>
        </w:rPr>
        <w:t>La dirección provincial informa en diez días, sin contar subsanación. Si la solicitud no procede de Administración o universidad, se publica el expediente y se admiten solicitudes durante diez días. Tiene prioridad la Administración frente a entidad privada; después se pondera utilidad pública e incidencia social.</w:t>
      </w:r>
    </w:p>
    <w:p>
      <w:pPr>
        <w:jc w:val="both"/>
      </w:pPr>
      <w:r>
        <w:rPr>
          <w:rFonts w:ascii="Arial" w:hAnsi="Arial" w:cs="Arial"/>
          <w:sz w:val="22"/>
        </w:rPr>
        <w:t>La Subdirección General elabora propuesta; informan Servicio Jurídico y, cuando procede, Intervención. Tras comunicar a Patrimonio del Estado, la TGSS eleva propuesta al Ministerio.</w:t>
      </w:r>
    </w:p>
    <w:p>
      <w:pPr>
        <w:jc w:val="both"/>
      </w:pPr>
      <w:r>
        <w:rPr>
          <w:rFonts w:ascii="Arial" w:hAnsi="Arial" w:cs="Arial"/>
          <w:sz w:val="22"/>
        </w:rPr>
        <w:t>El acuerdo:</w:t>
      </w:r>
    </w:p>
    <w:p>
      <w:pPr>
        <w:pStyle w:val="ListBullet"/>
      </w:pPr>
      <w:r>
        <w:rPr>
          <w:rFonts w:ascii="Arial" w:hAnsi="Arial" w:cs="Arial"/>
          <w:sz w:val="22"/>
        </w:rPr>
        <w:t>identifica bien y cesionario;</w:t>
      </w:r>
    </w:p>
    <w:p>
      <w:pPr>
        <w:pStyle w:val="ListBullet"/>
      </w:pPr>
      <w:r>
        <w:rPr>
          <w:rFonts w:ascii="Arial" w:hAnsi="Arial" w:cs="Arial"/>
          <w:sz w:val="22"/>
        </w:rPr>
        <w:t>fija fin, uso, gastos, plazo y causas de resolución;</w:t>
      </w:r>
    </w:p>
    <w:p>
      <w:pPr>
        <w:pStyle w:val="ListBullet"/>
      </w:pPr>
      <w:r>
        <w:rPr>
          <w:rFonts w:ascii="Arial" w:hAnsi="Arial" w:cs="Arial"/>
          <w:sz w:val="22"/>
        </w:rPr>
        <w:t>puede prever revocación sin indemnización por interés público;</w:t>
      </w:r>
    </w:p>
    <w:p>
      <w:pPr>
        <w:pStyle w:val="ListBullet"/>
      </w:pPr>
      <w:r>
        <w:rPr>
          <w:rFonts w:ascii="Arial" w:hAnsi="Arial" w:cs="Arial"/>
          <w:sz w:val="22"/>
        </w:rPr>
        <w:t>dura como máximo veinte años inicialmente;</w:t>
      </w:r>
    </w:p>
    <w:p>
      <w:pPr>
        <w:pStyle w:val="ListBullet"/>
      </w:pPr>
      <w:r>
        <w:rPr>
          <w:rFonts w:ascii="Arial" w:hAnsi="Arial" w:cs="Arial"/>
          <w:sz w:val="22"/>
        </w:rPr>
        <w:t>no puede superar treinta con prórrogas.</w:t>
      </w:r>
    </w:p>
    <w:p>
      <w:pPr>
        <w:jc w:val="both"/>
      </w:pPr>
      <w:r>
        <w:rPr>
          <w:rFonts w:ascii="Arial" w:hAnsi="Arial" w:cs="Arial"/>
          <w:sz w:val="22"/>
        </w:rPr>
        <w:t>Debe resolverse en noventa días; el silencio es desestimatorio. Se formaliza en escritura pública, salvo Administración o universidad, para las que basta documento administrativo, y se inscribe.</w:t>
      </w:r>
    </w:p>
    <w:p>
      <w:pPr>
        <w:pStyle w:val="Heading2"/>
        <w:keepNext/>
      </w:pPr>
      <w:r>
        <w:rPr>
          <w:rFonts w:ascii="Arial" w:hAnsi="Arial" w:cs="Arial"/>
          <w:sz w:val="25"/>
        </w:rPr>
        <w:t>10.4. Revocación y reversión</w:t>
      </w:r>
    </w:p>
    <w:p>
      <w:pPr>
        <w:jc w:val="both"/>
      </w:pPr>
      <w:r>
        <w:rPr>
          <w:rFonts w:ascii="Arial" w:hAnsi="Arial" w:cs="Arial"/>
          <w:sz w:val="22"/>
        </w:rPr>
        <w:t>La cesión se revoca por no destinar el bien, dejar de hacerlo o incumplir condiciones, previa audiencia. También puede revocarse unilateralmente por interés de Seguridad Social, sin indemnización, con hasta seis meses para entregar.</w:t>
      </w:r>
    </w:p>
    <w:p>
      <w:pPr>
        <w:jc w:val="both"/>
      </w:pPr>
      <w:r>
        <w:rPr>
          <w:rFonts w:ascii="Arial" w:hAnsi="Arial" w:cs="Arial"/>
          <w:sz w:val="22"/>
        </w:rPr>
        <w:t>Al terminar el plazo, revierte automáticamente con mejoras y accesiones sin indemnización. El cesionario responde por deterioro. Cesión no equivale a donación.</w:t>
      </w:r>
    </w:p>
    <w:p>
      <w:pPr>
        <w:pStyle w:val="Heading1"/>
        <w:keepNext/>
      </w:pPr>
      <w:r>
        <w:rPr>
          <w:rFonts w:ascii="Arial" w:hAnsi="Arial" w:cs="Arial"/>
          <w:sz w:val="30"/>
        </w:rPr>
        <w:t>11. Gestión activa del patrimonio</w:t>
      </w:r>
    </w:p>
    <w:p>
      <w:pPr>
        <w:jc w:val="both"/>
      </w:pPr>
      <w:r>
        <w:rPr>
          <w:rFonts w:ascii="Arial" w:hAnsi="Arial" w:cs="Arial"/>
          <w:sz w:val="22"/>
        </w:rPr>
        <w:t>La Dirección General de la TGSS desarrolla una gestión activa y continua mediante plan de optimización. Incluye:</w:t>
      </w:r>
    </w:p>
    <w:p>
      <w:pPr>
        <w:pStyle w:val="ListBullet"/>
      </w:pPr>
      <w:r>
        <w:rPr>
          <w:rFonts w:ascii="Arial" w:hAnsi="Arial" w:cs="Arial"/>
          <w:sz w:val="22"/>
        </w:rPr>
        <w:t>necesidades presentes y futuras;</w:t>
      </w:r>
    </w:p>
    <w:p>
      <w:pPr>
        <w:pStyle w:val="ListBullet"/>
      </w:pPr>
      <w:r>
        <w:rPr>
          <w:rFonts w:ascii="Arial" w:hAnsi="Arial" w:cs="Arial"/>
          <w:sz w:val="22"/>
        </w:rPr>
        <w:t>inversiones y eficiencia energética;</w:t>
      </w:r>
    </w:p>
    <w:p>
      <w:pPr>
        <w:pStyle w:val="ListBullet"/>
      </w:pPr>
      <w:r>
        <w:rPr>
          <w:rFonts w:ascii="Arial" w:hAnsi="Arial" w:cs="Arial"/>
          <w:sz w:val="22"/>
        </w:rPr>
        <w:t>gastos y medidas de reducción;</w:t>
      </w:r>
    </w:p>
    <w:p>
      <w:pPr>
        <w:pStyle w:val="ListBullet"/>
      </w:pPr>
      <w:r>
        <w:rPr>
          <w:rFonts w:ascii="Arial" w:hAnsi="Arial" w:cs="Arial"/>
          <w:sz w:val="22"/>
        </w:rPr>
        <w:t>inmuebles innecesarios;</w:t>
      </w:r>
    </w:p>
    <w:p>
      <w:pPr>
        <w:pStyle w:val="ListBullet"/>
      </w:pPr>
      <w:r>
        <w:rPr>
          <w:rFonts w:ascii="Arial" w:hAnsi="Arial" w:cs="Arial"/>
          <w:sz w:val="22"/>
        </w:rPr>
        <w:t>clasificación entre venta, explotación y cesión;</w:t>
      </w:r>
    </w:p>
    <w:p>
      <w:pPr>
        <w:pStyle w:val="ListBullet"/>
      </w:pPr>
      <w:r>
        <w:rPr>
          <w:rFonts w:ascii="Arial" w:hAnsi="Arial" w:cs="Arial"/>
          <w:sz w:val="22"/>
        </w:rPr>
        <w:t>seguimiento de procedimientos;</w:t>
      </w:r>
    </w:p>
    <w:p>
      <w:pPr>
        <w:pStyle w:val="ListBullet"/>
      </w:pPr>
      <w:r>
        <w:rPr>
          <w:rFonts w:ascii="Arial" w:hAnsi="Arial" w:cs="Arial"/>
          <w:sz w:val="22"/>
        </w:rPr>
        <w:t>depuración jurídica y registral;</w:t>
      </w:r>
    </w:p>
    <w:p>
      <w:pPr>
        <w:pStyle w:val="ListBullet"/>
      </w:pPr>
      <w:r>
        <w:rPr>
          <w:rFonts w:ascii="Arial" w:hAnsi="Arial" w:cs="Arial"/>
          <w:sz w:val="22"/>
        </w:rPr>
        <w:t>inspección de inmuebles adscritos o cedidos.</w:t>
      </w:r>
    </w:p>
    <w:p>
      <w:pPr>
        <w:jc w:val="both"/>
      </w:pPr>
      <w:r>
        <w:rPr>
          <w:rFonts w:ascii="Arial" w:hAnsi="Arial" w:cs="Arial"/>
          <w:sz w:val="22"/>
        </w:rPr>
        <w:t>La gestión activa impide mantener indefinidamente inmuebles ociosos. El orden lógico es comprobar necesidad interna, valorar explotación o venta y, si no procede, cesión para utilidad pública.</w:t>
      </w:r>
    </w:p>
    <w:p>
      <w:pPr>
        <w:pStyle w:val="Heading1"/>
        <w:keepNext/>
      </w:pPr>
      <w:r>
        <w:rPr>
          <w:rFonts w:ascii="Arial" w:hAnsi="Arial" w:cs="Arial"/>
          <w:sz w:val="30"/>
        </w:rPr>
        <w:t>12. Fondo de Reserva: concepto y constitución</w:t>
      </w:r>
    </w:p>
    <w:p>
      <w:pPr>
        <w:jc w:val="both"/>
      </w:pPr>
      <w:r>
        <w:rPr>
          <w:rFonts w:ascii="Arial" w:hAnsi="Arial" w:cs="Arial"/>
          <w:sz w:val="22"/>
        </w:rPr>
        <w:t>El artículo 117 ordena constituir en la TGSS un Fondo de Reserva para atender necesidades financieras en materia de prestaciones contributivas. Su finalidad es reforzar equilibrio y sostenibilidad.</w:t>
      </w:r>
    </w:p>
    <w:p>
      <w:pPr>
        <w:jc w:val="both"/>
      </w:pPr>
      <w:r>
        <w:rPr>
          <w:rFonts w:ascii="Arial" w:hAnsi="Arial" w:cs="Arial"/>
          <w:sz w:val="22"/>
        </w:rPr>
        <w:t>No es:</w:t>
      </w:r>
    </w:p>
    <w:p>
      <w:pPr>
        <w:pStyle w:val="ListBullet"/>
      </w:pPr>
      <w:r>
        <w:rPr>
          <w:rFonts w:ascii="Arial" w:hAnsi="Arial" w:cs="Arial"/>
          <w:sz w:val="22"/>
        </w:rPr>
        <w:t>patrimonio privado de pensionistas;</w:t>
      </w:r>
    </w:p>
    <w:p>
      <w:pPr>
        <w:pStyle w:val="ListBullet"/>
      </w:pPr>
      <w:r>
        <w:rPr>
          <w:rFonts w:ascii="Arial" w:hAnsi="Arial" w:cs="Arial"/>
          <w:sz w:val="22"/>
        </w:rPr>
        <w:t>fondo individual de capitalización;</w:t>
      </w:r>
    </w:p>
    <w:p>
      <w:pPr>
        <w:pStyle w:val="ListBullet"/>
      </w:pPr>
      <w:r>
        <w:rPr>
          <w:rFonts w:ascii="Arial" w:hAnsi="Arial" w:cs="Arial"/>
          <w:sz w:val="22"/>
        </w:rPr>
        <w:t>caja disponible para cualquier política;</w:t>
      </w:r>
    </w:p>
    <w:p>
      <w:pPr>
        <w:pStyle w:val="ListBullet"/>
      </w:pPr>
      <w:r>
        <w:rPr>
          <w:rFonts w:ascii="Arial" w:hAnsi="Arial" w:cs="Arial"/>
          <w:sz w:val="22"/>
        </w:rPr>
        <w:t>fondo destinado a prestaciones no contributivas.</w:t>
      </w:r>
    </w:p>
    <w:p>
      <w:pPr>
        <w:jc w:val="both"/>
      </w:pPr>
      <w:r>
        <w:rPr>
          <w:rFonts w:ascii="Arial" w:hAnsi="Arial" w:cs="Arial"/>
          <w:sz w:val="22"/>
        </w:rPr>
        <w:t>Forma parte del patrimonio y gestión de la TGSS, con cuenta específica y órganos de gobernanza.</w:t>
      </w:r>
    </w:p>
    <w:p>
      <w:pPr>
        <w:pStyle w:val="Heading1"/>
        <w:keepNext/>
      </w:pPr>
      <w:r>
        <w:rPr>
          <w:rFonts w:ascii="Arial" w:hAnsi="Arial" w:cs="Arial"/>
          <w:sz w:val="30"/>
        </w:rPr>
        <w:t>13. Dotación del Fondo</w:t>
      </w:r>
    </w:p>
    <w:p>
      <w:pPr>
        <w:jc w:val="both"/>
      </w:pPr>
      <w:r>
        <w:rPr>
          <w:rFonts w:ascii="Arial" w:hAnsi="Arial" w:cs="Arial"/>
          <w:sz w:val="22"/>
        </w:rPr>
        <w:t>El artículo 118 identifica:</w:t>
      </w:r>
    </w:p>
    <w:p>
      <w:pPr>
        <w:spacing w:after="40"/>
        <w:ind w:left="369" w:hanging="227"/>
      </w:pPr>
      <w:r>
        <w:rPr>
          <w:rFonts w:ascii="Arial" w:hAnsi="Arial" w:cs="Arial"/>
          <w:sz w:val="22"/>
        </w:rPr>
        <w:t>1. excedentes de ingresos contributivos y gastos de gestión, si posibilidades económicas y situación financiera lo permiten;</w:t>
      </w:r>
    </w:p>
    <w:p>
      <w:pPr>
        <w:spacing w:after="40"/>
        <w:ind w:left="369" w:hanging="227"/>
      </w:pPr>
      <w:r>
        <w:rPr>
          <w:rFonts w:ascii="Arial" w:hAnsi="Arial" w:cs="Arial"/>
          <w:sz w:val="22"/>
        </w:rPr>
        <w:t>2. excedente de mutuas tras dotar su reserva de estabilización de contingencias comunes;</w:t>
      </w:r>
    </w:p>
    <w:p>
      <w:pPr>
        <w:spacing w:after="40"/>
        <w:ind w:left="369" w:hanging="227"/>
      </w:pPr>
      <w:r>
        <w:rPr>
          <w:rFonts w:ascii="Arial" w:hAnsi="Arial" w:cs="Arial"/>
          <w:sz w:val="22"/>
        </w:rPr>
        <w:t>3. porcentaje del excedente de contingencias profesionales previsto legalmente;</w:t>
      </w:r>
    </w:p>
    <w:p>
      <w:pPr>
        <w:spacing w:after="40"/>
        <w:ind w:left="369" w:hanging="227"/>
      </w:pPr>
      <w:r>
        <w:rPr>
          <w:rFonts w:ascii="Arial" w:hAnsi="Arial" w:cs="Arial"/>
          <w:sz w:val="22"/>
        </w:rPr>
        <w:t>4. ingresos de la cotización finalista del mecanismo de equidad intergeneracional —MEI—.</w:t>
      </w:r>
    </w:p>
    <w:p>
      <w:pPr>
        <w:jc w:val="both"/>
      </w:pPr>
      <w:r>
        <w:rPr>
          <w:rFonts w:ascii="Arial" w:hAnsi="Arial" w:cs="Arial"/>
          <w:sz w:val="22"/>
        </w:rPr>
        <w:t>También se integran automáticamente los rendimientos de la cuenta y activos.</w:t>
      </w:r>
    </w:p>
    <w:p>
      <w:pPr>
        <w:pStyle w:val="Heading2"/>
        <w:keepNext/>
      </w:pPr>
      <w:r>
        <w:rPr>
          <w:rFonts w:ascii="Arial" w:hAnsi="Arial" w:cs="Arial"/>
          <w:sz w:val="25"/>
        </w:rPr>
        <w:t>13.1. Procedimiento</w:t>
      </w:r>
    </w:p>
    <w:p>
      <w:pPr>
        <w:jc w:val="both"/>
      </w:pPr>
      <w:r>
        <w:rPr>
          <w:rFonts w:ascii="Arial" w:hAnsi="Arial" w:cs="Arial"/>
          <w:sz w:val="22"/>
        </w:rPr>
        <w:t>Las dotaciones de excedentes se acuerdan al menos una vez por ejercicio por el Consejo de Ministros, a propuesta conjunta de los titulares de Inclusión, Seguridad Social y Migraciones; Economía; y Hacienda. La cotización finalista y rendimientos se integran automáticamente.</w:t>
      </w:r>
    </w:p>
    <w:p>
      <w:pPr>
        <w:jc w:val="both"/>
      </w:pPr>
      <w:r>
        <w:rPr>
          <w:rFonts w:ascii="Arial" w:hAnsi="Arial" w:cs="Arial"/>
          <w:sz w:val="22"/>
        </w:rPr>
        <w:t>La Intervención General de la Seguridad Social determina el excedente conforme a contabilidad, separando operaciones contributivas y realizando correcciones prudentes. El Real Decreto 337/2004 desarrolla operaciones compatibles, pero sus referencias a la derogada Ley 28/2003 deben leerse sustituidas por el TRLGSS.</w:t>
      </w:r>
    </w:p>
    <w:p>
      <w:pPr>
        <w:pStyle w:val="Heading2"/>
        <w:keepNext/>
      </w:pPr>
      <w:r>
        <w:rPr>
          <w:rFonts w:ascii="Arial" w:hAnsi="Arial" w:cs="Arial"/>
          <w:sz w:val="25"/>
        </w:rPr>
        <w:t>13.2. MEI</w:t>
      </w:r>
    </w:p>
    <w:p>
      <w:pPr>
        <w:jc w:val="both"/>
      </w:pPr>
      <w:r>
        <w:rPr>
          <w:rFonts w:ascii="Arial" w:hAnsi="Arial" w:cs="Arial"/>
          <w:sz w:val="22"/>
        </w:rPr>
        <w:t>El artículo 127 bis configura una cotización finalista en todos los regímenes y supuestos que cotizan por jubilación. No genera prestaciones y nutre el Fondo. La tarifa evoluciona transitoriamente hasta la permanente; en 2026 el tipo aplicable es el fijado por la norma anual y la disposición transitoria correspondiente.</w:t>
      </w:r>
    </w:p>
    <w:p>
      <w:pPr>
        <w:jc w:val="both"/>
      </w:pPr>
      <w:r>
        <w:rPr>
          <w:rFonts w:ascii="Arial" w:hAnsi="Arial" w:cs="Arial"/>
          <w:sz w:val="22"/>
        </w:rPr>
        <w:t>La cotización finalista no puede beneficiarse de bonificación, reducción, exención o deducción, salvo especialidad legal del Régimen del Mar. No debe confundirse la redacción permanente de 1,2 puntos con el tipo transitorio de cada año.</w:t>
      </w:r>
    </w:p>
    <w:p>
      <w:pPr>
        <w:pStyle w:val="Heading1"/>
        <w:keepNext/>
      </w:pPr>
      <w:r>
        <w:rPr>
          <w:rFonts w:ascii="Arial" w:hAnsi="Arial" w:cs="Arial"/>
          <w:sz w:val="30"/>
        </w:rPr>
        <w:t>14. Disposición de activos</w:t>
      </w:r>
    </w:p>
    <w:p>
      <w:pPr>
        <w:jc w:val="both"/>
      </w:pPr>
      <w:r>
        <w:rPr>
          <w:rFonts w:ascii="Arial" w:hAnsi="Arial" w:cs="Arial"/>
          <w:sz w:val="22"/>
        </w:rPr>
        <w:t>El artículo 121 destina los activos exclusivamente a financiar pensiones contributivas para reforzar equilibrio y sostenibilidad.</w:t>
      </w:r>
    </w:p>
    <w:p>
      <w:pPr>
        <w:jc w:val="both"/>
      </w:pPr>
      <w:r>
        <w:rPr>
          <w:rFonts w:ascii="Arial" w:hAnsi="Arial" w:cs="Arial"/>
          <w:sz w:val="22"/>
        </w:rPr>
        <w:t>Desde 2033 la Ley de Presupuestos fija el desembolso anual dentro de máximos de PIB:</w:t>
      </w:r>
    </w:p>
    <w:tbl>
      <w:tblPr>
        <w:tblStyle w:val="TableGrid"/>
        <w:tblW w:type="dxa" w:w="9026"/>
        <w:jc w:val="left"/>
        <w:tblLayout w:type="fixed"/>
        <w:tblLook w:firstColumn="1" w:firstRow="1" w:lastColumn="0" w:lastRow="0" w:noHBand="0" w:noVBand="1" w:val="04A0"/>
        <w:tblInd w:w="120" w:type="dxa"/>
      </w:tblPr>
      <w:tblGrid>
        <w:gridCol w:w="2674"/>
        <w:gridCol w:w="6352"/>
      </w:tblGrid>
      <w:tr>
        <w:trPr>
          <w:tblHeader w:val="true"/>
        </w:trPr>
        <w:tc>
          <w:tcPr>
            <w:tcW w:type="dxa" w:w="267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Período</w:t>
            </w:r>
          </w:p>
        </w:tc>
        <w:tc>
          <w:tcPr>
            <w:tcW w:type="dxa" w:w="635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Evolución del máximo</w:t>
            </w:r>
          </w:p>
        </w:tc>
      </w:tr>
      <w:tr>
        <w:tc>
          <w:tcPr>
            <w:tcW w:type="dxa" w:w="2674"/>
            <w:tcMar>
              <w:top w:w="80" w:type="dxa"/>
              <w:start w:w="120" w:type="dxa"/>
              <w:bottom w:w="80" w:type="dxa"/>
              <w:end w:w="120" w:type="dxa"/>
            </w:tcMar>
            <w:vAlign w:val="center"/>
          </w:tcPr>
          <w:p>
            <w:pPr>
              <w:spacing w:before="0" w:after="0" w:line="240" w:lineRule="auto"/>
              <w:jc w:val="left"/>
            </w:pPr>
            <w:r/>
            <w:r>
              <w:rPr>
                <w:rFonts w:ascii="Arial" w:hAnsi="Arial" w:cs="Arial"/>
                <w:sz w:val="18"/>
              </w:rPr>
              <w:t>2033</w:t>
            </w:r>
          </w:p>
        </w:tc>
        <w:tc>
          <w:tcPr>
            <w:tcW w:type="dxa" w:w="6352"/>
            <w:tcMar>
              <w:top w:w="80" w:type="dxa"/>
              <w:start w:w="120" w:type="dxa"/>
              <w:bottom w:w="80" w:type="dxa"/>
              <w:end w:w="120" w:type="dxa"/>
            </w:tcMar>
            <w:vAlign w:val="center"/>
          </w:tcPr>
          <w:p>
            <w:pPr>
              <w:spacing w:before="0" w:after="0" w:line="240" w:lineRule="auto"/>
              <w:jc w:val="center"/>
            </w:pPr>
            <w:r/>
            <w:r>
              <w:rPr>
                <w:rFonts w:ascii="Arial" w:hAnsi="Arial" w:cs="Arial"/>
                <w:sz w:val="18"/>
              </w:rPr>
              <w:t>0,10 % del PIB</w:t>
            </w:r>
          </w:p>
        </w:tc>
      </w:tr>
      <w:tr>
        <w:tc>
          <w:tcPr>
            <w:tcW w:type="dxa" w:w="2674"/>
            <w:tcMar>
              <w:top w:w="80" w:type="dxa"/>
              <w:start w:w="120" w:type="dxa"/>
              <w:bottom w:w="80" w:type="dxa"/>
              <w:end w:w="120" w:type="dxa"/>
            </w:tcMar>
            <w:vAlign w:val="center"/>
          </w:tcPr>
          <w:p>
            <w:pPr>
              <w:spacing w:before="0" w:after="0" w:line="240" w:lineRule="auto"/>
              <w:jc w:val="left"/>
            </w:pPr>
            <w:r/>
            <w:r>
              <w:rPr>
                <w:rFonts w:ascii="Arial" w:hAnsi="Arial" w:cs="Arial"/>
                <w:sz w:val="18"/>
              </w:rPr>
              <w:t>2040</w:t>
            </w:r>
          </w:p>
        </w:tc>
        <w:tc>
          <w:tcPr>
            <w:tcW w:type="dxa" w:w="6352"/>
            <w:tcMar>
              <w:top w:w="80" w:type="dxa"/>
              <w:start w:w="120" w:type="dxa"/>
              <w:bottom w:w="80" w:type="dxa"/>
              <w:end w:w="120" w:type="dxa"/>
            </w:tcMar>
            <w:vAlign w:val="center"/>
          </w:tcPr>
          <w:p>
            <w:pPr>
              <w:spacing w:before="0" w:after="0" w:line="240" w:lineRule="auto"/>
              <w:jc w:val="center"/>
            </w:pPr>
            <w:r/>
            <w:r>
              <w:rPr>
                <w:rFonts w:ascii="Arial" w:hAnsi="Arial" w:cs="Arial"/>
                <w:sz w:val="18"/>
              </w:rPr>
              <w:t>0,28 %</w:t>
            </w:r>
          </w:p>
        </w:tc>
      </w:tr>
      <w:tr>
        <w:tc>
          <w:tcPr>
            <w:tcW w:type="dxa" w:w="2674"/>
            <w:tcMar>
              <w:top w:w="80" w:type="dxa"/>
              <w:start w:w="120" w:type="dxa"/>
              <w:bottom w:w="80" w:type="dxa"/>
              <w:end w:w="120" w:type="dxa"/>
            </w:tcMar>
            <w:vAlign w:val="center"/>
          </w:tcPr>
          <w:p>
            <w:pPr>
              <w:spacing w:before="0" w:after="0" w:line="240" w:lineRule="auto"/>
              <w:jc w:val="left"/>
            </w:pPr>
            <w:r/>
            <w:r>
              <w:rPr>
                <w:rFonts w:ascii="Arial" w:hAnsi="Arial" w:cs="Arial"/>
                <w:sz w:val="18"/>
              </w:rPr>
              <w:t>2041</w:t>
            </w:r>
          </w:p>
        </w:tc>
        <w:tc>
          <w:tcPr>
            <w:tcW w:type="dxa" w:w="6352"/>
            <w:tcMar>
              <w:top w:w="80" w:type="dxa"/>
              <w:start w:w="120" w:type="dxa"/>
              <w:bottom w:w="80" w:type="dxa"/>
              <w:end w:w="120" w:type="dxa"/>
            </w:tcMar>
            <w:vAlign w:val="center"/>
          </w:tcPr>
          <w:p>
            <w:pPr>
              <w:spacing w:before="0" w:after="0" w:line="240" w:lineRule="auto"/>
              <w:jc w:val="center"/>
            </w:pPr>
            <w:r/>
            <w:r>
              <w:rPr>
                <w:rFonts w:ascii="Arial" w:hAnsi="Arial" w:cs="Arial"/>
                <w:sz w:val="18"/>
              </w:rPr>
              <w:t>0,46 %</w:t>
            </w:r>
          </w:p>
        </w:tc>
      </w:tr>
      <w:tr>
        <w:tc>
          <w:tcPr>
            <w:tcW w:type="dxa" w:w="2674"/>
            <w:tcMar>
              <w:top w:w="80" w:type="dxa"/>
              <w:start w:w="120" w:type="dxa"/>
              <w:bottom w:w="80" w:type="dxa"/>
              <w:end w:w="120" w:type="dxa"/>
            </w:tcMar>
            <w:vAlign w:val="center"/>
          </w:tcPr>
          <w:p>
            <w:pPr>
              <w:spacing w:before="0" w:after="0" w:line="240" w:lineRule="auto"/>
              <w:jc w:val="left"/>
            </w:pPr>
            <w:r/>
            <w:r>
              <w:rPr>
                <w:rFonts w:ascii="Arial" w:hAnsi="Arial" w:cs="Arial"/>
                <w:sz w:val="18"/>
              </w:rPr>
              <w:t>2044</w:t>
            </w:r>
          </w:p>
        </w:tc>
        <w:tc>
          <w:tcPr>
            <w:tcW w:type="dxa" w:w="6352"/>
            <w:tcMar>
              <w:top w:w="80" w:type="dxa"/>
              <w:start w:w="120" w:type="dxa"/>
              <w:bottom w:w="80" w:type="dxa"/>
              <w:end w:w="120" w:type="dxa"/>
            </w:tcMar>
            <w:vAlign w:val="center"/>
          </w:tcPr>
          <w:p>
            <w:pPr>
              <w:spacing w:before="0" w:after="0" w:line="240" w:lineRule="auto"/>
              <w:jc w:val="center"/>
            </w:pPr>
            <w:r/>
            <w:r>
              <w:rPr>
                <w:rFonts w:ascii="Arial" w:hAnsi="Arial" w:cs="Arial"/>
                <w:sz w:val="18"/>
              </w:rPr>
              <w:t>0,77 %</w:t>
            </w:r>
          </w:p>
        </w:tc>
      </w:tr>
      <w:tr>
        <w:tc>
          <w:tcPr>
            <w:tcW w:type="dxa" w:w="2674"/>
            <w:tcMar>
              <w:top w:w="80" w:type="dxa"/>
              <w:start w:w="120" w:type="dxa"/>
              <w:bottom w:w="80" w:type="dxa"/>
              <w:end w:w="120" w:type="dxa"/>
            </w:tcMar>
            <w:vAlign w:val="center"/>
          </w:tcPr>
          <w:p>
            <w:pPr>
              <w:spacing w:before="0" w:after="0" w:line="240" w:lineRule="auto"/>
              <w:jc w:val="left"/>
            </w:pPr>
            <w:r/>
            <w:r>
              <w:rPr>
                <w:rFonts w:ascii="Arial" w:hAnsi="Arial" w:cs="Arial"/>
                <w:sz w:val="18"/>
              </w:rPr>
              <w:t>2047</w:t>
            </w:r>
          </w:p>
        </w:tc>
        <w:tc>
          <w:tcPr>
            <w:tcW w:type="dxa" w:w="6352"/>
            <w:tcMar>
              <w:top w:w="80" w:type="dxa"/>
              <w:start w:w="120" w:type="dxa"/>
              <w:bottom w:w="80" w:type="dxa"/>
              <w:end w:w="120" w:type="dxa"/>
            </w:tcMar>
            <w:vAlign w:val="center"/>
          </w:tcPr>
          <w:p>
            <w:pPr>
              <w:spacing w:before="0" w:after="0" w:line="240" w:lineRule="auto"/>
              <w:jc w:val="left"/>
            </w:pPr>
            <w:r/>
            <w:r>
              <w:rPr>
                <w:rFonts w:ascii="Arial" w:hAnsi="Arial" w:cs="Arial"/>
                <w:sz w:val="18"/>
              </w:rPr>
              <w:t>0,91 %, máximo de la escala</w:t>
            </w:r>
          </w:p>
        </w:tc>
      </w:tr>
      <w:tr>
        <w:tc>
          <w:tcPr>
            <w:tcW w:type="dxa" w:w="2674"/>
            <w:tcMar>
              <w:top w:w="80" w:type="dxa"/>
              <w:start w:w="120" w:type="dxa"/>
              <w:bottom w:w="80" w:type="dxa"/>
              <w:end w:w="120" w:type="dxa"/>
            </w:tcMar>
            <w:vAlign w:val="center"/>
          </w:tcPr>
          <w:p>
            <w:pPr>
              <w:spacing w:before="0" w:after="0" w:line="240" w:lineRule="auto"/>
              <w:jc w:val="left"/>
            </w:pPr>
            <w:r/>
            <w:r>
              <w:rPr>
                <w:rFonts w:ascii="Arial" w:hAnsi="Arial" w:cs="Arial"/>
                <w:sz w:val="18"/>
              </w:rPr>
              <w:t>2053</w:t>
            </w:r>
          </w:p>
        </w:tc>
        <w:tc>
          <w:tcPr>
            <w:tcW w:type="dxa" w:w="6352"/>
            <w:tcMar>
              <w:top w:w="80" w:type="dxa"/>
              <w:start w:w="120" w:type="dxa"/>
              <w:bottom w:w="80" w:type="dxa"/>
              <w:end w:w="120" w:type="dxa"/>
            </w:tcMar>
            <w:vAlign w:val="center"/>
          </w:tcPr>
          <w:p>
            <w:pPr>
              <w:spacing w:before="0" w:after="0" w:line="240" w:lineRule="auto"/>
              <w:jc w:val="center"/>
            </w:pPr>
            <w:r/>
            <w:r>
              <w:rPr>
                <w:rFonts w:ascii="Arial" w:hAnsi="Arial" w:cs="Arial"/>
                <w:sz w:val="18"/>
              </w:rPr>
              <w:t>0,50 %</w:t>
            </w:r>
          </w:p>
        </w:tc>
      </w:tr>
    </w:tbl>
    <w:p>
      <w:pPr>
        <w:spacing w:after="40"/>
      </w:pPr>
    </w:p>
    <w:p>
      <w:pPr>
        <w:jc w:val="both"/>
      </w:pPr>
      <w:r>
        <w:rPr>
          <w:rFonts w:ascii="Arial" w:hAnsi="Arial" w:cs="Arial"/>
          <w:sz w:val="22"/>
        </w:rPr>
        <w:t>La escala legal contiene cada año. Antes de 2033 se aplican las reglas vigentes y transitorias. No se puede disponer por una mera decisión administrativa sin cobertura.</w:t>
      </w:r>
    </w:p>
    <w:p>
      <w:pPr>
        <w:jc w:val="both"/>
      </w:pPr>
      <w:r>
        <w:rPr>
          <w:rFonts w:ascii="Arial" w:hAnsi="Arial" w:cs="Arial"/>
          <w:sz w:val="22"/>
        </w:rPr>
        <w:t>Los activos se materializan en títulos emitidos por personas jurídicas públicas. El desarrollo reglamentario determina cartera, liquidez, enajenación y gestión. El criterio combina seguridad, rentabilidad, diversificación y liquidez.</w:t>
      </w:r>
    </w:p>
    <w:p>
      <w:pPr>
        <w:pStyle w:val="Heading1"/>
        <w:keepNext/>
      </w:pPr>
      <w:r>
        <w:rPr>
          <w:rFonts w:ascii="Arial" w:hAnsi="Arial" w:cs="Arial"/>
          <w:sz w:val="30"/>
        </w:rPr>
        <w:t>15. Órganos del Fondo de Reserva</w:t>
      </w:r>
    </w:p>
    <w:p>
      <w:pPr>
        <w:pStyle w:val="Heading2"/>
        <w:keepNext/>
      </w:pPr>
      <w:r>
        <w:rPr>
          <w:rFonts w:ascii="Arial" w:hAnsi="Arial" w:cs="Arial"/>
          <w:sz w:val="25"/>
        </w:rPr>
        <w:t>15.1. Comité de Gestión</w:t>
      </w:r>
    </w:p>
    <w:p>
      <w:pPr>
        <w:jc w:val="both"/>
      </w:pPr>
      <w:r>
        <w:rPr>
          <w:rFonts w:ascii="Arial" w:hAnsi="Arial" w:cs="Arial"/>
          <w:sz w:val="22"/>
        </w:rPr>
        <w:t>Ejerce superior asesoramiento, control y ordenación económica. Lo preside el Secretario de Estado de Seguridad Social y Pensiones e integra representantes de Economía, Presupuestos, TGSS, Tesoro e Intervención. El subdirector competente de TGSS actúa como secretario sin voz ni voto.</w:t>
      </w:r>
    </w:p>
    <w:p>
      <w:pPr>
        <w:jc w:val="both"/>
      </w:pPr>
      <w:r>
        <w:rPr>
          <w:rFonts w:ascii="Arial" w:hAnsi="Arial" w:cs="Arial"/>
          <w:sz w:val="22"/>
        </w:rPr>
        <w:t>Formula propuestas, selecciona valores, decide enajenaciones y elabora el informe anual a las Cortes. Se reúne al menos semestralmente según el desarrollo.</w:t>
      </w:r>
    </w:p>
    <w:p>
      <w:pPr>
        <w:pStyle w:val="Heading2"/>
        <w:keepNext/>
      </w:pPr>
      <w:r>
        <w:rPr>
          <w:rFonts w:ascii="Arial" w:hAnsi="Arial" w:cs="Arial"/>
          <w:sz w:val="25"/>
        </w:rPr>
        <w:t>15.2. Comisión Asesora de Inversiones</w:t>
      </w:r>
    </w:p>
    <w:p>
      <w:pPr>
        <w:jc w:val="both"/>
      </w:pPr>
      <w:r>
        <w:rPr>
          <w:rFonts w:ascii="Arial" w:hAnsi="Arial" w:cs="Arial"/>
          <w:sz w:val="22"/>
        </w:rPr>
        <w:t>Asesora sobre selección, adquisición y venta. La preside el Secretario de Estado de Economía e integra TGSS, Tesoro, Política Económica e Intervención. Su secretario tiene voz pero no voto. Trabaja conforme a criterios del Comité.</w:t>
      </w:r>
    </w:p>
    <w:p>
      <w:pPr>
        <w:pStyle w:val="Heading2"/>
        <w:keepNext/>
      </w:pPr>
      <w:r>
        <w:rPr>
          <w:rFonts w:ascii="Arial" w:hAnsi="Arial" w:cs="Arial"/>
          <w:sz w:val="25"/>
        </w:rPr>
        <w:t>15.3. Comisión de Seguimiento</w:t>
      </w:r>
    </w:p>
    <w:p>
      <w:pPr>
        <w:jc w:val="both"/>
      </w:pPr>
      <w:r>
        <w:rPr>
          <w:rFonts w:ascii="Arial" w:hAnsi="Arial" w:cs="Arial"/>
          <w:sz w:val="22"/>
        </w:rPr>
        <w:t>Conoce evolución y composición. Integra Administración, cuatro representantes sindicales y cuatro empresariales. Se reúne semestralmente y recibe información previa.</w:t>
      </w:r>
    </w:p>
    <w:p>
      <w:pPr>
        <w:pStyle w:val="Heading2"/>
        <w:keepNext/>
      </w:pPr>
      <w:r>
        <w:rPr>
          <w:rFonts w:ascii="Arial" w:hAnsi="Arial" w:cs="Arial"/>
          <w:sz w:val="25"/>
        </w:rPr>
        <w:t>15.4. Operaciones e informe</w:t>
      </w:r>
    </w:p>
    <w:p>
      <w:pPr>
        <w:jc w:val="both"/>
      </w:pPr>
      <w:r>
        <w:rPr>
          <w:rFonts w:ascii="Arial" w:hAnsi="Arial" w:cs="Arial"/>
          <w:sz w:val="22"/>
        </w:rPr>
        <w:t>Materializaciones, inversiones, reinversiones y desinversiones son extrapresupuestarias durante el ejercicio y se imputan definitivamente al presupuesto de la TGSS el último día hábil según situación patrimonial. El Gobierno presenta anualmente a las Cortes informe de evolución y composición.</w:t>
      </w:r>
    </w:p>
    <w:p>
      <w:pPr>
        <w:spacing w:after="100"/>
        <w:ind w:left="340" w:right="227"/>
        <w:shd w:fill="EAF2F8"/>
      </w:pPr>
      <w:r>
        <w:rPr>
          <w:rFonts w:ascii="Arial" w:hAnsi="Arial" w:cs="Arial"/>
          <w:b/>
          <w:sz w:val="20"/>
        </w:rPr>
        <w:t>Distinción de órganos:</w:t>
      </w:r>
      <w:r>
        <w:rPr>
          <w:rFonts w:ascii="Arial" w:hAnsi="Arial" w:cs="Arial"/>
          <w:sz w:val="20"/>
        </w:rPr>
        <w:t xml:space="preserve"> Comité gestiona y ordena; Comisión Asesora propone inversiones; Comisión de Seguimiento conoce y controla socialmente.</w:t>
      </w:r>
    </w:p>
    <w:p>
      <w:pPr>
        <w:pStyle w:val="Heading1"/>
        <w:keepNext/>
      </w:pPr>
      <w:r>
        <w:rPr>
          <w:rFonts w:ascii="Arial" w:hAnsi="Arial" w:cs="Arial"/>
          <w:sz w:val="30"/>
        </w:rPr>
        <w:t>16. Gestión de los recursos financieros</w:t>
      </w:r>
    </w:p>
    <w:p>
      <w:pPr>
        <w:jc w:val="both"/>
      </w:pPr>
      <w:r>
        <w:rPr>
          <w:rFonts w:ascii="Arial" w:hAnsi="Arial" w:cs="Arial"/>
          <w:sz w:val="22"/>
        </w:rPr>
        <w:t>El Real Decreto 696/2018 atribuye a la TGSS, como caja única:</w:t>
      </w:r>
    </w:p>
    <w:p>
      <w:pPr>
        <w:pStyle w:val="ListBullet"/>
      </w:pPr>
      <w:r>
        <w:rPr>
          <w:rFonts w:ascii="Arial" w:hAnsi="Arial" w:cs="Arial"/>
          <w:sz w:val="22"/>
        </w:rPr>
        <w:t>organizar medios y procesos de ingreso;</w:t>
      </w:r>
    </w:p>
    <w:p>
      <w:pPr>
        <w:pStyle w:val="ListBullet"/>
      </w:pPr>
      <w:r>
        <w:rPr>
          <w:rFonts w:ascii="Arial" w:hAnsi="Arial" w:cs="Arial"/>
          <w:sz w:val="22"/>
        </w:rPr>
        <w:t>distribuir disponibilidades en tiempo y territorio;</w:t>
      </w:r>
    </w:p>
    <w:p>
      <w:pPr>
        <w:pStyle w:val="ListBullet"/>
      </w:pPr>
      <w:r>
        <w:rPr>
          <w:rFonts w:ascii="Arial" w:hAnsi="Arial" w:cs="Arial"/>
          <w:sz w:val="22"/>
        </w:rPr>
        <w:t>gestionar el circuito financiero;</w:t>
      </w:r>
    </w:p>
    <w:p>
      <w:pPr>
        <w:pStyle w:val="ListBullet"/>
      </w:pPr>
      <w:r>
        <w:rPr>
          <w:rFonts w:ascii="Arial" w:hAnsi="Arial" w:cs="Arial"/>
          <w:sz w:val="22"/>
        </w:rPr>
        <w:t>autorizar cuentas;</w:t>
      </w:r>
    </w:p>
    <w:p>
      <w:pPr>
        <w:pStyle w:val="ListBullet"/>
      </w:pPr>
      <w:r>
        <w:rPr>
          <w:rFonts w:ascii="Arial" w:hAnsi="Arial" w:cs="Arial"/>
          <w:sz w:val="22"/>
        </w:rPr>
        <w:t>realizar operaciones financieras, crédito y anticipos;</w:t>
      </w:r>
    </w:p>
    <w:p>
      <w:pPr>
        <w:pStyle w:val="ListBullet"/>
      </w:pPr>
      <w:r>
        <w:rPr>
          <w:rFonts w:ascii="Arial" w:hAnsi="Arial" w:cs="Arial"/>
          <w:sz w:val="22"/>
        </w:rPr>
        <w:t>elaborar presupuesto monetario;</w:t>
      </w:r>
    </w:p>
    <w:p>
      <w:pPr>
        <w:pStyle w:val="ListBullet"/>
      </w:pPr>
      <w:r>
        <w:rPr>
          <w:rFonts w:ascii="Arial" w:hAnsi="Arial" w:cs="Arial"/>
          <w:sz w:val="22"/>
        </w:rPr>
        <w:t>organizar ordenación y pago;</w:t>
      </w:r>
    </w:p>
    <w:p>
      <w:pPr>
        <w:pStyle w:val="ListBullet"/>
      </w:pPr>
      <w:r>
        <w:rPr>
          <w:rFonts w:ascii="Arial" w:hAnsi="Arial" w:cs="Arial"/>
          <w:sz w:val="22"/>
        </w:rPr>
        <w:t>gestionar cuotas de recaudación conjunta e ingresos o pagos ajenos encomendados.</w:t>
      </w:r>
    </w:p>
    <w:p>
      <w:pPr>
        <w:jc w:val="both"/>
      </w:pPr>
      <w:r>
        <w:rPr>
          <w:rFonts w:ascii="Arial" w:hAnsi="Arial" w:cs="Arial"/>
          <w:sz w:val="22"/>
        </w:rPr>
        <w:t>Actúa bajo dirección, vigilancia y tutela ministerial. Estas funciones no suponen reconocer el derecho sustantivo a una prestación.</w:t>
      </w:r>
    </w:p>
    <w:p>
      <w:pPr>
        <w:pStyle w:val="Heading2"/>
        <w:keepNext/>
      </w:pPr>
      <w:r>
        <w:rPr>
          <w:rFonts w:ascii="Arial" w:hAnsi="Arial" w:cs="Arial"/>
          <w:sz w:val="25"/>
        </w:rPr>
        <w:t>16.1. Circuito de ingresos</w:t>
      </w:r>
    </w:p>
    <w:p>
      <w:pPr>
        <w:jc w:val="both"/>
      </w:pPr>
      <w:r>
        <w:rPr>
          <w:rFonts w:ascii="Arial" w:hAnsi="Arial" w:cs="Arial"/>
          <w:sz w:val="22"/>
        </w:rPr>
        <w:t>Las cuotas se ingresan en entidades financieras autorizadas y se concentran en cuentas de TGSS. Otros recursos pueden utilizar cuentas restringidas. La TGSS controla fechas valor, comunicaciones, correcciones y transferencias.</w:t>
      </w:r>
    </w:p>
    <w:p>
      <w:pPr>
        <w:jc w:val="both"/>
      </w:pPr>
      <w:r>
        <w:rPr>
          <w:rFonts w:ascii="Arial" w:hAnsi="Arial" w:cs="Arial"/>
          <w:sz w:val="22"/>
        </w:rPr>
        <w:t>No toda entidad financiera es colaboradora por voluntad propia. Debe cumplir requisitos y figurar en el Registro de Colaboradores. La autorización de cuentas corresponde a TGSS.</w:t>
      </w:r>
    </w:p>
    <w:p>
      <w:pPr>
        <w:pStyle w:val="Heading2"/>
        <w:keepNext/>
      </w:pPr>
      <w:r>
        <w:rPr>
          <w:rFonts w:ascii="Arial" w:hAnsi="Arial" w:cs="Arial"/>
          <w:sz w:val="25"/>
        </w:rPr>
        <w:t>16.2. Presupuesto monetario</w:t>
      </w:r>
    </w:p>
    <w:p>
      <w:pPr>
        <w:jc w:val="both"/>
      </w:pPr>
      <w:r>
        <w:rPr>
          <w:rFonts w:ascii="Arial" w:hAnsi="Arial" w:cs="Arial"/>
          <w:sz w:val="22"/>
        </w:rPr>
        <w:t>Se elabora mensualmente con previsiones del mes siguiente. Permite distribuir liquidez y satisfacer puntualmente obligaciones. No es el presupuesto anual de gastos: es un instrumento de tesorería para ordenar movimientos.</w:t>
      </w:r>
    </w:p>
    <w:p>
      <w:pPr>
        <w:jc w:val="both"/>
      </w:pPr>
      <w:r>
        <w:rPr>
          <w:rFonts w:ascii="Arial" w:hAnsi="Arial" w:cs="Arial"/>
          <w:sz w:val="22"/>
        </w:rPr>
        <w:t>La TGSS puede concertar operaciones de tesorería y crédito dentro de autorización legal. Los anticipos no crean crédito definitivo y exigen tramitar modificación presupuestaria.</w:t>
      </w:r>
    </w:p>
    <w:p>
      <w:pPr>
        <w:pStyle w:val="Heading1"/>
        <w:keepNext/>
      </w:pPr>
      <w:r>
        <w:rPr>
          <w:rFonts w:ascii="Arial" w:hAnsi="Arial" w:cs="Arial"/>
          <w:sz w:val="30"/>
        </w:rPr>
        <w:t>17. Ordenación de pagos</w:t>
      </w:r>
    </w:p>
    <w:p>
      <w:pPr>
        <w:pStyle w:val="Heading2"/>
        <w:keepNext/>
      </w:pPr>
      <w:r>
        <w:rPr>
          <w:rFonts w:ascii="Arial" w:hAnsi="Arial" w:cs="Arial"/>
          <w:sz w:val="25"/>
        </w:rPr>
        <w:t>17.1. Ordenadores</w:t>
      </w:r>
    </w:p>
    <w:p>
      <w:pPr>
        <w:jc w:val="both"/>
      </w:pPr>
      <w:r>
        <w:rPr>
          <w:rFonts w:ascii="Arial" w:hAnsi="Arial" w:cs="Arial"/>
          <w:sz w:val="22"/>
        </w:rPr>
        <w:t>El Director General de TGSS es Tesorero General y Ordenador General de Pagos. Puede habilitar ordenadores secundarios para cuentas y funciones determinadas.</w:t>
      </w:r>
    </w:p>
    <w:p>
      <w:pPr>
        <w:jc w:val="both"/>
      </w:pPr>
      <w:r>
        <w:rPr>
          <w:rFonts w:ascii="Arial" w:hAnsi="Arial" w:cs="Arial"/>
          <w:sz w:val="22"/>
        </w:rPr>
        <w:t>El Ordenador General:</w:t>
      </w:r>
    </w:p>
    <w:p>
      <w:pPr>
        <w:pStyle w:val="ListBullet"/>
      </w:pPr>
      <w:r>
        <w:rPr>
          <w:rFonts w:ascii="Arial" w:hAnsi="Arial" w:cs="Arial"/>
          <w:sz w:val="22"/>
        </w:rPr>
        <w:t>elabora presupuesto monetario;</w:t>
      </w:r>
    </w:p>
    <w:p>
      <w:pPr>
        <w:pStyle w:val="ListBullet"/>
      </w:pPr>
      <w:r>
        <w:rPr>
          <w:rFonts w:ascii="Arial" w:hAnsi="Arial" w:cs="Arial"/>
          <w:sz w:val="22"/>
        </w:rPr>
        <w:t>concierta operaciones;</w:t>
      </w:r>
    </w:p>
    <w:p>
      <w:pPr>
        <w:pStyle w:val="ListBullet"/>
      </w:pPr>
      <w:r>
        <w:rPr>
          <w:rFonts w:ascii="Arial" w:hAnsi="Arial" w:cs="Arial"/>
          <w:sz w:val="22"/>
        </w:rPr>
        <w:t>decide orden de ejecución;</w:t>
      </w:r>
    </w:p>
    <w:p>
      <w:pPr>
        <w:pStyle w:val="ListBullet"/>
      </w:pPr>
      <w:r>
        <w:rPr>
          <w:rFonts w:ascii="Arial" w:hAnsi="Arial" w:cs="Arial"/>
          <w:sz w:val="22"/>
        </w:rPr>
        <w:t>determina pagos centralizados;</w:t>
      </w:r>
    </w:p>
    <w:p>
      <w:pPr>
        <w:pStyle w:val="ListBullet"/>
      </w:pPr>
      <w:r>
        <w:rPr>
          <w:rFonts w:ascii="Arial" w:hAnsi="Arial" w:cs="Arial"/>
          <w:sz w:val="22"/>
        </w:rPr>
        <w:t>moviliza fondos;</w:t>
      </w:r>
    </w:p>
    <w:p>
      <w:pPr>
        <w:pStyle w:val="ListBullet"/>
      </w:pPr>
      <w:r>
        <w:rPr>
          <w:rFonts w:ascii="Arial" w:hAnsi="Arial" w:cs="Arial"/>
          <w:sz w:val="22"/>
        </w:rPr>
        <w:t>regula fondos de maniobra;</w:t>
      </w:r>
    </w:p>
    <w:p>
      <w:pPr>
        <w:pStyle w:val="ListBullet"/>
      </w:pPr>
      <w:r>
        <w:rPr>
          <w:rFonts w:ascii="Arial" w:hAnsi="Arial" w:cs="Arial"/>
          <w:sz w:val="22"/>
        </w:rPr>
        <w:t>autoriza medios específicos;</w:t>
      </w:r>
    </w:p>
    <w:p>
      <w:pPr>
        <w:pStyle w:val="ListBullet"/>
      </w:pPr>
      <w:r>
        <w:rPr>
          <w:rFonts w:ascii="Arial" w:hAnsi="Arial" w:cs="Arial"/>
          <w:sz w:val="22"/>
        </w:rPr>
        <w:t>nombra ordenadores secundarios.</w:t>
      </w:r>
    </w:p>
    <w:p>
      <w:pPr>
        <w:pStyle w:val="Heading2"/>
        <w:keepNext/>
      </w:pPr>
      <w:r>
        <w:rPr>
          <w:rFonts w:ascii="Arial" w:hAnsi="Arial" w:cs="Arial"/>
          <w:sz w:val="25"/>
        </w:rPr>
        <w:t>17.2. Propuesta, orden y materialización</w:t>
      </w:r>
    </w:p>
    <w:p>
      <w:pPr>
        <w:jc w:val="both"/>
      </w:pPr>
      <w:r>
        <w:rPr>
          <w:rFonts w:ascii="Arial" w:hAnsi="Arial" w:cs="Arial"/>
          <w:sz w:val="22"/>
        </w:rPr>
        <w:t>La entidad gestora que reconoce la obligación expide propuesta de pago. TGSS comprueba datos del acreedor, cuenta, embargos, retenciones, compensaciones e incidencias. Después el ordenador expide orden firmada junto con interventor delegado.</w:t>
      </w:r>
    </w:p>
    <w:p>
      <w:pPr>
        <w:jc w:val="both"/>
      </w:pPr>
      <w:r>
        <w:rPr>
          <w:rFonts w:ascii="Arial" w:hAnsi="Arial" w:cs="Arial"/>
          <w:sz w:val="22"/>
        </w:rPr>
        <w:t>La caja central o provincial materializa mediante transferencia y excepcionalmente cheque, cargo, metálico o giro en supuestos tasados. La transferencia es regla general y no genera gasto al perceptor.</w:t>
      </w:r>
    </w:p>
    <w:tbl>
      <w:tblPr>
        <w:tblStyle w:val="TableGrid"/>
        <w:tblW w:type="dxa" w:w="9026"/>
        <w:jc w:val="left"/>
        <w:tblLayout w:type="fixed"/>
        <w:tblLook w:firstColumn="1" w:firstRow="1" w:lastColumn="0" w:lastRow="0" w:noHBand="0" w:noVBand="1" w:val="04A0"/>
        <w:tblInd w:w="120" w:type="dxa"/>
      </w:tblPr>
      <w:tblGrid>
        <w:gridCol w:w="1805"/>
        <w:gridCol w:w="3481"/>
        <w:gridCol w:w="3740"/>
      </w:tblGrid>
      <w:tr>
        <w:trPr>
          <w:tblHeader w:val="true"/>
        </w:trPr>
        <w:tc>
          <w:tcPr>
            <w:tcW w:type="dxa" w:w="180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Fase</w:t>
            </w:r>
          </w:p>
        </w:tc>
        <w:tc>
          <w:tcPr>
            <w:tcW w:type="dxa" w:w="348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Órgano principal</w:t>
            </w:r>
          </w:p>
        </w:tc>
        <w:tc>
          <w:tcPr>
            <w:tcW w:type="dxa" w:w="374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Contenido</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Reconocimiento</w:t>
            </w:r>
          </w:p>
        </w:tc>
        <w:tc>
          <w:tcPr>
            <w:tcW w:type="dxa" w:w="3481"/>
            <w:tcMar>
              <w:top w:w="80" w:type="dxa"/>
              <w:start w:w="120" w:type="dxa"/>
              <w:bottom w:w="80" w:type="dxa"/>
              <w:end w:w="120" w:type="dxa"/>
            </w:tcMar>
            <w:vAlign w:val="center"/>
          </w:tcPr>
          <w:p>
            <w:pPr>
              <w:spacing w:before="0" w:after="0" w:line="240" w:lineRule="auto"/>
              <w:jc w:val="center"/>
            </w:pPr>
            <w:r/>
            <w:r>
              <w:rPr>
                <w:rFonts w:ascii="Arial" w:hAnsi="Arial" w:cs="Arial"/>
                <w:sz w:val="18"/>
              </w:rPr>
              <w:t>Entidad gestora</w:t>
            </w:r>
          </w:p>
        </w:tc>
        <w:tc>
          <w:tcPr>
            <w:tcW w:type="dxa" w:w="3740"/>
            <w:tcMar>
              <w:top w:w="80" w:type="dxa"/>
              <w:start w:w="120" w:type="dxa"/>
              <w:bottom w:w="80" w:type="dxa"/>
              <w:end w:w="120" w:type="dxa"/>
            </w:tcMar>
            <w:vAlign w:val="center"/>
          </w:tcPr>
          <w:p>
            <w:pPr>
              <w:spacing w:before="0" w:after="0" w:line="240" w:lineRule="auto"/>
              <w:jc w:val="left"/>
            </w:pPr>
            <w:r/>
            <w:r>
              <w:rPr>
                <w:rFonts w:ascii="Arial" w:hAnsi="Arial" w:cs="Arial"/>
                <w:sz w:val="18"/>
              </w:rPr>
              <w:t>Declara derecho y cuantía</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Propuesta</w:t>
            </w:r>
          </w:p>
        </w:tc>
        <w:tc>
          <w:tcPr>
            <w:tcW w:type="dxa" w:w="3481"/>
            <w:tcMar>
              <w:top w:w="80" w:type="dxa"/>
              <w:start w:w="120" w:type="dxa"/>
              <w:bottom w:w="80" w:type="dxa"/>
              <w:end w:w="120" w:type="dxa"/>
            </w:tcMar>
            <w:vAlign w:val="center"/>
          </w:tcPr>
          <w:p>
            <w:pPr>
              <w:spacing w:before="0" w:after="0" w:line="240" w:lineRule="auto"/>
              <w:jc w:val="left"/>
            </w:pPr>
            <w:r/>
            <w:r>
              <w:rPr>
                <w:rFonts w:ascii="Arial" w:hAnsi="Arial" w:cs="Arial"/>
                <w:sz w:val="18"/>
              </w:rPr>
              <w:t>Entidad/servicio</w:t>
            </w:r>
          </w:p>
        </w:tc>
        <w:tc>
          <w:tcPr>
            <w:tcW w:type="dxa" w:w="3740"/>
            <w:tcMar>
              <w:top w:w="80" w:type="dxa"/>
              <w:start w:w="120" w:type="dxa"/>
              <w:bottom w:w="80" w:type="dxa"/>
              <w:end w:w="120" w:type="dxa"/>
            </w:tcMar>
            <w:vAlign w:val="center"/>
          </w:tcPr>
          <w:p>
            <w:pPr>
              <w:spacing w:before="0" w:after="0" w:line="240" w:lineRule="auto"/>
              <w:jc w:val="left"/>
            </w:pPr>
            <w:r/>
            <w:r>
              <w:rPr>
                <w:rFonts w:ascii="Arial" w:hAnsi="Arial" w:cs="Arial"/>
                <w:sz w:val="18"/>
              </w:rPr>
              <w:t>Identifica obligación y acreedor</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Ordenación</w:t>
            </w:r>
          </w:p>
        </w:tc>
        <w:tc>
          <w:tcPr>
            <w:tcW w:type="dxa" w:w="3481"/>
            <w:tcMar>
              <w:top w:w="80" w:type="dxa"/>
              <w:start w:w="120" w:type="dxa"/>
              <w:bottom w:w="80" w:type="dxa"/>
              <w:end w:w="120" w:type="dxa"/>
            </w:tcMar>
            <w:vAlign w:val="center"/>
          </w:tcPr>
          <w:p>
            <w:pPr>
              <w:spacing w:before="0" w:after="0" w:line="240" w:lineRule="auto"/>
              <w:jc w:val="center"/>
            </w:pPr>
            <w:r/>
            <w:r>
              <w:rPr>
                <w:rFonts w:ascii="Arial" w:hAnsi="Arial" w:cs="Arial"/>
                <w:sz w:val="18"/>
              </w:rPr>
              <w:t>TGSS</w:t>
            </w:r>
          </w:p>
        </w:tc>
        <w:tc>
          <w:tcPr>
            <w:tcW w:type="dxa" w:w="3740"/>
            <w:tcMar>
              <w:top w:w="80" w:type="dxa"/>
              <w:start w:w="120" w:type="dxa"/>
              <w:bottom w:w="80" w:type="dxa"/>
              <w:end w:w="120" w:type="dxa"/>
            </w:tcMar>
            <w:vAlign w:val="center"/>
          </w:tcPr>
          <w:p>
            <w:pPr>
              <w:spacing w:before="0" w:after="0" w:line="240" w:lineRule="auto"/>
              <w:jc w:val="left"/>
            </w:pPr>
            <w:r/>
            <w:r>
              <w:rPr>
                <w:rFonts w:ascii="Arial" w:hAnsi="Arial" w:cs="Arial"/>
                <w:sz w:val="18"/>
              </w:rPr>
              <w:t>Comprueba y ordena</w:t>
            </w:r>
          </w:p>
        </w:tc>
      </w:tr>
      <w:tr>
        <w:tc>
          <w:tcPr>
            <w:tcW w:type="dxa" w:w="1805"/>
            <w:tcMar>
              <w:top w:w="80" w:type="dxa"/>
              <w:start w:w="120" w:type="dxa"/>
              <w:bottom w:w="80" w:type="dxa"/>
              <w:end w:w="120" w:type="dxa"/>
            </w:tcMar>
            <w:vAlign w:val="center"/>
          </w:tcPr>
          <w:p>
            <w:pPr>
              <w:spacing w:before="0" w:after="0" w:line="240" w:lineRule="auto"/>
              <w:jc w:val="left"/>
            </w:pPr>
            <w:r/>
            <w:r>
              <w:rPr>
                <w:rFonts w:ascii="Arial" w:hAnsi="Arial" w:cs="Arial"/>
                <w:sz w:val="18"/>
              </w:rPr>
              <w:t>Pago</w:t>
            </w:r>
          </w:p>
        </w:tc>
        <w:tc>
          <w:tcPr>
            <w:tcW w:type="dxa" w:w="3481"/>
            <w:tcMar>
              <w:top w:w="80" w:type="dxa"/>
              <w:start w:w="120" w:type="dxa"/>
              <w:bottom w:w="80" w:type="dxa"/>
              <w:end w:w="120" w:type="dxa"/>
            </w:tcMar>
            <w:vAlign w:val="center"/>
          </w:tcPr>
          <w:p>
            <w:pPr>
              <w:spacing w:before="0" w:after="0" w:line="240" w:lineRule="auto"/>
              <w:jc w:val="left"/>
            </w:pPr>
            <w:r/>
            <w:r>
              <w:rPr>
                <w:rFonts w:ascii="Arial" w:hAnsi="Arial" w:cs="Arial"/>
                <w:sz w:val="18"/>
              </w:rPr>
              <w:t>Caja TGSS/entidad colaboradora</w:t>
            </w:r>
          </w:p>
        </w:tc>
        <w:tc>
          <w:tcPr>
            <w:tcW w:type="dxa" w:w="3740"/>
            <w:tcMar>
              <w:top w:w="80" w:type="dxa"/>
              <w:start w:w="120" w:type="dxa"/>
              <w:bottom w:w="80" w:type="dxa"/>
              <w:end w:w="120" w:type="dxa"/>
            </w:tcMar>
            <w:vAlign w:val="center"/>
          </w:tcPr>
          <w:p>
            <w:pPr>
              <w:spacing w:before="0" w:after="0" w:line="240" w:lineRule="auto"/>
              <w:jc w:val="left"/>
            </w:pPr>
            <w:r/>
            <w:r>
              <w:rPr>
                <w:rFonts w:ascii="Arial" w:hAnsi="Arial" w:cs="Arial"/>
                <w:sz w:val="18"/>
              </w:rPr>
              <w:t>Transfiere al beneficiario</w:t>
            </w:r>
          </w:p>
        </w:tc>
      </w:tr>
    </w:tbl>
    <w:p>
      <w:pPr>
        <w:spacing w:after="40"/>
      </w:pPr>
    </w:p>
    <w:p>
      <w:pPr>
        <w:pStyle w:val="Heading2"/>
        <w:keepNext/>
      </w:pPr>
      <w:r>
        <w:rPr>
          <w:rFonts w:ascii="Arial" w:hAnsi="Arial" w:cs="Arial"/>
          <w:sz w:val="25"/>
        </w:rPr>
        <w:t>17.3. Descuentos y formalización</w:t>
      </w:r>
    </w:p>
    <w:p>
      <w:pPr>
        <w:jc w:val="both"/>
      </w:pPr>
      <w:r>
        <w:rPr>
          <w:rFonts w:ascii="Arial" w:hAnsi="Arial" w:cs="Arial"/>
          <w:sz w:val="22"/>
        </w:rPr>
        <w:t>Embargos legalmente procedentes, retenciones judiciales, compensaciones y otras incidencias se deducen. Si los descuentos igualan la orden, se paga en formalización, sin movimiento efectivo. Esto no vulnera la inembargabilidad del patrimonio: el descuento recae sobre un crédito del perceptor dentro de límites, no sobre un inmueble de TGSS.</w:t>
      </w:r>
    </w:p>
    <w:p>
      <w:pPr>
        <w:pStyle w:val="Heading1"/>
        <w:keepNext/>
      </w:pPr>
      <w:r>
        <w:rPr>
          <w:rFonts w:ascii="Arial" w:hAnsi="Arial" w:cs="Arial"/>
          <w:sz w:val="30"/>
        </w:rPr>
        <w:t>18. Pago de prestaciones</w:t>
      </w:r>
    </w:p>
    <w:p>
      <w:pPr>
        <w:jc w:val="both"/>
      </w:pPr>
      <w:r>
        <w:rPr>
          <w:rFonts w:ascii="Arial" w:hAnsi="Arial" w:cs="Arial"/>
          <w:sz w:val="22"/>
        </w:rPr>
        <w:t>El artículo 24 del Real Decreto 696/2018 contiene reglas especiales.</w:t>
      </w:r>
    </w:p>
    <w:p>
      <w:pPr>
        <w:jc w:val="both"/>
      </w:pPr>
      <w:r>
        <w:rPr>
          <w:rFonts w:ascii="Arial" w:hAnsi="Arial" w:cs="Arial"/>
          <w:sz w:val="22"/>
        </w:rPr>
        <w:t>Después del primer pago, las mensualidades de pensiones y prestaciones periódicas deben estar:</w:t>
      </w:r>
    </w:p>
    <w:p>
      <w:pPr>
        <w:pStyle w:val="ListBullet"/>
      </w:pPr>
      <w:r>
        <w:rPr>
          <w:rFonts w:ascii="Arial" w:hAnsi="Arial" w:cs="Arial"/>
          <w:sz w:val="22"/>
        </w:rPr>
        <w:t xml:space="preserve">en la cuenta o a disposición el </w:t>
      </w:r>
      <w:r>
        <w:rPr>
          <w:rFonts w:ascii="Arial" w:hAnsi="Arial" w:cs="Arial"/>
          <w:b/>
          <w:sz w:val="22"/>
        </w:rPr>
        <w:t>primer día hábil</w:t>
      </w:r>
      <w:r>
        <w:rPr>
          <w:rFonts w:ascii="Arial" w:hAnsi="Arial" w:cs="Arial"/>
          <w:sz w:val="22"/>
        </w:rPr>
        <w:t xml:space="preserve"> del mes;</w:t>
      </w:r>
    </w:p>
    <w:p>
      <w:pPr>
        <w:pStyle w:val="ListBullet"/>
      </w:pPr>
      <w:r>
        <w:rPr>
          <w:rFonts w:ascii="Arial" w:hAnsi="Arial" w:cs="Arial"/>
          <w:sz w:val="22"/>
        </w:rPr>
        <w:t xml:space="preserve">como máximo, el </w:t>
      </w:r>
      <w:r>
        <w:rPr>
          <w:rFonts w:ascii="Arial" w:hAnsi="Arial" w:cs="Arial"/>
          <w:b/>
          <w:sz w:val="22"/>
        </w:rPr>
        <w:t>cuarto día natural</w:t>
      </w:r>
      <w:r>
        <w:rPr>
          <w:rFonts w:ascii="Arial" w:hAnsi="Arial" w:cs="Arial"/>
          <w:sz w:val="22"/>
        </w:rPr>
        <w:t>.</w:t>
      </w:r>
    </w:p>
    <w:p>
      <w:pPr>
        <w:jc w:val="both"/>
      </w:pPr>
      <w:r>
        <w:rPr>
          <w:rFonts w:ascii="Arial" w:hAnsi="Arial" w:cs="Arial"/>
          <w:sz w:val="22"/>
        </w:rPr>
        <w:t>La entidad financiera carga la cuenta única centralizada con fecha valor del primer día hábil y, en todo caso, hasta el cuarto natural.</w:t>
      </w:r>
    </w:p>
    <w:p>
      <w:pPr>
        <w:jc w:val="both"/>
      </w:pPr>
      <w:r>
        <w:rPr>
          <w:rFonts w:ascii="Arial" w:hAnsi="Arial" w:cs="Arial"/>
          <w:sz w:val="22"/>
        </w:rPr>
        <w:t>La TGSS paga primeros pagos y nómina mensual tras certificación de la entidad gestora, inicialmente mediante documentos extrapresupuestarios; después la entidad imputa presupuestariamente. Algunas prestaciones pueden pagarse directamente con documento presupuestario.</w:t>
      </w:r>
    </w:p>
    <w:p>
      <w:pPr>
        <w:jc w:val="both"/>
      </w:pPr>
      <w:r>
        <w:rPr>
          <w:rFonts w:ascii="Arial" w:hAnsi="Arial" w:cs="Arial"/>
          <w:sz w:val="22"/>
        </w:rPr>
        <w:t>El beneficiario elige libremente entidad pagadora entre las inscritas y el pago nacional no genera gasto. Los residentes fuera de España siguen reglas de desarrollo.</w:t>
      </w:r>
    </w:p>
    <w:p>
      <w:pPr>
        <w:pStyle w:val="Heading2"/>
        <w:keepNext/>
      </w:pPr>
      <w:r>
        <w:rPr>
          <w:rFonts w:ascii="Arial" w:hAnsi="Arial" w:cs="Arial"/>
          <w:sz w:val="25"/>
        </w:rPr>
        <w:t>18.1. Mensualidades y pagas</w:t>
      </w:r>
    </w:p>
    <w:p>
      <w:pPr>
        <w:jc w:val="both"/>
      </w:pPr>
      <w:r>
        <w:rPr>
          <w:rFonts w:ascii="Arial" w:hAnsi="Arial" w:cs="Arial"/>
          <w:sz w:val="22"/>
        </w:rPr>
        <w:t>Las pensiones derivadas de contingencias comunes se abonan habitualmente en catorce pagas. En accidente de trabajo o enfermedad profesional, las extras están prorrateadas en doce. Esta periodicidad material no cambia la cuantía anual reconocida.</w:t>
      </w:r>
    </w:p>
    <w:p>
      <w:pPr>
        <w:jc w:val="both"/>
      </w:pPr>
      <w:r>
        <w:rPr>
          <w:rFonts w:ascii="Arial" w:hAnsi="Arial" w:cs="Arial"/>
          <w:sz w:val="22"/>
        </w:rPr>
        <w:t>La fecha comercial en que algunos bancos anticipan fondos no modifica la fecha legal ni obliga a TGSS. En examen se responde con primer día hábil y máximo cuarto natural.</w:t>
      </w:r>
    </w:p>
    <w:p>
      <w:pPr>
        <w:pStyle w:val="Heading2"/>
        <w:keepNext/>
      </w:pPr>
      <w:r>
        <w:rPr>
          <w:rFonts w:ascii="Arial" w:hAnsi="Arial" w:cs="Arial"/>
          <w:sz w:val="25"/>
        </w:rPr>
        <w:t>18.2. Fallecimiento y controles</w:t>
      </w:r>
    </w:p>
    <w:p>
      <w:pPr>
        <w:jc w:val="both"/>
      </w:pPr>
      <w:r>
        <w:rPr>
          <w:rFonts w:ascii="Arial" w:hAnsi="Arial" w:cs="Arial"/>
          <w:sz w:val="22"/>
        </w:rPr>
        <w:t>Las entidades financieras colaboran en supervivencia y devolución de pagos posteriores al fallecimiento. La entidad gestora comunica bajas y variaciones; TGSS ajusta nóminas. Un abono bancario no convalida una prestación extinguida.</w:t>
      </w:r>
    </w:p>
    <w:p>
      <w:pPr>
        <w:pStyle w:val="Heading1"/>
        <w:keepNext/>
      </w:pPr>
      <w:r>
        <w:rPr>
          <w:rFonts w:ascii="Arial" w:hAnsi="Arial" w:cs="Arial"/>
          <w:sz w:val="30"/>
        </w:rPr>
        <w:t>19. Fondos de maniobra, pagos a justificar y anticipos</w:t>
      </w:r>
    </w:p>
    <w:p>
      <w:pPr>
        <w:jc w:val="both"/>
      </w:pPr>
      <w:r>
        <w:rPr>
          <w:rFonts w:ascii="Arial" w:hAnsi="Arial" w:cs="Arial"/>
          <w:sz w:val="22"/>
        </w:rPr>
        <w:t>El fondo de maniobra es provisión extrapresupuestaria permanente para gastos corrientes y otros autorizados. El total de una entidad no excede normalmente del 3 % del capítulo correspondiente, ampliable hasta 7 % por razón fundada. Los pagos individualizados no superan 12.020,24 euros, salvo suministros y excepciones.</w:t>
      </w:r>
    </w:p>
    <w:p>
      <w:pPr>
        <w:jc w:val="both"/>
      </w:pPr>
      <w:r>
        <w:rPr>
          <w:rFonts w:ascii="Arial" w:hAnsi="Arial" w:cs="Arial"/>
          <w:sz w:val="22"/>
        </w:rPr>
        <w:t>Los pagos a justificar proceden cuando no puede aportarse documentación al expedir la orden o en emergencia. Cada libramiento exige cuenta justificativa y solo atiende obligaciones del mismo ejercicio.</w:t>
      </w:r>
    </w:p>
    <w:p>
      <w:pPr>
        <w:jc w:val="both"/>
      </w:pPr>
      <w:r>
        <w:rPr>
          <w:rFonts w:ascii="Arial" w:hAnsi="Arial" w:cs="Arial"/>
          <w:sz w:val="22"/>
        </w:rPr>
        <w:t>Los anticipos de tesorería cubren gastos urgentes sin crédito suficiente, previa autorización. No superan el 1 % del presupuesto de gastos de la entidad y obligan a iniciar modificación.</w:t>
      </w:r>
    </w:p>
    <w:p>
      <w:pPr>
        <w:jc w:val="both"/>
      </w:pPr>
      <w:r>
        <w:rPr>
          <w:rFonts w:ascii="Arial" w:hAnsi="Arial" w:cs="Arial"/>
          <w:sz w:val="22"/>
        </w:rPr>
        <w:t>Estas figuras no se usan para el pago ordinario de pensiones. Ayudan a comprender que el circuito financiero cubre obligaciones diversas.</w:t>
      </w:r>
    </w:p>
    <w:p>
      <w:pPr>
        <w:pStyle w:val="Heading1"/>
        <w:keepNext/>
      </w:pPr>
      <w:r>
        <w:rPr>
          <w:rFonts w:ascii="Arial" w:hAnsi="Arial" w:cs="Arial"/>
          <w:sz w:val="30"/>
        </w:rPr>
        <w:t>20. Cuadro de diferencias esenciales</w:t>
      </w:r>
    </w:p>
    <w:tbl>
      <w:tblPr>
        <w:tblStyle w:val="TableGrid"/>
        <w:tblW w:type="dxa" w:w="9026"/>
        <w:jc w:val="left"/>
        <w:tblLayout w:type="fixed"/>
        <w:tblLook w:firstColumn="1" w:firstRow="1" w:lastColumn="0" w:lastRow="0" w:noHBand="0" w:noVBand="1" w:val="04A0"/>
        <w:tblInd w:w="120" w:type="dxa"/>
      </w:tblPr>
      <w:tblGrid>
        <w:gridCol w:w="1262"/>
        <w:gridCol w:w="1553"/>
        <w:gridCol w:w="1650"/>
        <w:gridCol w:w="1747"/>
        <w:gridCol w:w="2814"/>
      </w:tblGrid>
      <w:tr>
        <w:trPr>
          <w:tblHeader w:val="true"/>
        </w:trPr>
        <w:tc>
          <w:tcPr>
            <w:tcW w:type="dxa" w:w="126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Concepto</w:t>
            </w:r>
          </w:p>
        </w:tc>
        <w:tc>
          <w:tcPr>
            <w:tcW w:type="dxa" w:w="155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Titularidad</w:t>
            </w:r>
          </w:p>
        </w:tc>
        <w:tc>
          <w:tcPr>
            <w:tcW w:type="dxa" w:w="165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Uso</w:t>
            </w:r>
          </w:p>
        </w:tc>
        <w:tc>
          <w:tcPr>
            <w:tcW w:type="dxa" w:w="174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Contraprestación</w:t>
            </w:r>
          </w:p>
        </w:tc>
        <w:tc>
          <w:tcPr>
            <w:tcW w:type="dxa" w:w="281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Extinción</w:t>
            </w:r>
          </w:p>
        </w:tc>
      </w:tr>
      <w:tr>
        <w:tc>
          <w:tcPr>
            <w:tcW w:type="dxa" w:w="1262"/>
            <w:tcMar>
              <w:top w:w="80" w:type="dxa"/>
              <w:start w:w="120" w:type="dxa"/>
              <w:bottom w:w="80" w:type="dxa"/>
              <w:end w:w="120" w:type="dxa"/>
            </w:tcMar>
            <w:vAlign w:val="center"/>
          </w:tcPr>
          <w:p>
            <w:pPr>
              <w:spacing w:before="0" w:after="0" w:line="240" w:lineRule="auto"/>
              <w:jc w:val="left"/>
            </w:pPr>
            <w:r/>
            <w:r>
              <w:rPr>
                <w:rFonts w:ascii="Arial" w:hAnsi="Arial" w:cs="Arial"/>
                <w:sz w:val="18"/>
              </w:rPr>
              <w:t>Adscripción</w:t>
            </w:r>
          </w:p>
        </w:tc>
        <w:tc>
          <w:tcPr>
            <w:tcW w:type="dxa" w:w="1553"/>
            <w:tcMar>
              <w:top w:w="80" w:type="dxa"/>
              <w:start w:w="120" w:type="dxa"/>
              <w:bottom w:w="80" w:type="dxa"/>
              <w:end w:w="120" w:type="dxa"/>
            </w:tcMar>
            <w:vAlign w:val="center"/>
          </w:tcPr>
          <w:p>
            <w:pPr>
              <w:spacing w:before="0" w:after="0" w:line="240" w:lineRule="auto"/>
              <w:jc w:val="center"/>
            </w:pPr>
            <w:r/>
            <w:r>
              <w:rPr>
                <w:rFonts w:ascii="Arial" w:hAnsi="Arial" w:cs="Arial"/>
                <w:sz w:val="18"/>
              </w:rPr>
              <w:t>TGSS</w:t>
            </w:r>
          </w:p>
        </w:tc>
        <w:tc>
          <w:tcPr>
            <w:tcW w:type="dxa" w:w="1650"/>
            <w:tcMar>
              <w:top w:w="80" w:type="dxa"/>
              <w:start w:w="120" w:type="dxa"/>
              <w:bottom w:w="80" w:type="dxa"/>
              <w:end w:w="120" w:type="dxa"/>
            </w:tcMar>
            <w:vAlign w:val="center"/>
          </w:tcPr>
          <w:p>
            <w:pPr>
              <w:spacing w:before="0" w:after="0" w:line="240" w:lineRule="auto"/>
              <w:jc w:val="center"/>
            </w:pPr>
            <w:r/>
            <w:r>
              <w:rPr>
                <w:rFonts w:ascii="Arial" w:hAnsi="Arial" w:cs="Arial"/>
                <w:sz w:val="18"/>
              </w:rPr>
              <w:t>Órgano público</w:t>
            </w:r>
          </w:p>
        </w:tc>
        <w:tc>
          <w:tcPr>
            <w:tcW w:type="dxa" w:w="1747"/>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2814"/>
            <w:tcMar>
              <w:top w:w="80" w:type="dxa"/>
              <w:start w:w="120" w:type="dxa"/>
              <w:bottom w:w="80" w:type="dxa"/>
              <w:end w:w="120" w:type="dxa"/>
            </w:tcMar>
            <w:vAlign w:val="center"/>
          </w:tcPr>
          <w:p>
            <w:pPr>
              <w:spacing w:before="0" w:after="0" w:line="240" w:lineRule="auto"/>
              <w:jc w:val="left"/>
            </w:pPr>
            <w:r/>
            <w:r>
              <w:rPr>
                <w:rFonts w:ascii="Arial" w:hAnsi="Arial" w:cs="Arial"/>
                <w:sz w:val="18"/>
              </w:rPr>
              <w:t>Desadscripción/reversión</w:t>
            </w:r>
          </w:p>
        </w:tc>
      </w:tr>
      <w:tr>
        <w:tc>
          <w:tcPr>
            <w:tcW w:type="dxa" w:w="1262"/>
            <w:tcMar>
              <w:top w:w="80" w:type="dxa"/>
              <w:start w:w="120" w:type="dxa"/>
              <w:bottom w:w="80" w:type="dxa"/>
              <w:end w:w="120" w:type="dxa"/>
            </w:tcMar>
            <w:vAlign w:val="center"/>
          </w:tcPr>
          <w:p>
            <w:pPr>
              <w:spacing w:before="0" w:after="0" w:line="240" w:lineRule="auto"/>
              <w:jc w:val="left"/>
            </w:pPr>
            <w:r/>
            <w:r>
              <w:rPr>
                <w:rFonts w:ascii="Arial" w:hAnsi="Arial" w:cs="Arial"/>
                <w:sz w:val="18"/>
              </w:rPr>
              <w:t>Cesión</w:t>
            </w:r>
          </w:p>
        </w:tc>
        <w:tc>
          <w:tcPr>
            <w:tcW w:type="dxa" w:w="1553"/>
            <w:tcMar>
              <w:top w:w="80" w:type="dxa"/>
              <w:start w:w="120" w:type="dxa"/>
              <w:bottom w:w="80" w:type="dxa"/>
              <w:end w:w="120" w:type="dxa"/>
            </w:tcMar>
            <w:vAlign w:val="center"/>
          </w:tcPr>
          <w:p>
            <w:pPr>
              <w:spacing w:before="0" w:after="0" w:line="240" w:lineRule="auto"/>
              <w:jc w:val="center"/>
            </w:pPr>
            <w:r/>
            <w:r>
              <w:rPr>
                <w:rFonts w:ascii="Arial" w:hAnsi="Arial" w:cs="Arial"/>
                <w:sz w:val="18"/>
              </w:rPr>
              <w:t>TGSS</w:t>
            </w:r>
          </w:p>
        </w:tc>
        <w:tc>
          <w:tcPr>
            <w:tcW w:type="dxa" w:w="1650"/>
            <w:tcMar>
              <w:top w:w="80" w:type="dxa"/>
              <w:start w:w="120" w:type="dxa"/>
              <w:bottom w:w="80" w:type="dxa"/>
              <w:end w:w="120" w:type="dxa"/>
            </w:tcMar>
            <w:vAlign w:val="center"/>
          </w:tcPr>
          <w:p>
            <w:pPr>
              <w:spacing w:before="0" w:after="0" w:line="240" w:lineRule="auto"/>
              <w:jc w:val="left"/>
            </w:pPr>
            <w:r/>
            <w:r>
              <w:rPr>
                <w:rFonts w:ascii="Arial" w:hAnsi="Arial" w:cs="Arial"/>
                <w:sz w:val="18"/>
              </w:rPr>
              <w:t>Entidad habilitada</w:t>
            </w:r>
          </w:p>
        </w:tc>
        <w:tc>
          <w:tcPr>
            <w:tcW w:type="dxa" w:w="1747"/>
            <w:tcMar>
              <w:top w:w="80" w:type="dxa"/>
              <w:start w:w="120" w:type="dxa"/>
              <w:bottom w:w="80" w:type="dxa"/>
              <w:end w:w="120" w:type="dxa"/>
            </w:tcMar>
            <w:vAlign w:val="center"/>
          </w:tcPr>
          <w:p>
            <w:pPr>
              <w:spacing w:before="0" w:after="0" w:line="240" w:lineRule="auto"/>
              <w:jc w:val="center"/>
            </w:pPr>
            <w:r/>
            <w:r>
              <w:rPr>
                <w:rFonts w:ascii="Arial" w:hAnsi="Arial" w:cs="Arial"/>
                <w:sz w:val="18"/>
              </w:rPr>
              <w:t>Gratuita</w:t>
            </w:r>
          </w:p>
        </w:tc>
        <w:tc>
          <w:tcPr>
            <w:tcW w:type="dxa" w:w="2814"/>
            <w:tcMar>
              <w:top w:w="80" w:type="dxa"/>
              <w:start w:w="120" w:type="dxa"/>
              <w:bottom w:w="80" w:type="dxa"/>
              <w:end w:w="120" w:type="dxa"/>
            </w:tcMar>
            <w:vAlign w:val="center"/>
          </w:tcPr>
          <w:p>
            <w:pPr>
              <w:spacing w:before="0" w:after="0" w:line="240" w:lineRule="auto"/>
              <w:jc w:val="left"/>
            </w:pPr>
            <w:r/>
            <w:r>
              <w:rPr>
                <w:rFonts w:ascii="Arial" w:hAnsi="Arial" w:cs="Arial"/>
                <w:sz w:val="18"/>
              </w:rPr>
              <w:t>Plazo, revocación, incumplimiento</w:t>
            </w:r>
          </w:p>
        </w:tc>
      </w:tr>
      <w:tr>
        <w:tc>
          <w:tcPr>
            <w:tcW w:type="dxa" w:w="1262"/>
            <w:tcMar>
              <w:top w:w="80" w:type="dxa"/>
              <w:start w:w="120" w:type="dxa"/>
              <w:bottom w:w="80" w:type="dxa"/>
              <w:end w:w="120" w:type="dxa"/>
            </w:tcMar>
            <w:vAlign w:val="center"/>
          </w:tcPr>
          <w:p>
            <w:pPr>
              <w:spacing w:before="0" w:after="0" w:line="240" w:lineRule="auto"/>
              <w:jc w:val="left"/>
            </w:pPr>
            <w:r/>
            <w:r>
              <w:rPr>
                <w:rFonts w:ascii="Arial" w:hAnsi="Arial" w:cs="Arial"/>
                <w:sz w:val="18"/>
              </w:rPr>
              <w:t>Arrendamiento</w:t>
            </w:r>
          </w:p>
        </w:tc>
        <w:tc>
          <w:tcPr>
            <w:tcW w:type="dxa" w:w="1553"/>
            <w:tcMar>
              <w:top w:w="80" w:type="dxa"/>
              <w:start w:w="120" w:type="dxa"/>
              <w:bottom w:w="80" w:type="dxa"/>
              <w:end w:w="120" w:type="dxa"/>
            </w:tcMar>
            <w:vAlign w:val="center"/>
          </w:tcPr>
          <w:p>
            <w:pPr>
              <w:spacing w:before="0" w:after="0" w:line="240" w:lineRule="auto"/>
              <w:jc w:val="center"/>
            </w:pPr>
            <w:r/>
            <w:r>
              <w:rPr>
                <w:rFonts w:ascii="Arial" w:hAnsi="Arial" w:cs="Arial"/>
                <w:sz w:val="18"/>
              </w:rPr>
              <w:t>Arrendador</w:t>
            </w:r>
          </w:p>
        </w:tc>
        <w:tc>
          <w:tcPr>
            <w:tcW w:type="dxa" w:w="1650"/>
            <w:tcMar>
              <w:top w:w="80" w:type="dxa"/>
              <w:start w:w="120" w:type="dxa"/>
              <w:bottom w:w="80" w:type="dxa"/>
              <w:end w:w="120" w:type="dxa"/>
            </w:tcMar>
            <w:vAlign w:val="center"/>
          </w:tcPr>
          <w:p>
            <w:pPr>
              <w:spacing w:before="0" w:after="0" w:line="240" w:lineRule="auto"/>
              <w:jc w:val="center"/>
            </w:pPr>
            <w:r/>
            <w:r>
              <w:rPr>
                <w:rFonts w:ascii="Arial" w:hAnsi="Arial" w:cs="Arial"/>
                <w:sz w:val="18"/>
              </w:rPr>
              <w:t>Arrendatario</w:t>
            </w:r>
          </w:p>
        </w:tc>
        <w:tc>
          <w:tcPr>
            <w:tcW w:type="dxa" w:w="1747"/>
            <w:tcMar>
              <w:top w:w="80" w:type="dxa"/>
              <w:start w:w="120" w:type="dxa"/>
              <w:bottom w:w="80" w:type="dxa"/>
              <w:end w:w="120" w:type="dxa"/>
            </w:tcMar>
            <w:vAlign w:val="center"/>
          </w:tcPr>
          <w:p>
            <w:pPr>
              <w:spacing w:before="0" w:after="0" w:line="240" w:lineRule="auto"/>
              <w:jc w:val="left"/>
            </w:pPr>
            <w:r/>
            <w:r>
              <w:rPr>
                <w:rFonts w:ascii="Arial" w:hAnsi="Arial" w:cs="Arial"/>
                <w:sz w:val="18"/>
              </w:rPr>
              <w:t>Renta u obra pactada</w:t>
            </w:r>
          </w:p>
        </w:tc>
        <w:tc>
          <w:tcPr>
            <w:tcW w:type="dxa" w:w="2814"/>
            <w:tcMar>
              <w:top w:w="80" w:type="dxa"/>
              <w:start w:w="120" w:type="dxa"/>
              <w:bottom w:w="80" w:type="dxa"/>
              <w:end w:w="120" w:type="dxa"/>
            </w:tcMar>
            <w:vAlign w:val="center"/>
          </w:tcPr>
          <w:p>
            <w:pPr>
              <w:spacing w:before="0" w:after="0" w:line="240" w:lineRule="auto"/>
              <w:jc w:val="left"/>
            </w:pPr>
            <w:r/>
            <w:r>
              <w:rPr>
                <w:rFonts w:ascii="Arial" w:hAnsi="Arial" w:cs="Arial"/>
                <w:sz w:val="18"/>
              </w:rPr>
              <w:t>Plazo/resolución</w:t>
            </w:r>
          </w:p>
        </w:tc>
      </w:tr>
      <w:tr>
        <w:tc>
          <w:tcPr>
            <w:tcW w:type="dxa" w:w="1262"/>
            <w:tcMar>
              <w:top w:w="80" w:type="dxa"/>
              <w:start w:w="120" w:type="dxa"/>
              <w:bottom w:w="80" w:type="dxa"/>
              <w:end w:w="120" w:type="dxa"/>
            </w:tcMar>
            <w:vAlign w:val="center"/>
          </w:tcPr>
          <w:p>
            <w:pPr>
              <w:spacing w:before="0" w:after="0" w:line="240" w:lineRule="auto"/>
              <w:jc w:val="left"/>
            </w:pPr>
            <w:r/>
            <w:r>
              <w:rPr>
                <w:rFonts w:ascii="Arial" w:hAnsi="Arial" w:cs="Arial"/>
                <w:sz w:val="18"/>
              </w:rPr>
              <w:t>Enajenación</w:t>
            </w:r>
          </w:p>
        </w:tc>
        <w:tc>
          <w:tcPr>
            <w:tcW w:type="dxa" w:w="1553"/>
            <w:tcMar>
              <w:top w:w="80" w:type="dxa"/>
              <w:start w:w="120" w:type="dxa"/>
              <w:bottom w:w="80" w:type="dxa"/>
              <w:end w:w="120" w:type="dxa"/>
            </w:tcMar>
            <w:vAlign w:val="center"/>
          </w:tcPr>
          <w:p>
            <w:pPr>
              <w:spacing w:before="0" w:after="0" w:line="240" w:lineRule="auto"/>
              <w:jc w:val="left"/>
            </w:pPr>
            <w:r/>
            <w:r>
              <w:rPr>
                <w:rFonts w:ascii="Arial" w:hAnsi="Arial" w:cs="Arial"/>
                <w:sz w:val="18"/>
              </w:rPr>
              <w:t>Pasa al adquirente</w:t>
            </w:r>
          </w:p>
        </w:tc>
        <w:tc>
          <w:tcPr>
            <w:tcW w:type="dxa" w:w="1650"/>
            <w:tcMar>
              <w:top w:w="80" w:type="dxa"/>
              <w:start w:w="120" w:type="dxa"/>
              <w:bottom w:w="80" w:type="dxa"/>
              <w:end w:w="120" w:type="dxa"/>
            </w:tcMar>
            <w:vAlign w:val="center"/>
          </w:tcPr>
          <w:p>
            <w:pPr>
              <w:spacing w:before="0" w:after="0" w:line="240" w:lineRule="auto"/>
              <w:jc w:val="center"/>
            </w:pPr>
            <w:r/>
            <w:r>
              <w:rPr>
                <w:rFonts w:ascii="Arial" w:hAnsi="Arial" w:cs="Arial"/>
                <w:sz w:val="18"/>
              </w:rPr>
              <w:t>Adquirente</w:t>
            </w:r>
          </w:p>
        </w:tc>
        <w:tc>
          <w:tcPr>
            <w:tcW w:type="dxa" w:w="1747"/>
            <w:tcMar>
              <w:top w:w="80" w:type="dxa"/>
              <w:start w:w="120" w:type="dxa"/>
              <w:bottom w:w="80" w:type="dxa"/>
              <w:end w:w="120" w:type="dxa"/>
            </w:tcMar>
            <w:vAlign w:val="center"/>
          </w:tcPr>
          <w:p>
            <w:pPr>
              <w:spacing w:before="0" w:after="0" w:line="240" w:lineRule="auto"/>
              <w:jc w:val="center"/>
            </w:pPr>
            <w:r/>
            <w:r>
              <w:rPr>
                <w:rFonts w:ascii="Arial" w:hAnsi="Arial" w:cs="Arial"/>
                <w:sz w:val="18"/>
              </w:rPr>
              <w:t>Precio</w:t>
            </w:r>
          </w:p>
        </w:tc>
        <w:tc>
          <w:tcPr>
            <w:tcW w:type="dxa" w:w="2814"/>
            <w:tcMar>
              <w:top w:w="80" w:type="dxa"/>
              <w:start w:w="120" w:type="dxa"/>
              <w:bottom w:w="80" w:type="dxa"/>
              <w:end w:w="120" w:type="dxa"/>
            </w:tcMar>
            <w:vAlign w:val="center"/>
          </w:tcPr>
          <w:p>
            <w:pPr>
              <w:spacing w:before="0" w:after="0" w:line="240" w:lineRule="auto"/>
              <w:jc w:val="left"/>
            </w:pPr>
            <w:r/>
            <w:r>
              <w:rPr>
                <w:rFonts w:ascii="Arial" w:hAnsi="Arial" w:cs="Arial"/>
                <w:sz w:val="18"/>
              </w:rPr>
              <w:t>Transmisión definitiva</w:t>
            </w:r>
          </w:p>
        </w:tc>
      </w:tr>
      <w:tr>
        <w:tc>
          <w:tcPr>
            <w:tcW w:type="dxa" w:w="1262"/>
            <w:tcMar>
              <w:top w:w="80" w:type="dxa"/>
              <w:start w:w="120" w:type="dxa"/>
              <w:bottom w:w="80" w:type="dxa"/>
              <w:end w:w="120" w:type="dxa"/>
            </w:tcMar>
            <w:vAlign w:val="center"/>
          </w:tcPr>
          <w:p>
            <w:pPr>
              <w:spacing w:before="0" w:after="0" w:line="240" w:lineRule="auto"/>
              <w:jc w:val="left"/>
            </w:pPr>
            <w:r/>
            <w:r>
              <w:rPr>
                <w:rFonts w:ascii="Arial" w:hAnsi="Arial" w:cs="Arial"/>
                <w:sz w:val="18"/>
              </w:rPr>
              <w:t>Permuta</w:t>
            </w:r>
          </w:p>
        </w:tc>
        <w:tc>
          <w:tcPr>
            <w:tcW w:type="dxa" w:w="1553"/>
            <w:tcMar>
              <w:top w:w="80" w:type="dxa"/>
              <w:start w:w="120" w:type="dxa"/>
              <w:bottom w:w="80" w:type="dxa"/>
              <w:end w:w="120" w:type="dxa"/>
            </w:tcMar>
            <w:vAlign w:val="center"/>
          </w:tcPr>
          <w:p>
            <w:pPr>
              <w:spacing w:before="0" w:after="0" w:line="240" w:lineRule="auto"/>
              <w:jc w:val="left"/>
            </w:pPr>
            <w:r/>
            <w:r>
              <w:rPr>
                <w:rFonts w:ascii="Arial" w:hAnsi="Arial" w:cs="Arial"/>
                <w:sz w:val="18"/>
              </w:rPr>
              <w:t>Pasa a contraparte</w:t>
            </w:r>
          </w:p>
        </w:tc>
        <w:tc>
          <w:tcPr>
            <w:tcW w:type="dxa" w:w="1650"/>
            <w:tcMar>
              <w:top w:w="80" w:type="dxa"/>
              <w:start w:w="120" w:type="dxa"/>
              <w:bottom w:w="80" w:type="dxa"/>
              <w:end w:w="120" w:type="dxa"/>
            </w:tcMar>
            <w:vAlign w:val="center"/>
          </w:tcPr>
          <w:p>
            <w:pPr>
              <w:spacing w:before="0" w:after="0" w:line="240" w:lineRule="auto"/>
              <w:jc w:val="center"/>
            </w:pPr>
            <w:r/>
            <w:r>
              <w:rPr>
                <w:rFonts w:ascii="Arial" w:hAnsi="Arial" w:cs="Arial"/>
                <w:sz w:val="18"/>
              </w:rPr>
              <w:t>Cada adquirente</w:t>
            </w:r>
          </w:p>
        </w:tc>
        <w:tc>
          <w:tcPr>
            <w:tcW w:type="dxa" w:w="1747"/>
            <w:tcMar>
              <w:top w:w="80" w:type="dxa"/>
              <w:start w:w="120" w:type="dxa"/>
              <w:bottom w:w="80" w:type="dxa"/>
              <w:end w:w="120" w:type="dxa"/>
            </w:tcMar>
            <w:vAlign w:val="center"/>
          </w:tcPr>
          <w:p>
            <w:pPr>
              <w:spacing w:before="0" w:after="0" w:line="240" w:lineRule="auto"/>
              <w:jc w:val="left"/>
            </w:pPr>
            <w:r/>
            <w:r>
              <w:rPr>
                <w:rFonts w:ascii="Arial" w:hAnsi="Arial" w:cs="Arial"/>
                <w:sz w:val="18"/>
              </w:rPr>
              <w:t>Otro bien/diferencia</w:t>
            </w:r>
          </w:p>
        </w:tc>
        <w:tc>
          <w:tcPr>
            <w:tcW w:type="dxa" w:w="2814"/>
            <w:tcMar>
              <w:top w:w="80" w:type="dxa"/>
              <w:start w:w="120" w:type="dxa"/>
              <w:bottom w:w="80" w:type="dxa"/>
              <w:end w:w="120" w:type="dxa"/>
            </w:tcMar>
            <w:vAlign w:val="center"/>
          </w:tcPr>
          <w:p>
            <w:pPr>
              <w:spacing w:before="0" w:after="0" w:line="240" w:lineRule="auto"/>
              <w:jc w:val="center"/>
            </w:pPr>
            <w:r/>
            <w:r>
              <w:rPr>
                <w:rFonts w:ascii="Arial" w:hAnsi="Arial" w:cs="Arial"/>
                <w:sz w:val="18"/>
              </w:rPr>
              <w:t>Transmisión</w:t>
            </w:r>
          </w:p>
        </w:tc>
      </w:tr>
    </w:tbl>
    <w:p>
      <w:pPr>
        <w:spacing w:after="40"/>
      </w:pPr>
    </w:p>
    <w:p>
      <w:pPr>
        <w:pStyle w:val="Heading1"/>
        <w:keepNext/>
      </w:pPr>
      <w:r>
        <w:rPr>
          <w:rFonts w:ascii="Arial" w:hAnsi="Arial" w:cs="Arial"/>
          <w:sz w:val="30"/>
        </w:rPr>
        <w:t>21. Supuestos prácticos</w:t>
      </w:r>
    </w:p>
    <w:p>
      <w:pPr>
        <w:jc w:val="both"/>
      </w:pPr>
      <w:r>
        <w:rPr>
          <w:rFonts w:ascii="Arial" w:hAnsi="Arial" w:cs="Arial"/>
          <w:b/>
          <w:sz w:val="22"/>
        </w:rPr>
        <w:t>Inmueble no utilizado.</w:t>
      </w:r>
      <w:r>
        <w:rPr>
          <w:rFonts w:ascii="Arial" w:hAnsi="Arial" w:cs="Arial"/>
          <w:sz w:val="22"/>
        </w:rPr>
        <w:t xml:space="preserve"> Un edificio adscrito al INSS deja de ser necesario. El INSS no puede venderlo: comunica a TGSS, que desadscribe, comprueba necesidades de otras entidades y decide explotación, enajenación o cesión. Hasta final del ejercicio el INSS soporta gastos, salvo nuevo destino anterior.</w:t>
      </w:r>
    </w:p>
    <w:p>
      <w:pPr>
        <w:jc w:val="both"/>
      </w:pPr>
      <w:r>
        <w:rPr>
          <w:rFonts w:ascii="Arial" w:hAnsi="Arial" w:cs="Arial"/>
          <w:b/>
          <w:sz w:val="22"/>
        </w:rPr>
        <w:t>Venta de 25 millones.</w:t>
      </w:r>
      <w:r>
        <w:rPr>
          <w:rFonts w:ascii="Arial" w:hAnsi="Arial" w:cs="Arial"/>
          <w:sz w:val="22"/>
        </w:rPr>
        <w:t xml:space="preserve"> La tasación supera veinte millones, por lo que autoriza Consejo de Ministros. La forma ordinaria es subasta. Si se pretende adjudicación directa, debe encajar en causa legal e incluir informes; no basta una oferta ventajosa.</w:t>
      </w:r>
    </w:p>
    <w:p>
      <w:pPr>
        <w:jc w:val="both"/>
      </w:pPr>
      <w:r>
        <w:rPr>
          <w:rFonts w:ascii="Arial" w:hAnsi="Arial" w:cs="Arial"/>
          <w:b/>
          <w:sz w:val="22"/>
        </w:rPr>
        <w:t>Pago de pensión.</w:t>
      </w:r>
      <w:r>
        <w:rPr>
          <w:rFonts w:ascii="Arial" w:hAnsi="Arial" w:cs="Arial"/>
          <w:sz w:val="22"/>
        </w:rPr>
        <w:t xml:space="preserve"> El INSS reconoce jubilación y expide propuesta. TGSS comprueba datos y ordena; la entidad colaboradora abona. El primer pago puede seguir su tramitación inicial; los sucesivos deben estar el primer hábil y, como máximo, cuarto natural.</w:t>
      </w:r>
    </w:p>
    <w:p>
      <w:pPr>
        <w:jc w:val="both"/>
      </w:pPr>
      <w:r>
        <w:rPr>
          <w:rFonts w:ascii="Arial" w:hAnsi="Arial" w:cs="Arial"/>
          <w:b/>
          <w:sz w:val="22"/>
        </w:rPr>
        <w:t>Fondo de Reserva.</w:t>
      </w:r>
      <w:r>
        <w:rPr>
          <w:rFonts w:ascii="Arial" w:hAnsi="Arial" w:cs="Arial"/>
          <w:sz w:val="22"/>
        </w:rPr>
        <w:t xml:space="preserve"> Un rendimiento de títulos se integra automáticamente. Un excedente contributivo requiere acuerdo del Consejo de Ministros si la situación lo permite. Ninguno puede dedicarse libremente a una ayuda no contributiva.</w:t>
      </w:r>
    </w:p>
    <w:p>
      <w:pPr>
        <w:pStyle w:val="Heading1"/>
        <w:keepNext/>
      </w:pPr>
      <w:r>
        <w:rPr>
          <w:rFonts w:ascii="Arial" w:hAnsi="Arial" w:cs="Arial"/>
          <w:sz w:val="30"/>
        </w:rPr>
        <w:t>22. Errores frecuentes</w:t>
      </w:r>
    </w:p>
    <w:p>
      <w:pPr>
        <w:spacing w:after="40"/>
        <w:ind w:left="369" w:hanging="227"/>
      </w:pPr>
      <w:r>
        <w:rPr>
          <w:rFonts w:ascii="Arial" w:hAnsi="Arial" w:cs="Arial"/>
          <w:sz w:val="22"/>
        </w:rPr>
        <w:t>1. Identificar patrimonio único con patrimonio del Estado.</w:t>
      </w:r>
    </w:p>
    <w:p>
      <w:pPr>
        <w:spacing w:after="40"/>
        <w:ind w:left="369" w:hanging="227"/>
      </w:pPr>
      <w:r>
        <w:rPr>
          <w:rFonts w:ascii="Arial" w:hAnsi="Arial" w:cs="Arial"/>
          <w:sz w:val="22"/>
        </w:rPr>
        <w:t>2. Atribuir la titularidad al INSS por ocupar el inmueble.</w:t>
      </w:r>
    </w:p>
    <w:p>
      <w:pPr>
        <w:spacing w:after="40"/>
        <w:ind w:left="369" w:hanging="227"/>
      </w:pPr>
      <w:r>
        <w:rPr>
          <w:rFonts w:ascii="Arial" w:hAnsi="Arial" w:cs="Arial"/>
          <w:sz w:val="22"/>
        </w:rPr>
        <w:t>3. Confundir adscripción con cesión de dominio.</w:t>
      </w:r>
    </w:p>
    <w:p>
      <w:pPr>
        <w:spacing w:after="40"/>
        <w:ind w:left="369" w:hanging="227"/>
      </w:pPr>
      <w:r>
        <w:rPr>
          <w:rFonts w:ascii="Arial" w:hAnsi="Arial" w:cs="Arial"/>
          <w:sz w:val="22"/>
        </w:rPr>
        <w:t>4. Afirmar que el inventario es registro público.</w:t>
      </w:r>
    </w:p>
    <w:p>
      <w:pPr>
        <w:spacing w:after="40"/>
        <w:ind w:left="369" w:hanging="227"/>
      </w:pPr>
      <w:r>
        <w:rPr>
          <w:rFonts w:ascii="Arial" w:hAnsi="Arial" w:cs="Arial"/>
          <w:sz w:val="22"/>
        </w:rPr>
        <w:t>5. Embargar un inmueble de TGSS para cumplir sentencia.</w:t>
      </w:r>
    </w:p>
    <w:p>
      <w:pPr>
        <w:spacing w:after="40"/>
        <w:ind w:left="369" w:hanging="227"/>
      </w:pPr>
      <w:r>
        <w:rPr>
          <w:rFonts w:ascii="Arial" w:hAnsi="Arial" w:cs="Arial"/>
          <w:sz w:val="22"/>
        </w:rPr>
        <w:t>6. Considerar cuotas como único recurso.</w:t>
      </w:r>
    </w:p>
    <w:p>
      <w:pPr>
        <w:spacing w:after="40"/>
        <w:ind w:left="369" w:hanging="227"/>
      </w:pPr>
      <w:r>
        <w:rPr>
          <w:rFonts w:ascii="Arial" w:hAnsi="Arial" w:cs="Arial"/>
          <w:sz w:val="22"/>
        </w:rPr>
        <w:t>7. Mezclar financiación contributiva y no contributiva.</w:t>
      </w:r>
    </w:p>
    <w:p>
      <w:pPr>
        <w:spacing w:after="40"/>
        <w:ind w:left="369" w:hanging="227"/>
      </w:pPr>
      <w:r>
        <w:rPr>
          <w:rFonts w:ascii="Arial" w:hAnsi="Arial" w:cs="Arial"/>
          <w:sz w:val="22"/>
        </w:rPr>
        <w:t>8. Aplicar capitalización a todas las pensiones.</w:t>
      </w:r>
    </w:p>
    <w:p>
      <w:pPr>
        <w:spacing w:after="40"/>
        <w:ind w:left="369" w:hanging="227"/>
      </w:pPr>
      <w:r>
        <w:rPr>
          <w:rFonts w:ascii="Arial" w:hAnsi="Arial" w:cs="Arial"/>
          <w:sz w:val="22"/>
        </w:rPr>
        <w:t>9. Comprar directamente sin causa excepcional.</w:t>
      </w:r>
    </w:p>
    <w:p>
      <w:pPr>
        <w:spacing w:after="40"/>
        <w:ind w:left="369" w:hanging="227"/>
      </w:pPr>
      <w:r>
        <w:rPr>
          <w:rFonts w:ascii="Arial" w:hAnsi="Arial" w:cs="Arial"/>
          <w:sz w:val="22"/>
        </w:rPr>
        <w:t>10. Usar valor contable como tasación de venta.</w:t>
      </w:r>
    </w:p>
    <w:p>
      <w:pPr>
        <w:spacing w:after="40"/>
        <w:ind w:left="369" w:hanging="227"/>
      </w:pPr>
      <w:r>
        <w:rPr>
          <w:rFonts w:ascii="Arial" w:hAnsi="Arial" w:cs="Arial"/>
          <w:sz w:val="22"/>
        </w:rPr>
        <w:t>11. Atribuir al Ministerio ventas superiores a 20 millones.</w:t>
      </w:r>
    </w:p>
    <w:p>
      <w:pPr>
        <w:spacing w:after="40"/>
        <w:ind w:left="369" w:hanging="227"/>
      </w:pPr>
      <w:r>
        <w:rPr>
          <w:rFonts w:ascii="Arial" w:hAnsi="Arial" w:cs="Arial"/>
          <w:sz w:val="22"/>
        </w:rPr>
        <w:t>12. Confundir subasta desierta con adjudicación automática al solicitante.</w:t>
      </w:r>
    </w:p>
    <w:p>
      <w:pPr>
        <w:spacing w:after="40"/>
        <w:ind w:left="369" w:hanging="227"/>
      </w:pPr>
      <w:r>
        <w:rPr>
          <w:rFonts w:ascii="Arial" w:hAnsi="Arial" w:cs="Arial"/>
          <w:sz w:val="22"/>
        </w:rPr>
        <w:t>13. Equiparar arrendamiento como arrendataria y explotación como arrendadora.</w:t>
      </w:r>
    </w:p>
    <w:p>
      <w:pPr>
        <w:spacing w:after="40"/>
        <w:ind w:left="369" w:hanging="227"/>
      </w:pPr>
      <w:r>
        <w:rPr>
          <w:rFonts w:ascii="Arial" w:hAnsi="Arial" w:cs="Arial"/>
          <w:sz w:val="22"/>
        </w:rPr>
        <w:t>14. Entender cesión gratuita como donación.</w:t>
      </w:r>
    </w:p>
    <w:p>
      <w:pPr>
        <w:spacing w:after="40"/>
        <w:ind w:left="369" w:hanging="227"/>
      </w:pPr>
      <w:r>
        <w:rPr>
          <w:rFonts w:ascii="Arial" w:hAnsi="Arial" w:cs="Arial"/>
          <w:sz w:val="22"/>
        </w:rPr>
        <w:t>15. Superar veinte años iniciales o treinta con prórrogas en cesión.</w:t>
      </w:r>
    </w:p>
    <w:p>
      <w:pPr>
        <w:spacing w:after="40"/>
        <w:ind w:left="369" w:hanging="227"/>
      </w:pPr>
      <w:r>
        <w:rPr>
          <w:rFonts w:ascii="Arial" w:hAnsi="Arial" w:cs="Arial"/>
          <w:sz w:val="22"/>
        </w:rPr>
        <w:t>16. Citar la Ley 28/2003 como vigente.</w:t>
      </w:r>
    </w:p>
    <w:p>
      <w:pPr>
        <w:spacing w:after="40"/>
        <w:ind w:left="369" w:hanging="227"/>
      </w:pPr>
      <w:r>
        <w:rPr>
          <w:rFonts w:ascii="Arial" w:hAnsi="Arial" w:cs="Arial"/>
          <w:sz w:val="22"/>
        </w:rPr>
        <w:t>17. Confundir Fondo de Reserva con fondo de estabilización.</w:t>
      </w:r>
    </w:p>
    <w:p>
      <w:pPr>
        <w:spacing w:after="40"/>
        <w:ind w:left="369" w:hanging="227"/>
      </w:pPr>
      <w:r>
        <w:rPr>
          <w:rFonts w:ascii="Arial" w:hAnsi="Arial" w:cs="Arial"/>
          <w:sz w:val="22"/>
        </w:rPr>
        <w:t>18. Disponer del Fondo para prestaciones no contributivas.</w:t>
      </w:r>
    </w:p>
    <w:p>
      <w:pPr>
        <w:spacing w:after="40"/>
        <w:ind w:left="369" w:hanging="227"/>
      </w:pPr>
      <w:r>
        <w:rPr>
          <w:rFonts w:ascii="Arial" w:hAnsi="Arial" w:cs="Arial"/>
          <w:sz w:val="22"/>
        </w:rPr>
        <w:t>19. Atribuir reconocimiento de pensiones a TGSS.</w:t>
      </w:r>
    </w:p>
    <w:p>
      <w:pPr>
        <w:spacing w:after="40"/>
        <w:ind w:left="369" w:hanging="227"/>
      </w:pPr>
      <w:r>
        <w:rPr>
          <w:rFonts w:ascii="Arial" w:hAnsi="Arial" w:cs="Arial"/>
          <w:sz w:val="22"/>
        </w:rPr>
        <w:t>20. Confundir propuesta de pago con orden.</w:t>
      </w:r>
    </w:p>
    <w:p>
      <w:pPr>
        <w:spacing w:after="40"/>
        <w:ind w:left="369" w:hanging="227"/>
      </w:pPr>
      <w:r>
        <w:rPr>
          <w:rFonts w:ascii="Arial" w:hAnsi="Arial" w:cs="Arial"/>
          <w:sz w:val="22"/>
        </w:rPr>
        <w:t>21. Responder que la pensión debe abonarse siempre el día 1 natural.</w:t>
      </w:r>
    </w:p>
    <w:p>
      <w:pPr>
        <w:spacing w:after="40"/>
        <w:ind w:left="369" w:hanging="227"/>
      </w:pPr>
      <w:r>
        <w:rPr>
          <w:rFonts w:ascii="Arial" w:hAnsi="Arial" w:cs="Arial"/>
          <w:sz w:val="22"/>
        </w:rPr>
        <w:t>22. Convertir anticipo bancario comercial en fecha legal.</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S13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11, 2026: 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16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texto refundido de la Ley General de la Seguridad Social (5); Real Decreto 1221/1992 (5); Texto Refundido de la Ley General de la Seguridad Social (3); Real Decreto 696/2018 (2).</w:t>
      </w:r>
    </w:p>
    <w:p>
      <w:pPr>
        <w:jc w:val="both"/>
      </w:pPr>
      <w:r>
        <w:rPr>
          <w:rFonts w:ascii="Arial" w:hAnsi="Arial" w:cs="Arial"/>
          <w:b/>
          <w:sz w:val="22"/>
        </w:rPr>
        <w:t>Artículos o preceptos más repetidos:</w:t>
      </w:r>
      <w:r>
        <w:rPr>
          <w:rFonts w:ascii="Arial" w:hAnsi="Arial" w:cs="Arial"/>
          <w:sz w:val="22"/>
        </w:rPr>
        <w:t xml:space="preserve"> 12 (2); 9 (2); 117 (1); 109.3 (1); 104.1 (1); 108 (1); 123 (1); 18 (1).</w:t>
      </w:r>
    </w:p>
    <w:p>
      <w:pPr>
        <w:jc w:val="both"/>
      </w:pPr>
      <w:r>
        <w:rPr>
          <w:rFonts w:ascii="Arial" w:hAnsi="Arial" w:cs="Arial"/>
          <w:b/>
          <w:sz w:val="22"/>
        </w:rPr>
        <w:t>Formas de pregunta predominantes:</w:t>
      </w:r>
      <w:r>
        <w:rPr>
          <w:rFonts w:ascii="Arial" w:hAnsi="Arial" w:cs="Arial"/>
          <w:sz w:val="22"/>
        </w:rPr>
        <w:t xml:space="preserve"> Artículos literales (14); Competencias (1); Procedimientos (1).</w:t>
      </w:r>
    </w:p>
    <w:p>
      <w:pPr>
        <w:pStyle w:val="Heading2"/>
        <w:keepNext/>
      </w:pPr>
      <w:r>
        <w:rPr>
          <w:rFonts w:ascii="Arial" w:hAnsi="Arial" w:cs="Arial"/>
          <w:sz w:val="25"/>
        </w:rPr>
        <w:t>Patrones observados</w:t>
      </w:r>
    </w:p>
    <w:p>
      <w:pPr>
        <w:pStyle w:val="ListBullet"/>
      </w:pPr>
      <w:r>
        <w:rPr>
          <w:rFonts w:ascii="Arial" w:hAnsi="Arial" w:cs="Arial"/>
          <w:b/>
          <w:sz w:val="22"/>
        </w:rPr>
        <w:t>2024, teoría 70:</w:t>
      </w:r>
      <w:r>
        <w:rPr>
          <w:rFonts w:ascii="Arial" w:hAnsi="Arial" w:cs="Arial"/>
          <w:sz w:val="22"/>
        </w:rPr>
        <w:t xml:space="preserve"> Según el artículo 117 del texto refundido de la Ley General de la Seguridad Social, en la Tesorería General de la Seguridad Social se constituirá un Fondo de Reserva de la Seguridad Social con la finalidad de:</w:t>
      </w:r>
    </w:p>
    <w:p>
      <w:pPr>
        <w:pStyle w:val="ListBullet"/>
      </w:pPr>
      <w:r>
        <w:rPr>
          <w:rFonts w:ascii="Arial" w:hAnsi="Arial" w:cs="Arial"/>
          <w:b/>
          <w:sz w:val="22"/>
        </w:rPr>
        <w:t>2025, teoría 46:</w:t>
      </w:r>
      <w:r>
        <w:rPr>
          <w:rFonts w:ascii="Arial" w:hAnsi="Arial" w:cs="Arial"/>
          <w:sz w:val="22"/>
        </w:rPr>
        <w:t xml:space="preserve"> De acuerdo con lo dispuesto en el artículo 109.3 del Texto Refundido de la Ley General de la Seguridad Social, señale cuál de las siguientes prestaciones de la Seguridad Social tiene naturaleza contributiva:</w:t>
      </w:r>
    </w:p>
    <w:p>
      <w:pPr>
        <w:pStyle w:val="ListBullet"/>
      </w:pPr>
      <w:r>
        <w:rPr>
          <w:rFonts w:ascii="Arial" w:hAnsi="Arial" w:cs="Arial"/>
          <w:b/>
          <w:sz w:val="22"/>
        </w:rPr>
        <w:t>2025, teoría 47:</w:t>
      </w:r>
      <w:r>
        <w:rPr>
          <w:rFonts w:ascii="Arial" w:hAnsi="Arial" w:cs="Arial"/>
          <w:sz w:val="22"/>
        </w:rPr>
        <w:t xml:space="preserve"> Según el artículo 104.1 del Texto Refundido de la Ley General de la Seguridad Social, la titularidad del patrimonio único de la Seguridad Social corresponde a:</w:t>
      </w:r>
    </w:p>
    <w:p>
      <w:pPr>
        <w:pStyle w:val="ListBullet"/>
      </w:pPr>
      <w:r>
        <w:rPr>
          <w:rFonts w:ascii="Arial" w:hAnsi="Arial" w:cs="Arial"/>
          <w:b/>
          <w:sz w:val="22"/>
        </w:rPr>
        <w:t>2025, teoría 48:</w:t>
      </w:r>
      <w:r>
        <w:rPr>
          <w:rFonts w:ascii="Arial" w:hAnsi="Arial" w:cs="Arial"/>
          <w:sz w:val="22"/>
        </w:rPr>
        <w:t xml:space="preserve"> Conforme a lo establecido en el artículo 108 del Texto Refundido de la Ley General de la Seguridad Social, los bienes y derechos que integran el patrimonio de la seguridad social:</w:t>
      </w:r>
    </w:p>
    <w:p>
      <w:pPr>
        <w:pStyle w:val="ListBullet"/>
      </w:pPr>
      <w:r>
        <w:rPr>
          <w:rFonts w:ascii="Arial" w:hAnsi="Arial" w:cs="Arial"/>
          <w:b/>
          <w:sz w:val="22"/>
        </w:rPr>
        <w:t>2025, teoría 65:</w:t>
      </w:r>
      <w:r>
        <w:rPr>
          <w:rFonts w:ascii="Arial" w:hAnsi="Arial" w:cs="Arial"/>
          <w:sz w:val="22"/>
        </w:rPr>
        <w:t xml:space="preserve"> En relación con la apertura de cuentas corrientes recogida en el artículo 10 del Real Decreto 696/2018, de 29 de junio, por el que se aprueba el Reglamento general de la gestión financiera de la Seguridad…</w:t>
      </w:r>
    </w:p>
    <w:p>
      <w:pPr>
        <w:pStyle w:val="ListBullet"/>
      </w:pPr>
      <w:r>
        <w:rPr>
          <w:rFonts w:ascii="Arial" w:hAnsi="Arial" w:cs="Arial"/>
          <w:b/>
          <w:sz w:val="22"/>
        </w:rPr>
        <w:t>2025, teoría 66:</w:t>
      </w:r>
      <w:r>
        <w:rPr>
          <w:rFonts w:ascii="Arial" w:hAnsi="Arial" w:cs="Arial"/>
          <w:sz w:val="22"/>
        </w:rPr>
        <w:t xml:space="preserve"> En relación con el procedimiento general para la adquisición de bienes inmuebles recogido en el artículo 9 del Real Decreto 1221/1992, de 9 de octubre, sobre el patrimonio de la Seguridad Social:</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23. Método de resolución de preguntas patrimoniales y financieras</w:t>
      </w:r>
    </w:p>
    <w:p>
      <w:pPr>
        <w:jc w:val="both"/>
      </w:pPr>
      <w:r>
        <w:rPr>
          <w:rFonts w:ascii="Arial" w:hAnsi="Arial" w:cs="Arial"/>
          <w:sz w:val="22"/>
        </w:rPr>
        <w:t xml:space="preserve">Una pregunta patrimonial debe resolverse separando cuatro planos: </w:t>
      </w:r>
      <w:r>
        <w:rPr>
          <w:rFonts w:ascii="Arial" w:hAnsi="Arial" w:cs="Arial"/>
          <w:b/>
          <w:sz w:val="22"/>
        </w:rPr>
        <w:t>titularidad</w:t>
      </w:r>
      <w:r>
        <w:rPr>
          <w:rFonts w:ascii="Arial" w:hAnsi="Arial" w:cs="Arial"/>
          <w:sz w:val="22"/>
        </w:rPr>
        <w:t xml:space="preserve">, </w:t>
      </w:r>
      <w:r>
        <w:rPr>
          <w:rFonts w:ascii="Arial" w:hAnsi="Arial" w:cs="Arial"/>
          <w:b/>
          <w:sz w:val="22"/>
        </w:rPr>
        <w:t>disponibilidad</w:t>
      </w:r>
      <w:r>
        <w:rPr>
          <w:rFonts w:ascii="Arial" w:hAnsi="Arial" w:cs="Arial"/>
          <w:sz w:val="22"/>
        </w:rPr>
        <w:t xml:space="preserve">, </w:t>
      </w:r>
      <w:r>
        <w:rPr>
          <w:rFonts w:ascii="Arial" w:hAnsi="Arial" w:cs="Arial"/>
          <w:b/>
          <w:sz w:val="22"/>
        </w:rPr>
        <w:t>uso</w:t>
      </w:r>
      <w:r>
        <w:rPr>
          <w:rFonts w:ascii="Arial" w:hAnsi="Arial" w:cs="Arial"/>
          <w:sz w:val="22"/>
        </w:rPr>
        <w:t xml:space="preserve"> y </w:t>
      </w:r>
      <w:r>
        <w:rPr>
          <w:rFonts w:ascii="Arial" w:hAnsi="Arial" w:cs="Arial"/>
          <w:b/>
          <w:sz w:val="22"/>
        </w:rPr>
        <w:t>competencia</w:t>
      </w:r>
      <w:r>
        <w:rPr>
          <w:rFonts w:ascii="Arial" w:hAnsi="Arial" w:cs="Arial"/>
          <w:sz w:val="22"/>
        </w:rPr>
        <w:t>. La titularidad del patrimonio único corresponde a la TGSS, pero eso no significa que cualquier órgano de la Tesorería pueda disponer del bien ni que la entidad usuaria carezca de deberes. La disponibilidad queda sometida al TRLGSS, al Real Decreto 1221/1992 y, de forma supletoria, a la legislación patrimonial pública; el uso puede corresponder al INSS, al ISM, a la propia TGSS o a otra entidad mediante adscripción o cesión; y la competencia concreta depende del negocio, su valor y el órgano que deba autorizarlo. Este esquema permite descartar respuestas que confunden propiedad con ocupación o gestión material.</w:t>
      </w:r>
    </w:p>
    <w:p>
      <w:pPr>
        <w:jc w:val="both"/>
      </w:pPr>
      <w:r>
        <w:rPr>
          <w:rFonts w:ascii="Arial" w:hAnsi="Arial" w:cs="Arial"/>
          <w:sz w:val="22"/>
        </w:rPr>
        <w:t>Ante una adquisición, conviene preguntar primero si es onerosa o gratuita. Si es onerosa, el concurso constituye la regla y la adquisición directa exige una causa reglamentaria acreditada. Si es gratuita, deben examinarse las cargas, condiciones y posible necesidad de aceptación. Ante una salida del patrimonio, debe distinguirse la enajenación —que transmite la propiedad— de la cesión —gratuita, temporal, finalista y normalmente reversible— y de la adscripción —que conserva la titularidad en la TGSS y atribuye uso a un órgano o entidad gestora—. En la venta, la cifra de veinte millones de euros decide si autoriza el Ministerio o el Consejo de Ministros, pero no sustituye la tasación ni convierte la adjudicación directa en regla.</w:t>
      </w:r>
    </w:p>
    <w:p>
      <w:pPr>
        <w:jc w:val="both"/>
      </w:pPr>
      <w:r>
        <w:rPr>
          <w:rFonts w:ascii="Arial" w:hAnsi="Arial" w:cs="Arial"/>
          <w:sz w:val="22"/>
        </w:rPr>
        <w:t xml:space="preserve">En cuestiones sobre el Fondo de Reserva, el orden lógico es </w:t>
      </w:r>
      <w:r>
        <w:rPr>
          <w:rFonts w:ascii="Arial" w:hAnsi="Arial" w:cs="Arial"/>
          <w:b/>
          <w:sz w:val="22"/>
        </w:rPr>
        <w:t>origen, incorporación, finalidad, inversión y control</w:t>
      </w:r>
      <w:r>
        <w:rPr>
          <w:rFonts w:ascii="Arial" w:hAnsi="Arial" w:cs="Arial"/>
          <w:sz w:val="22"/>
        </w:rPr>
        <w:t>. No toda entrada se incorpora del mismo modo: los rendimientos y determinadas dotaciones previstas legalmente se integran conforme a su régimen, mientras que las aportaciones de excedentes contributivos requieren la decisión competente. La finalidad está restringida a necesidades financieras de prestaciones contributivas. La inversión debe ajustarse a seguridad, rentabilidad y diversificación dentro de los activos permitidos, y la gestión se somete a órganos colegiados e información periódica a las Cortes Generales.</w:t>
      </w:r>
    </w:p>
    <w:p>
      <w:pPr>
        <w:jc w:val="both"/>
      </w:pPr>
      <w:r>
        <w:rPr>
          <w:rFonts w:ascii="Arial" w:hAnsi="Arial" w:cs="Arial"/>
          <w:sz w:val="22"/>
        </w:rPr>
        <w:t>En preguntas de pago, hay que separar tres sujetos. La entidad gestora o colaboradora reconoce el derecho cuando le corresponde; la TGSS, como caja única, ordena y materializa el pago; la entidad financiera realiza el abono al perceptor. El presupuesto monetario mensual sirve para coordinar disponibilidades, pero no crea el derecho a la prestación. Tampoco debe confundirse la fecha máxima del cuarto día natural con la regla ordinaria del primer día hábil ni con la práctica comercial de anticipar el ingreso. Esta secuencia evita trasladar al banco, al INSS o a la Intervención una competencia que el ordenamiento atribuye a la Tesorería.</w:t>
      </w:r>
    </w:p>
    <w:p>
      <w:pPr>
        <w:pStyle w:val="Heading1"/>
        <w:keepNext/>
      </w:pPr>
      <w:r>
        <w:rPr>
          <w:rFonts w:ascii="Arial" w:hAnsi="Arial" w:cs="Arial"/>
          <w:sz w:val="30"/>
        </w:rPr>
        <w:t>24. Resumen de repaso</w:t>
      </w:r>
    </w:p>
    <w:p>
      <w:pPr>
        <w:jc w:val="both"/>
      </w:pPr>
      <w:r>
        <w:rPr>
          <w:rFonts w:ascii="Arial" w:hAnsi="Arial" w:cs="Arial"/>
          <w:sz w:val="22"/>
        </w:rPr>
        <w:t>Los recursos generales son aportaciones estatales, cuotas, recargos y sanciones, rendimientos patrimoniales y otros ingresos. El patrimonio es único, distinto del Estado y titularidad de TGSS. Adscribir no transmite propiedad; la entidad usuaria conserva y administra.</w:t>
      </w:r>
    </w:p>
    <w:p>
      <w:pPr>
        <w:jc w:val="both"/>
      </w:pPr>
      <w:r>
        <w:rPr>
          <w:rFonts w:ascii="Arial" w:hAnsi="Arial" w:cs="Arial"/>
          <w:sz w:val="22"/>
        </w:rPr>
        <w:t>La adquisición onerosa se hace por concurso, salvo excepción. La venta requiere tasación, autorización ministerial hasta veinte millones y del Gobierno por encima; se realiza por subasta salvo causa directa. El arrendamiento puede servir para obtener uso o explotar un bien. La cesión es gratuita, temporal y revocable.</w:t>
      </w:r>
    </w:p>
    <w:p>
      <w:pPr>
        <w:jc w:val="both"/>
      </w:pPr>
      <w:r>
        <w:rPr>
          <w:rFonts w:ascii="Arial" w:hAnsi="Arial" w:cs="Arial"/>
          <w:sz w:val="22"/>
        </w:rPr>
        <w:t>El Fondo de Reserva se constituye en TGSS para pensiones contributivas. Se dota con excedentes, aportaciones de mutuas, MEI y rendimientos. Sus órganos son Comité de Gestión, Comisión Asesora y Comisión de Seguimiento.</w:t>
      </w:r>
    </w:p>
    <w:p>
      <w:pPr>
        <w:jc w:val="both"/>
      </w:pPr>
      <w:r>
        <w:rPr>
          <w:rFonts w:ascii="Arial" w:hAnsi="Arial" w:cs="Arial"/>
          <w:sz w:val="22"/>
        </w:rPr>
        <w:t>TGSS gestiona recursos como caja única, elabora presupuesto monetario, ordena y materializa pagos. La entidad gestora reconoce; TGSS paga. Las mensualidades sucesivas deben estar el primer día hábil y como máximo el cuarto natural.</w:t>
      </w:r>
    </w:p>
    <w:p>
      <w:pPr>
        <w:pStyle w:val="Heading1"/>
        <w:keepNext/>
      </w:pPr>
      <w:r>
        <w:rPr>
          <w:rFonts w:ascii="Arial" w:hAnsi="Arial" w:cs="Arial"/>
          <w:sz w:val="30"/>
        </w:rPr>
        <w:t>25. Datos especialmente preguntables</w:t>
      </w:r>
    </w:p>
    <w:p>
      <w:pPr>
        <w:pStyle w:val="ListBullet"/>
      </w:pPr>
      <w:r>
        <w:rPr>
          <w:rFonts w:ascii="Arial" w:hAnsi="Arial" w:cs="Arial"/>
          <w:sz w:val="22"/>
        </w:rPr>
        <w:t xml:space="preserve">Patrimonio único: artículo </w:t>
      </w:r>
      <w:r>
        <w:rPr>
          <w:rFonts w:ascii="Arial" w:hAnsi="Arial" w:cs="Arial"/>
          <w:b/>
          <w:sz w:val="22"/>
        </w:rPr>
        <w:t>103 TRLGSS</w:t>
      </w:r>
      <w:r>
        <w:rPr>
          <w:rFonts w:ascii="Arial" w:hAnsi="Arial" w:cs="Arial"/>
          <w:sz w:val="22"/>
        </w:rPr>
        <w:t>.</w:t>
      </w:r>
    </w:p>
    <w:p>
      <w:pPr>
        <w:pStyle w:val="ListBullet"/>
      </w:pPr>
      <w:r>
        <w:rPr>
          <w:rFonts w:ascii="Arial" w:hAnsi="Arial" w:cs="Arial"/>
          <w:sz w:val="22"/>
        </w:rPr>
        <w:t xml:space="preserve">Titular: </w:t>
      </w:r>
      <w:r>
        <w:rPr>
          <w:rFonts w:ascii="Arial" w:hAnsi="Arial" w:cs="Arial"/>
          <w:b/>
          <w:sz w:val="22"/>
        </w:rPr>
        <w:t>TGSS</w:t>
      </w:r>
      <w:r>
        <w:rPr>
          <w:rFonts w:ascii="Arial" w:hAnsi="Arial" w:cs="Arial"/>
          <w:sz w:val="22"/>
        </w:rPr>
        <w:t xml:space="preserve">, artículo </w:t>
      </w:r>
      <w:r>
        <w:rPr>
          <w:rFonts w:ascii="Arial" w:hAnsi="Arial" w:cs="Arial"/>
          <w:b/>
          <w:sz w:val="22"/>
        </w:rPr>
        <w:t>104</w:t>
      </w:r>
      <w:r>
        <w:rPr>
          <w:rFonts w:ascii="Arial" w:hAnsi="Arial" w:cs="Arial"/>
          <w:sz w:val="22"/>
        </w:rPr>
        <w:t>.</w:t>
      </w:r>
    </w:p>
    <w:p>
      <w:pPr>
        <w:pStyle w:val="ListBullet"/>
      </w:pPr>
      <w:r>
        <w:rPr>
          <w:rFonts w:ascii="Arial" w:hAnsi="Arial" w:cs="Arial"/>
          <w:sz w:val="22"/>
        </w:rPr>
        <w:t>Adscripción: no altera titularidad.</w:t>
      </w:r>
    </w:p>
    <w:p>
      <w:pPr>
        <w:pStyle w:val="ListBullet"/>
      </w:pPr>
      <w:r>
        <w:rPr>
          <w:rFonts w:ascii="Arial" w:hAnsi="Arial" w:cs="Arial"/>
          <w:sz w:val="22"/>
        </w:rPr>
        <w:t xml:space="preserve">Inembargabilidad: artículo </w:t>
      </w:r>
      <w:r>
        <w:rPr>
          <w:rFonts w:ascii="Arial" w:hAnsi="Arial" w:cs="Arial"/>
          <w:b/>
          <w:sz w:val="22"/>
        </w:rPr>
        <w:t>108</w:t>
      </w:r>
      <w:r>
        <w:rPr>
          <w:rFonts w:ascii="Arial" w:hAnsi="Arial" w:cs="Arial"/>
          <w:sz w:val="22"/>
        </w:rPr>
        <w:t>.</w:t>
      </w:r>
    </w:p>
    <w:p>
      <w:pPr>
        <w:pStyle w:val="ListBullet"/>
      </w:pPr>
      <w:r>
        <w:rPr>
          <w:rFonts w:ascii="Arial" w:hAnsi="Arial" w:cs="Arial"/>
          <w:sz w:val="22"/>
        </w:rPr>
        <w:t xml:space="preserve">Recursos: artículo </w:t>
      </w:r>
      <w:r>
        <w:rPr>
          <w:rFonts w:ascii="Arial" w:hAnsi="Arial" w:cs="Arial"/>
          <w:b/>
          <w:sz w:val="22"/>
        </w:rPr>
        <w:t>109</w:t>
      </w:r>
      <w:r>
        <w:rPr>
          <w:rFonts w:ascii="Arial" w:hAnsi="Arial" w:cs="Arial"/>
          <w:sz w:val="22"/>
        </w:rPr>
        <w:t>.</w:t>
      </w:r>
    </w:p>
    <w:p>
      <w:pPr>
        <w:pStyle w:val="ListBullet"/>
      </w:pPr>
      <w:r>
        <w:rPr>
          <w:rFonts w:ascii="Arial" w:hAnsi="Arial" w:cs="Arial"/>
          <w:sz w:val="22"/>
        </w:rPr>
        <w:t xml:space="preserve">Sistema financiero: </w:t>
      </w:r>
      <w:r>
        <w:rPr>
          <w:rFonts w:ascii="Arial" w:hAnsi="Arial" w:cs="Arial"/>
          <w:b/>
          <w:sz w:val="22"/>
        </w:rPr>
        <w:t>reparto</w:t>
      </w:r>
      <w:r>
        <w:rPr>
          <w:rFonts w:ascii="Arial" w:hAnsi="Arial" w:cs="Arial"/>
          <w:sz w:val="22"/>
        </w:rPr>
        <w:t>, artículo 110.</w:t>
      </w:r>
    </w:p>
    <w:p>
      <w:pPr>
        <w:pStyle w:val="ListBullet"/>
      </w:pPr>
      <w:r>
        <w:rPr>
          <w:rFonts w:ascii="Arial" w:hAnsi="Arial" w:cs="Arial"/>
          <w:sz w:val="22"/>
        </w:rPr>
        <w:t xml:space="preserve">Adquisición onerosa: </w:t>
      </w:r>
      <w:r>
        <w:rPr>
          <w:rFonts w:ascii="Arial" w:hAnsi="Arial" w:cs="Arial"/>
          <w:b/>
          <w:sz w:val="22"/>
        </w:rPr>
        <w:t>concurso público</w:t>
      </w:r>
      <w:r>
        <w:rPr>
          <w:rFonts w:ascii="Arial" w:hAnsi="Arial" w:cs="Arial"/>
          <w:sz w:val="22"/>
        </w:rPr>
        <w:t>.</w:t>
      </w:r>
    </w:p>
    <w:p>
      <w:pPr>
        <w:pStyle w:val="ListBullet"/>
      </w:pPr>
      <w:r>
        <w:rPr>
          <w:rFonts w:ascii="Arial" w:hAnsi="Arial" w:cs="Arial"/>
          <w:sz w:val="22"/>
        </w:rPr>
        <w:t xml:space="preserve">Venta ordinaria: </w:t>
      </w:r>
      <w:r>
        <w:rPr>
          <w:rFonts w:ascii="Arial" w:hAnsi="Arial" w:cs="Arial"/>
          <w:b/>
          <w:sz w:val="22"/>
        </w:rPr>
        <w:t>subasta pública</w:t>
      </w:r>
      <w:r>
        <w:rPr>
          <w:rFonts w:ascii="Arial" w:hAnsi="Arial" w:cs="Arial"/>
          <w:sz w:val="22"/>
        </w:rPr>
        <w:t>.</w:t>
      </w:r>
    </w:p>
    <w:p>
      <w:pPr>
        <w:pStyle w:val="ListBullet"/>
      </w:pPr>
      <w:r>
        <w:rPr>
          <w:rFonts w:ascii="Arial" w:hAnsi="Arial" w:cs="Arial"/>
          <w:sz w:val="22"/>
        </w:rPr>
        <w:t xml:space="preserve">Autorización venta: Ministerio hasta </w:t>
      </w:r>
      <w:r>
        <w:rPr>
          <w:rFonts w:ascii="Arial" w:hAnsi="Arial" w:cs="Arial"/>
          <w:b/>
          <w:sz w:val="22"/>
        </w:rPr>
        <w:t>20 millones</w:t>
      </w:r>
      <w:r>
        <w:rPr>
          <w:rFonts w:ascii="Arial" w:hAnsi="Arial" w:cs="Arial"/>
          <w:sz w:val="22"/>
        </w:rPr>
        <w:t>; Gobierno por encima.</w:t>
      </w:r>
    </w:p>
    <w:p>
      <w:pPr>
        <w:pStyle w:val="ListBullet"/>
      </w:pPr>
      <w:r>
        <w:rPr>
          <w:rFonts w:ascii="Arial" w:hAnsi="Arial" w:cs="Arial"/>
          <w:sz w:val="22"/>
        </w:rPr>
        <w:t xml:space="preserve">Tasación: validez </w:t>
      </w:r>
      <w:r>
        <w:rPr>
          <w:rFonts w:ascii="Arial" w:hAnsi="Arial" w:cs="Arial"/>
          <w:b/>
          <w:sz w:val="22"/>
        </w:rPr>
        <w:t>1 año</w:t>
      </w:r>
      <w:r>
        <w:rPr>
          <w:rFonts w:ascii="Arial" w:hAnsi="Arial" w:cs="Arial"/>
          <w:sz w:val="22"/>
        </w:rPr>
        <w:t>.</w:t>
      </w:r>
    </w:p>
    <w:p>
      <w:pPr>
        <w:pStyle w:val="ListBullet"/>
      </w:pPr>
      <w:r>
        <w:rPr>
          <w:rFonts w:ascii="Arial" w:hAnsi="Arial" w:cs="Arial"/>
          <w:sz w:val="22"/>
        </w:rPr>
        <w:t xml:space="preserve">Subastas adicionales: hasta </w:t>
      </w:r>
      <w:r>
        <w:rPr>
          <w:rFonts w:ascii="Arial" w:hAnsi="Arial" w:cs="Arial"/>
          <w:b/>
          <w:sz w:val="22"/>
        </w:rPr>
        <w:t>3</w:t>
      </w:r>
      <w:r>
        <w:rPr>
          <w:rFonts w:ascii="Arial" w:hAnsi="Arial" w:cs="Arial"/>
          <w:sz w:val="22"/>
        </w:rPr>
        <w:t xml:space="preserve"> tras la primera.</w:t>
      </w:r>
    </w:p>
    <w:p>
      <w:pPr>
        <w:pStyle w:val="ListBullet"/>
      </w:pPr>
      <w:r>
        <w:rPr>
          <w:rFonts w:ascii="Arial" w:hAnsi="Arial" w:cs="Arial"/>
          <w:sz w:val="22"/>
        </w:rPr>
        <w:t xml:space="preserve">Reducción de tipo: hasta </w:t>
      </w:r>
      <w:r>
        <w:rPr>
          <w:rFonts w:ascii="Arial" w:hAnsi="Arial" w:cs="Arial"/>
          <w:b/>
          <w:sz w:val="22"/>
        </w:rPr>
        <w:t>15 %</w:t>
      </w:r>
      <w:r>
        <w:rPr>
          <w:rFonts w:ascii="Arial" w:hAnsi="Arial" w:cs="Arial"/>
          <w:sz w:val="22"/>
        </w:rPr>
        <w:t>.</w:t>
      </w:r>
    </w:p>
    <w:p>
      <w:pPr>
        <w:pStyle w:val="ListBullet"/>
      </w:pPr>
      <w:r>
        <w:rPr>
          <w:rFonts w:ascii="Arial" w:hAnsi="Arial" w:cs="Arial"/>
          <w:sz w:val="22"/>
        </w:rPr>
        <w:t xml:space="preserve">Cesión inicial: máximo </w:t>
      </w:r>
      <w:r>
        <w:rPr>
          <w:rFonts w:ascii="Arial" w:hAnsi="Arial" w:cs="Arial"/>
          <w:b/>
          <w:sz w:val="22"/>
        </w:rPr>
        <w:t>20 años</w:t>
      </w:r>
      <w:r>
        <w:rPr>
          <w:rFonts w:ascii="Arial" w:hAnsi="Arial" w:cs="Arial"/>
          <w:sz w:val="22"/>
        </w:rPr>
        <w:t xml:space="preserve">; total </w:t>
      </w:r>
      <w:r>
        <w:rPr>
          <w:rFonts w:ascii="Arial" w:hAnsi="Arial" w:cs="Arial"/>
          <w:b/>
          <w:sz w:val="22"/>
        </w:rPr>
        <w:t>30</w:t>
      </w:r>
      <w:r>
        <w:rPr>
          <w:rFonts w:ascii="Arial" w:hAnsi="Arial" w:cs="Arial"/>
          <w:sz w:val="22"/>
        </w:rPr>
        <w:t>.</w:t>
      </w:r>
    </w:p>
    <w:p>
      <w:pPr>
        <w:pStyle w:val="ListBullet"/>
      </w:pPr>
      <w:r>
        <w:rPr>
          <w:rFonts w:ascii="Arial" w:hAnsi="Arial" w:cs="Arial"/>
          <w:sz w:val="22"/>
        </w:rPr>
        <w:t xml:space="preserve">Resolución de cesión: </w:t>
      </w:r>
      <w:r>
        <w:rPr>
          <w:rFonts w:ascii="Arial" w:hAnsi="Arial" w:cs="Arial"/>
          <w:b/>
          <w:sz w:val="22"/>
        </w:rPr>
        <w:t>90 días</w:t>
      </w:r>
      <w:r>
        <w:rPr>
          <w:rFonts w:ascii="Arial" w:hAnsi="Arial" w:cs="Arial"/>
          <w:sz w:val="22"/>
        </w:rPr>
        <w:t>, silencio desestimatorio.</w:t>
      </w:r>
    </w:p>
    <w:p>
      <w:pPr>
        <w:pStyle w:val="ListBullet"/>
      </w:pPr>
      <w:r>
        <w:rPr>
          <w:rFonts w:ascii="Arial" w:hAnsi="Arial" w:cs="Arial"/>
          <w:sz w:val="22"/>
        </w:rPr>
        <w:t xml:space="preserve">Fondo de Reserva: artículo </w:t>
      </w:r>
      <w:r>
        <w:rPr>
          <w:rFonts w:ascii="Arial" w:hAnsi="Arial" w:cs="Arial"/>
          <w:b/>
          <w:sz w:val="22"/>
        </w:rPr>
        <w:t>117</w:t>
      </w:r>
      <w:r>
        <w:rPr>
          <w:rFonts w:ascii="Arial" w:hAnsi="Arial" w:cs="Arial"/>
          <w:sz w:val="22"/>
        </w:rPr>
        <w:t>.</w:t>
      </w:r>
    </w:p>
    <w:p>
      <w:pPr>
        <w:pStyle w:val="ListBullet"/>
      </w:pPr>
      <w:r>
        <w:rPr>
          <w:rFonts w:ascii="Arial" w:hAnsi="Arial" w:cs="Arial"/>
          <w:sz w:val="22"/>
        </w:rPr>
        <w:t xml:space="preserve">Finalidad: pensiones </w:t>
      </w:r>
      <w:r>
        <w:rPr>
          <w:rFonts w:ascii="Arial" w:hAnsi="Arial" w:cs="Arial"/>
          <w:b/>
          <w:sz w:val="22"/>
        </w:rPr>
        <w:t>contributivas</w:t>
      </w:r>
      <w:r>
        <w:rPr>
          <w:rFonts w:ascii="Arial" w:hAnsi="Arial" w:cs="Arial"/>
          <w:sz w:val="22"/>
        </w:rPr>
        <w:t>.</w:t>
      </w:r>
    </w:p>
    <w:p>
      <w:pPr>
        <w:pStyle w:val="ListBullet"/>
      </w:pPr>
      <w:r>
        <w:rPr>
          <w:rFonts w:ascii="Arial" w:hAnsi="Arial" w:cs="Arial"/>
          <w:sz w:val="22"/>
        </w:rPr>
        <w:t xml:space="preserve">Valores: títulos de personas jurídicas </w:t>
      </w:r>
      <w:r>
        <w:rPr>
          <w:rFonts w:ascii="Arial" w:hAnsi="Arial" w:cs="Arial"/>
          <w:b/>
          <w:sz w:val="22"/>
        </w:rPr>
        <w:t>públicas</w:t>
      </w:r>
      <w:r>
        <w:rPr>
          <w:rFonts w:ascii="Arial" w:hAnsi="Arial" w:cs="Arial"/>
          <w:sz w:val="22"/>
        </w:rPr>
        <w:t>.</w:t>
      </w:r>
    </w:p>
    <w:p>
      <w:pPr>
        <w:pStyle w:val="ListBullet"/>
      </w:pPr>
      <w:r>
        <w:rPr>
          <w:rFonts w:ascii="Arial" w:hAnsi="Arial" w:cs="Arial"/>
          <w:sz w:val="22"/>
        </w:rPr>
        <w:t xml:space="preserve">Informe del Fondo: </w:t>
      </w:r>
      <w:r>
        <w:rPr>
          <w:rFonts w:ascii="Arial" w:hAnsi="Arial" w:cs="Arial"/>
          <w:b/>
          <w:sz w:val="22"/>
        </w:rPr>
        <w:t>anual</w:t>
      </w:r>
      <w:r>
        <w:rPr>
          <w:rFonts w:ascii="Arial" w:hAnsi="Arial" w:cs="Arial"/>
          <w:sz w:val="22"/>
        </w:rPr>
        <w:t xml:space="preserve"> a las Cortes.</w:t>
      </w:r>
    </w:p>
    <w:p>
      <w:pPr>
        <w:pStyle w:val="ListBullet"/>
      </w:pPr>
      <w:r>
        <w:rPr>
          <w:rFonts w:ascii="Arial" w:hAnsi="Arial" w:cs="Arial"/>
          <w:sz w:val="22"/>
        </w:rPr>
        <w:t xml:space="preserve">Seguimiento: </w:t>
      </w:r>
      <w:r>
        <w:rPr>
          <w:rFonts w:ascii="Arial" w:hAnsi="Arial" w:cs="Arial"/>
          <w:b/>
          <w:sz w:val="22"/>
        </w:rPr>
        <w:t>semestral</w:t>
      </w:r>
      <w:r>
        <w:rPr>
          <w:rFonts w:ascii="Arial" w:hAnsi="Arial" w:cs="Arial"/>
          <w:sz w:val="22"/>
        </w:rPr>
        <w:t>.</w:t>
      </w:r>
    </w:p>
    <w:p>
      <w:pPr>
        <w:pStyle w:val="ListBullet"/>
      </w:pPr>
      <w:r>
        <w:rPr>
          <w:rFonts w:ascii="Arial" w:hAnsi="Arial" w:cs="Arial"/>
          <w:sz w:val="22"/>
        </w:rPr>
        <w:t>Caja única: TGSS.</w:t>
      </w:r>
    </w:p>
    <w:p>
      <w:pPr>
        <w:pStyle w:val="ListBullet"/>
      </w:pPr>
      <w:r>
        <w:rPr>
          <w:rFonts w:ascii="Arial" w:hAnsi="Arial" w:cs="Arial"/>
          <w:sz w:val="22"/>
        </w:rPr>
        <w:t xml:space="preserve">Presupuesto monetario: periodicidad </w:t>
      </w:r>
      <w:r>
        <w:rPr>
          <w:rFonts w:ascii="Arial" w:hAnsi="Arial" w:cs="Arial"/>
          <w:b/>
          <w:sz w:val="22"/>
        </w:rPr>
        <w:t>mensual</w:t>
      </w:r>
      <w:r>
        <w:rPr>
          <w:rFonts w:ascii="Arial" w:hAnsi="Arial" w:cs="Arial"/>
          <w:sz w:val="22"/>
        </w:rPr>
        <w:t>.</w:t>
      </w:r>
    </w:p>
    <w:p>
      <w:pPr>
        <w:pStyle w:val="ListBullet"/>
      </w:pPr>
      <w:r>
        <w:rPr>
          <w:rFonts w:ascii="Arial" w:hAnsi="Arial" w:cs="Arial"/>
          <w:sz w:val="22"/>
        </w:rPr>
        <w:t xml:space="preserve">Pago periódico: primer día </w:t>
      </w:r>
      <w:r>
        <w:rPr>
          <w:rFonts w:ascii="Arial" w:hAnsi="Arial" w:cs="Arial"/>
          <w:b/>
          <w:sz w:val="22"/>
        </w:rPr>
        <w:t>hábil</w:t>
      </w:r>
      <w:r>
        <w:rPr>
          <w:rFonts w:ascii="Arial" w:hAnsi="Arial" w:cs="Arial"/>
          <w:sz w:val="22"/>
        </w:rPr>
        <w:t xml:space="preserve">, máximo cuarto día </w:t>
      </w:r>
      <w:r>
        <w:rPr>
          <w:rFonts w:ascii="Arial" w:hAnsi="Arial" w:cs="Arial"/>
          <w:b/>
          <w:sz w:val="22"/>
        </w:rPr>
        <w:t>natural</w:t>
      </w:r>
      <w:r>
        <w:rPr>
          <w:rFonts w:ascii="Arial" w:hAnsi="Arial" w:cs="Arial"/>
          <w:sz w:val="22"/>
        </w:rPr>
        <w:t>.</w:t>
      </w:r>
    </w:p>
    <w:p>
      <w:pPr>
        <w:pStyle w:val="ListBullet"/>
      </w:pPr>
      <w:r>
        <w:rPr>
          <w:rFonts w:ascii="Arial" w:hAnsi="Arial" w:cs="Arial"/>
          <w:sz w:val="22"/>
        </w:rPr>
        <w:t>Fondo de maniobra: 3 %, ampliable a 7 %; pago individual 12.020,24 €.</w:t>
      </w:r>
    </w:p>
    <w:p>
      <w:pPr>
        <w:pStyle w:val="ListBullet"/>
      </w:pPr>
      <w:r>
        <w:rPr>
          <w:rFonts w:ascii="Arial" w:hAnsi="Arial" w:cs="Arial"/>
          <w:sz w:val="22"/>
        </w:rPr>
        <w:t xml:space="preserve">Anticipo de tesorería: máximo </w:t>
      </w:r>
      <w:r>
        <w:rPr>
          <w:rFonts w:ascii="Arial" w:hAnsi="Arial" w:cs="Arial"/>
          <w:b/>
          <w:sz w:val="22"/>
        </w:rPr>
        <w:t>1 %</w:t>
      </w:r>
      <w:r>
        <w:rPr>
          <w:rFonts w:ascii="Arial" w:hAnsi="Arial" w:cs="Arial"/>
          <w:sz w:val="22"/>
        </w:rPr>
        <w:t xml:space="preserve"> del presupuesto de gastos.</w:t>
      </w:r>
    </w:p>
    <w:p>
      <w:pPr>
        <w:pStyle w:val="Heading1"/>
        <w:keepNext/>
      </w:pPr>
      <w:r>
        <w:rPr>
          <w:rFonts w:ascii="Arial" w:hAnsi="Arial" w:cs="Arial"/>
          <w:sz w:val="30"/>
        </w:rPr>
        <w:t>26. Fuentes oficiales</w:t>
      </w:r>
    </w:p>
    <w:p>
      <w:pPr>
        <w:pStyle w:val="ListBullet"/>
      </w:pPr>
      <w:r>
        <w:rPr>
          <w:rFonts w:ascii="Arial" w:hAnsi="Arial" w:cs="Arial"/>
          <w:sz w:val="22"/>
        </w:rPr>
        <w:t>Texto refundido de la Ley General de la Seguridad Social (https://www.boe.es/buscar/act.php?id=BOE-A-2015-11724).</w:t>
      </w:r>
    </w:p>
    <w:p>
      <w:pPr>
        <w:pStyle w:val="ListBullet"/>
      </w:pPr>
      <w:r>
        <w:rPr>
          <w:rFonts w:ascii="Arial" w:hAnsi="Arial" w:cs="Arial"/>
          <w:sz w:val="22"/>
        </w:rPr>
        <w:t>Real Decreto 1221/1992, patrimonio de la Seguridad Social (https://www.boe.es/buscar/act.php?id=BOE-A-1992-24743).</w:t>
      </w:r>
    </w:p>
    <w:p>
      <w:pPr>
        <w:pStyle w:val="ListBullet"/>
      </w:pPr>
      <w:r>
        <w:rPr>
          <w:rFonts w:ascii="Arial" w:hAnsi="Arial" w:cs="Arial"/>
          <w:sz w:val="22"/>
        </w:rPr>
        <w:t>Ley 33/2003, del Patrimonio de las Administraciones Públicas (https://www.boe.es/buscar/act.php?id=BOE-A-2003-20254).</w:t>
      </w:r>
    </w:p>
    <w:p>
      <w:pPr>
        <w:pStyle w:val="ListBullet"/>
      </w:pPr>
      <w:r>
        <w:rPr>
          <w:rFonts w:ascii="Arial" w:hAnsi="Arial" w:cs="Arial"/>
          <w:sz w:val="22"/>
        </w:rPr>
        <w:t>Real Decreto 1373/2009, Reglamento de la Ley de Patrimonio (https://www.boe.es/buscar/act.php?id=BOE-A-2009-14827).</w:t>
      </w:r>
    </w:p>
    <w:p>
      <w:pPr>
        <w:pStyle w:val="ListBullet"/>
      </w:pPr>
      <w:r>
        <w:rPr>
          <w:rFonts w:ascii="Arial" w:hAnsi="Arial" w:cs="Arial"/>
          <w:sz w:val="22"/>
        </w:rPr>
        <w:t>Real Decreto 696/2018, gestión financiera de la Seguridad Social (https://www.boe.es/buscar/act.php?id=BOE-A-2018-9030).</w:t>
      </w:r>
    </w:p>
    <w:p>
      <w:pPr>
        <w:pStyle w:val="ListBullet"/>
      </w:pPr>
      <w:r>
        <w:rPr>
          <w:rFonts w:ascii="Arial" w:hAnsi="Arial" w:cs="Arial"/>
          <w:sz w:val="22"/>
        </w:rPr>
        <w:t>Ley 47/2003, General Presupuestaria (https://www.boe.es/buscar/act.php?id=BOE-A-2003-21614).</w:t>
      </w:r>
    </w:p>
    <w:p>
      <w:pPr>
        <w:pStyle w:val="ListBullet"/>
      </w:pPr>
      <w:r>
        <w:rPr>
          <w:rFonts w:ascii="Arial" w:hAnsi="Arial" w:cs="Arial"/>
          <w:sz w:val="22"/>
        </w:rPr>
        <w:t>Real Decreto 337/2004, desarrollo del Fondo de Reserva (https://www.boe.es/buscar/act.php?id=BOE-A-2004-4220).</w:t>
      </w:r>
    </w:p>
    <w:p>
      <w:pPr>
        <w:pStyle w:val="ListBullet"/>
      </w:pPr>
      <w:r>
        <w:rPr>
          <w:rFonts w:ascii="Arial" w:hAnsi="Arial" w:cs="Arial"/>
          <w:sz w:val="22"/>
        </w:rPr>
        <w:t>Información oficial del Fondo de Reserva (https://www.seg-social.es/wps/portal/wss/internet/EstadisticasPresupuestosEstudios/FondoReserva).</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S13 · Tema 13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13. Recursos generales del sistema de la Seguridad Social. El patrimonio único de la seguridad social - titularidad, adscripción, administración…</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