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2</w:t>
      </w:r>
    </w:p>
    <w:p>
      <w:pPr>
        <w:keepNext/>
        <w:spacing w:before="0" w:after="280"/>
        <w:pBdr>
          <w:bottom w:val="single" w:sz="12" w:space="1" w:color="2F75B5"/>
        </w:pBdr>
      </w:pPr>
      <w:r>
        <w:rPr>
          <w:rFonts w:ascii="Arial" w:hAnsi="Arial" w:cs="Arial"/>
          <w:b/>
          <w:color w:val="17365D"/>
          <w:sz w:val="40"/>
        </w:rPr>
        <w:t>Campo de aplicación y composición del sistema de la Seguridad Social. Régimen general: ámbito subjetivo de aplicación, inclusiones y exclusiones. Regímenes especiales: enumeración, características generales, altas, bajas y cotización. Particularidades de la acción protectora. Sistemas especiales: enumeración y características generales. Altas, bajas y cotización. Particularidades de la acción protectora.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campo de aplicación determina qué personas quedan protegidas por el sistema y en qué régimen deben encuadrarse. La composición distingue el Régimen General, los regímenes especiales y, dentro de alguno de ellos, sistemas especiales que solo introducen peculiaridades de encuadramiento, afiliación, forma de cotización o recaudación. La calificación depende de la actividad realmente desarrollada, no del nombre que las partes den a su relación. La exposición se ajusta al ordenamiento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Marco normativo y conceptos previos</w:t>
      </w:r>
    </w:p>
    <w:p>
      <w:pPr>
        <w:jc w:val="both"/>
      </w:pPr>
      <w:r>
        <w:rPr>
          <w:rFonts w:ascii="Arial" w:hAnsi="Arial" w:cs="Arial"/>
          <w:sz w:val="22"/>
        </w:rPr>
        <w:t>Las reglas básicas se contienen en:</w:t>
      </w:r>
    </w:p>
    <w:p>
      <w:pPr>
        <w:pStyle w:val="ListBullet"/>
      </w:pPr>
      <w:r>
        <w:rPr>
          <w:rFonts w:ascii="Arial" w:hAnsi="Arial" w:cs="Arial"/>
          <w:sz w:val="22"/>
        </w:rPr>
        <w:t>los artículos 2 y 7 a 12 del texto refundido de la Ley General de la Seguridad Social —TRLGSS—, aprobado por Real Decreto Legislativo 8/2015;</w:t>
      </w:r>
    </w:p>
    <w:p>
      <w:pPr>
        <w:pStyle w:val="ListBullet"/>
      </w:pPr>
      <w:r>
        <w:rPr>
          <w:rFonts w:ascii="Arial" w:hAnsi="Arial" w:cs="Arial"/>
          <w:sz w:val="22"/>
        </w:rPr>
        <w:t>el título II TRLGSS, para el Régimen General;</w:t>
      </w:r>
    </w:p>
    <w:p>
      <w:pPr>
        <w:pStyle w:val="ListBullet"/>
      </w:pPr>
      <w:r>
        <w:rPr>
          <w:rFonts w:ascii="Arial" w:hAnsi="Arial" w:cs="Arial"/>
          <w:sz w:val="22"/>
        </w:rPr>
        <w:t>el título IV TRLGSS, para el Régimen Especial de Trabajadores por Cuenta Propia o Autónomos —RETA—;</w:t>
      </w:r>
    </w:p>
    <w:p>
      <w:pPr>
        <w:pStyle w:val="ListBullet"/>
      </w:pPr>
      <w:r>
        <w:rPr>
          <w:rFonts w:ascii="Arial" w:hAnsi="Arial" w:cs="Arial"/>
          <w:sz w:val="22"/>
        </w:rPr>
        <w:t>la Ley 47/2015, para el Régimen Especial de la Seguridad Social de los Trabajadores del Mar;</w:t>
      </w:r>
    </w:p>
    <w:p>
      <w:pPr>
        <w:pStyle w:val="ListBullet"/>
      </w:pPr>
      <w:r>
        <w:rPr>
          <w:rFonts w:ascii="Arial" w:hAnsi="Arial" w:cs="Arial"/>
          <w:sz w:val="22"/>
        </w:rPr>
        <w:t>el Decreto 298/1973 y su normativa complementaria, para la Minería del Carbón;</w:t>
      </w:r>
    </w:p>
    <w:p>
      <w:pPr>
        <w:pStyle w:val="ListBullet"/>
      </w:pPr>
      <w:r>
        <w:rPr>
          <w:rFonts w:ascii="Arial" w:hAnsi="Arial" w:cs="Arial"/>
          <w:sz w:val="22"/>
        </w:rPr>
        <w:t>el Real Decreto 84/1996, Reglamento general sobre inscripción, afiliación, altas, bajas y variaciones;</w:t>
      </w:r>
    </w:p>
    <w:p>
      <w:pPr>
        <w:pStyle w:val="ListBullet"/>
      </w:pPr>
      <w:r>
        <w:rPr>
          <w:rFonts w:ascii="Arial" w:hAnsi="Arial" w:cs="Arial"/>
          <w:sz w:val="22"/>
        </w:rPr>
        <w:t>las normas de mutualismo administrativo, Seguro Escolar y sistemas especiales.</w:t>
      </w:r>
    </w:p>
    <w:p>
      <w:pPr>
        <w:jc w:val="both"/>
      </w:pPr>
      <w:r>
        <w:rPr>
          <w:rFonts w:ascii="Arial" w:hAnsi="Arial" w:cs="Arial"/>
          <w:sz w:val="22"/>
        </w:rPr>
        <w:t xml:space="preserve">El artículo 2 TRLGSS formula cuatro principios: </w:t>
      </w:r>
      <w:r>
        <w:rPr>
          <w:rFonts w:ascii="Arial" w:hAnsi="Arial" w:cs="Arial"/>
          <w:b/>
          <w:sz w:val="22"/>
        </w:rPr>
        <w:t>universalidad, unidad, solidaridad e igualdad</w:t>
      </w:r>
      <w:r>
        <w:rPr>
          <w:rFonts w:ascii="Arial" w:hAnsi="Arial" w:cs="Arial"/>
          <w:sz w:val="22"/>
        </w:rPr>
        <w:t>. Universalidad expresa la vocación de proteger a toda la población; unidad impide concebir cada régimen como un seguro aislado; solidaridad redistribuye recursos y riesgos; igualdad exige que las diferencias objetivas entre colectivos no degeneren en privilegios arbitrarios.</w:t>
      </w:r>
    </w:p>
    <w:p>
      <w:pPr>
        <w:jc w:val="both"/>
      </w:pPr>
      <w:r>
        <w:rPr>
          <w:rFonts w:ascii="Arial" w:hAnsi="Arial" w:cs="Arial"/>
          <w:sz w:val="22"/>
        </w:rPr>
        <w:t>Conviene separar tres planos:</w:t>
      </w:r>
    </w:p>
    <w:p>
      <w:pPr>
        <w:spacing w:after="40"/>
        <w:ind w:left="369" w:hanging="227"/>
      </w:pPr>
      <w:r>
        <w:rPr>
          <w:rFonts w:ascii="Arial" w:hAnsi="Arial" w:cs="Arial"/>
          <w:sz w:val="22"/>
        </w:rPr>
        <w:t xml:space="preserve">1. </w:t>
      </w:r>
      <w:r>
        <w:rPr>
          <w:rFonts w:ascii="Arial" w:hAnsi="Arial" w:cs="Arial"/>
          <w:b/>
          <w:sz w:val="22"/>
        </w:rPr>
        <w:t>Campo de aplicación del sistema:</w:t>
      </w:r>
      <w:r>
        <w:rPr>
          <w:rFonts w:ascii="Arial" w:hAnsi="Arial" w:cs="Arial"/>
          <w:sz w:val="22"/>
        </w:rPr>
        <w:t xml:space="preserve"> quién puede quedar comprendido en el conjunto de la Seguridad Social.</w:t>
      </w:r>
    </w:p>
    <w:p>
      <w:pPr>
        <w:spacing w:after="40"/>
        <w:ind w:left="369" w:hanging="227"/>
      </w:pPr>
      <w:r>
        <w:rPr>
          <w:rFonts w:ascii="Arial" w:hAnsi="Arial" w:cs="Arial"/>
          <w:sz w:val="22"/>
        </w:rPr>
        <w:t xml:space="preserve">2. </w:t>
      </w:r>
      <w:r>
        <w:rPr>
          <w:rFonts w:ascii="Arial" w:hAnsi="Arial" w:cs="Arial"/>
          <w:b/>
          <w:sz w:val="22"/>
        </w:rPr>
        <w:t>Encuadramiento:</w:t>
      </w:r>
      <w:r>
        <w:rPr>
          <w:rFonts w:ascii="Arial" w:hAnsi="Arial" w:cs="Arial"/>
          <w:sz w:val="22"/>
        </w:rPr>
        <w:t xml:space="preserve"> en qué régimen se incluye la actividad concreta.</w:t>
      </w:r>
    </w:p>
    <w:p>
      <w:pPr>
        <w:spacing w:after="40"/>
        <w:ind w:left="369" w:hanging="227"/>
      </w:pPr>
      <w:r>
        <w:rPr>
          <w:rFonts w:ascii="Arial" w:hAnsi="Arial" w:cs="Arial"/>
          <w:sz w:val="22"/>
        </w:rPr>
        <w:t xml:space="preserve">3. </w:t>
      </w:r>
      <w:r>
        <w:rPr>
          <w:rFonts w:ascii="Arial" w:hAnsi="Arial" w:cs="Arial"/>
          <w:b/>
          <w:sz w:val="22"/>
        </w:rPr>
        <w:t>Acción protectora:</w:t>
      </w:r>
      <w:r>
        <w:rPr>
          <w:rFonts w:ascii="Arial" w:hAnsi="Arial" w:cs="Arial"/>
          <w:sz w:val="22"/>
        </w:rPr>
        <w:t xml:space="preserve"> qué contingencias y prestaciones cubre ese régimen y bajo qué requisitos.</w:t>
      </w:r>
    </w:p>
    <w:p>
      <w:pPr>
        <w:jc w:val="both"/>
      </w:pPr>
      <w:r>
        <w:rPr>
          <w:rFonts w:ascii="Arial" w:hAnsi="Arial" w:cs="Arial"/>
          <w:sz w:val="22"/>
        </w:rPr>
        <w:t>Una misma persona conserva una afiliación única, pero puede estar simultáneamente de alta en varios regímenes por actividades distintas —pluriactividad— o con varios empresarios dentro del Régimen General —pluriempleo—. La unidad de afiliación no significa alta única.</w:t>
      </w:r>
    </w:p>
    <w:p>
      <w:pPr>
        <w:pStyle w:val="Heading1"/>
        <w:keepNext/>
      </w:pPr>
      <w:r>
        <w:rPr>
          <w:rFonts w:ascii="Arial" w:hAnsi="Arial" w:cs="Arial"/>
          <w:sz w:val="30"/>
        </w:rPr>
        <w:t>2. Campo de aplicación general</w:t>
      </w:r>
    </w:p>
    <w:p>
      <w:pPr>
        <w:pStyle w:val="Heading2"/>
        <w:keepNext/>
      </w:pPr>
      <w:r>
        <w:rPr>
          <w:rFonts w:ascii="Arial" w:hAnsi="Arial" w:cs="Arial"/>
          <w:sz w:val="25"/>
        </w:rPr>
        <w:t>2.1. Modalidad contributiva</w:t>
      </w:r>
    </w:p>
    <w:p>
      <w:pPr>
        <w:jc w:val="both"/>
      </w:pPr>
      <w:r>
        <w:rPr>
          <w:rFonts w:ascii="Arial" w:hAnsi="Arial" w:cs="Arial"/>
          <w:sz w:val="22"/>
        </w:rPr>
        <w:t>El artículo 7.1 TRLGSS comprende, cualquiera que sea su sexo, estado civil o profesión, a españoles que residan en España y extranjeros que residan o se encuentren legalmente en España, siempre que ejerzan su actividad en territorio nacional y pertenezcan a alguno de estos grupos:</w:t>
      </w:r>
    </w:p>
    <w:p>
      <w:pPr>
        <w:pStyle w:val="ListBullet"/>
      </w:pPr>
      <w:r>
        <w:rPr>
          <w:rFonts w:ascii="Arial" w:hAnsi="Arial" w:cs="Arial"/>
          <w:sz w:val="22"/>
        </w:rPr>
        <w:t>trabajadores por cuenta ajena en las condiciones del artículo 1.1 del Estatuto de los Trabajadores, incluidos eventuales, de temporada, fijos discontinuos y quienes trabajan a distancia, con independencia de categoría, forma y cuantía de la remuneración y naturaleza común o especial de su relación laboral;</w:t>
      </w:r>
    </w:p>
    <w:p>
      <w:pPr>
        <w:pStyle w:val="ListBullet"/>
      </w:pPr>
      <w:r>
        <w:rPr>
          <w:rFonts w:ascii="Arial" w:hAnsi="Arial" w:cs="Arial"/>
          <w:sz w:val="22"/>
        </w:rPr>
        <w:t>trabajadores por cuenta propia o autónomos mayores de dieciocho años;</w:t>
      </w:r>
    </w:p>
    <w:p>
      <w:pPr>
        <w:pStyle w:val="ListBullet"/>
      </w:pPr>
      <w:r>
        <w:rPr>
          <w:rFonts w:ascii="Arial" w:hAnsi="Arial" w:cs="Arial"/>
          <w:sz w:val="22"/>
        </w:rPr>
        <w:t>socios trabajadores de cooperativas de trabajo asociado;</w:t>
      </w:r>
    </w:p>
    <w:p>
      <w:pPr>
        <w:pStyle w:val="ListBullet"/>
      </w:pPr>
      <w:r>
        <w:rPr>
          <w:rFonts w:ascii="Arial" w:hAnsi="Arial" w:cs="Arial"/>
          <w:sz w:val="22"/>
        </w:rPr>
        <w:t>estudiantes;</w:t>
      </w:r>
    </w:p>
    <w:p>
      <w:pPr>
        <w:pStyle w:val="ListBullet"/>
      </w:pPr>
      <w:r>
        <w:rPr>
          <w:rFonts w:ascii="Arial" w:hAnsi="Arial" w:cs="Arial"/>
          <w:sz w:val="22"/>
        </w:rPr>
        <w:t>funcionarios públicos, civiles y militares.</w:t>
      </w:r>
    </w:p>
    <w:p>
      <w:pPr>
        <w:jc w:val="both"/>
      </w:pPr>
      <w:r>
        <w:rPr>
          <w:rFonts w:ascii="Arial" w:hAnsi="Arial" w:cs="Arial"/>
          <w:sz w:val="22"/>
        </w:rPr>
        <w:t>La residencia no actúa de idéntica forma en todos los supuestos transnacionales. Convenios internacionales, reglamentos europeos y reglas sobre desplazamiento pueden mantener la legislación española a quien trabaja temporalmente fuera o someter a legislación extranjera una actividad realizada en España. La regla territorial es el punto de partida, no una solución cerrada frente a las normas de conflicto.</w:t>
      </w:r>
    </w:p>
    <w:p>
      <w:pPr>
        <w:pStyle w:val="Heading2"/>
        <w:keepNext/>
      </w:pPr>
      <w:r>
        <w:rPr>
          <w:rFonts w:ascii="Arial" w:hAnsi="Arial" w:cs="Arial"/>
          <w:sz w:val="25"/>
        </w:rPr>
        <w:t>2.2. Modalidad no contributiva</w:t>
      </w:r>
    </w:p>
    <w:p>
      <w:pPr>
        <w:jc w:val="both"/>
      </w:pPr>
      <w:r>
        <w:rPr>
          <w:rFonts w:ascii="Arial" w:hAnsi="Arial" w:cs="Arial"/>
          <w:sz w:val="22"/>
        </w:rPr>
        <w:t>Para las prestaciones no contributivas se incluyen todos los españoles residentes en territorio español. Los extranjeros residentes legalmente acceden en los términos de la Ley Orgánica 4/2000, tratados, convenios y demás instrumentos aplicables. Aquí la protección no deriva de una actividad profesional ni exige una carrera contributiva, aunque sí deben cumplirse los requisitos específicos de residencia, carencia de rentas, edad, incapacidad u otros que establezca cada prestación.</w:t>
      </w:r>
    </w:p>
    <w:p>
      <w:pPr>
        <w:pStyle w:val="Heading2"/>
        <w:keepNext/>
      </w:pPr>
      <w:r>
        <w:rPr>
          <w:rFonts w:ascii="Arial" w:hAnsi="Arial" w:cs="Arial"/>
          <w:sz w:val="25"/>
        </w:rPr>
        <w:t>2.3. Españoles en el extranjero y otros colectivos</w:t>
      </w:r>
    </w:p>
    <w:p>
      <w:pPr>
        <w:jc w:val="both"/>
      </w:pPr>
      <w:r>
        <w:rPr>
          <w:rFonts w:ascii="Arial" w:hAnsi="Arial" w:cs="Arial"/>
          <w:sz w:val="22"/>
        </w:rPr>
        <w:t>El Gobierno debe adoptar medidas de protección en favor de españoles no residentes en España, de acuerdo con las características de los países de residencia. Es una proyección del artículo 42 de la Constitución y se articula mediante convenios, asistencia a emigrantes retornados y programas específicos.</w:t>
      </w:r>
    </w:p>
    <w:p>
      <w:pPr>
        <w:jc w:val="both"/>
      </w:pPr>
      <w:r>
        <w:rPr>
          <w:rFonts w:ascii="Arial" w:hAnsi="Arial" w:cs="Arial"/>
          <w:sz w:val="22"/>
        </w:rPr>
        <w:t>Los deportistas de alto nivel pueden quedar incluidos mediante las reglas especiales aprobadas al efecto. También puede el Gobierno incorporar nuevos colectivos a un régimen cuando la ley lo autorice y exista analogía suficiente con quienes ya están comprendidos.</w:t>
      </w:r>
    </w:p>
    <w:p>
      <w:pPr>
        <w:pStyle w:val="Heading2"/>
        <w:keepNext/>
      </w:pPr>
      <w:r>
        <w:rPr>
          <w:rFonts w:ascii="Arial" w:hAnsi="Arial" w:cs="Arial"/>
          <w:sz w:val="25"/>
        </w:rPr>
        <w:t>2.4. Trabajos marginales y prohibición de doble inclusión obligatoria</w:t>
      </w:r>
    </w:p>
    <w:p>
      <w:pPr>
        <w:jc w:val="both"/>
      </w:pPr>
      <w:r>
        <w:rPr>
          <w:rFonts w:ascii="Arial" w:hAnsi="Arial" w:cs="Arial"/>
          <w:sz w:val="22"/>
        </w:rPr>
        <w:t>El artículo 7.5 permite excluir del campo de aplicación, a solicitud de las personas interesadas, trabajos por cuenta ajena que, atendiendo a jornada y retribución, se consideren marginales y no constituyan medio fundamental de vida. La exclusión no nace de una decisión unilateral del empresario: requiere disposición del Gobierno, propuesta ministerial y audiencia de organizaciones sindicales representativas o del colegio profesional competente.</w:t>
      </w:r>
    </w:p>
    <w:p>
      <w:pPr>
        <w:jc w:val="both"/>
      </w:pPr>
      <w:r>
        <w:rPr>
          <w:rFonts w:ascii="Arial" w:hAnsi="Arial" w:cs="Arial"/>
          <w:sz w:val="22"/>
        </w:rPr>
        <w:t xml:space="preserve">El artículo 8 impide la inclusión obligatoria en otros regímenes de previsión social por el mismo trabajo cuando ya determine alta en el sistema. No prohíbe la protección complementaria voluntaria ni la coexistencia de altas por </w:t>
      </w:r>
      <w:r>
        <w:rPr>
          <w:rFonts w:ascii="Arial" w:hAnsi="Arial" w:cs="Arial"/>
          <w:b/>
          <w:sz w:val="22"/>
        </w:rPr>
        <w:t>actividades diferentes</w:t>
      </w:r>
      <w:r>
        <w:rPr>
          <w:rFonts w:ascii="Arial" w:hAnsi="Arial" w:cs="Arial"/>
          <w:sz w:val="22"/>
        </w:rPr>
        <w:t>.</w:t>
      </w:r>
    </w:p>
    <w:p>
      <w:pPr>
        <w:pStyle w:val="Heading2"/>
        <w:keepNext/>
      </w:pPr>
      <w:r>
        <w:rPr>
          <w:rFonts w:ascii="Arial" w:hAnsi="Arial" w:cs="Arial"/>
          <w:sz w:val="25"/>
        </w:rPr>
        <w:t>2.5. Familiares</w:t>
      </w:r>
    </w:p>
    <w:p>
      <w:pPr>
        <w:jc w:val="both"/>
      </w:pPr>
      <w:r>
        <w:rPr>
          <w:rFonts w:ascii="Arial" w:hAnsi="Arial" w:cs="Arial"/>
          <w:sz w:val="22"/>
        </w:rPr>
        <w:t>Como regla, no tienen consideración de trabajadores por cuenta ajena, salvo prueba en contrario, el cónyuge, descendientes, ascendientes y demás parientes del empresario por consanguinidad o afinidad hasta segundo grado, así como por adopción, cuando convivan en su hogar y estén a su cargo. La presunción puede destruirse si existe una relación laboral real con dependencia, ajenidad y salario. Si colaboran habitualmente sin esas notas, su encuadramiento ordinario será como familiares colaboradores en el régimen especial que corresponda.</w:t>
      </w:r>
    </w:p>
    <w:p>
      <w:pPr>
        <w:spacing w:after="100"/>
        <w:ind w:left="340" w:right="227"/>
        <w:shd w:fill="EAF2F8"/>
      </w:pPr>
      <w:r>
        <w:rPr>
          <w:rFonts w:ascii="Arial" w:hAnsi="Arial" w:cs="Arial"/>
          <w:b/>
          <w:sz w:val="20"/>
        </w:rPr>
        <w:t>Idea de examen:</w:t>
      </w:r>
      <w:r>
        <w:rPr>
          <w:rFonts w:ascii="Arial" w:hAnsi="Arial" w:cs="Arial"/>
          <w:sz w:val="20"/>
        </w:rPr>
        <w:t xml:space="preserve"> el parentesco no produce una exclusión absoluta. Genera una presunción legal condicionada a convivencia y dependencia económica, susceptible de prueba en contrario.</w:t>
      </w:r>
    </w:p>
    <w:p>
      <w:pPr>
        <w:pStyle w:val="Heading1"/>
        <w:keepNext/>
      </w:pPr>
      <w:r>
        <w:rPr>
          <w:rFonts w:ascii="Arial" w:hAnsi="Arial" w:cs="Arial"/>
          <w:sz w:val="30"/>
        </w:rPr>
        <w:t>3. Composición del sistema</w:t>
      </w:r>
    </w:p>
    <w:p>
      <w:pPr>
        <w:jc w:val="both"/>
      </w:pPr>
      <w:r>
        <w:rPr>
          <w:rFonts w:ascii="Arial" w:hAnsi="Arial" w:cs="Arial"/>
          <w:sz w:val="22"/>
        </w:rPr>
        <w:t>El artículo 9 TRLGSS estructura el sistema en:</w:t>
      </w:r>
    </w:p>
    <w:p>
      <w:pPr>
        <w:spacing w:after="40"/>
        <w:ind w:left="369" w:hanging="227"/>
      </w:pPr>
      <w:r>
        <w:rPr>
          <w:rFonts w:ascii="Arial" w:hAnsi="Arial" w:cs="Arial"/>
          <w:sz w:val="22"/>
        </w:rPr>
        <w:t xml:space="preserve">1. </w:t>
      </w:r>
      <w:r>
        <w:rPr>
          <w:rFonts w:ascii="Arial" w:hAnsi="Arial" w:cs="Arial"/>
          <w:b/>
          <w:sz w:val="22"/>
        </w:rPr>
        <w:t>Régimen General</w:t>
      </w:r>
      <w:r>
        <w:rPr>
          <w:rFonts w:ascii="Arial" w:hAnsi="Arial" w:cs="Arial"/>
          <w:sz w:val="22"/>
        </w:rPr>
        <w:t>, que funciona como régimen común.</w:t>
      </w:r>
    </w:p>
    <w:p>
      <w:pPr>
        <w:spacing w:after="40"/>
        <w:ind w:left="369" w:hanging="227"/>
      </w:pPr>
      <w:r>
        <w:rPr>
          <w:rFonts w:ascii="Arial" w:hAnsi="Arial" w:cs="Arial"/>
          <w:sz w:val="22"/>
        </w:rPr>
        <w:t xml:space="preserve">2. </w:t>
      </w:r>
      <w:r>
        <w:rPr>
          <w:rFonts w:ascii="Arial" w:hAnsi="Arial" w:cs="Arial"/>
          <w:b/>
          <w:sz w:val="22"/>
        </w:rPr>
        <w:t>Regímenes especiales</w:t>
      </w:r>
      <w:r>
        <w:rPr>
          <w:rFonts w:ascii="Arial" w:hAnsi="Arial" w:cs="Arial"/>
          <w:sz w:val="22"/>
        </w:rPr>
        <w:t>, establecidos para actividades profesionales que, por su naturaleza, peculiares condiciones de tiempo y lugar o índole de sus procesos productivos, necesitan reglas propias.</w:t>
      </w:r>
    </w:p>
    <w:p>
      <w:pPr>
        <w:jc w:val="both"/>
      </w:pPr>
      <w:r>
        <w:rPr>
          <w:rFonts w:ascii="Arial" w:hAnsi="Arial" w:cs="Arial"/>
          <w:sz w:val="22"/>
        </w:rPr>
        <w:t>El artículo 10 menciona como grupos susceptibles de régimen especial:</w:t>
      </w:r>
    </w:p>
    <w:p>
      <w:pPr>
        <w:pStyle w:val="ListBullet"/>
      </w:pPr>
      <w:r>
        <w:rPr>
          <w:rFonts w:ascii="Arial" w:hAnsi="Arial" w:cs="Arial"/>
          <w:sz w:val="22"/>
        </w:rPr>
        <w:t>trabajadores por cuenta propia o autónomos;</w:t>
      </w:r>
    </w:p>
    <w:p>
      <w:pPr>
        <w:pStyle w:val="ListBullet"/>
      </w:pPr>
      <w:r>
        <w:rPr>
          <w:rFonts w:ascii="Arial" w:hAnsi="Arial" w:cs="Arial"/>
          <w:sz w:val="22"/>
        </w:rPr>
        <w:t>trabajadores del mar;</w:t>
      </w:r>
    </w:p>
    <w:p>
      <w:pPr>
        <w:pStyle w:val="ListBullet"/>
      </w:pPr>
      <w:r>
        <w:rPr>
          <w:rFonts w:ascii="Arial" w:hAnsi="Arial" w:cs="Arial"/>
          <w:sz w:val="22"/>
        </w:rPr>
        <w:t>funcionarios públicos, civiles y militares;</w:t>
      </w:r>
    </w:p>
    <w:p>
      <w:pPr>
        <w:pStyle w:val="ListBullet"/>
      </w:pPr>
      <w:r>
        <w:rPr>
          <w:rFonts w:ascii="Arial" w:hAnsi="Arial" w:cs="Arial"/>
          <w:sz w:val="22"/>
        </w:rPr>
        <w:t>estudiantes;</w:t>
      </w:r>
    </w:p>
    <w:p>
      <w:pPr>
        <w:pStyle w:val="ListBullet"/>
      </w:pPr>
      <w:r>
        <w:rPr>
          <w:rFonts w:ascii="Arial" w:hAnsi="Arial" w:cs="Arial"/>
          <w:sz w:val="22"/>
        </w:rPr>
        <w:t>los demás grupos que determine el ministerio competente por resultar necesario.</w:t>
      </w:r>
    </w:p>
    <w:p>
      <w:pPr>
        <w:jc w:val="both"/>
      </w:pPr>
      <w:r>
        <w:rPr>
          <w:rFonts w:ascii="Arial" w:hAnsi="Arial" w:cs="Arial"/>
          <w:sz w:val="22"/>
        </w:rPr>
        <w:t xml:space="preserve">En la gestión ordinaria, el portal de la Seguridad Social identifica como regímenes especiales activos y diferenciados el </w:t>
      </w:r>
      <w:r>
        <w:rPr>
          <w:rFonts w:ascii="Arial" w:hAnsi="Arial" w:cs="Arial"/>
          <w:b/>
          <w:sz w:val="22"/>
        </w:rPr>
        <w:t>RETA</w:t>
      </w:r>
      <w:r>
        <w:rPr>
          <w:rFonts w:ascii="Arial" w:hAnsi="Arial" w:cs="Arial"/>
          <w:sz w:val="22"/>
        </w:rPr>
        <w:t xml:space="preserve">, el de </w:t>
      </w:r>
      <w:r>
        <w:rPr>
          <w:rFonts w:ascii="Arial" w:hAnsi="Arial" w:cs="Arial"/>
          <w:b/>
          <w:sz w:val="22"/>
        </w:rPr>
        <w:t>Trabajadores del Mar</w:t>
      </w:r>
      <w:r>
        <w:rPr>
          <w:rFonts w:ascii="Arial" w:hAnsi="Arial" w:cs="Arial"/>
          <w:sz w:val="22"/>
        </w:rPr>
        <w:t xml:space="preserve"> y el de </w:t>
      </w:r>
      <w:r>
        <w:rPr>
          <w:rFonts w:ascii="Arial" w:hAnsi="Arial" w:cs="Arial"/>
          <w:b/>
          <w:sz w:val="22"/>
        </w:rPr>
        <w:t>Minería del Carbón</w:t>
      </w:r>
      <w:r>
        <w:rPr>
          <w:rFonts w:ascii="Arial" w:hAnsi="Arial" w:cs="Arial"/>
          <w:sz w:val="22"/>
        </w:rPr>
        <w:t>. A ello se añaden los mecanismos propios del mutualismo administrativo y del Seguro Escolar. La aparente diferencia entre ambas listas se explica porque el artículo 10 contiene la clasificación legal amplia, mientras la información operativa refleja los regímenes gestionados en el sistema ordinario.</w:t>
      </w:r>
    </w:p>
    <w:p>
      <w:pPr>
        <w:jc w:val="both"/>
      </w:pPr>
      <w:r>
        <w:rPr>
          <w:rFonts w:ascii="Arial" w:hAnsi="Arial" w:cs="Arial"/>
          <w:sz w:val="22"/>
        </w:rPr>
        <w:t>La tendencia legal es hacia la homogeneidad con el Régimen General, siempre que las peculiaridades lo permitan. Cuando una persona cambia de régimen, los periodos no superpuestos pueden totalizarse para causar prestaciones conforme a las reglas de cómputo recíproco. Los periodos simultáneos no se duplican como días de carrera, aunque sus bases puedan producir efectos en los términos legales.</w:t>
      </w:r>
    </w:p>
    <w:p>
      <w:pPr>
        <w:pStyle w:val="Heading2"/>
        <w:keepNext/>
      </w:pPr>
      <w:r>
        <w:rPr>
          <w:rFonts w:ascii="Arial" w:hAnsi="Arial" w:cs="Arial"/>
          <w:sz w:val="25"/>
        </w:rPr>
        <w:t>3.1. Régimen especial y sistema especial</w:t>
      </w:r>
    </w:p>
    <w:p>
      <w:pPr>
        <w:jc w:val="both"/>
      </w:pPr>
      <w:r>
        <w:rPr>
          <w:rFonts w:ascii="Arial" w:hAnsi="Arial" w:cs="Arial"/>
          <w:sz w:val="22"/>
        </w:rPr>
        <w:t>El artículo 11 autoriza sistemas especiales exclusivamente en materias de:</w:t>
      </w:r>
    </w:p>
    <w:p>
      <w:pPr>
        <w:pStyle w:val="ListBullet"/>
      </w:pPr>
      <w:r>
        <w:rPr>
          <w:rFonts w:ascii="Arial" w:hAnsi="Arial" w:cs="Arial"/>
          <w:sz w:val="22"/>
        </w:rPr>
        <w:t>encuadramiento;</w:t>
      </w:r>
    </w:p>
    <w:p>
      <w:pPr>
        <w:pStyle w:val="ListBullet"/>
      </w:pPr>
      <w:r>
        <w:rPr>
          <w:rFonts w:ascii="Arial" w:hAnsi="Arial" w:cs="Arial"/>
          <w:sz w:val="22"/>
        </w:rPr>
        <w:t>afiliación;</w:t>
      </w:r>
    </w:p>
    <w:p>
      <w:pPr>
        <w:pStyle w:val="ListBullet"/>
      </w:pPr>
      <w:r>
        <w:rPr>
          <w:rFonts w:ascii="Arial" w:hAnsi="Arial" w:cs="Arial"/>
          <w:sz w:val="22"/>
        </w:rPr>
        <w:t>forma de cotización;</w:t>
      </w:r>
    </w:p>
    <w:p>
      <w:pPr>
        <w:pStyle w:val="ListBullet"/>
      </w:pPr>
      <w:r>
        <w:rPr>
          <w:rFonts w:ascii="Arial" w:hAnsi="Arial" w:cs="Arial"/>
          <w:sz w:val="22"/>
        </w:rPr>
        <w:t>recaudación.</w:t>
      </w:r>
    </w:p>
    <w:p>
      <w:pPr>
        <w:jc w:val="both"/>
      </w:pPr>
      <w:r>
        <w:rPr>
          <w:rFonts w:ascii="Arial" w:hAnsi="Arial" w:cs="Arial"/>
          <w:sz w:val="22"/>
        </w:rPr>
        <w:t xml:space="preserve">Por tanto, un sistema especial </w:t>
      </w:r>
      <w:r>
        <w:rPr>
          <w:rFonts w:ascii="Arial" w:hAnsi="Arial" w:cs="Arial"/>
          <w:b/>
          <w:sz w:val="22"/>
        </w:rPr>
        <w:t>no es un tercer tipo de régimen</w:t>
      </w:r>
      <w:r>
        <w:rPr>
          <w:rFonts w:ascii="Arial" w:hAnsi="Arial" w:cs="Arial"/>
          <w:sz w:val="22"/>
        </w:rPr>
        <w:t>. Permanece dentro del régimen matriz y solo adapta técnicas administrativas y financieras. Su acción protectora es la del régimen de pertenencia salvo que una ley establezca particularidades expresas.</w:t>
      </w:r>
    </w:p>
    <w:tbl>
      <w:tblPr>
        <w:tblStyle w:val="TableGrid"/>
        <w:tblW w:type="dxa" w:w="9026"/>
        <w:jc w:val="left"/>
        <w:tblLayout w:type="fixed"/>
        <w:tblLook w:firstColumn="1" w:firstRow="1" w:lastColumn="0" w:lastRow="0" w:noHBand="0" w:noVBand="1" w:val="04A0"/>
        <w:tblInd w:w="120" w:type="dxa"/>
      </w:tblPr>
      <w:tblGrid>
        <w:gridCol w:w="1188"/>
        <w:gridCol w:w="4751"/>
        <w:gridCol w:w="3087"/>
      </w:tblGrid>
      <w:tr>
        <w:trPr>
          <w:tblHeader w:val="true"/>
        </w:trPr>
        <w:tc>
          <w:tcPr>
            <w:tcW w:type="dxa" w:w="1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47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Finalidad</w:t>
            </w:r>
          </w:p>
        </w:tc>
        <w:tc>
          <w:tcPr>
            <w:tcW w:type="dxa" w:w="308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w:t>
            </w:r>
          </w:p>
        </w:tc>
      </w:tr>
      <w:tr>
        <w:tc>
          <w:tcPr>
            <w:tcW w:type="dxa" w:w="1188"/>
            <w:tcMar>
              <w:top w:w="80" w:type="dxa"/>
              <w:start w:w="120" w:type="dxa"/>
              <w:bottom w:w="80" w:type="dxa"/>
              <w:end w:w="120" w:type="dxa"/>
            </w:tcMar>
            <w:vAlign w:val="center"/>
          </w:tcPr>
          <w:p>
            <w:pPr>
              <w:spacing w:before="0" w:after="0" w:line="240" w:lineRule="auto"/>
              <w:jc w:val="left"/>
            </w:pPr>
            <w:r/>
            <w:r>
              <w:rPr>
                <w:rFonts w:ascii="Arial" w:hAnsi="Arial" w:cs="Arial"/>
                <w:sz w:val="18"/>
              </w:rPr>
              <w:t>Régimen General</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Cobertura común del trabajo por cuenta ajena y asimilado</w:t>
            </w:r>
          </w:p>
        </w:tc>
        <w:tc>
          <w:tcPr>
            <w:tcW w:type="dxa" w:w="3087"/>
            <w:tcMar>
              <w:top w:w="80" w:type="dxa"/>
              <w:start w:w="120" w:type="dxa"/>
              <w:bottom w:w="80" w:type="dxa"/>
              <w:end w:w="120" w:type="dxa"/>
            </w:tcMar>
            <w:vAlign w:val="center"/>
          </w:tcPr>
          <w:p>
            <w:pPr>
              <w:spacing w:before="0" w:after="0" w:line="240" w:lineRule="auto"/>
              <w:jc w:val="left"/>
            </w:pPr>
            <w:r/>
            <w:r>
              <w:rPr>
                <w:rFonts w:ascii="Arial" w:hAnsi="Arial" w:cs="Arial"/>
                <w:sz w:val="18"/>
              </w:rPr>
              <w:t>Empleado de una empresa industrial</w:t>
            </w:r>
          </w:p>
        </w:tc>
      </w:tr>
      <w:tr>
        <w:tc>
          <w:tcPr>
            <w:tcW w:type="dxa" w:w="1188"/>
            <w:tcMar>
              <w:top w:w="80" w:type="dxa"/>
              <w:start w:w="120" w:type="dxa"/>
              <w:bottom w:w="80" w:type="dxa"/>
              <w:end w:w="120" w:type="dxa"/>
            </w:tcMar>
            <w:vAlign w:val="center"/>
          </w:tcPr>
          <w:p>
            <w:pPr>
              <w:spacing w:before="0" w:after="0" w:line="240" w:lineRule="auto"/>
              <w:jc w:val="left"/>
            </w:pPr>
            <w:r/>
            <w:r>
              <w:rPr>
                <w:rFonts w:ascii="Arial" w:hAnsi="Arial" w:cs="Arial"/>
                <w:sz w:val="18"/>
              </w:rPr>
              <w:t>Régimen especial</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Adaptación integral a un colectivo con singularidades estructurales</w:t>
            </w:r>
          </w:p>
        </w:tc>
        <w:tc>
          <w:tcPr>
            <w:tcW w:type="dxa" w:w="3087"/>
            <w:tcMar>
              <w:top w:w="80" w:type="dxa"/>
              <w:start w:w="120" w:type="dxa"/>
              <w:bottom w:w="80" w:type="dxa"/>
              <w:end w:w="120" w:type="dxa"/>
            </w:tcMar>
            <w:vAlign w:val="center"/>
          </w:tcPr>
          <w:p>
            <w:pPr>
              <w:spacing w:before="0" w:after="0" w:line="240" w:lineRule="auto"/>
              <w:jc w:val="left"/>
            </w:pPr>
            <w:r/>
            <w:r>
              <w:rPr>
                <w:rFonts w:ascii="Arial" w:hAnsi="Arial" w:cs="Arial"/>
                <w:sz w:val="18"/>
              </w:rPr>
              <w:t>RETA o Trabajadores del Mar</w:t>
            </w:r>
          </w:p>
        </w:tc>
      </w:tr>
      <w:tr>
        <w:tc>
          <w:tcPr>
            <w:tcW w:type="dxa" w:w="1188"/>
            <w:tcMar>
              <w:top w:w="80" w:type="dxa"/>
              <w:start w:w="120" w:type="dxa"/>
              <w:bottom w:w="80" w:type="dxa"/>
              <w:end w:w="120" w:type="dxa"/>
            </w:tcMar>
            <w:vAlign w:val="center"/>
          </w:tcPr>
          <w:p>
            <w:pPr>
              <w:spacing w:before="0" w:after="0" w:line="240" w:lineRule="auto"/>
              <w:jc w:val="left"/>
            </w:pPr>
            <w:r/>
            <w:r>
              <w:rPr>
                <w:rFonts w:ascii="Arial" w:hAnsi="Arial" w:cs="Arial"/>
                <w:sz w:val="18"/>
              </w:rPr>
              <w:t>Sistema especial</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Adaptación limitada de encuadramiento, afiliación, cotización o recaudación</w:t>
            </w:r>
          </w:p>
        </w:tc>
        <w:tc>
          <w:tcPr>
            <w:tcW w:type="dxa" w:w="3087"/>
            <w:tcMar>
              <w:top w:w="80" w:type="dxa"/>
              <w:start w:w="120" w:type="dxa"/>
              <w:bottom w:w="80" w:type="dxa"/>
              <w:end w:w="120" w:type="dxa"/>
            </w:tcMar>
            <w:vAlign w:val="center"/>
          </w:tcPr>
          <w:p>
            <w:pPr>
              <w:spacing w:before="0" w:after="0" w:line="240" w:lineRule="auto"/>
              <w:jc w:val="left"/>
            </w:pPr>
            <w:r/>
            <w:r>
              <w:rPr>
                <w:rFonts w:ascii="Arial" w:hAnsi="Arial" w:cs="Arial"/>
                <w:sz w:val="18"/>
              </w:rPr>
              <w:t>Empleados de hogar dentro del Régimen General</w:t>
            </w:r>
          </w:p>
        </w:tc>
      </w:tr>
    </w:tbl>
    <w:p>
      <w:pPr>
        <w:spacing w:after="40"/>
      </w:pPr>
    </w:p>
    <w:p>
      <w:pPr>
        <w:pStyle w:val="Heading1"/>
        <w:keepNext/>
      </w:pPr>
      <w:r>
        <w:rPr>
          <w:rFonts w:ascii="Arial" w:hAnsi="Arial" w:cs="Arial"/>
          <w:sz w:val="30"/>
        </w:rPr>
        <w:t>4. Régimen General: ámbito subjetivo</w:t>
      </w:r>
    </w:p>
    <w:p>
      <w:pPr>
        <w:pStyle w:val="Heading2"/>
        <w:keepNext/>
      </w:pPr>
      <w:r>
        <w:rPr>
          <w:rFonts w:ascii="Arial" w:hAnsi="Arial" w:cs="Arial"/>
          <w:sz w:val="25"/>
        </w:rPr>
        <w:t>4.1. Regla general</w:t>
      </w:r>
    </w:p>
    <w:p>
      <w:pPr>
        <w:jc w:val="both"/>
      </w:pPr>
      <w:r>
        <w:rPr>
          <w:rFonts w:ascii="Arial" w:hAnsi="Arial" w:cs="Arial"/>
          <w:sz w:val="22"/>
        </w:rPr>
        <w:t>El artículo 136.1 incluye obligatoriamente a trabajadores por cuenta ajena y asimilados comprendidos en el artículo 7.1.a que no deban integrarse, por razón de su actividad, en un régimen especial. Son decisivas las notas laborales de voluntariedad, ajenidad, dependencia, retribución y prestación dentro del ámbito de organización y dirección ajeno.</w:t>
      </w:r>
    </w:p>
    <w:p>
      <w:pPr>
        <w:jc w:val="both"/>
      </w:pPr>
      <w:r>
        <w:rPr>
          <w:rFonts w:ascii="Arial" w:hAnsi="Arial" w:cs="Arial"/>
          <w:sz w:val="22"/>
        </w:rPr>
        <w:t>No importa que la contratación sea temporal, a tiempo parcial, fija discontinua, de formación, especial o a distancia. Tampoco la cuantía del salario, siempre que exista verdadera relación laboral. El régimen aplicable no queda a elección de empleador y trabajador.</w:t>
      </w:r>
    </w:p>
    <w:p>
      <w:pPr>
        <w:pStyle w:val="Heading2"/>
        <w:keepNext/>
      </w:pPr>
      <w:r>
        <w:rPr>
          <w:rFonts w:ascii="Arial" w:hAnsi="Arial" w:cs="Arial"/>
          <w:sz w:val="25"/>
        </w:rPr>
        <w:t>4.2. Inclusiones expresas</w:t>
      </w:r>
    </w:p>
    <w:p>
      <w:pPr>
        <w:jc w:val="both"/>
      </w:pPr>
      <w:r>
        <w:rPr>
          <w:rFonts w:ascii="Arial" w:hAnsi="Arial" w:cs="Arial"/>
          <w:sz w:val="22"/>
        </w:rPr>
        <w:t>El artículo 136.2 incorpora, entre otros, los siguientes grupos:</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Colectivo</w:t>
            </w:r>
          </w:p>
        </w:tc>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Particularidad de encuadramiento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Trabajadores de sistemas especiales agrario y de hogar y de los restantes sistemas del Régimen General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Siguen en el Régimen General con peculiaridades propias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Trabajadores y socios trabajadores de sociedades de capital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Régimen General si no ejercen dirección/gerencia ni poseen control efectivo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Consejeros y administradores de sociedades de capital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Asimilados si realizan dirección y gerencia retribuidas sin control efectivo; sin desempleo ni FOGASA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Socios trabajadores de sociedades laborales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Régimen General; si administran con dirección retribuida y sin control, asimilados con reglas específicas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Personal de notarías, registros de la propiedad y oficinas análogas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expresa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Trabajadores de manipulado, empaquetado, envasado y comercialización del plátano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expresa en el Régimen General</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Personas que prestan servicios retribuidos en entidades benéfico-sociales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expresa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Personal seglar retribuido de instituciones eclesiásticas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expresa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Conductores de vehículos de turismo al servicio de particulares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expresa</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Personal civil no funcionario de organismos y entidades públicas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Salvo que una ley disponga otro régimen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Funcionarios al servicio de las Administraciones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Cuando no estén incluidos en Clases Pasivas u otro régimen especial por ley</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Funcionarios en prácticas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En los términos legales y salvo régimen especial aplicable</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Altos cargos no funcionarios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Inclusión, sin perjuicio de exclusiones de determinadas contingencias</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Miembros electos de corporaciones locales con dedicación exclusiva o parcial</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Por las retribuciones derivadas de esa dedicación</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Cargos sindicales con dedicación exclusiva o parcial y retribución</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En los términos legales</w:t>
            </w:r>
          </w:p>
        </w:tc>
      </w:tr>
    </w:tbl>
    <w:p>
      <w:pPr>
        <w:spacing w:after="40"/>
      </w:pPr>
    </w:p>
    <w:p>
      <w:pPr>
        <w:jc w:val="both"/>
      </w:pPr>
      <w:r>
        <w:rPr>
          <w:rFonts w:ascii="Arial" w:hAnsi="Arial" w:cs="Arial"/>
          <w:sz w:val="22"/>
        </w:rPr>
        <w:t xml:space="preserve">La categoría de </w:t>
      </w:r>
      <w:r>
        <w:rPr>
          <w:rFonts w:ascii="Arial" w:hAnsi="Arial" w:cs="Arial"/>
          <w:b/>
          <w:sz w:val="22"/>
        </w:rPr>
        <w:t>asimilado</w:t>
      </w:r>
      <w:r>
        <w:rPr>
          <w:rFonts w:ascii="Arial" w:hAnsi="Arial" w:cs="Arial"/>
          <w:sz w:val="22"/>
        </w:rPr>
        <w:t xml:space="preserve"> puede recortar contingencias. El ejemplo clásico es el administrador social que dirige y gerencia, cobra por ello y no controla la sociedad: está en el Régimen General como asimilado, pero no protegido por desempleo ni por el Fondo de Garantía Salarial. No debe confundirse con quien posee control efectivo, que se integra normalmente en RETA.</w:t>
      </w:r>
    </w:p>
    <w:p>
      <w:pPr>
        <w:jc w:val="both"/>
      </w:pPr>
      <w:r>
        <w:rPr>
          <w:rFonts w:ascii="Arial" w:hAnsi="Arial" w:cs="Arial"/>
          <w:sz w:val="22"/>
        </w:rPr>
        <w:t>En sociedades laborales, los socios trabajadores forman parte del Régimen General. Quienes, sin control, ejercen administración con funciones directivas retribuidas quedan asimilados y excluidos de desempleo y FOGASA; la ley excepciona determinados supuestos de sociedades laborales con no más de veinticinco socios.</w:t>
      </w:r>
    </w:p>
    <w:p>
      <w:pPr>
        <w:pStyle w:val="Heading2"/>
        <w:keepNext/>
      </w:pPr>
      <w:r>
        <w:rPr>
          <w:rFonts w:ascii="Arial" w:hAnsi="Arial" w:cs="Arial"/>
          <w:sz w:val="25"/>
        </w:rPr>
        <w:t>4.3. Exclusiones</w:t>
      </w:r>
    </w:p>
    <w:p>
      <w:pPr>
        <w:jc w:val="both"/>
      </w:pPr>
      <w:r>
        <w:rPr>
          <w:rFonts w:ascii="Arial" w:hAnsi="Arial" w:cs="Arial"/>
          <w:sz w:val="22"/>
        </w:rPr>
        <w:t>El artículo 137 excluye:</w:t>
      </w:r>
    </w:p>
    <w:p>
      <w:pPr>
        <w:spacing w:after="40"/>
        <w:ind w:left="369" w:hanging="227"/>
      </w:pPr>
      <w:r>
        <w:rPr>
          <w:rFonts w:ascii="Arial" w:hAnsi="Arial" w:cs="Arial"/>
          <w:sz w:val="22"/>
        </w:rPr>
        <w:t>1. trabajos ejecutados ocasionalmente mediante servicios amistosos, benévolos o de buena vecindad;</w:t>
      </w:r>
    </w:p>
    <w:p>
      <w:pPr>
        <w:spacing w:after="40"/>
        <w:ind w:left="369" w:hanging="227"/>
      </w:pPr>
      <w:r>
        <w:rPr>
          <w:rFonts w:ascii="Arial" w:hAnsi="Arial" w:cs="Arial"/>
          <w:sz w:val="22"/>
        </w:rPr>
        <w:t>2. trabajos que den lugar a inclusión en un régimen especial;</w:t>
      </w:r>
    </w:p>
    <w:p>
      <w:pPr>
        <w:spacing w:after="40"/>
        <w:ind w:left="369" w:hanging="227"/>
      </w:pPr>
      <w:r>
        <w:rPr>
          <w:rFonts w:ascii="Arial" w:hAnsi="Arial" w:cs="Arial"/>
          <w:sz w:val="22"/>
        </w:rPr>
        <w:t>3. profesores universitarios eméritos y personal licenciado sanitario emérito en los términos específicos previstos.</w:t>
      </w:r>
    </w:p>
    <w:p>
      <w:pPr>
        <w:jc w:val="both"/>
      </w:pPr>
      <w:r>
        <w:rPr>
          <w:rFonts w:ascii="Arial" w:hAnsi="Arial" w:cs="Arial"/>
          <w:sz w:val="22"/>
        </w:rPr>
        <w:t>Un servicio gratuito no es automáticamente benévolo: deben valorarse habitualidad, dependencia y realidad económica. Tampoco cabe utilizar una apariencia de amistad para ocultar empleo remunerado. Inversamente, una ayuda doméstica esporádica entre vecinos no genera por sí sola una relación laboral.</w:t>
      </w:r>
    </w:p>
    <w:p>
      <w:pPr>
        <w:pStyle w:val="Heading2"/>
        <w:keepNext/>
      </w:pPr>
      <w:r>
        <w:rPr>
          <w:rFonts w:ascii="Arial" w:hAnsi="Arial" w:cs="Arial"/>
          <w:sz w:val="25"/>
        </w:rPr>
        <w:t>4.4. Criterios societarios esenciales</w:t>
      </w:r>
    </w:p>
    <w:p>
      <w:pPr>
        <w:jc w:val="both"/>
      </w:pPr>
      <w:r>
        <w:rPr>
          <w:rFonts w:ascii="Arial" w:hAnsi="Arial" w:cs="Arial"/>
          <w:sz w:val="22"/>
        </w:rPr>
        <w:t xml:space="preserve">Para diferenciar Régimen General y RETA en sociedades de capital se atiende al </w:t>
      </w:r>
      <w:r>
        <w:rPr>
          <w:rFonts w:ascii="Arial" w:hAnsi="Arial" w:cs="Arial"/>
          <w:b/>
          <w:sz w:val="22"/>
        </w:rPr>
        <w:t>control efectivo</w:t>
      </w:r>
      <w:r>
        <w:rPr>
          <w:rFonts w:ascii="Arial" w:hAnsi="Arial" w:cs="Arial"/>
          <w:sz w:val="22"/>
        </w:rPr>
        <w:t>:</w:t>
      </w:r>
    </w:p>
    <w:p>
      <w:pPr>
        <w:pStyle w:val="ListBullet"/>
      </w:pPr>
      <w:r>
        <w:rPr>
          <w:rFonts w:ascii="Arial" w:hAnsi="Arial" w:cs="Arial"/>
          <w:sz w:val="22"/>
        </w:rPr>
        <w:t>se presume de forma concluyente cuando al menos la mitad del capital pertenece al trabajador;</w:t>
      </w:r>
    </w:p>
    <w:p>
      <w:pPr>
        <w:pStyle w:val="ListBullet"/>
      </w:pPr>
      <w:r>
        <w:rPr>
          <w:rFonts w:ascii="Arial" w:hAnsi="Arial" w:cs="Arial"/>
          <w:sz w:val="22"/>
        </w:rPr>
        <w:t>se presume, salvo prueba en contrario, si al menos la mitad está distribuida entre el trabajador y familiares convivientes hasta segundo grado;</w:t>
      </w:r>
    </w:p>
    <w:p>
      <w:pPr>
        <w:pStyle w:val="ListBullet"/>
      </w:pPr>
      <w:r>
        <w:rPr>
          <w:rFonts w:ascii="Arial" w:hAnsi="Arial" w:cs="Arial"/>
          <w:sz w:val="22"/>
        </w:rPr>
        <w:t>también si su participación es igual o superior a un tercio;</w:t>
      </w:r>
    </w:p>
    <w:p>
      <w:pPr>
        <w:pStyle w:val="ListBullet"/>
      </w:pPr>
      <w:r>
        <w:rPr>
          <w:rFonts w:ascii="Arial" w:hAnsi="Arial" w:cs="Arial"/>
          <w:sz w:val="22"/>
        </w:rPr>
        <w:t>o si alcanza una cuarta parte y además ejerce dirección y gerencia.</w:t>
      </w:r>
    </w:p>
    <w:p>
      <w:pPr>
        <w:jc w:val="both"/>
      </w:pPr>
      <w:r>
        <w:rPr>
          <w:rFonts w:ascii="Arial" w:hAnsi="Arial" w:cs="Arial"/>
          <w:sz w:val="22"/>
        </w:rPr>
        <w:t>Fuera de estas presunciones, la Tesorería General de la Seguridad Social —TGSS— puede acreditar control por otros medios. No basta el título formal de administrador: hay que combinar funciones efectivas, retribución y control.</w:t>
      </w:r>
    </w:p>
    <w:p>
      <w:pPr>
        <w:pStyle w:val="Heading1"/>
        <w:keepNext/>
      </w:pPr>
      <w:r>
        <w:rPr>
          <w:rFonts w:ascii="Arial" w:hAnsi="Arial" w:cs="Arial"/>
          <w:sz w:val="30"/>
        </w:rPr>
        <w:t>5. Reglas comunes de los regímenes especiales</w:t>
      </w:r>
    </w:p>
    <w:p>
      <w:pPr>
        <w:jc w:val="both"/>
      </w:pPr>
      <w:r>
        <w:rPr>
          <w:rFonts w:ascii="Arial" w:hAnsi="Arial" w:cs="Arial"/>
          <w:sz w:val="22"/>
        </w:rPr>
        <w:t>Los regímenes especiales no quedan fuera del sistema. Comparten afiliación única, gestión pública, obligación de cotizar, reglas de recaudación y un núcleo protector progresivamente aproximado al Régimen General. Sus diferencias responden a la forma de trabajo, a la determinación de bases o a riesgos específicos.</w:t>
      </w:r>
    </w:p>
    <w:p>
      <w:pPr>
        <w:jc w:val="both"/>
      </w:pPr>
      <w:r>
        <w:rPr>
          <w:rFonts w:ascii="Arial" w:hAnsi="Arial" w:cs="Arial"/>
          <w:sz w:val="22"/>
        </w:rPr>
        <w:t>En materia de altas y bajas:</w:t>
      </w:r>
    </w:p>
    <w:p>
      <w:pPr>
        <w:pStyle w:val="ListBullet"/>
      </w:pPr>
      <w:r>
        <w:rPr>
          <w:rFonts w:ascii="Arial" w:hAnsi="Arial" w:cs="Arial"/>
          <w:sz w:val="22"/>
        </w:rPr>
        <w:t>las solicitudes se presentan ante la TGSS por los sujetos obligados;</w:t>
      </w:r>
    </w:p>
    <w:p>
      <w:pPr>
        <w:pStyle w:val="ListBullet"/>
      </w:pPr>
      <w:r>
        <w:rPr>
          <w:rFonts w:ascii="Arial" w:hAnsi="Arial" w:cs="Arial"/>
          <w:sz w:val="22"/>
        </w:rPr>
        <w:t xml:space="preserve">el alta debe ser, como regla, </w:t>
      </w:r>
      <w:r>
        <w:rPr>
          <w:rFonts w:ascii="Arial" w:hAnsi="Arial" w:cs="Arial"/>
          <w:b/>
          <w:sz w:val="22"/>
        </w:rPr>
        <w:t>previa</w:t>
      </w:r>
      <w:r>
        <w:rPr>
          <w:rFonts w:ascii="Arial" w:hAnsi="Arial" w:cs="Arial"/>
          <w:sz w:val="22"/>
        </w:rPr>
        <w:t xml:space="preserve"> al comienzo de la actividad y puede solicitarse con una antelación máxima de sesenta días naturales;</w:t>
      </w:r>
    </w:p>
    <w:p>
      <w:pPr>
        <w:pStyle w:val="ListBullet"/>
      </w:pPr>
      <w:r>
        <w:rPr>
          <w:rFonts w:ascii="Arial" w:hAnsi="Arial" w:cs="Arial"/>
          <w:sz w:val="22"/>
        </w:rPr>
        <w:t xml:space="preserve">las bajas y variaciones se comunican, con carácter general, dentro de los </w:t>
      </w:r>
      <w:r>
        <w:rPr>
          <w:rFonts w:ascii="Arial" w:hAnsi="Arial" w:cs="Arial"/>
          <w:b/>
          <w:sz w:val="22"/>
        </w:rPr>
        <w:t>tres días naturales</w:t>
      </w:r>
      <w:r>
        <w:rPr>
          <w:rFonts w:ascii="Arial" w:hAnsi="Arial" w:cs="Arial"/>
          <w:sz w:val="22"/>
        </w:rPr>
        <w:t xml:space="preserve"> siguientes;</w:t>
      </w:r>
    </w:p>
    <w:p>
      <w:pPr>
        <w:pStyle w:val="ListBullet"/>
      </w:pPr>
      <w:r>
        <w:rPr>
          <w:rFonts w:ascii="Arial" w:hAnsi="Arial" w:cs="Arial"/>
          <w:sz w:val="22"/>
        </w:rPr>
        <w:t>leyes especiales pueden añadir censos, listas de tripulantes, registros de embarcaciones o comunicaciones de campaña;</w:t>
      </w:r>
    </w:p>
    <w:p>
      <w:pPr>
        <w:pStyle w:val="ListBullet"/>
      </w:pPr>
      <w:r>
        <w:rPr>
          <w:rFonts w:ascii="Arial" w:hAnsi="Arial" w:cs="Arial"/>
          <w:sz w:val="22"/>
        </w:rPr>
        <w:t>el incumplimiento formal no elimina la obligación de cotizar desde el inicio real de la actividad ni las responsabilidades correspondientes.</w:t>
      </w:r>
    </w:p>
    <w:p>
      <w:pPr>
        <w:jc w:val="both"/>
      </w:pPr>
      <w:r>
        <w:rPr>
          <w:rFonts w:ascii="Arial" w:hAnsi="Arial" w:cs="Arial"/>
          <w:sz w:val="22"/>
        </w:rPr>
        <w:t>La cotización se compone de una base, un tipo y, en su caso, coeficientes. La exposición se centra en la estructura estable y evita memorizar cuantías anuales que cambian con las normas de cotización.</w:t>
      </w:r>
    </w:p>
    <w:p>
      <w:pPr>
        <w:pStyle w:val="Heading1"/>
        <w:keepNext/>
      </w:pPr>
      <w:r>
        <w:rPr>
          <w:rFonts w:ascii="Arial" w:hAnsi="Arial" w:cs="Arial"/>
          <w:sz w:val="30"/>
        </w:rPr>
        <w:t>6. Régimen Especial de Trabajadores Autónomos</w:t>
      </w:r>
    </w:p>
    <w:p>
      <w:pPr>
        <w:pStyle w:val="Heading2"/>
        <w:keepNext/>
      </w:pPr>
      <w:r>
        <w:rPr>
          <w:rFonts w:ascii="Arial" w:hAnsi="Arial" w:cs="Arial"/>
          <w:sz w:val="25"/>
        </w:rPr>
        <w:t>6.1. Campo de aplicación</w:t>
      </w:r>
    </w:p>
    <w:p>
      <w:pPr>
        <w:jc w:val="both"/>
      </w:pPr>
      <w:r>
        <w:rPr>
          <w:rFonts w:ascii="Arial" w:hAnsi="Arial" w:cs="Arial"/>
          <w:sz w:val="22"/>
        </w:rPr>
        <w:t>El artículo 305 TRLGSS incluye a quien, siendo mayor de dieciocho años, realiza de forma habitual, personal, directa, por cuenta propia y fuera del ámbito de dirección y organización de otra persona una actividad económica o profesional lucrativa, dé o no ocupación a trabajadores.</w:t>
      </w:r>
    </w:p>
    <w:p>
      <w:pPr>
        <w:jc w:val="both"/>
      </w:pPr>
      <w:r>
        <w:rPr>
          <w:rFonts w:ascii="Arial" w:hAnsi="Arial" w:cs="Arial"/>
          <w:sz w:val="22"/>
        </w:rPr>
        <w:t>Son inclusiones relevantes:</w:t>
      </w:r>
    </w:p>
    <w:p>
      <w:pPr>
        <w:pStyle w:val="ListBullet"/>
      </w:pPr>
      <w:r>
        <w:rPr>
          <w:rFonts w:ascii="Arial" w:hAnsi="Arial" w:cs="Arial"/>
          <w:sz w:val="22"/>
        </w:rPr>
        <w:t>trabajadores del Sistema Especial para Trabajadores por Cuenta Propia Agrarios —SETA—;</w:t>
      </w:r>
    </w:p>
    <w:p>
      <w:pPr>
        <w:pStyle w:val="ListBullet"/>
      </w:pPr>
      <w:r>
        <w:rPr>
          <w:rFonts w:ascii="Arial" w:hAnsi="Arial" w:cs="Arial"/>
          <w:sz w:val="22"/>
        </w:rPr>
        <w:t>quienes prestan servicios o ejercen dirección y gerencia para una sociedad de capital y poseen control efectivo;</w:t>
      </w:r>
    </w:p>
    <w:p>
      <w:pPr>
        <w:pStyle w:val="ListBullet"/>
      </w:pPr>
      <w:r>
        <w:rPr>
          <w:rFonts w:ascii="Arial" w:hAnsi="Arial" w:cs="Arial"/>
          <w:sz w:val="22"/>
        </w:rPr>
        <w:t>socios industriales de sociedades regulares colectivas y comanditarias;</w:t>
      </w:r>
    </w:p>
    <w:p>
      <w:pPr>
        <w:pStyle w:val="ListBullet"/>
      </w:pPr>
      <w:r>
        <w:rPr>
          <w:rFonts w:ascii="Arial" w:hAnsi="Arial" w:cs="Arial"/>
          <w:sz w:val="22"/>
        </w:rPr>
        <w:t>comuneros y socios de sociedades civiles irregulares, salvo que la actividad se limite a administrar bienes comunes;</w:t>
      </w:r>
    </w:p>
    <w:p>
      <w:pPr>
        <w:pStyle w:val="ListBullet"/>
      </w:pPr>
      <w:r>
        <w:rPr>
          <w:rFonts w:ascii="Arial" w:hAnsi="Arial" w:cs="Arial"/>
          <w:sz w:val="22"/>
        </w:rPr>
        <w:t>determinados socios trabajadores de sociedades laborales con control junto con familiares;</w:t>
      </w:r>
    </w:p>
    <w:p>
      <w:pPr>
        <w:pStyle w:val="ListBullet"/>
      </w:pPr>
      <w:r>
        <w:rPr>
          <w:rFonts w:ascii="Arial" w:hAnsi="Arial" w:cs="Arial"/>
          <w:sz w:val="22"/>
        </w:rPr>
        <w:t>trabajadores autónomos económicamente dependientes;</w:t>
      </w:r>
    </w:p>
    <w:p>
      <w:pPr>
        <w:pStyle w:val="ListBullet"/>
      </w:pPr>
      <w:r>
        <w:rPr>
          <w:rFonts w:ascii="Arial" w:hAnsi="Arial" w:cs="Arial"/>
          <w:sz w:val="22"/>
        </w:rPr>
        <w:t>profesionales colegiados cuando deban integrarse, sin perjuicio de la opción válida por una mutualidad alternativa en los casos legalmente previstos;</w:t>
      </w:r>
    </w:p>
    <w:p>
      <w:pPr>
        <w:pStyle w:val="ListBullet"/>
      </w:pPr>
      <w:r>
        <w:rPr>
          <w:rFonts w:ascii="Arial" w:hAnsi="Arial" w:cs="Arial"/>
          <w:sz w:val="22"/>
        </w:rPr>
        <w:t>notarios;</w:t>
      </w:r>
    </w:p>
    <w:p>
      <w:pPr>
        <w:pStyle w:val="ListBullet"/>
      </w:pPr>
      <w:r>
        <w:rPr>
          <w:rFonts w:ascii="Arial" w:hAnsi="Arial" w:cs="Arial"/>
          <w:sz w:val="22"/>
        </w:rPr>
        <w:t>familiares colaboradores;</w:t>
      </w:r>
    </w:p>
    <w:p>
      <w:pPr>
        <w:pStyle w:val="ListBullet"/>
      </w:pPr>
      <w:r>
        <w:rPr>
          <w:rFonts w:ascii="Arial" w:hAnsi="Arial" w:cs="Arial"/>
          <w:sz w:val="22"/>
        </w:rPr>
        <w:t>determinados socios de cooperativas, vendedores ambulantes e independientes dedicados a actividades artísticas.</w:t>
      </w:r>
    </w:p>
    <w:p>
      <w:pPr>
        <w:jc w:val="both"/>
      </w:pPr>
      <w:r>
        <w:rPr>
          <w:rFonts w:ascii="Arial" w:hAnsi="Arial" w:cs="Arial"/>
          <w:sz w:val="22"/>
        </w:rPr>
        <w:t>Quedan fuera quienes, por la actividad marítimo-pesquera, deban ir al Régimen del Mar y los socios cuya actuación se limite a administrar pasivamente el patrimonio de una sociedad de capital.</w:t>
      </w:r>
    </w:p>
    <w:p>
      <w:pPr>
        <w:pStyle w:val="Heading2"/>
        <w:keepNext/>
      </w:pPr>
      <w:r>
        <w:rPr>
          <w:rFonts w:ascii="Arial" w:hAnsi="Arial" w:cs="Arial"/>
          <w:sz w:val="25"/>
        </w:rPr>
        <w:t>6.2. Afiliación, altas y bajas</w:t>
      </w:r>
    </w:p>
    <w:p>
      <w:pPr>
        <w:jc w:val="both"/>
      </w:pPr>
      <w:r>
        <w:rPr>
          <w:rFonts w:ascii="Arial" w:hAnsi="Arial" w:cs="Arial"/>
          <w:sz w:val="22"/>
        </w:rPr>
        <w:t>El propio autónomo responde de solicitar su afiliación, alta, baja y variaciones. Debe declarar todas las actividades por cuenta propia, aunque la inclusión en RETA sea única. El alta previa permite que la cobertura nazca con la actividad; el alta tardía genera cotización y responsabilidades desde el inicio real, aunque sus efectos administrativos se rijan por el reglamento.</w:t>
      </w:r>
    </w:p>
    <w:p>
      <w:pPr>
        <w:jc w:val="both"/>
      </w:pPr>
      <w:r>
        <w:rPr>
          <w:rFonts w:ascii="Arial" w:hAnsi="Arial" w:cs="Arial"/>
          <w:sz w:val="22"/>
        </w:rPr>
        <w:t>La baja solo despliega efectos desde el cese efectivo si se comunica en plazo. Una baja meramente documental no libera de cotizar si la actividad continúa. A la inversa, la persona puede probar un cese anterior al conocimiento de la TGSS conforme a las reglas reglamentarias.</w:t>
      </w:r>
    </w:p>
    <w:p>
      <w:pPr>
        <w:pStyle w:val="Heading2"/>
        <w:keepNext/>
      </w:pPr>
      <w:r>
        <w:rPr>
          <w:rFonts w:ascii="Arial" w:hAnsi="Arial" w:cs="Arial"/>
          <w:sz w:val="25"/>
        </w:rPr>
        <w:t>6.3. Cotización por rendimientos netos</w:t>
      </w:r>
    </w:p>
    <w:p>
      <w:pPr>
        <w:jc w:val="both"/>
      </w:pPr>
      <w:r>
        <w:rPr>
          <w:rFonts w:ascii="Arial" w:hAnsi="Arial" w:cs="Arial"/>
          <w:sz w:val="22"/>
        </w:rPr>
        <w:t xml:space="preserve">Desde 2023 la base se relaciona con los </w:t>
      </w:r>
      <w:r>
        <w:rPr>
          <w:rFonts w:ascii="Arial" w:hAnsi="Arial" w:cs="Arial"/>
          <w:b/>
          <w:sz w:val="22"/>
        </w:rPr>
        <w:t>rendimientos netos anuales</w:t>
      </w:r>
      <w:r>
        <w:rPr>
          <w:rFonts w:ascii="Arial" w:hAnsi="Arial" w:cs="Arial"/>
          <w:sz w:val="22"/>
        </w:rPr>
        <w:t xml:space="preserve"> obtenidos por el conjunto de actividades económicas o profesionales. El procedimiento funciona así:</w:t>
      </w:r>
    </w:p>
    <w:p>
      <w:pPr>
        <w:spacing w:after="40"/>
        <w:ind w:left="369" w:hanging="227"/>
      </w:pPr>
      <w:r>
        <w:rPr>
          <w:rFonts w:ascii="Arial" w:hAnsi="Arial" w:cs="Arial"/>
          <w:sz w:val="22"/>
        </w:rPr>
        <w:t>1. El autónomo comunica una previsión de rendimientos.</w:t>
      </w:r>
    </w:p>
    <w:p>
      <w:pPr>
        <w:spacing w:after="40"/>
        <w:ind w:left="369" w:hanging="227"/>
      </w:pPr>
      <w:r>
        <w:rPr>
          <w:rFonts w:ascii="Arial" w:hAnsi="Arial" w:cs="Arial"/>
          <w:sz w:val="22"/>
        </w:rPr>
        <w:t>2. Elige provisionalmente una base mensual dentro del tramo de la tabla general o reducida que corresponda.</w:t>
      </w:r>
    </w:p>
    <w:p>
      <w:pPr>
        <w:spacing w:after="40"/>
        <w:ind w:left="369" w:hanging="227"/>
      </w:pPr>
      <w:r>
        <w:rPr>
          <w:rFonts w:ascii="Arial" w:hAnsi="Arial" w:cs="Arial"/>
          <w:sz w:val="22"/>
        </w:rPr>
        <w:t>3. Puede adaptar la base durante el año en los periodos reglamentarios.</w:t>
      </w:r>
    </w:p>
    <w:p>
      <w:pPr>
        <w:spacing w:after="40"/>
        <w:ind w:left="369" w:hanging="227"/>
      </w:pPr>
      <w:r>
        <w:rPr>
          <w:rFonts w:ascii="Arial" w:hAnsi="Arial" w:cs="Arial"/>
          <w:sz w:val="22"/>
        </w:rPr>
        <w:t>4. La Administración tributaria comunica los rendimientos computables.</w:t>
      </w:r>
    </w:p>
    <w:p>
      <w:pPr>
        <w:spacing w:after="40"/>
        <w:ind w:left="369" w:hanging="227"/>
      </w:pPr>
      <w:r>
        <w:rPr>
          <w:rFonts w:ascii="Arial" w:hAnsi="Arial" w:cs="Arial"/>
          <w:sz w:val="22"/>
        </w:rPr>
        <w:t>5. La TGSS regulariza las bases y cuotas, salvo supuestos excluidos de regularización.</w:t>
      </w:r>
    </w:p>
    <w:p>
      <w:pPr>
        <w:jc w:val="both"/>
      </w:pPr>
      <w:r>
        <w:rPr>
          <w:rFonts w:ascii="Arial" w:hAnsi="Arial" w:cs="Arial"/>
          <w:sz w:val="22"/>
        </w:rPr>
        <w:t xml:space="preserve">Para determinar el rendimiento computable se aplican las reglas tributarias y una deducción genérica por gastos de difícil justificación del </w:t>
      </w:r>
      <w:r>
        <w:rPr>
          <w:rFonts w:ascii="Arial" w:hAnsi="Arial" w:cs="Arial"/>
          <w:b/>
          <w:sz w:val="22"/>
        </w:rPr>
        <w:t>7 %</w:t>
      </w:r>
      <w:r>
        <w:rPr>
          <w:rFonts w:ascii="Arial" w:hAnsi="Arial" w:cs="Arial"/>
          <w:sz w:val="22"/>
        </w:rPr>
        <w:t xml:space="preserve">; es del </w:t>
      </w:r>
      <w:r>
        <w:rPr>
          <w:rFonts w:ascii="Arial" w:hAnsi="Arial" w:cs="Arial"/>
          <w:b/>
          <w:sz w:val="22"/>
        </w:rPr>
        <w:t>3 %</w:t>
      </w:r>
      <w:r>
        <w:rPr>
          <w:rFonts w:ascii="Arial" w:hAnsi="Arial" w:cs="Arial"/>
          <w:sz w:val="22"/>
        </w:rPr>
        <w:t xml:space="preserve"> para determinados autónomos societarios y socios trabajadores de sociedades laborales. La cotización es individual incluso si se desarrollan varias actividades.</w:t>
      </w:r>
    </w:p>
    <w:p>
      <w:pPr>
        <w:jc w:val="both"/>
      </w:pPr>
      <w:r>
        <w:rPr>
          <w:rFonts w:ascii="Arial" w:hAnsi="Arial" w:cs="Arial"/>
          <w:sz w:val="22"/>
        </w:rPr>
        <w:t>Las contingencias comunes y profesionales son obligatorias con las salvedades legales. La incapacidad temporal puede ser opcional cuando ya se cubre por otra actividad en otro régimen. El cese de actividad tiene regulación propia y no debe llamarse «desempleo del Régimen General».</w:t>
      </w:r>
    </w:p>
    <w:p>
      <w:pPr>
        <w:pStyle w:val="Heading2"/>
        <w:keepNext/>
      </w:pPr>
      <w:r>
        <w:rPr>
          <w:rFonts w:ascii="Arial" w:hAnsi="Arial" w:cs="Arial"/>
          <w:sz w:val="25"/>
        </w:rPr>
        <w:t>6.4. Acción protectora</w:t>
      </w:r>
    </w:p>
    <w:p>
      <w:pPr>
        <w:jc w:val="both"/>
      </w:pPr>
      <w:r>
        <w:rPr>
          <w:rFonts w:ascii="Arial" w:hAnsi="Arial" w:cs="Arial"/>
          <w:sz w:val="22"/>
        </w:rPr>
        <w:t>El RETA reconoce, en términos próximos al Régimen General, asistencia sanitaria, incapacidad temporal, nacimiento y cuidado de menor, riesgos durante embarazo y lactancia, cuidado de menores afectados por enfermedad grave, incapacidad permanente, jubilación, muerte y supervivencia y protección familiar; incorpora contingencias profesionales y cese de actividad.</w:t>
      </w:r>
    </w:p>
    <w:p>
      <w:pPr>
        <w:jc w:val="both"/>
      </w:pPr>
      <w:r>
        <w:rPr>
          <w:rFonts w:ascii="Arial" w:hAnsi="Arial" w:cs="Arial"/>
          <w:sz w:val="22"/>
        </w:rPr>
        <w:t>Para prestaciones cuyo reconocimiento exija estar al corriente, si existe deuda puede operar la invitación al pago en los términos legales. El accidente de trabajo es el ocurrido como consecuencia directa e inmediata del trabajo por cuenta propia. También se protege el accidente al ir o volver del lugar de prestación, entendido como establecimiento declarado afecto a la actividad y distinto del domicilio, con los requisitos legales. La enfermedad profesional exige que la actividad y el agente figuren en el cuadro aprobado.</w:t>
      </w:r>
    </w:p>
    <w:p>
      <w:pPr>
        <w:jc w:val="both"/>
      </w:pPr>
      <w:r>
        <w:rPr>
          <w:rFonts w:ascii="Arial" w:hAnsi="Arial" w:cs="Arial"/>
          <w:sz w:val="22"/>
        </w:rPr>
        <w:t>En incapacidad temporal, el autónomo presenta la declaración sobre quién gestiona el establecimiento o sobre el cese temporal o definitivo de la actividad cuando resulte exigible. La prestación no transforma al autónomo en trabajador por cuenta ajena.</w:t>
      </w:r>
    </w:p>
    <w:p>
      <w:pPr>
        <w:jc w:val="both"/>
      </w:pPr>
      <w:r>
        <w:rPr>
          <w:rFonts w:ascii="Arial" w:hAnsi="Arial" w:cs="Arial"/>
          <w:sz w:val="22"/>
        </w:rPr>
        <w:t>Desde el 1 de enero de 2026, el artículo 322 TRLGSS prevé, bajo sus condiciones, la integración de determinadas lagunas en los seis meses posteriores al agotamiento de la prestación por cese de actividad para calcular la base reguladora de jubilación. Es una regla concreta, no una integración general de todas las lagunas del RETA.</w:t>
      </w:r>
    </w:p>
    <w:p>
      <w:pPr>
        <w:pStyle w:val="Heading1"/>
        <w:keepNext/>
      </w:pPr>
      <w:r>
        <w:rPr>
          <w:rFonts w:ascii="Arial" w:hAnsi="Arial" w:cs="Arial"/>
          <w:sz w:val="30"/>
        </w:rPr>
        <w:t>7. Régimen Especial de los Trabajadores del Mar</w:t>
      </w:r>
    </w:p>
    <w:p>
      <w:pPr>
        <w:pStyle w:val="Heading2"/>
        <w:keepNext/>
      </w:pPr>
      <w:r>
        <w:rPr>
          <w:rFonts w:ascii="Arial" w:hAnsi="Arial" w:cs="Arial"/>
          <w:sz w:val="25"/>
        </w:rPr>
        <w:t>7.1. Campo de aplicación</w:t>
      </w:r>
    </w:p>
    <w:p>
      <w:pPr>
        <w:jc w:val="both"/>
      </w:pPr>
      <w:r>
        <w:rPr>
          <w:rFonts w:ascii="Arial" w:hAnsi="Arial" w:cs="Arial"/>
          <w:sz w:val="22"/>
        </w:rPr>
        <w:t>La Ley 47/2015 integra tanto trabajo por cuenta ajena como por cuenta propia vinculado al sector marítimo-pesquero. Comprende, entre otros:</w:t>
      </w:r>
    </w:p>
    <w:p>
      <w:pPr>
        <w:pStyle w:val="ListBullet"/>
      </w:pPr>
      <w:r>
        <w:rPr>
          <w:rFonts w:ascii="Arial" w:hAnsi="Arial" w:cs="Arial"/>
          <w:sz w:val="22"/>
        </w:rPr>
        <w:t>tripulantes de marina mercante, pesca marítima, tráfico interior de puertos, embarcaciones deportivas o de recreo y plataformas;</w:t>
      </w:r>
    </w:p>
    <w:p>
      <w:pPr>
        <w:pStyle w:val="ListBullet"/>
      </w:pPr>
      <w:r>
        <w:rPr>
          <w:rFonts w:ascii="Arial" w:hAnsi="Arial" w:cs="Arial"/>
          <w:sz w:val="22"/>
        </w:rPr>
        <w:t>personas dedicadas a investigación, observación o seguridad a bordo;</w:t>
      </w:r>
    </w:p>
    <w:p>
      <w:pPr>
        <w:pStyle w:val="ListBullet"/>
      </w:pPr>
      <w:r>
        <w:rPr>
          <w:rFonts w:ascii="Arial" w:hAnsi="Arial" w:cs="Arial"/>
          <w:sz w:val="22"/>
        </w:rPr>
        <w:t>extracción de productos del mar y acuicultura marina, excluidas con carácter general la realizada en zona terrestre y la de agua dulce;</w:t>
      </w:r>
    </w:p>
    <w:p>
      <w:pPr>
        <w:pStyle w:val="ListBullet"/>
      </w:pPr>
      <w:r>
        <w:rPr>
          <w:rFonts w:ascii="Arial" w:hAnsi="Arial" w:cs="Arial"/>
          <w:sz w:val="22"/>
        </w:rPr>
        <w:t>buceadores profesionales, no los recreativos;</w:t>
      </w:r>
    </w:p>
    <w:p>
      <w:pPr>
        <w:pStyle w:val="ListBullet"/>
      </w:pPr>
      <w:r>
        <w:rPr>
          <w:rFonts w:ascii="Arial" w:hAnsi="Arial" w:cs="Arial"/>
          <w:sz w:val="22"/>
        </w:rPr>
        <w:t>rederos, estibadores portuarios y prácticos de puerto en los términos legales;</w:t>
      </w:r>
    </w:p>
    <w:p>
      <w:pPr>
        <w:pStyle w:val="ListBullet"/>
      </w:pPr>
      <w:r>
        <w:rPr>
          <w:rFonts w:ascii="Arial" w:hAnsi="Arial" w:cs="Arial"/>
          <w:sz w:val="22"/>
        </w:rPr>
        <w:t>personal administrativo, técnico o subalterno de empresas marítimo-pesqueras cuando la ley lo incluye;</w:t>
      </w:r>
    </w:p>
    <w:p>
      <w:pPr>
        <w:pStyle w:val="ListBullet"/>
      </w:pPr>
      <w:r>
        <w:rPr>
          <w:rFonts w:ascii="Arial" w:hAnsi="Arial" w:cs="Arial"/>
          <w:sz w:val="22"/>
        </w:rPr>
        <w:t>autónomos que realizan personalmente esas actividades y familiares colaboradores hasta segundo grado que cumplan los requisitos.</w:t>
      </w:r>
    </w:p>
    <w:p>
      <w:pPr>
        <w:jc w:val="both"/>
      </w:pPr>
      <w:r>
        <w:rPr>
          <w:rFonts w:ascii="Arial" w:hAnsi="Arial" w:cs="Arial"/>
          <w:sz w:val="22"/>
        </w:rPr>
        <w:t>El Instituto Social de la Marina —ISM— gestiona la protección sectorial, sin perjuicio de las competencias de TGSS en inscripción, afiliación, cotización y recaudación.</w:t>
      </w:r>
    </w:p>
    <w:p>
      <w:pPr>
        <w:pStyle w:val="Heading2"/>
        <w:keepNext/>
      </w:pPr>
      <w:r>
        <w:rPr>
          <w:rFonts w:ascii="Arial" w:hAnsi="Arial" w:cs="Arial"/>
          <w:sz w:val="25"/>
        </w:rPr>
        <w:t>7.2. Altas, bajas y organización registral</w:t>
      </w:r>
    </w:p>
    <w:p>
      <w:pPr>
        <w:jc w:val="both"/>
      </w:pPr>
      <w:r>
        <w:rPr>
          <w:rFonts w:ascii="Arial" w:hAnsi="Arial" w:cs="Arial"/>
          <w:sz w:val="22"/>
        </w:rPr>
        <w:t>Se aplican los plazos generales de alta previa y baja o variación en tres días, junto con las singularidades marítimas. Cada buque, embarcación o plataforma constituye, con carácter general, centro de trabajo con código de cuenta de cotización y debe constar en el registro correspondiente. Las listas y roles permiten relacionar tripulación, empresa y embarcación.</w:t>
      </w:r>
    </w:p>
    <w:p>
      <w:pPr>
        <w:jc w:val="both"/>
      </w:pPr>
      <w:r>
        <w:rPr>
          <w:rFonts w:ascii="Arial" w:hAnsi="Arial" w:cs="Arial"/>
          <w:sz w:val="22"/>
        </w:rPr>
        <w:t>El autónomo marítimo responde de sus actos de encuadramiento. Un alta solicitada fuera de plazo no convierte automáticamente en retroactiva toda la protección, aunque la obligación de cotizar pueda remontarse al inicio efectivo y se exijan responsabilidades.</w:t>
      </w:r>
    </w:p>
    <w:p>
      <w:pPr>
        <w:pStyle w:val="Heading2"/>
        <w:keepNext/>
      </w:pPr>
      <w:r>
        <w:rPr>
          <w:rFonts w:ascii="Arial" w:hAnsi="Arial" w:cs="Arial"/>
          <w:sz w:val="25"/>
        </w:rPr>
        <w:t>7.3. Grupos y bases de cotización</w:t>
      </w:r>
    </w:p>
    <w:p>
      <w:pPr>
        <w:jc w:val="both"/>
      </w:pPr>
      <w:r>
        <w:rPr>
          <w:rFonts w:ascii="Arial" w:hAnsi="Arial" w:cs="Arial"/>
          <w:sz w:val="22"/>
        </w:rPr>
        <w:t>La ley distingue tres grupos:</w:t>
      </w:r>
    </w:p>
    <w:p>
      <w:pPr>
        <w:pStyle w:val="ListBullet"/>
      </w:pPr>
      <w:r>
        <w:rPr>
          <w:rFonts w:ascii="Arial" w:hAnsi="Arial" w:cs="Arial"/>
          <w:b/>
          <w:sz w:val="22"/>
        </w:rPr>
        <w:t>Grupo I:</w:t>
      </w:r>
      <w:r>
        <w:rPr>
          <w:rFonts w:ascii="Arial" w:hAnsi="Arial" w:cs="Arial"/>
          <w:sz w:val="22"/>
        </w:rPr>
        <w:t xml:space="preserve"> trabajadores retribuidos a salario y autónomos no encuadrados en grupos II o III. Cotizan con reglas próximas al Régimen General o RETA.</w:t>
      </w:r>
    </w:p>
    <w:p>
      <w:pPr>
        <w:pStyle w:val="ListBullet"/>
      </w:pPr>
      <w:r>
        <w:rPr>
          <w:rFonts w:ascii="Arial" w:hAnsi="Arial" w:cs="Arial"/>
          <w:b/>
          <w:sz w:val="22"/>
        </w:rPr>
        <w:t>Grupo II A:</w:t>
      </w:r>
      <w:r>
        <w:rPr>
          <w:rFonts w:ascii="Arial" w:hAnsi="Arial" w:cs="Arial"/>
          <w:sz w:val="22"/>
        </w:rPr>
        <w:t xml:space="preserve"> trabajadores retribuidos a la parte en embarcaciones de más de 50,01 hasta 150 toneladas de registro bruto; se aplica a la base el coeficiente </w:t>
      </w:r>
      <w:r>
        <w:rPr>
          <w:rFonts w:ascii="Arial" w:hAnsi="Arial" w:cs="Arial"/>
          <w:b/>
          <w:sz w:val="22"/>
        </w:rPr>
        <w:t>dos tercios</w:t>
      </w:r>
      <w:r>
        <w:rPr>
          <w:rFonts w:ascii="Arial" w:hAnsi="Arial" w:cs="Arial"/>
          <w:sz w:val="22"/>
        </w:rPr>
        <w:t>.</w:t>
      </w:r>
    </w:p>
    <w:p>
      <w:pPr>
        <w:pStyle w:val="ListBullet"/>
      </w:pPr>
      <w:r>
        <w:rPr>
          <w:rFonts w:ascii="Arial" w:hAnsi="Arial" w:cs="Arial"/>
          <w:b/>
          <w:sz w:val="22"/>
        </w:rPr>
        <w:t>Grupo II B:</w:t>
      </w:r>
      <w:r>
        <w:rPr>
          <w:rFonts w:ascii="Arial" w:hAnsi="Arial" w:cs="Arial"/>
          <w:sz w:val="22"/>
        </w:rPr>
        <w:t xml:space="preserve"> retribuidos a la parte en embarcaciones de más de 10,01 hasta 50 toneladas; coeficiente </w:t>
      </w:r>
      <w:r>
        <w:rPr>
          <w:rFonts w:ascii="Arial" w:hAnsi="Arial" w:cs="Arial"/>
          <w:b/>
          <w:sz w:val="22"/>
        </w:rPr>
        <w:t>un medio</w:t>
      </w:r>
      <w:r>
        <w:rPr>
          <w:rFonts w:ascii="Arial" w:hAnsi="Arial" w:cs="Arial"/>
          <w:sz w:val="22"/>
        </w:rPr>
        <w:t>.</w:t>
      </w:r>
    </w:p>
    <w:p>
      <w:pPr>
        <w:pStyle w:val="ListBullet"/>
      </w:pPr>
      <w:r>
        <w:rPr>
          <w:rFonts w:ascii="Arial" w:hAnsi="Arial" w:cs="Arial"/>
          <w:b/>
          <w:sz w:val="22"/>
        </w:rPr>
        <w:t>Grupo III:</w:t>
      </w:r>
      <w:r>
        <w:rPr>
          <w:rFonts w:ascii="Arial" w:hAnsi="Arial" w:cs="Arial"/>
          <w:sz w:val="22"/>
        </w:rPr>
        <w:t xml:space="preserve"> retribuidos a la parte en embarcaciones de hasta 10 toneladas y determinados trabajadores por cuenta propia costeros; coeficiente </w:t>
      </w:r>
      <w:r>
        <w:rPr>
          <w:rFonts w:ascii="Arial" w:hAnsi="Arial" w:cs="Arial"/>
          <w:b/>
          <w:sz w:val="22"/>
        </w:rPr>
        <w:t>un tercio</w:t>
      </w:r>
      <w:r>
        <w:rPr>
          <w:rFonts w:ascii="Arial" w:hAnsi="Arial" w:cs="Arial"/>
          <w:sz w:val="22"/>
        </w:rPr>
        <w:t>.</w:t>
      </w:r>
    </w:p>
    <w:p>
      <w:pPr>
        <w:jc w:val="both"/>
      </w:pPr>
      <w:r>
        <w:rPr>
          <w:rFonts w:ascii="Arial" w:hAnsi="Arial" w:cs="Arial"/>
          <w:sz w:val="22"/>
        </w:rPr>
        <w:t xml:space="preserve">Para grupos II y III se fijan anualmente bases únicas por provincias marítimas, modalidades de pesca y categorías, a partir de remuneraciones medias. Los coeficientes correctores reducen la base a efectos de cotización por las contingencias legalmente indicadas; </w:t>
      </w:r>
      <w:r>
        <w:rPr>
          <w:rFonts w:ascii="Arial" w:hAnsi="Arial" w:cs="Arial"/>
          <w:b/>
          <w:sz w:val="22"/>
        </w:rPr>
        <w:t>no reducen la base reguladora de las prestaciones</w:t>
      </w:r>
      <w:r>
        <w:rPr>
          <w:rFonts w:ascii="Arial" w:hAnsi="Arial" w:cs="Arial"/>
          <w:sz w:val="22"/>
        </w:rPr>
        <w:t>. Esta diferencia es una pregunta clásica.</w:t>
      </w:r>
    </w:p>
    <w:p>
      <w:pPr>
        <w:pStyle w:val="Heading2"/>
        <w:keepNext/>
      </w:pPr>
      <w:r>
        <w:rPr>
          <w:rFonts w:ascii="Arial" w:hAnsi="Arial" w:cs="Arial"/>
          <w:sz w:val="25"/>
        </w:rPr>
        <w:t>7.4. Particularidades protectoras</w:t>
      </w:r>
    </w:p>
    <w:p>
      <w:pPr>
        <w:jc w:val="both"/>
      </w:pPr>
      <w:r>
        <w:rPr>
          <w:rFonts w:ascii="Arial" w:hAnsi="Arial" w:cs="Arial"/>
          <w:sz w:val="22"/>
        </w:rPr>
        <w:t>Quienes trabajan por cuenta ajena reciben la protección del Régimen General con adaptaciones; los autónomos, la del RETA. Existen, además:</w:t>
      </w:r>
    </w:p>
    <w:p>
      <w:pPr>
        <w:pStyle w:val="ListBullet"/>
      </w:pPr>
      <w:r>
        <w:rPr>
          <w:rFonts w:ascii="Arial" w:hAnsi="Arial" w:cs="Arial"/>
          <w:sz w:val="22"/>
        </w:rPr>
        <w:t>asistencia sanitaria a bordo y en el extranjero;</w:t>
      </w:r>
    </w:p>
    <w:p>
      <w:pPr>
        <w:pStyle w:val="ListBullet"/>
      </w:pPr>
      <w:r>
        <w:rPr>
          <w:rFonts w:ascii="Arial" w:hAnsi="Arial" w:cs="Arial"/>
          <w:sz w:val="22"/>
        </w:rPr>
        <w:t>servicios sanitarios y sociales específicos del ISM;</w:t>
      </w:r>
    </w:p>
    <w:p>
      <w:pPr>
        <w:pStyle w:val="ListBullet"/>
      </w:pPr>
      <w:r>
        <w:rPr>
          <w:rFonts w:ascii="Arial" w:hAnsi="Arial" w:cs="Arial"/>
          <w:sz w:val="22"/>
        </w:rPr>
        <w:t>desempleo para trabajadores por cuenta ajena y cese de actividad para autónomos;</w:t>
      </w:r>
    </w:p>
    <w:p>
      <w:pPr>
        <w:pStyle w:val="ListBullet"/>
      </w:pPr>
      <w:r>
        <w:rPr>
          <w:rFonts w:ascii="Arial" w:hAnsi="Arial" w:cs="Arial"/>
          <w:sz w:val="22"/>
        </w:rPr>
        <w:t>coeficientes reductores de la edad de jubilación en trabajos excepcionalmente penosos, tóxicos, peligrosos o insalubres.</w:t>
      </w:r>
    </w:p>
    <w:p>
      <w:pPr>
        <w:jc w:val="both"/>
      </w:pPr>
      <w:r>
        <w:rPr>
          <w:rFonts w:ascii="Arial" w:hAnsi="Arial" w:cs="Arial"/>
          <w:sz w:val="22"/>
        </w:rPr>
        <w:t>La reducción de edad no puede superar el máximo legal de diez años y no permite acceder desde una situación de no alta cuando la norma exige alta. El tiempo de reducción se considera cotizado exclusivamente para determinar el porcentaje de pensión en los términos legales.</w:t>
      </w:r>
    </w:p>
    <w:p>
      <w:pPr>
        <w:pStyle w:val="Heading1"/>
        <w:keepNext/>
      </w:pPr>
      <w:r>
        <w:rPr>
          <w:rFonts w:ascii="Arial" w:hAnsi="Arial" w:cs="Arial"/>
          <w:sz w:val="30"/>
        </w:rPr>
        <w:t>8. Régimen Especial de la Minería del Carbón</w:t>
      </w:r>
    </w:p>
    <w:p>
      <w:pPr>
        <w:pStyle w:val="Heading2"/>
        <w:keepNext/>
      </w:pPr>
      <w:r>
        <w:rPr>
          <w:rFonts w:ascii="Arial" w:hAnsi="Arial" w:cs="Arial"/>
          <w:sz w:val="25"/>
        </w:rPr>
        <w:t>8.1. Campo de aplicación y actos de encuadramiento</w:t>
      </w:r>
    </w:p>
    <w:p>
      <w:pPr>
        <w:jc w:val="both"/>
      </w:pPr>
      <w:r>
        <w:rPr>
          <w:rFonts w:ascii="Arial" w:hAnsi="Arial" w:cs="Arial"/>
          <w:sz w:val="22"/>
        </w:rPr>
        <w:t>El Decreto 298/1973 comprende trabajadores por cuenta ajena incluidos en las normas laborales de la minería del carbón y actividades complementarias expresamente incorporadas. Pueden incluirse determinados directivos con verdadera relación laboral, pero no quien se limita al cargo de consejero sin prestación laboral.</w:t>
      </w:r>
    </w:p>
    <w:p>
      <w:pPr>
        <w:jc w:val="both"/>
      </w:pPr>
      <w:r>
        <w:rPr>
          <w:rFonts w:ascii="Arial" w:hAnsi="Arial" w:cs="Arial"/>
          <w:sz w:val="22"/>
        </w:rPr>
        <w:t xml:space="preserve">Se aplican las reglas generales de afiliación, alta y baja. Además, las empresas comunican mensualmente, dentro de los </w:t>
      </w:r>
      <w:r>
        <w:rPr>
          <w:rFonts w:ascii="Arial" w:hAnsi="Arial" w:cs="Arial"/>
          <w:b/>
          <w:sz w:val="22"/>
        </w:rPr>
        <w:t>quince días</w:t>
      </w:r>
      <w:r>
        <w:rPr>
          <w:rFonts w:ascii="Arial" w:hAnsi="Arial" w:cs="Arial"/>
          <w:sz w:val="22"/>
        </w:rPr>
        <w:t xml:space="preserve"> siguientes al mes de referencia, movimientos de entrada y salida, cambios de categoría y determinadas ausencias, porque esos datos intervienen en la normalización de bases.</w:t>
      </w:r>
    </w:p>
    <w:p>
      <w:pPr>
        <w:pStyle w:val="Heading2"/>
        <w:keepNext/>
      </w:pPr>
      <w:r>
        <w:rPr>
          <w:rFonts w:ascii="Arial" w:hAnsi="Arial" w:cs="Arial"/>
          <w:sz w:val="25"/>
        </w:rPr>
        <w:t>8.2. Cotización</w:t>
      </w:r>
    </w:p>
    <w:p>
      <w:pPr>
        <w:jc w:val="both"/>
      </w:pPr>
      <w:r>
        <w:rPr>
          <w:rFonts w:ascii="Arial" w:hAnsi="Arial" w:cs="Arial"/>
          <w:sz w:val="22"/>
        </w:rPr>
        <w:t>Para contingencias comunes se utilizan bases normalizadas por categoría profesional y zona minera, fijadas anualmente a partir de remuneraciones. La empresa es responsable de ingresar las cuotas dentro del plazo general del mes siguiente. Para contingencias profesionales se aplican las bases y tarifas correspondientes a la remuneración efectiva conforme a la normativa anual.</w:t>
      </w:r>
    </w:p>
    <w:p>
      <w:pPr>
        <w:jc w:val="both"/>
      </w:pPr>
      <w:r>
        <w:rPr>
          <w:rFonts w:ascii="Arial" w:hAnsi="Arial" w:cs="Arial"/>
          <w:sz w:val="22"/>
        </w:rPr>
        <w:t>La incorporación al sistema de liquidación directa no altera quién está obligado ni la naturaleza de la base. La TGSS calcula con los datos comunicados, pero la empresa debe transmitir información correcta y completa.</w:t>
      </w:r>
    </w:p>
    <w:p>
      <w:pPr>
        <w:pStyle w:val="Heading2"/>
        <w:keepNext/>
      </w:pPr>
      <w:r>
        <w:rPr>
          <w:rFonts w:ascii="Arial" w:hAnsi="Arial" w:cs="Arial"/>
          <w:sz w:val="25"/>
        </w:rPr>
        <w:t>8.3. Acción protectora</w:t>
      </w:r>
    </w:p>
    <w:p>
      <w:pPr>
        <w:jc w:val="both"/>
      </w:pPr>
      <w:r>
        <w:rPr>
          <w:rFonts w:ascii="Arial" w:hAnsi="Arial" w:cs="Arial"/>
          <w:sz w:val="22"/>
        </w:rPr>
        <w:t>La protección se aproxima a la del Régimen General. Sus singularidades más conocidas son:</w:t>
      </w:r>
    </w:p>
    <w:p>
      <w:pPr>
        <w:pStyle w:val="ListBullet"/>
      </w:pPr>
      <w:r>
        <w:rPr>
          <w:rFonts w:ascii="Arial" w:hAnsi="Arial" w:cs="Arial"/>
          <w:sz w:val="22"/>
        </w:rPr>
        <w:t>reducción de la edad de jubilación según la penosidad y peligrosidad de la categoría;</w:t>
      </w:r>
    </w:p>
    <w:p>
      <w:pPr>
        <w:pStyle w:val="ListBullet"/>
      </w:pPr>
      <w:r>
        <w:rPr>
          <w:rFonts w:ascii="Arial" w:hAnsi="Arial" w:cs="Arial"/>
          <w:sz w:val="22"/>
        </w:rPr>
        <w:t>reglas especiales de valoración conjunta de lesiones para incapacidad permanente;</w:t>
      </w:r>
    </w:p>
    <w:p>
      <w:pPr>
        <w:pStyle w:val="ListBullet"/>
      </w:pPr>
      <w:r>
        <w:rPr>
          <w:rFonts w:ascii="Arial" w:hAnsi="Arial" w:cs="Arial"/>
          <w:sz w:val="22"/>
        </w:rPr>
        <w:t>empleo de bases normalizadas en determinados cálculos.</w:t>
      </w:r>
    </w:p>
    <w:p>
      <w:pPr>
        <w:jc w:val="both"/>
      </w:pPr>
      <w:r>
        <w:rPr>
          <w:rFonts w:ascii="Arial" w:hAnsi="Arial" w:cs="Arial"/>
          <w:sz w:val="22"/>
        </w:rPr>
        <w:t>El coeficiente reductor no rebaja la cuantía de la pensión por anticipación: adelanta la edad ordinaria por exposición a condiciones especialmente gravosas. Debe diferenciarse de la jubilación anticipada voluntaria o involuntaria, que utiliza coeficientes sobre la cuantía.</w:t>
      </w:r>
    </w:p>
    <w:p>
      <w:pPr>
        <w:pStyle w:val="Heading1"/>
        <w:keepNext/>
      </w:pPr>
      <w:r>
        <w:rPr>
          <w:rFonts w:ascii="Arial" w:hAnsi="Arial" w:cs="Arial"/>
          <w:sz w:val="30"/>
        </w:rPr>
        <w:t>9. Funcionarios y estudiantes</w:t>
      </w:r>
    </w:p>
    <w:p>
      <w:pPr>
        <w:pStyle w:val="Heading2"/>
        <w:keepNext/>
      </w:pPr>
      <w:r>
        <w:rPr>
          <w:rFonts w:ascii="Arial" w:hAnsi="Arial" w:cs="Arial"/>
          <w:sz w:val="25"/>
        </w:rPr>
        <w:t>9.1. Mutualismo administrativo y Clases Pasivas</w:t>
      </w:r>
    </w:p>
    <w:p>
      <w:pPr>
        <w:jc w:val="both"/>
      </w:pPr>
      <w:r>
        <w:rPr>
          <w:rFonts w:ascii="Arial" w:hAnsi="Arial" w:cs="Arial"/>
          <w:sz w:val="22"/>
        </w:rPr>
        <w:t>El artículo 10 incluye a funcionarios civiles y militares entre los grupos especiales. La organización se articula principalmente mediante:</w:t>
      </w:r>
    </w:p>
    <w:p>
      <w:pPr>
        <w:pStyle w:val="ListBullet"/>
      </w:pPr>
      <w:r>
        <w:rPr>
          <w:rFonts w:ascii="Arial" w:hAnsi="Arial" w:cs="Arial"/>
          <w:sz w:val="22"/>
        </w:rPr>
        <w:t>Mutualidad General de Funcionarios Civiles del Estado —MUFACE—;</w:t>
      </w:r>
    </w:p>
    <w:p>
      <w:pPr>
        <w:pStyle w:val="ListBullet"/>
      </w:pPr>
      <w:r>
        <w:rPr>
          <w:rFonts w:ascii="Arial" w:hAnsi="Arial" w:cs="Arial"/>
          <w:sz w:val="22"/>
        </w:rPr>
        <w:t>Instituto Social de las Fuerzas Armadas —ISFAS—;</w:t>
      </w:r>
    </w:p>
    <w:p>
      <w:pPr>
        <w:pStyle w:val="ListBullet"/>
      </w:pPr>
      <w:r>
        <w:rPr>
          <w:rFonts w:ascii="Arial" w:hAnsi="Arial" w:cs="Arial"/>
          <w:sz w:val="22"/>
        </w:rPr>
        <w:t>Mutualidad General Judicial —MUGEJU—;</w:t>
      </w:r>
    </w:p>
    <w:p>
      <w:pPr>
        <w:pStyle w:val="ListBullet"/>
      </w:pPr>
      <w:r>
        <w:rPr>
          <w:rFonts w:ascii="Arial" w:hAnsi="Arial" w:cs="Arial"/>
          <w:sz w:val="22"/>
        </w:rPr>
        <w:t>Régimen de Clases Pasivas para las pensiones de los colectivos y cohortes que permanecen en él.</w:t>
      </w:r>
    </w:p>
    <w:p>
      <w:pPr>
        <w:jc w:val="both"/>
      </w:pPr>
      <w:r>
        <w:rPr>
          <w:rFonts w:ascii="Arial" w:hAnsi="Arial" w:cs="Arial"/>
          <w:sz w:val="22"/>
        </w:rPr>
        <w:t>Para quienes ingresaron desde el 1 de enero de 2011 en cuerpos sujetos al mutualismo, la cobertura de pensiones corresponde, como regla, al Régimen General, mientras subsiste el mutualismo administrativo para su cartera propia. Así, mutualismo y sistema de pensiones no siempre coinciden.</w:t>
      </w:r>
    </w:p>
    <w:p>
      <w:pPr>
        <w:jc w:val="both"/>
      </w:pPr>
      <w:r>
        <w:rPr>
          <w:rFonts w:ascii="Arial" w:hAnsi="Arial" w:cs="Arial"/>
          <w:sz w:val="22"/>
        </w:rPr>
        <w:t>La incorporación nace con la toma de posesión o el supuesto legal; los órganos de personal comunican altas, bajas y variaciones a la mutualidad. Las cuotas se calculan sobre bases vinculadas al sueldo regulador o grupo y se distribuyen normalmente en catorce mensualidades. La protección incluye asistencia sanitaria y farmacéutica, incapacidad temporal, riesgos durante embarazo y lactancia, prestaciones familiares y ayudas sociales. Las pensiones dependerán de la cohorte: Clases Pasivas o Régimen General.</w:t>
      </w:r>
    </w:p>
    <w:p>
      <w:pPr>
        <w:pStyle w:val="Heading2"/>
        <w:keepNext/>
      </w:pPr>
      <w:r>
        <w:rPr>
          <w:rFonts w:ascii="Arial" w:hAnsi="Arial" w:cs="Arial"/>
          <w:sz w:val="25"/>
        </w:rPr>
        <w:t>9.2. Seguro Escolar</w:t>
      </w:r>
    </w:p>
    <w:p>
      <w:pPr>
        <w:jc w:val="both"/>
      </w:pPr>
      <w:r>
        <w:rPr>
          <w:rFonts w:ascii="Arial" w:hAnsi="Arial" w:cs="Arial"/>
          <w:sz w:val="22"/>
        </w:rPr>
        <w:t>El Seguro Escolar protege a estudiantes menores de veintiocho años matriculados en enseñanzas incluidas. La cobertura se mantiene durante el curso en que cumplen esa edad. La inclusión se produce con la matrícula y una cuota fija financiada en la forma legal.</w:t>
      </w:r>
    </w:p>
    <w:p>
      <w:pPr>
        <w:jc w:val="both"/>
      </w:pPr>
      <w:r>
        <w:rPr>
          <w:rFonts w:ascii="Arial" w:hAnsi="Arial" w:cs="Arial"/>
          <w:sz w:val="22"/>
        </w:rPr>
        <w:t>Protege principalmente:</w:t>
      </w:r>
    </w:p>
    <w:p>
      <w:pPr>
        <w:pStyle w:val="ListBullet"/>
      </w:pPr>
      <w:r>
        <w:rPr>
          <w:rFonts w:ascii="Arial" w:hAnsi="Arial" w:cs="Arial"/>
          <w:sz w:val="22"/>
        </w:rPr>
        <w:t>accidente escolar;</w:t>
      </w:r>
    </w:p>
    <w:p>
      <w:pPr>
        <w:pStyle w:val="ListBullet"/>
      </w:pPr>
      <w:r>
        <w:rPr>
          <w:rFonts w:ascii="Arial" w:hAnsi="Arial" w:cs="Arial"/>
          <w:sz w:val="22"/>
        </w:rPr>
        <w:t>enfermedad;</w:t>
      </w:r>
    </w:p>
    <w:p>
      <w:pPr>
        <w:pStyle w:val="ListBullet"/>
      </w:pPr>
      <w:r>
        <w:rPr>
          <w:rFonts w:ascii="Arial" w:hAnsi="Arial" w:cs="Arial"/>
          <w:sz w:val="22"/>
        </w:rPr>
        <w:t>infortunio familiar que impida continuar estudios.</w:t>
      </w:r>
    </w:p>
    <w:p>
      <w:pPr>
        <w:jc w:val="both"/>
      </w:pPr>
      <w:r>
        <w:rPr>
          <w:rFonts w:ascii="Arial" w:hAnsi="Arial" w:cs="Arial"/>
          <w:sz w:val="22"/>
        </w:rPr>
        <w:t>No es un alta laboral ni convierte la actividad académica en trabajo. Tampoco debe confundirse con las prácticas formativas incluidas en el sistema por la disposición adicional quincuagésima segunda TRLGSS, cuyo encuadramiento y cotización siguen reglas propias.</w:t>
      </w:r>
    </w:p>
    <w:p>
      <w:pPr>
        <w:pStyle w:val="Heading1"/>
        <w:keepNext/>
      </w:pPr>
      <w:r>
        <w:rPr>
          <w:rFonts w:ascii="Arial" w:hAnsi="Arial" w:cs="Arial"/>
          <w:sz w:val="30"/>
        </w:rPr>
        <w:t>10. Sistemas especiales: enumeración</w:t>
      </w:r>
    </w:p>
    <w:p>
      <w:pPr>
        <w:jc w:val="both"/>
      </w:pPr>
      <w:r>
        <w:rPr>
          <w:rFonts w:ascii="Arial" w:hAnsi="Arial" w:cs="Arial"/>
          <w:sz w:val="22"/>
        </w:rPr>
        <w:t>El portal oficial de la Seguridad Social recoge actualmente, dentro del Régimen General:</w:t>
      </w:r>
    </w:p>
    <w:p>
      <w:pPr>
        <w:spacing w:after="40"/>
        <w:ind w:left="369" w:hanging="227"/>
      </w:pPr>
      <w:r>
        <w:rPr>
          <w:rFonts w:ascii="Arial" w:hAnsi="Arial" w:cs="Arial"/>
          <w:sz w:val="22"/>
        </w:rPr>
        <w:t>1. frutas, hortalizas e industria de conservas vegetales;</w:t>
      </w:r>
    </w:p>
    <w:p>
      <w:pPr>
        <w:spacing w:after="40"/>
        <w:ind w:left="369" w:hanging="227"/>
      </w:pPr>
      <w:r>
        <w:rPr>
          <w:rFonts w:ascii="Arial" w:hAnsi="Arial" w:cs="Arial"/>
          <w:sz w:val="22"/>
        </w:rPr>
        <w:t>2. industria resinera;</w:t>
      </w:r>
    </w:p>
    <w:p>
      <w:pPr>
        <w:spacing w:after="40"/>
        <w:ind w:left="369" w:hanging="227"/>
      </w:pPr>
      <w:r>
        <w:rPr>
          <w:rFonts w:ascii="Arial" w:hAnsi="Arial" w:cs="Arial"/>
          <w:sz w:val="22"/>
        </w:rPr>
        <w:t>3. servicios extraordinarios de hostelería;</w:t>
      </w:r>
    </w:p>
    <w:p>
      <w:pPr>
        <w:spacing w:after="40"/>
        <w:ind w:left="369" w:hanging="227"/>
      </w:pPr>
      <w:r>
        <w:rPr>
          <w:rFonts w:ascii="Arial" w:hAnsi="Arial" w:cs="Arial"/>
          <w:sz w:val="22"/>
        </w:rPr>
        <w:t>4. manipulado y empaquetado de tomate fresco por cosecheros exportadores;</w:t>
      </w:r>
    </w:p>
    <w:p>
      <w:pPr>
        <w:spacing w:after="40"/>
        <w:ind w:left="369" w:hanging="227"/>
      </w:pPr>
      <w:r>
        <w:rPr>
          <w:rFonts w:ascii="Arial" w:hAnsi="Arial" w:cs="Arial"/>
          <w:sz w:val="22"/>
        </w:rPr>
        <w:t>5. trabajadores fijos discontinuos de empresas de exhibición cinematográfica, salas de baile, fiesta y discotecas;</w:t>
      </w:r>
    </w:p>
    <w:p>
      <w:pPr>
        <w:spacing w:after="40"/>
        <w:ind w:left="369" w:hanging="227"/>
      </w:pPr>
      <w:r>
        <w:rPr>
          <w:rFonts w:ascii="Arial" w:hAnsi="Arial" w:cs="Arial"/>
          <w:sz w:val="22"/>
        </w:rPr>
        <w:t>6. trabajadores fijos discontinuos de empresas de estudio de mercado y opinión pública;</w:t>
      </w:r>
    </w:p>
    <w:p>
      <w:pPr>
        <w:spacing w:after="40"/>
        <w:ind w:left="369" w:hanging="227"/>
      </w:pPr>
      <w:r>
        <w:rPr>
          <w:rFonts w:ascii="Arial" w:hAnsi="Arial" w:cs="Arial"/>
          <w:sz w:val="22"/>
        </w:rPr>
        <w:t>7. trabajadores por cuenta ajena agrarios;</w:t>
      </w:r>
    </w:p>
    <w:p>
      <w:pPr>
        <w:spacing w:after="40"/>
        <w:ind w:left="369" w:hanging="227"/>
      </w:pPr>
      <w:r>
        <w:rPr>
          <w:rFonts w:ascii="Arial" w:hAnsi="Arial" w:cs="Arial"/>
          <w:sz w:val="22"/>
        </w:rPr>
        <w:t>8. empleados de hogar.</w:t>
      </w:r>
    </w:p>
    <w:p>
      <w:pPr>
        <w:jc w:val="both"/>
      </w:pPr>
      <w:r>
        <w:rPr>
          <w:rFonts w:ascii="Arial" w:hAnsi="Arial" w:cs="Arial"/>
          <w:sz w:val="22"/>
        </w:rPr>
        <w:t xml:space="preserve">Dentro del RETA existe el </w:t>
      </w:r>
      <w:r>
        <w:rPr>
          <w:rFonts w:ascii="Arial" w:hAnsi="Arial" w:cs="Arial"/>
          <w:b/>
          <w:sz w:val="22"/>
        </w:rPr>
        <w:t>Sistema Especial para Trabajadores por Cuenta Propia Agrarios —SETA—</w:t>
      </w:r>
      <w:r>
        <w:rPr>
          <w:rFonts w:ascii="Arial" w:hAnsi="Arial" w:cs="Arial"/>
          <w:sz w:val="22"/>
        </w:rPr>
        <w:t>.</w:t>
      </w:r>
    </w:p>
    <w:p>
      <w:pPr>
        <w:jc w:val="both"/>
      </w:pPr>
      <w:r>
        <w:rPr>
          <w:rFonts w:ascii="Arial" w:hAnsi="Arial" w:cs="Arial"/>
          <w:sz w:val="22"/>
        </w:rPr>
        <w:t>Los seis primeros sistemas conservan técnicas históricas ligadas a campañas, censos, jornadas o servicios discontinuos. Su normativa debe leerse junto con las reglas generales posteriores de afiliación y liquidación. Pertenecer a ellos no crea por sí solo una cartera de prestaciones diferente.</w:t>
      </w:r>
    </w:p>
    <w:p>
      <w:pPr>
        <w:pStyle w:val="Heading1"/>
        <w:keepNext/>
      </w:pPr>
      <w:r>
        <w:rPr>
          <w:rFonts w:ascii="Arial" w:hAnsi="Arial" w:cs="Arial"/>
          <w:sz w:val="30"/>
        </w:rPr>
        <w:t>11. Sistema Especial para Empleados de Hogar</w:t>
      </w:r>
    </w:p>
    <w:p>
      <w:pPr>
        <w:pStyle w:val="Heading2"/>
        <w:keepNext/>
      </w:pPr>
      <w:r>
        <w:rPr>
          <w:rFonts w:ascii="Arial" w:hAnsi="Arial" w:cs="Arial"/>
          <w:sz w:val="25"/>
        </w:rPr>
        <w:t>11.1. Inclusión y exclusión</w:t>
      </w:r>
    </w:p>
    <w:p>
      <w:pPr>
        <w:jc w:val="both"/>
      </w:pPr>
      <w:r>
        <w:rPr>
          <w:rFonts w:ascii="Arial" w:hAnsi="Arial" w:cs="Arial"/>
          <w:sz w:val="22"/>
        </w:rPr>
        <w:t>El artículo 250 TRLGSS comprende a quienes prestan servicios retribuidos en el ámbito del hogar familiar mediante la relación laboral especial del servicio doméstico: tareas domésticas, cuidado de miembros de la familia y otros trabajos complementarios legalmente admitidos.</w:t>
      </w:r>
    </w:p>
    <w:p>
      <w:pPr>
        <w:jc w:val="both"/>
      </w:pPr>
      <w:r>
        <w:rPr>
          <w:rFonts w:ascii="Arial" w:hAnsi="Arial" w:cs="Arial"/>
          <w:sz w:val="22"/>
        </w:rPr>
        <w:t>No se incluye en este sistema a quien presta esos servicios por medio de una empresa, agencia o entidad empleadora; en tal caso se trata de una relación laboral ordinaria en el Régimen General. Tampoco se incluye una ayuda familiar, amistosa o de buena vecindad sin carácter laboral.</w:t>
      </w:r>
    </w:p>
    <w:p>
      <w:pPr>
        <w:pStyle w:val="Heading2"/>
        <w:keepNext/>
      </w:pPr>
      <w:r>
        <w:rPr>
          <w:rFonts w:ascii="Arial" w:hAnsi="Arial" w:cs="Arial"/>
          <w:sz w:val="25"/>
        </w:rPr>
        <w:t>11.2. Alta, baja y cotización</w:t>
      </w:r>
    </w:p>
    <w:p>
      <w:pPr>
        <w:jc w:val="both"/>
      </w:pPr>
      <w:r>
        <w:rPr>
          <w:rFonts w:ascii="Arial" w:hAnsi="Arial" w:cs="Arial"/>
          <w:sz w:val="22"/>
        </w:rPr>
        <w:t>El titular del hogar familiar es empresario y responde de inscripción, alta, baja y cotización. Desde 2023 ya no subsiste la antigua posibilidad de que el empleado que trabajaba menos de sesenta horas mensuales asumiera de forma ordinaria esas obligaciones por acuerdo.</w:t>
      </w:r>
    </w:p>
    <w:p>
      <w:pPr>
        <w:jc w:val="both"/>
      </w:pPr>
      <w:r>
        <w:rPr>
          <w:rFonts w:ascii="Arial" w:hAnsi="Arial" w:cs="Arial"/>
          <w:sz w:val="22"/>
        </w:rPr>
        <w:t>El alta es previa y debe identificar jornada, salario dinerario y en especie, horas de presencia, pernocta, contrato y cuenta de domiciliación. Bajas y variaciones se comunican en tres días naturales.</w:t>
      </w:r>
    </w:p>
    <w:p>
      <w:pPr>
        <w:jc w:val="both"/>
      </w:pPr>
      <w:r>
        <w:rPr>
          <w:rFonts w:ascii="Arial" w:hAnsi="Arial" w:cs="Arial"/>
          <w:sz w:val="22"/>
        </w:rPr>
        <w:t>La base se determina por tramos de retribución previstos en la norma anual, incluyendo la parte proporcional de pagas extraordinarias y demás conceptos computables. El empleador ingresa cuota propia y obrera y puede descontar del salario únicamente la aportación a cargo del empleado. Se cotiza también por desempleo, FOGASA y contingencias profesionales en los términos vigentes.</w:t>
      </w:r>
    </w:p>
    <w:p>
      <w:pPr>
        <w:pStyle w:val="Heading2"/>
        <w:keepNext/>
      </w:pPr>
      <w:r>
        <w:rPr>
          <w:rFonts w:ascii="Arial" w:hAnsi="Arial" w:cs="Arial"/>
          <w:sz w:val="25"/>
        </w:rPr>
        <w:t>11.3. Acción protectora</w:t>
      </w:r>
    </w:p>
    <w:p>
      <w:pPr>
        <w:jc w:val="both"/>
      </w:pPr>
      <w:r>
        <w:rPr>
          <w:rFonts w:ascii="Arial" w:hAnsi="Arial" w:cs="Arial"/>
          <w:sz w:val="22"/>
        </w:rPr>
        <w:t>La equiparación introducida por el Real Decreto-ley 16/2022 incorporó desempleo y FOGASA y eliminó exclusiones históricas. Subsisten particularidades:</w:t>
      </w:r>
    </w:p>
    <w:p>
      <w:pPr>
        <w:pStyle w:val="ListBullet"/>
      </w:pPr>
      <w:r>
        <w:rPr>
          <w:rFonts w:ascii="Arial" w:hAnsi="Arial" w:cs="Arial"/>
          <w:sz w:val="22"/>
        </w:rPr>
        <w:t>en incapacidad temporal por enfermedad común o accidente no laboral, el subsidio corre a cargo del empleador desde el cuarto al octavo día y de la entidad gestora o colaboradora desde el noveno;</w:t>
      </w:r>
    </w:p>
    <w:p>
      <w:pPr>
        <w:pStyle w:val="ListBullet"/>
      </w:pPr>
      <w:r>
        <w:rPr>
          <w:rFonts w:ascii="Arial" w:hAnsi="Arial" w:cs="Arial"/>
          <w:sz w:val="22"/>
        </w:rPr>
        <w:t>el pago desde el noveno día es directo, sin pago delegado empresarial;</w:t>
      </w:r>
    </w:p>
    <w:p>
      <w:pPr>
        <w:pStyle w:val="ListBullet"/>
      </w:pPr>
      <w:r>
        <w:rPr>
          <w:rFonts w:ascii="Arial" w:hAnsi="Arial" w:cs="Arial"/>
          <w:sz w:val="22"/>
        </w:rPr>
        <w:t>para contingencias profesionales no opera la especial responsabilidad empresarial del artículo 167.2 TRLGSS prevista para falta de aseguramiento en los mismos términos del régimen común.</w:t>
      </w:r>
    </w:p>
    <w:p>
      <w:pPr>
        <w:jc w:val="both"/>
      </w:pPr>
      <w:r>
        <w:rPr>
          <w:rFonts w:ascii="Arial" w:hAnsi="Arial" w:cs="Arial"/>
          <w:sz w:val="22"/>
        </w:rPr>
        <w:t>La extinción del contrato debe respetar las causas y garantías de la relación laboral especial, pero la baja en Seguridad Social sigue dependiendo del cese real y su comunicación.</w:t>
      </w:r>
    </w:p>
    <w:p>
      <w:pPr>
        <w:pStyle w:val="Heading1"/>
        <w:keepNext/>
      </w:pPr>
      <w:r>
        <w:rPr>
          <w:rFonts w:ascii="Arial" w:hAnsi="Arial" w:cs="Arial"/>
          <w:sz w:val="30"/>
        </w:rPr>
        <w:t>12. Sistema Especial para Trabajadores por Cuenta Ajena Agrarios</w:t>
      </w:r>
    </w:p>
    <w:p>
      <w:pPr>
        <w:pStyle w:val="Heading2"/>
        <w:keepNext/>
      </w:pPr>
      <w:r>
        <w:rPr>
          <w:rFonts w:ascii="Arial" w:hAnsi="Arial" w:cs="Arial"/>
          <w:sz w:val="25"/>
        </w:rPr>
        <w:t>12.1. Campo y periodos de actividad e inactividad</w:t>
      </w:r>
    </w:p>
    <w:p>
      <w:pPr>
        <w:jc w:val="both"/>
      </w:pPr>
      <w:r>
        <w:rPr>
          <w:rFonts w:ascii="Arial" w:hAnsi="Arial" w:cs="Arial"/>
          <w:sz w:val="22"/>
        </w:rPr>
        <w:t>Comprende trabajadores por cuenta ajena que realizan labores agrarias, forestales o pecuarias y actividades complementarias en explotaciones agrarias. El manipulado y empaquetado de plátano tiene inclusión expresa distinta en el Régimen General.</w:t>
      </w:r>
    </w:p>
    <w:p>
      <w:pPr>
        <w:jc w:val="both"/>
      </w:pPr>
      <w:r>
        <w:rPr>
          <w:rFonts w:ascii="Arial" w:hAnsi="Arial" w:cs="Arial"/>
          <w:sz w:val="22"/>
        </w:rPr>
        <w:t>El sistema distingue:</w:t>
      </w:r>
    </w:p>
    <w:p>
      <w:pPr>
        <w:pStyle w:val="ListBullet"/>
      </w:pPr>
      <w:r>
        <w:rPr>
          <w:rFonts w:ascii="Arial" w:hAnsi="Arial" w:cs="Arial"/>
          <w:b/>
          <w:sz w:val="22"/>
        </w:rPr>
        <w:t>periodos de actividad</w:t>
      </w:r>
      <w:r>
        <w:rPr>
          <w:rFonts w:ascii="Arial" w:hAnsi="Arial" w:cs="Arial"/>
          <w:sz w:val="22"/>
        </w:rPr>
        <w:t>, con prestación de servicios y jornadas reales;</w:t>
      </w:r>
    </w:p>
    <w:p>
      <w:pPr>
        <w:pStyle w:val="ListBullet"/>
      </w:pPr>
      <w:r>
        <w:rPr>
          <w:rFonts w:ascii="Arial" w:hAnsi="Arial" w:cs="Arial"/>
          <w:b/>
          <w:sz w:val="22"/>
        </w:rPr>
        <w:t>periodos de inactividad</w:t>
      </w:r>
      <w:r>
        <w:rPr>
          <w:rFonts w:ascii="Arial" w:hAnsi="Arial" w:cs="Arial"/>
          <w:sz w:val="22"/>
        </w:rPr>
        <w:t>, en los que la persona mantiene inclusión si reúne los requisitos legales.</w:t>
      </w:r>
    </w:p>
    <w:p>
      <w:pPr>
        <w:jc w:val="both"/>
      </w:pPr>
      <w:r>
        <w:rPr>
          <w:rFonts w:ascii="Arial" w:hAnsi="Arial" w:cs="Arial"/>
          <w:sz w:val="22"/>
        </w:rPr>
        <w:t>Existe inactividad dentro de un mes cuando las jornadas reales son inferiores al 76,67 % de los días naturales de inclusión. No se aplica esa regla a quien realiza para un mismo empresario un mínimo semanal equivalente a cinco días de trabajo de acuerdo con el convenio.</w:t>
      </w:r>
    </w:p>
    <w:p>
      <w:pPr>
        <w:jc w:val="both"/>
      </w:pPr>
      <w:r>
        <w:rPr>
          <w:rFonts w:ascii="Arial" w:hAnsi="Arial" w:cs="Arial"/>
          <w:sz w:val="22"/>
        </w:rPr>
        <w:t>Para incorporarse durante inactividad se exigen, con carácter general, treinta jornadas reales dentro de los 365 días anteriores y solicitud dentro de los tres meses naturales siguientes a la última jornada. La inclusión surte efectos desde el día primero del mes posterior. Cabe exclusión voluntaria y también de oficio por no alcanzar las jornadas exigidas o por impago de dos mensualidades consecutivas de cuotas de inactividad.</w:t>
      </w:r>
    </w:p>
    <w:p>
      <w:pPr>
        <w:pStyle w:val="Heading2"/>
        <w:keepNext/>
      </w:pPr>
      <w:r>
        <w:rPr>
          <w:rFonts w:ascii="Arial" w:hAnsi="Arial" w:cs="Arial"/>
          <w:sz w:val="25"/>
        </w:rPr>
        <w:t>12.2. Altas y bajas</w:t>
      </w:r>
    </w:p>
    <w:p>
      <w:pPr>
        <w:jc w:val="both"/>
      </w:pPr>
      <w:r>
        <w:rPr>
          <w:rFonts w:ascii="Arial" w:hAnsi="Arial" w:cs="Arial"/>
          <w:sz w:val="22"/>
        </w:rPr>
        <w:t>El empresario comunica altas y bajas. Si no fue posible tramitar previamente el alta de un trabajador eventual o fijo discontinuo contratado el mismo día, puede presentarse antes de las doce horas, siempre que se justifique la imposibilidad; si la jornada termina antes, debe comunicarse antes de finalizarla. No es una autorización general para altas tardías.</w:t>
      </w:r>
    </w:p>
    <w:p>
      <w:pPr>
        <w:jc w:val="both"/>
      </w:pPr>
      <w:r>
        <w:rPr>
          <w:rFonts w:ascii="Arial" w:hAnsi="Arial" w:cs="Arial"/>
          <w:sz w:val="22"/>
        </w:rPr>
        <w:t>Durante la actividad, las bajas y cambios se transmiten conforme al sistema de jornadas reales y a los plazos reglamentarios. La inclusión en inactividad no equivale a que exista contrato vigente ni obliga al empresario a cotizar por meses sin trabajo.</w:t>
      </w:r>
    </w:p>
    <w:p>
      <w:pPr>
        <w:pStyle w:val="Heading2"/>
        <w:keepNext/>
      </w:pPr>
      <w:r>
        <w:rPr>
          <w:rFonts w:ascii="Arial" w:hAnsi="Arial" w:cs="Arial"/>
          <w:sz w:val="25"/>
        </w:rPr>
        <w:t>12.3. Cotización</w:t>
      </w:r>
    </w:p>
    <w:p>
      <w:pPr>
        <w:jc w:val="both"/>
      </w:pPr>
      <w:r>
        <w:rPr>
          <w:rFonts w:ascii="Arial" w:hAnsi="Arial" w:cs="Arial"/>
          <w:sz w:val="22"/>
        </w:rPr>
        <w:t>En actividad, el empresario puede optar por bases diarias según jornadas reales o mensuales. La modalidad mensual es obligatoria para trabajadores indefinidos, salvo fijos discontinuos, y actúa como modalidad por defecto si no se ejercita opción válida.</w:t>
      </w:r>
    </w:p>
    <w:p>
      <w:pPr>
        <w:jc w:val="both"/>
      </w:pPr>
      <w:r>
        <w:rPr>
          <w:rFonts w:ascii="Arial" w:hAnsi="Arial" w:cs="Arial"/>
          <w:sz w:val="22"/>
        </w:rPr>
        <w:t xml:space="preserve">Durante la inactividad, el trabajador es responsable de su cuota. La base se vincula a la mínima del grupo 7 del Régimen General y el tipo específico es el legalmente fijado; como dato estructural consolidado, el artículo 255 establece el </w:t>
      </w:r>
      <w:r>
        <w:rPr>
          <w:rFonts w:ascii="Arial" w:hAnsi="Arial" w:cs="Arial"/>
          <w:b/>
          <w:sz w:val="22"/>
        </w:rPr>
        <w:t>11,50 %</w:t>
      </w:r>
      <w:r>
        <w:rPr>
          <w:rFonts w:ascii="Arial" w:hAnsi="Arial" w:cs="Arial"/>
          <w:sz w:val="22"/>
        </w:rPr>
        <w:t>, sin perjuicio de reformas posteriores.</w:t>
      </w:r>
    </w:p>
    <w:p>
      <w:pPr>
        <w:pStyle w:val="Heading2"/>
        <w:keepNext/>
      </w:pPr>
      <w:r>
        <w:rPr>
          <w:rFonts w:ascii="Arial" w:hAnsi="Arial" w:cs="Arial"/>
          <w:sz w:val="25"/>
        </w:rPr>
        <w:t>12.4. Acción protectora</w:t>
      </w:r>
    </w:p>
    <w:p>
      <w:pPr>
        <w:jc w:val="both"/>
      </w:pPr>
      <w:r>
        <w:rPr>
          <w:rFonts w:ascii="Arial" w:hAnsi="Arial" w:cs="Arial"/>
          <w:sz w:val="22"/>
        </w:rPr>
        <w:t>Durante actividad se aplica la protección del Régimen General con adaptaciones. En inactividad solo se protegen las contingencias expresamente previstas y resulta esencial estar al corriente en la cuota propia. En incapacidad temporal el pago se realiza directamente por la entidad competente, sin pago delegado.</w:t>
      </w:r>
    </w:p>
    <w:p>
      <w:pPr>
        <w:jc w:val="both"/>
      </w:pPr>
      <w:r>
        <w:rPr>
          <w:rFonts w:ascii="Arial" w:hAnsi="Arial" w:cs="Arial"/>
          <w:sz w:val="22"/>
        </w:rPr>
        <w:t>Para jubilación anticipada, la ley exige una presencia mínima de periodos de actividad dentro de los últimos años en los términos del artículo 256. Para pensiones derivadas de contingencias comunes computan los periodos realmente cotizados y no funciona una integración general de lagunas como en el Régimen General común.</w:t>
      </w:r>
    </w:p>
    <w:p>
      <w:pPr>
        <w:pStyle w:val="Heading1"/>
        <w:keepNext/>
      </w:pPr>
      <w:r>
        <w:rPr>
          <w:rFonts w:ascii="Arial" w:hAnsi="Arial" w:cs="Arial"/>
          <w:sz w:val="30"/>
        </w:rPr>
        <w:t>13. Sistema Especial para Trabajadores por Cuenta Propia Agrarios</w:t>
      </w:r>
    </w:p>
    <w:p>
      <w:pPr>
        <w:pStyle w:val="Heading2"/>
        <w:keepNext/>
      </w:pPr>
      <w:r>
        <w:rPr>
          <w:rFonts w:ascii="Arial" w:hAnsi="Arial" w:cs="Arial"/>
          <w:sz w:val="25"/>
        </w:rPr>
        <w:t>13.1. Requisitos</w:t>
      </w:r>
    </w:p>
    <w:p>
      <w:pPr>
        <w:jc w:val="both"/>
      </w:pPr>
      <w:r>
        <w:rPr>
          <w:rFonts w:ascii="Arial" w:hAnsi="Arial" w:cs="Arial"/>
          <w:sz w:val="22"/>
        </w:rPr>
        <w:t>El SETA forma parte del RETA. Pueden integrarse titulares mayores de dieciocho años de una explotación agraria que:</w:t>
      </w:r>
    </w:p>
    <w:p>
      <w:pPr>
        <w:pStyle w:val="ListBullet"/>
      </w:pPr>
      <w:r>
        <w:rPr>
          <w:rFonts w:ascii="Arial" w:hAnsi="Arial" w:cs="Arial"/>
          <w:sz w:val="22"/>
        </w:rPr>
        <w:t>obtengan al menos el 50 % de su renta total de actividades agrarias u otras complementarias y, al menos, el 25 % directamente de su explotación;</w:t>
      </w:r>
    </w:p>
    <w:p>
      <w:pPr>
        <w:pStyle w:val="ListBullet"/>
      </w:pPr>
      <w:r>
        <w:rPr>
          <w:rFonts w:ascii="Arial" w:hAnsi="Arial" w:cs="Arial"/>
          <w:sz w:val="22"/>
        </w:rPr>
        <w:t>dediquen más de la mitad de su tiempo de trabajo a actividades agrarias o complementarias;</w:t>
      </w:r>
    </w:p>
    <w:p>
      <w:pPr>
        <w:pStyle w:val="ListBullet"/>
      </w:pPr>
      <w:r>
        <w:rPr>
          <w:rFonts w:ascii="Arial" w:hAnsi="Arial" w:cs="Arial"/>
          <w:sz w:val="22"/>
        </w:rPr>
        <w:t>no superen el límite legal de rendimientos netos anuales;</w:t>
      </w:r>
    </w:p>
    <w:p>
      <w:pPr>
        <w:pStyle w:val="ListBullet"/>
      </w:pPr>
      <w:r>
        <w:rPr>
          <w:rFonts w:ascii="Arial" w:hAnsi="Arial" w:cs="Arial"/>
          <w:sz w:val="22"/>
        </w:rPr>
        <w:t>realicen personal y directamente las labores, aunque ocupen trabajadores dentro de los topes establecidos.</w:t>
      </w:r>
    </w:p>
    <w:p>
      <w:pPr>
        <w:jc w:val="both"/>
      </w:pPr>
      <w:r>
        <w:rPr>
          <w:rFonts w:ascii="Arial" w:hAnsi="Arial" w:cs="Arial"/>
          <w:sz w:val="22"/>
        </w:rPr>
        <w:t xml:space="preserve">Como referencia estructural, se permiten hasta dos trabajadores con base mensual o 546 jornadas anuales si se cotiza por jornadas reales; los límites aumentan de forma proporcional cuando existen varios titulares. Pueden incorporarse el cónyuge y parientes hasta </w:t>
      </w:r>
      <w:r>
        <w:rPr>
          <w:rFonts w:ascii="Arial" w:hAnsi="Arial" w:cs="Arial"/>
          <w:b/>
          <w:sz w:val="22"/>
        </w:rPr>
        <w:t>tercer grado</w:t>
      </w:r>
      <w:r>
        <w:rPr>
          <w:rFonts w:ascii="Arial" w:hAnsi="Arial" w:cs="Arial"/>
          <w:sz w:val="22"/>
        </w:rPr>
        <w:t xml:space="preserve"> que trabajen personalmente, sean mayores de dieciocho años y no tengan consideración de asalariados.</w:t>
      </w:r>
    </w:p>
    <w:p>
      <w:pPr>
        <w:pStyle w:val="Heading2"/>
        <w:keepNext/>
      </w:pPr>
      <w:r>
        <w:rPr>
          <w:rFonts w:ascii="Arial" w:hAnsi="Arial" w:cs="Arial"/>
          <w:sz w:val="25"/>
        </w:rPr>
        <w:t>13.2. Altas, cotización y protección</w:t>
      </w:r>
    </w:p>
    <w:p>
      <w:pPr>
        <w:jc w:val="both"/>
      </w:pPr>
      <w:r>
        <w:rPr>
          <w:rFonts w:ascii="Arial" w:hAnsi="Arial" w:cs="Arial"/>
          <w:sz w:val="22"/>
        </w:rPr>
        <w:t>El interesado solicita alta y acredita los requisitos, sujetos a comprobación. Si dejan de concurrir, debe comunicar la variación o baja. Las reglas generales del RETA sobre rendimientos netos se combinan con el tipo reducido previsto para bases situadas hasta el porcentaje legal de la base mínima del tramo.</w:t>
      </w:r>
    </w:p>
    <w:p>
      <w:pPr>
        <w:jc w:val="both"/>
      </w:pPr>
      <w:r>
        <w:rPr>
          <w:rFonts w:ascii="Arial" w:hAnsi="Arial" w:cs="Arial"/>
          <w:sz w:val="22"/>
        </w:rPr>
        <w:t>La cobertura de incapacidad temporal y de la totalidad de contingencias profesionales presenta opciones específicas; la incapacidad permanente y muerte y supervivencia derivadas de contingencias profesionales quedan cubiertas en los términos legales. En lo demás, la acción protectora es la del RETA.</w:t>
      </w:r>
    </w:p>
    <w:p>
      <w:pPr>
        <w:jc w:val="both"/>
      </w:pPr>
      <w:r>
        <w:rPr>
          <w:rFonts w:ascii="Arial" w:hAnsi="Arial" w:cs="Arial"/>
          <w:sz w:val="22"/>
        </w:rPr>
        <w:t>No debe confundirse:</w:t>
      </w:r>
    </w:p>
    <w:p>
      <w:pPr>
        <w:pStyle w:val="ListBullet"/>
      </w:pPr>
      <w:r>
        <w:rPr>
          <w:rFonts w:ascii="Arial" w:hAnsi="Arial" w:cs="Arial"/>
          <w:b/>
          <w:sz w:val="22"/>
        </w:rPr>
        <w:t>SETA:</w:t>
      </w:r>
      <w:r>
        <w:rPr>
          <w:rFonts w:ascii="Arial" w:hAnsi="Arial" w:cs="Arial"/>
          <w:sz w:val="22"/>
        </w:rPr>
        <w:t xml:space="preserve"> autónomos agrarios, dentro del RETA;</w:t>
      </w:r>
    </w:p>
    <w:p>
      <w:pPr>
        <w:pStyle w:val="ListBullet"/>
      </w:pPr>
      <w:r>
        <w:rPr>
          <w:rFonts w:ascii="Arial" w:hAnsi="Arial" w:cs="Arial"/>
          <w:b/>
          <w:sz w:val="22"/>
        </w:rPr>
        <w:t>Sistema Especial Agrario:</w:t>
      </w:r>
      <w:r>
        <w:rPr>
          <w:rFonts w:ascii="Arial" w:hAnsi="Arial" w:cs="Arial"/>
          <w:sz w:val="22"/>
        </w:rPr>
        <w:t xml:space="preserve"> trabajadores por cuenta ajena, dentro del Régimen General.</w:t>
      </w:r>
    </w:p>
    <w:p>
      <w:pPr>
        <w:pStyle w:val="Heading1"/>
        <w:keepNext/>
      </w:pPr>
      <w:r>
        <w:rPr>
          <w:rFonts w:ascii="Arial" w:hAnsi="Arial" w:cs="Arial"/>
          <w:sz w:val="30"/>
        </w:rPr>
        <w:t>14. Otros sistemas especiales del Régimen General</w:t>
      </w:r>
    </w:p>
    <w:p>
      <w:pPr>
        <w:pStyle w:val="Heading2"/>
        <w:keepNext/>
      </w:pPr>
      <w:r>
        <w:rPr>
          <w:rFonts w:ascii="Arial" w:hAnsi="Arial" w:cs="Arial"/>
          <w:sz w:val="25"/>
        </w:rPr>
        <w:t>14.1. Sistemas de campaña</w:t>
      </w:r>
    </w:p>
    <w:p>
      <w:pPr>
        <w:jc w:val="both"/>
      </w:pPr>
      <w:r>
        <w:rPr>
          <w:rFonts w:ascii="Arial" w:hAnsi="Arial" w:cs="Arial"/>
          <w:sz w:val="22"/>
        </w:rPr>
        <w:t>Frutas, hortalizas y conservas vegetales, industria resinera y tomate fresco responden a ciclos productivos concentrados. Sus reglas tradicionales adaptan altas y bajas a campañas, censos o relaciones nominales y la cotización a días de actividad, producción o periodos de trabajo. Las empresas siguen obligadas a comunicar correctamente cada prestación y a liquidar conforme al sistema vigente.</w:t>
      </w:r>
    </w:p>
    <w:p>
      <w:pPr>
        <w:jc w:val="both"/>
      </w:pPr>
      <w:r>
        <w:rPr>
          <w:rFonts w:ascii="Arial" w:hAnsi="Arial" w:cs="Arial"/>
          <w:sz w:val="22"/>
        </w:rPr>
        <w:t>En tomate fresco de cosecheros exportadores subsisten técnicas ligadas a campaña, manipulado y volumen de producción. No debe confundirse con la inclusión general del manipulado del plátano, que el artículo 136 menciona expresamente.</w:t>
      </w:r>
    </w:p>
    <w:p>
      <w:pPr>
        <w:pStyle w:val="Heading2"/>
        <w:keepNext/>
      </w:pPr>
      <w:r>
        <w:rPr>
          <w:rFonts w:ascii="Arial" w:hAnsi="Arial" w:cs="Arial"/>
          <w:sz w:val="25"/>
        </w:rPr>
        <w:t>14.2. Servicios extraordinarios de hostelería</w:t>
      </w:r>
    </w:p>
    <w:p>
      <w:pPr>
        <w:jc w:val="both"/>
      </w:pPr>
      <w:r>
        <w:rPr>
          <w:rFonts w:ascii="Arial" w:hAnsi="Arial" w:cs="Arial"/>
          <w:sz w:val="22"/>
        </w:rPr>
        <w:t>El sistema atiende servicios extraordinarios y discontinuos en hostelería. Las reglas históricas de concierto o cotización por servicio no eliminan la condición de trabajador por cuenta ajena ni la protección del Régimen General. Cuando la prestación es ordinaria y estable, debe aplicarse el encuadramiento común que corresponda.</w:t>
      </w:r>
    </w:p>
    <w:p>
      <w:pPr>
        <w:pStyle w:val="Heading2"/>
        <w:keepNext/>
      </w:pPr>
      <w:r>
        <w:rPr>
          <w:rFonts w:ascii="Arial" w:hAnsi="Arial" w:cs="Arial"/>
          <w:sz w:val="25"/>
        </w:rPr>
        <w:t>14.3. Fijos discontinuos de espectáculos y estudios de mercado</w:t>
      </w:r>
    </w:p>
    <w:p>
      <w:pPr>
        <w:jc w:val="both"/>
      </w:pPr>
      <w:r>
        <w:rPr>
          <w:rFonts w:ascii="Arial" w:hAnsi="Arial" w:cs="Arial"/>
          <w:sz w:val="22"/>
        </w:rPr>
        <w:t>Los sistemas de exhibición cinematográfica, salas de baile, fiesta y discotecas, y de empresas de estudios de mercado y opinión pública adaptan altas, periodos de actividad y cotización a la discontinuidad. La condición de fijo discontinuo no equivale a baja definitiva entre llamamientos: deben aplicarse las reglas laborales y de Seguridad Social sobre inactividad, desempleo y llamamiento.</w:t>
      </w:r>
    </w:p>
    <w:p>
      <w:pPr>
        <w:pStyle w:val="Heading2"/>
        <w:keepNext/>
      </w:pPr>
      <w:r>
        <w:rPr>
          <w:rFonts w:ascii="Arial" w:hAnsi="Arial" w:cs="Arial"/>
          <w:sz w:val="25"/>
        </w:rPr>
        <w:t>14.4. Regla protectora común</w:t>
      </w:r>
    </w:p>
    <w:p>
      <w:pPr>
        <w:jc w:val="both"/>
      </w:pPr>
      <w:r>
        <w:rPr>
          <w:rFonts w:ascii="Arial" w:hAnsi="Arial" w:cs="Arial"/>
          <w:sz w:val="22"/>
        </w:rPr>
        <w:t>Salvo singularidad legal expresa, estos colectivos reciben la acción protectora del Régimen General. La especialidad administrativa no permite reducir una prestación por analogía. Las diferencias deben apoyarse en una norma concreta.</w:t>
      </w:r>
    </w:p>
    <w:p>
      <w:pPr>
        <w:pStyle w:val="Heading1"/>
        <w:keepNext/>
      </w:pPr>
      <w:r>
        <w:rPr>
          <w:rFonts w:ascii="Arial" w:hAnsi="Arial" w:cs="Arial"/>
          <w:sz w:val="30"/>
        </w:rPr>
        <w:t>15. Cuadro comparativo</w:t>
      </w:r>
    </w:p>
    <w:tbl>
      <w:tblPr>
        <w:tblStyle w:val="TableGrid"/>
        <w:tblW w:type="dxa" w:w="9026"/>
        <w:jc w:val="left"/>
        <w:tblLayout w:type="fixed"/>
        <w:tblLook w:firstColumn="1" w:firstRow="1" w:lastColumn="0" w:lastRow="0" w:noHBand="0" w:noVBand="1" w:val="04A0"/>
        <w:tblInd w:w="120" w:type="dxa"/>
      </w:tblPr>
      <w:tblGrid>
        <w:gridCol w:w="2115"/>
        <w:gridCol w:w="1786"/>
        <w:gridCol w:w="1363"/>
        <w:gridCol w:w="1880"/>
        <w:gridCol w:w="1882"/>
      </w:tblGrid>
      <w:tr>
        <w:trPr>
          <w:tblHeader w:val="true"/>
        </w:trPr>
        <w:tc>
          <w:tcPr>
            <w:tcW w:type="dxa" w:w="21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Colectivo</w:t>
            </w:r>
          </w:p>
        </w:tc>
        <w:tc>
          <w:tcPr>
            <w:tcW w:type="dxa" w:w="178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Régimen/sistema</w:t>
            </w:r>
          </w:p>
        </w:tc>
        <w:tc>
          <w:tcPr>
            <w:tcW w:type="dxa" w:w="136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Responsable ordinario del alta</w:t>
            </w:r>
          </w:p>
        </w:tc>
        <w:tc>
          <w:tcPr>
            <w:tcW w:type="dxa" w:w="188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Base o técnica característica</w:t>
            </w:r>
          </w:p>
        </w:tc>
        <w:tc>
          <w:tcPr>
            <w:tcW w:type="dxa" w:w="18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Particularidad protectora</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Trabajador asalariado común</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Régimen General</w:t>
            </w:r>
          </w:p>
        </w:tc>
        <w:tc>
          <w:tcPr>
            <w:tcW w:type="dxa" w:w="1363"/>
            <w:tcMar>
              <w:top w:w="80" w:type="dxa"/>
              <w:start w:w="120" w:type="dxa"/>
              <w:bottom w:w="80" w:type="dxa"/>
              <w:end w:w="120" w:type="dxa"/>
            </w:tcMar>
            <w:vAlign w:val="center"/>
          </w:tcPr>
          <w:p>
            <w:pPr>
              <w:spacing w:before="0" w:after="0" w:line="240" w:lineRule="auto"/>
              <w:jc w:val="center"/>
            </w:pPr>
            <w:r/>
            <w:r>
              <w:rPr>
                <w:rFonts w:ascii="Arial" w:hAnsi="Arial" w:cs="Arial"/>
                <w:sz w:val="18"/>
              </w:rPr>
              <w:t>Empresario</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Salario computable</w:t>
            </w:r>
          </w:p>
        </w:tc>
        <w:tc>
          <w:tcPr>
            <w:tcW w:type="dxa" w:w="1882"/>
            <w:tcMar>
              <w:top w:w="80" w:type="dxa"/>
              <w:start w:w="120" w:type="dxa"/>
              <w:bottom w:w="80" w:type="dxa"/>
              <w:end w:w="120" w:type="dxa"/>
            </w:tcMar>
            <w:vAlign w:val="center"/>
          </w:tcPr>
          <w:p>
            <w:pPr>
              <w:spacing w:before="0" w:after="0" w:line="240" w:lineRule="auto"/>
              <w:jc w:val="center"/>
            </w:pPr>
            <w:r/>
            <w:r>
              <w:rPr>
                <w:rFonts w:ascii="Arial" w:hAnsi="Arial" w:cs="Arial"/>
                <w:sz w:val="18"/>
              </w:rPr>
              <w:t>Cartera general</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Administrador sin control con dirección retribuida</w:t>
            </w:r>
          </w:p>
        </w:tc>
        <w:tc>
          <w:tcPr>
            <w:tcW w:type="dxa" w:w="1786"/>
            <w:tcMar>
              <w:top w:w="80" w:type="dxa"/>
              <w:start w:w="120" w:type="dxa"/>
              <w:bottom w:w="80" w:type="dxa"/>
              <w:end w:w="120" w:type="dxa"/>
            </w:tcMar>
            <w:vAlign w:val="center"/>
          </w:tcPr>
          <w:p>
            <w:pPr>
              <w:spacing w:before="0" w:after="0" w:line="240" w:lineRule="auto"/>
              <w:jc w:val="left"/>
            </w:pPr>
            <w:r/>
            <w:r>
              <w:rPr>
                <w:rFonts w:ascii="Arial" w:hAnsi="Arial" w:cs="Arial"/>
                <w:sz w:val="18"/>
              </w:rPr>
              <w:t>General asimilado</w:t>
            </w:r>
          </w:p>
        </w:tc>
        <w:tc>
          <w:tcPr>
            <w:tcW w:type="dxa" w:w="1363"/>
            <w:tcMar>
              <w:top w:w="80" w:type="dxa"/>
              <w:start w:w="120" w:type="dxa"/>
              <w:bottom w:w="80" w:type="dxa"/>
              <w:end w:w="120" w:type="dxa"/>
            </w:tcMar>
            <w:vAlign w:val="center"/>
          </w:tcPr>
          <w:p>
            <w:pPr>
              <w:spacing w:before="0" w:after="0" w:line="240" w:lineRule="auto"/>
              <w:jc w:val="center"/>
            </w:pPr>
            <w:r/>
            <w:r>
              <w:rPr>
                <w:rFonts w:ascii="Arial" w:hAnsi="Arial" w:cs="Arial"/>
                <w:sz w:val="18"/>
              </w:rPr>
              <w:t>Sociedad</w:t>
            </w:r>
          </w:p>
        </w:tc>
        <w:tc>
          <w:tcPr>
            <w:tcW w:type="dxa" w:w="1880"/>
            <w:tcMar>
              <w:top w:w="80" w:type="dxa"/>
              <w:start w:w="120" w:type="dxa"/>
              <w:bottom w:w="80" w:type="dxa"/>
              <w:end w:w="120" w:type="dxa"/>
            </w:tcMar>
            <w:vAlign w:val="center"/>
          </w:tcPr>
          <w:p>
            <w:pPr>
              <w:spacing w:before="0" w:after="0" w:line="240" w:lineRule="auto"/>
              <w:jc w:val="center"/>
            </w:pPr>
            <w:r/>
            <w:r>
              <w:rPr>
                <w:rFonts w:ascii="Arial" w:hAnsi="Arial" w:cs="Arial"/>
                <w:sz w:val="18"/>
              </w:rPr>
              <w:t>Remuneración</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Sin desempleo ni FOGASA</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Autónomo</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RETA</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Propio trabajador</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Rendimientos netos y regularización</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Cese de actividad; concepto propio de accidente</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Trabajador del mar por cuenta ajena</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Mar</w:t>
            </w:r>
          </w:p>
        </w:tc>
        <w:tc>
          <w:tcPr>
            <w:tcW w:type="dxa" w:w="1363"/>
            <w:tcMar>
              <w:top w:w="80" w:type="dxa"/>
              <w:start w:w="120" w:type="dxa"/>
              <w:bottom w:w="80" w:type="dxa"/>
              <w:end w:w="120" w:type="dxa"/>
            </w:tcMar>
            <w:vAlign w:val="center"/>
          </w:tcPr>
          <w:p>
            <w:pPr>
              <w:spacing w:before="0" w:after="0" w:line="240" w:lineRule="auto"/>
              <w:jc w:val="center"/>
            </w:pPr>
            <w:r/>
            <w:r>
              <w:rPr>
                <w:rFonts w:ascii="Arial" w:hAnsi="Arial" w:cs="Arial"/>
                <w:sz w:val="18"/>
              </w:rPr>
              <w:t>Empresario</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Grupos; bases y coeficientes</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ISM, asistencia sectorial, reducción de edad</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Autónomo del mar</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Mar</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Propio trabajador</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Grupo y reglas de autónomos</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próxima a RETA</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Minero del carbón</w:t>
            </w:r>
          </w:p>
        </w:tc>
        <w:tc>
          <w:tcPr>
            <w:tcW w:type="dxa" w:w="1786"/>
            <w:tcMar>
              <w:top w:w="80" w:type="dxa"/>
              <w:start w:w="120" w:type="dxa"/>
              <w:bottom w:w="80" w:type="dxa"/>
              <w:end w:w="120" w:type="dxa"/>
            </w:tcMar>
            <w:vAlign w:val="center"/>
          </w:tcPr>
          <w:p>
            <w:pPr>
              <w:spacing w:before="0" w:after="0" w:line="240" w:lineRule="auto"/>
              <w:jc w:val="left"/>
            </w:pPr>
            <w:r/>
            <w:r>
              <w:rPr>
                <w:rFonts w:ascii="Arial" w:hAnsi="Arial" w:cs="Arial"/>
                <w:sz w:val="18"/>
              </w:rPr>
              <w:t>Minería del Carbón</w:t>
            </w:r>
          </w:p>
        </w:tc>
        <w:tc>
          <w:tcPr>
            <w:tcW w:type="dxa" w:w="1363"/>
            <w:tcMar>
              <w:top w:w="80" w:type="dxa"/>
              <w:start w:w="120" w:type="dxa"/>
              <w:bottom w:w="80" w:type="dxa"/>
              <w:end w:w="120" w:type="dxa"/>
            </w:tcMar>
            <w:vAlign w:val="center"/>
          </w:tcPr>
          <w:p>
            <w:pPr>
              <w:spacing w:before="0" w:after="0" w:line="240" w:lineRule="auto"/>
              <w:jc w:val="center"/>
            </w:pPr>
            <w:r/>
            <w:r>
              <w:rPr>
                <w:rFonts w:ascii="Arial" w:hAnsi="Arial" w:cs="Arial"/>
                <w:sz w:val="18"/>
              </w:rPr>
              <w:t>Empresario</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Bases normalizadas comunes</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Reducción de edad y reglas de incapacidad</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Empleado de hogar</w:t>
            </w:r>
          </w:p>
        </w:tc>
        <w:tc>
          <w:tcPr>
            <w:tcW w:type="dxa" w:w="1786"/>
            <w:tcMar>
              <w:top w:w="80" w:type="dxa"/>
              <w:start w:w="120" w:type="dxa"/>
              <w:bottom w:w="80" w:type="dxa"/>
              <w:end w:w="120" w:type="dxa"/>
            </w:tcMar>
            <w:vAlign w:val="center"/>
          </w:tcPr>
          <w:p>
            <w:pPr>
              <w:spacing w:before="0" w:after="0" w:line="240" w:lineRule="auto"/>
              <w:jc w:val="left"/>
            </w:pPr>
            <w:r/>
            <w:r>
              <w:rPr>
                <w:rFonts w:ascii="Arial" w:hAnsi="Arial" w:cs="Arial"/>
                <w:sz w:val="18"/>
              </w:rPr>
              <w:t>Sistema especial RG</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Empleador del hogar</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Tramos retributivos</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Desempleo; IT con pago directo desde día 9</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Asalariado agrario</w:t>
            </w:r>
          </w:p>
        </w:tc>
        <w:tc>
          <w:tcPr>
            <w:tcW w:type="dxa" w:w="1786"/>
            <w:tcMar>
              <w:top w:w="80" w:type="dxa"/>
              <w:start w:w="120" w:type="dxa"/>
              <w:bottom w:w="80" w:type="dxa"/>
              <w:end w:w="120" w:type="dxa"/>
            </w:tcMar>
            <w:vAlign w:val="center"/>
          </w:tcPr>
          <w:p>
            <w:pPr>
              <w:spacing w:before="0" w:after="0" w:line="240" w:lineRule="auto"/>
              <w:jc w:val="left"/>
            </w:pPr>
            <w:r/>
            <w:r>
              <w:rPr>
                <w:rFonts w:ascii="Arial" w:hAnsi="Arial" w:cs="Arial"/>
                <w:sz w:val="18"/>
              </w:rPr>
              <w:t>Sistema especial RG</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Empresario/propio en inactividad</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Jornadas o mensual; cuota propia en inactividad</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condicionada en inactividad</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Autónomo agrario</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SETA en RETA</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Propio trabajador</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Reglas RETA con tipos específicos</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Opciones propias de cobertura</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Mutualista administrativo</w:t>
            </w:r>
          </w:p>
        </w:tc>
        <w:tc>
          <w:tcPr>
            <w:tcW w:type="dxa" w:w="1786"/>
            <w:tcMar>
              <w:top w:w="80" w:type="dxa"/>
              <w:start w:w="120" w:type="dxa"/>
              <w:bottom w:w="80" w:type="dxa"/>
              <w:end w:w="120" w:type="dxa"/>
            </w:tcMar>
            <w:vAlign w:val="center"/>
          </w:tcPr>
          <w:p>
            <w:pPr>
              <w:spacing w:before="0" w:after="0" w:line="240" w:lineRule="auto"/>
              <w:jc w:val="left"/>
            </w:pPr>
            <w:r/>
            <w:r>
              <w:rPr>
                <w:rFonts w:ascii="Arial" w:hAnsi="Arial" w:cs="Arial"/>
                <w:sz w:val="18"/>
              </w:rPr>
              <w:t>Mutualismo/según cohorte RG o Clases Pasivas</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Órgano de personal</w:t>
            </w:r>
          </w:p>
        </w:tc>
        <w:tc>
          <w:tcPr>
            <w:tcW w:type="dxa" w:w="1880"/>
            <w:tcMar>
              <w:top w:w="80" w:type="dxa"/>
              <w:start w:w="120" w:type="dxa"/>
              <w:bottom w:w="80" w:type="dxa"/>
              <w:end w:w="120" w:type="dxa"/>
            </w:tcMar>
            <w:vAlign w:val="center"/>
          </w:tcPr>
          <w:p>
            <w:pPr>
              <w:spacing w:before="0" w:after="0" w:line="240" w:lineRule="auto"/>
              <w:jc w:val="left"/>
            </w:pPr>
            <w:r/>
            <w:r>
              <w:rPr>
                <w:rFonts w:ascii="Arial" w:hAnsi="Arial" w:cs="Arial"/>
                <w:sz w:val="18"/>
              </w:rPr>
              <w:t>Base reguladora del grupo</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Asistencia mutual y pensión según cohorte</w:t>
            </w:r>
          </w:p>
        </w:tc>
      </w:tr>
      <w:tr>
        <w:tc>
          <w:tcPr>
            <w:tcW w:type="dxa" w:w="2115"/>
            <w:tcMar>
              <w:top w:w="80" w:type="dxa"/>
              <w:start w:w="120" w:type="dxa"/>
              <w:bottom w:w="80" w:type="dxa"/>
              <w:end w:w="120" w:type="dxa"/>
            </w:tcMar>
            <w:vAlign w:val="center"/>
          </w:tcPr>
          <w:p>
            <w:pPr>
              <w:spacing w:before="0" w:after="0" w:line="240" w:lineRule="auto"/>
              <w:jc w:val="left"/>
            </w:pPr>
            <w:r/>
            <w:r>
              <w:rPr>
                <w:rFonts w:ascii="Arial" w:hAnsi="Arial" w:cs="Arial"/>
                <w:sz w:val="18"/>
              </w:rPr>
              <w:t>Estudiante</w:t>
            </w:r>
          </w:p>
        </w:tc>
        <w:tc>
          <w:tcPr>
            <w:tcW w:type="dxa" w:w="1786"/>
            <w:tcMar>
              <w:top w:w="80" w:type="dxa"/>
              <w:start w:w="120" w:type="dxa"/>
              <w:bottom w:w="80" w:type="dxa"/>
              <w:end w:w="120" w:type="dxa"/>
            </w:tcMar>
            <w:vAlign w:val="center"/>
          </w:tcPr>
          <w:p>
            <w:pPr>
              <w:spacing w:before="0" w:after="0" w:line="240" w:lineRule="auto"/>
              <w:jc w:val="center"/>
            </w:pPr>
            <w:r/>
            <w:r>
              <w:rPr>
                <w:rFonts w:ascii="Arial" w:hAnsi="Arial" w:cs="Arial"/>
                <w:sz w:val="18"/>
              </w:rPr>
              <w:t>Seguro Escolar</w:t>
            </w:r>
          </w:p>
        </w:tc>
        <w:tc>
          <w:tcPr>
            <w:tcW w:type="dxa" w:w="1363"/>
            <w:tcMar>
              <w:top w:w="80" w:type="dxa"/>
              <w:start w:w="120" w:type="dxa"/>
              <w:bottom w:w="80" w:type="dxa"/>
              <w:end w:w="120" w:type="dxa"/>
            </w:tcMar>
            <w:vAlign w:val="center"/>
          </w:tcPr>
          <w:p>
            <w:pPr>
              <w:spacing w:before="0" w:after="0" w:line="240" w:lineRule="auto"/>
              <w:jc w:val="left"/>
            </w:pPr>
            <w:r/>
            <w:r>
              <w:rPr>
                <w:rFonts w:ascii="Arial" w:hAnsi="Arial" w:cs="Arial"/>
                <w:sz w:val="18"/>
              </w:rPr>
              <w:t>Centro/matrícula</w:t>
            </w:r>
          </w:p>
        </w:tc>
        <w:tc>
          <w:tcPr>
            <w:tcW w:type="dxa" w:w="1880"/>
            <w:tcMar>
              <w:top w:w="80" w:type="dxa"/>
              <w:start w:w="120" w:type="dxa"/>
              <w:bottom w:w="80" w:type="dxa"/>
              <w:end w:w="120" w:type="dxa"/>
            </w:tcMar>
            <w:vAlign w:val="center"/>
          </w:tcPr>
          <w:p>
            <w:pPr>
              <w:spacing w:before="0" w:after="0" w:line="240" w:lineRule="auto"/>
              <w:jc w:val="center"/>
            </w:pPr>
            <w:r/>
            <w:r>
              <w:rPr>
                <w:rFonts w:ascii="Arial" w:hAnsi="Arial" w:cs="Arial"/>
                <w:sz w:val="18"/>
              </w:rPr>
              <w:t>Cuota fija</w:t>
            </w:r>
          </w:p>
        </w:tc>
        <w:tc>
          <w:tcPr>
            <w:tcW w:type="dxa" w:w="1882"/>
            <w:tcMar>
              <w:top w:w="80" w:type="dxa"/>
              <w:start w:w="120" w:type="dxa"/>
              <w:bottom w:w="80" w:type="dxa"/>
              <w:end w:w="120" w:type="dxa"/>
            </w:tcMar>
            <w:vAlign w:val="center"/>
          </w:tcPr>
          <w:p>
            <w:pPr>
              <w:spacing w:before="0" w:after="0" w:line="240" w:lineRule="auto"/>
              <w:jc w:val="left"/>
            </w:pPr>
            <w:r/>
            <w:r>
              <w:rPr>
                <w:rFonts w:ascii="Arial" w:hAnsi="Arial" w:cs="Arial"/>
                <w:sz w:val="18"/>
              </w:rPr>
              <w:t>Accidente, enfermedad e infortunio familiar</w:t>
            </w:r>
          </w:p>
        </w:tc>
      </w:tr>
    </w:tbl>
    <w:p>
      <w:pPr>
        <w:spacing w:after="40"/>
      </w:pPr>
    </w:p>
    <w:p>
      <w:pPr>
        <w:pStyle w:val="Heading1"/>
        <w:keepNext/>
      </w:pPr>
      <w:r>
        <w:rPr>
          <w:rFonts w:ascii="Arial" w:hAnsi="Arial" w:cs="Arial"/>
          <w:sz w:val="30"/>
        </w:rPr>
        <w:t>16. Errores frecuentes</w:t>
      </w:r>
    </w:p>
    <w:p>
      <w:pPr>
        <w:spacing w:after="40"/>
        <w:ind w:left="369" w:hanging="227"/>
      </w:pPr>
      <w:r>
        <w:rPr>
          <w:rFonts w:ascii="Arial" w:hAnsi="Arial" w:cs="Arial"/>
          <w:sz w:val="22"/>
        </w:rPr>
        <w:t xml:space="preserve">1. </w:t>
      </w:r>
      <w:r>
        <w:rPr>
          <w:rFonts w:ascii="Arial" w:hAnsi="Arial" w:cs="Arial"/>
          <w:b/>
          <w:sz w:val="22"/>
        </w:rPr>
        <w:t>Confundir sistema especial con régimen especial.</w:t>
      </w:r>
      <w:r>
        <w:rPr>
          <w:rFonts w:ascii="Arial" w:hAnsi="Arial" w:cs="Arial"/>
          <w:sz w:val="22"/>
        </w:rPr>
        <w:t xml:space="preserve"> El primero solo adapta materias del artículo 11.</w:t>
      </w:r>
    </w:p>
    <w:p>
      <w:pPr>
        <w:spacing w:after="40"/>
        <w:ind w:left="369" w:hanging="227"/>
      </w:pPr>
      <w:r>
        <w:rPr>
          <w:rFonts w:ascii="Arial" w:hAnsi="Arial" w:cs="Arial"/>
          <w:sz w:val="22"/>
        </w:rPr>
        <w:t xml:space="preserve">2. </w:t>
      </w:r>
      <w:r>
        <w:rPr>
          <w:rFonts w:ascii="Arial" w:hAnsi="Arial" w:cs="Arial"/>
          <w:b/>
          <w:sz w:val="22"/>
        </w:rPr>
        <w:t>Tomar la lista del artículo 10 como lista operativa idéntica.</w:t>
      </w:r>
      <w:r>
        <w:rPr>
          <w:rFonts w:ascii="Arial" w:hAnsi="Arial" w:cs="Arial"/>
          <w:sz w:val="22"/>
        </w:rPr>
        <w:t xml:space="preserve"> Funcionarios y estudiantes tienen mecanismos especiales, mientras el portal identifica RETA, Mar y Carbón como regímenes diferenciados ordinarios.</w:t>
      </w:r>
    </w:p>
    <w:p>
      <w:pPr>
        <w:spacing w:after="40"/>
        <w:ind w:left="369" w:hanging="227"/>
      </w:pPr>
      <w:r>
        <w:rPr>
          <w:rFonts w:ascii="Arial" w:hAnsi="Arial" w:cs="Arial"/>
          <w:sz w:val="22"/>
        </w:rPr>
        <w:t xml:space="preserve">3. </w:t>
      </w:r>
      <w:r>
        <w:rPr>
          <w:rFonts w:ascii="Arial" w:hAnsi="Arial" w:cs="Arial"/>
          <w:b/>
          <w:sz w:val="22"/>
        </w:rPr>
        <w:t>Creer que el familiar nunca puede ser asalariado.</w:t>
      </w:r>
      <w:r>
        <w:rPr>
          <w:rFonts w:ascii="Arial" w:hAnsi="Arial" w:cs="Arial"/>
          <w:sz w:val="22"/>
        </w:rPr>
        <w:t xml:space="preserve"> La presunción admite prueba en contrario.</w:t>
      </w:r>
    </w:p>
    <w:p>
      <w:pPr>
        <w:spacing w:after="40"/>
        <w:ind w:left="369" w:hanging="227"/>
      </w:pPr>
      <w:r>
        <w:rPr>
          <w:rFonts w:ascii="Arial" w:hAnsi="Arial" w:cs="Arial"/>
          <w:sz w:val="22"/>
        </w:rPr>
        <w:t xml:space="preserve">4. </w:t>
      </w:r>
      <w:r>
        <w:rPr>
          <w:rFonts w:ascii="Arial" w:hAnsi="Arial" w:cs="Arial"/>
          <w:b/>
          <w:sz w:val="22"/>
        </w:rPr>
        <w:t>Identificar administrador con autónomo.</w:t>
      </w:r>
      <w:r>
        <w:rPr>
          <w:rFonts w:ascii="Arial" w:hAnsi="Arial" w:cs="Arial"/>
          <w:sz w:val="22"/>
        </w:rPr>
        <w:t xml:space="preserve"> Sin control efectivo puede quedar asimilado al Régimen General.</w:t>
      </w:r>
    </w:p>
    <w:p>
      <w:pPr>
        <w:spacing w:after="40"/>
        <w:ind w:left="369" w:hanging="227"/>
      </w:pPr>
      <w:r>
        <w:rPr>
          <w:rFonts w:ascii="Arial" w:hAnsi="Arial" w:cs="Arial"/>
          <w:sz w:val="22"/>
        </w:rPr>
        <w:t xml:space="preserve">5. </w:t>
      </w:r>
      <w:r>
        <w:rPr>
          <w:rFonts w:ascii="Arial" w:hAnsi="Arial" w:cs="Arial"/>
          <w:b/>
          <w:sz w:val="22"/>
        </w:rPr>
        <w:t>Olvidar la exclusión de desempleo y FOGASA</w:t>
      </w:r>
      <w:r>
        <w:rPr>
          <w:rFonts w:ascii="Arial" w:hAnsi="Arial" w:cs="Arial"/>
          <w:sz w:val="22"/>
        </w:rPr>
        <w:t xml:space="preserve"> del administrador asimilado.</w:t>
      </w:r>
    </w:p>
    <w:p>
      <w:pPr>
        <w:spacing w:after="40"/>
        <w:ind w:left="369" w:hanging="227"/>
      </w:pPr>
      <w:r>
        <w:rPr>
          <w:rFonts w:ascii="Arial" w:hAnsi="Arial" w:cs="Arial"/>
          <w:sz w:val="22"/>
        </w:rPr>
        <w:t xml:space="preserve">6. </w:t>
      </w:r>
      <w:r>
        <w:rPr>
          <w:rFonts w:ascii="Arial" w:hAnsi="Arial" w:cs="Arial"/>
          <w:b/>
          <w:sz w:val="22"/>
        </w:rPr>
        <w:t>Usar la retribución baja para negar laboralidad.</w:t>
      </w:r>
      <w:r>
        <w:rPr>
          <w:rFonts w:ascii="Arial" w:hAnsi="Arial" w:cs="Arial"/>
          <w:sz w:val="22"/>
        </w:rPr>
        <w:t xml:space="preserve"> La cuantía no excluye el Régimen General.</w:t>
      </w:r>
    </w:p>
    <w:p>
      <w:pPr>
        <w:spacing w:after="40"/>
        <w:ind w:left="369" w:hanging="227"/>
      </w:pPr>
      <w:r>
        <w:rPr>
          <w:rFonts w:ascii="Arial" w:hAnsi="Arial" w:cs="Arial"/>
          <w:sz w:val="22"/>
        </w:rPr>
        <w:t xml:space="preserve">7. </w:t>
      </w:r>
      <w:r>
        <w:rPr>
          <w:rFonts w:ascii="Arial" w:hAnsi="Arial" w:cs="Arial"/>
          <w:b/>
          <w:sz w:val="22"/>
        </w:rPr>
        <w:t>Confundir pluriactividad con doble afiliación.</w:t>
      </w:r>
      <w:r>
        <w:rPr>
          <w:rFonts w:ascii="Arial" w:hAnsi="Arial" w:cs="Arial"/>
          <w:sz w:val="22"/>
        </w:rPr>
        <w:t xml:space="preserve"> La afiliación es única; las altas pueden ser múltiples.</w:t>
      </w:r>
    </w:p>
    <w:p>
      <w:pPr>
        <w:spacing w:after="40"/>
        <w:ind w:left="369" w:hanging="227"/>
      </w:pPr>
      <w:r>
        <w:rPr>
          <w:rFonts w:ascii="Arial" w:hAnsi="Arial" w:cs="Arial"/>
          <w:sz w:val="22"/>
        </w:rPr>
        <w:t xml:space="preserve">8. </w:t>
      </w:r>
      <w:r>
        <w:rPr>
          <w:rFonts w:ascii="Arial" w:hAnsi="Arial" w:cs="Arial"/>
          <w:b/>
          <w:sz w:val="22"/>
        </w:rPr>
        <w:t>Afirmar que el RETA conserva una base totalmente libre.</w:t>
      </w:r>
      <w:r>
        <w:rPr>
          <w:rFonts w:ascii="Arial" w:hAnsi="Arial" w:cs="Arial"/>
          <w:sz w:val="22"/>
        </w:rPr>
        <w:t xml:space="preserve"> Desde 2023 se vincula a rendimientos netos y se regulariza.</w:t>
      </w:r>
    </w:p>
    <w:p>
      <w:pPr>
        <w:spacing w:after="40"/>
        <w:ind w:left="369" w:hanging="227"/>
      </w:pPr>
      <w:r>
        <w:rPr>
          <w:rFonts w:ascii="Arial" w:hAnsi="Arial" w:cs="Arial"/>
          <w:sz w:val="22"/>
        </w:rPr>
        <w:t xml:space="preserve">9. </w:t>
      </w:r>
      <w:r>
        <w:rPr>
          <w:rFonts w:ascii="Arial" w:hAnsi="Arial" w:cs="Arial"/>
          <w:b/>
          <w:sz w:val="22"/>
        </w:rPr>
        <w:t>Equiparar cese de actividad y desempleo.</w:t>
      </w:r>
      <w:r>
        <w:rPr>
          <w:rFonts w:ascii="Arial" w:hAnsi="Arial" w:cs="Arial"/>
          <w:sz w:val="22"/>
        </w:rPr>
        <w:t xml:space="preserve"> Son protecciones distintas.</w:t>
      </w:r>
    </w:p>
    <w:p>
      <w:pPr>
        <w:spacing w:after="40"/>
        <w:ind w:left="369" w:hanging="227"/>
      </w:pPr>
      <w:r>
        <w:rPr>
          <w:rFonts w:ascii="Arial" w:hAnsi="Arial" w:cs="Arial"/>
          <w:sz w:val="22"/>
        </w:rPr>
        <w:t xml:space="preserve">10. </w:t>
      </w:r>
      <w:r>
        <w:rPr>
          <w:rFonts w:ascii="Arial" w:hAnsi="Arial" w:cs="Arial"/>
          <w:b/>
          <w:sz w:val="22"/>
        </w:rPr>
        <w:t>Aplicar el accidente laboral asalariado sin adaptación al autónomo.</w:t>
      </w:r>
    </w:p>
    <w:p>
      <w:pPr>
        <w:spacing w:after="40"/>
        <w:ind w:left="369" w:hanging="227"/>
      </w:pPr>
      <w:r>
        <w:rPr>
          <w:rFonts w:ascii="Arial" w:hAnsi="Arial" w:cs="Arial"/>
          <w:sz w:val="22"/>
        </w:rPr>
        <w:t xml:space="preserve">11. </w:t>
      </w:r>
      <w:r>
        <w:rPr>
          <w:rFonts w:ascii="Arial" w:hAnsi="Arial" w:cs="Arial"/>
          <w:b/>
          <w:sz w:val="22"/>
        </w:rPr>
        <w:t>Pensar que los coeficientes del Mar reducen la base reguladora.</w:t>
      </w:r>
      <w:r>
        <w:rPr>
          <w:rFonts w:ascii="Arial" w:hAnsi="Arial" w:cs="Arial"/>
          <w:sz w:val="22"/>
        </w:rPr>
        <w:t xml:space="preserve"> Corrigen determinadas cotizaciones.</w:t>
      </w:r>
    </w:p>
    <w:p>
      <w:pPr>
        <w:spacing w:after="40"/>
        <w:ind w:left="369" w:hanging="227"/>
      </w:pPr>
      <w:r>
        <w:rPr>
          <w:rFonts w:ascii="Arial" w:hAnsi="Arial" w:cs="Arial"/>
          <w:sz w:val="22"/>
        </w:rPr>
        <w:t xml:space="preserve">12. </w:t>
      </w:r>
      <w:r>
        <w:rPr>
          <w:rFonts w:ascii="Arial" w:hAnsi="Arial" w:cs="Arial"/>
          <w:b/>
          <w:sz w:val="22"/>
        </w:rPr>
        <w:t>Confundir reducción de edad minera con penalización de cuantía.</w:t>
      </w:r>
    </w:p>
    <w:p>
      <w:pPr>
        <w:spacing w:after="40"/>
        <w:ind w:left="369" w:hanging="227"/>
      </w:pPr>
      <w:r>
        <w:rPr>
          <w:rFonts w:ascii="Arial" w:hAnsi="Arial" w:cs="Arial"/>
          <w:sz w:val="22"/>
        </w:rPr>
        <w:t xml:space="preserve">13. </w:t>
      </w:r>
      <w:r>
        <w:rPr>
          <w:rFonts w:ascii="Arial" w:hAnsi="Arial" w:cs="Arial"/>
          <w:b/>
          <w:sz w:val="22"/>
        </w:rPr>
        <w:t>Mantener la antigua regla de menos de sesenta horas en hogar.</w:t>
      </w:r>
      <w:r>
        <w:rPr>
          <w:rFonts w:ascii="Arial" w:hAnsi="Arial" w:cs="Arial"/>
          <w:sz w:val="22"/>
        </w:rPr>
        <w:t xml:space="preserve"> El empleador asume altas y cuotas.</w:t>
      </w:r>
    </w:p>
    <w:p>
      <w:pPr>
        <w:spacing w:after="40"/>
        <w:ind w:left="369" w:hanging="227"/>
      </w:pPr>
      <w:r>
        <w:rPr>
          <w:rFonts w:ascii="Arial" w:hAnsi="Arial" w:cs="Arial"/>
          <w:sz w:val="22"/>
        </w:rPr>
        <w:t xml:space="preserve">14. </w:t>
      </w:r>
      <w:r>
        <w:rPr>
          <w:rFonts w:ascii="Arial" w:hAnsi="Arial" w:cs="Arial"/>
          <w:b/>
          <w:sz w:val="22"/>
        </w:rPr>
        <w:t>Olvidar desempleo y FOGASA en hogar</w:t>
      </w:r>
      <w:r>
        <w:rPr>
          <w:rFonts w:ascii="Arial" w:hAnsi="Arial" w:cs="Arial"/>
          <w:sz w:val="22"/>
        </w:rPr>
        <w:t xml:space="preserve"> tras la reforma de 2022.</w:t>
      </w:r>
    </w:p>
    <w:p>
      <w:pPr>
        <w:spacing w:after="40"/>
        <w:ind w:left="369" w:hanging="227"/>
      </w:pPr>
      <w:r>
        <w:rPr>
          <w:rFonts w:ascii="Arial" w:hAnsi="Arial" w:cs="Arial"/>
          <w:sz w:val="22"/>
        </w:rPr>
        <w:t xml:space="preserve">15. </w:t>
      </w:r>
      <w:r>
        <w:rPr>
          <w:rFonts w:ascii="Arial" w:hAnsi="Arial" w:cs="Arial"/>
          <w:b/>
          <w:sz w:val="22"/>
        </w:rPr>
        <w:t>Confundir agrarios por cuenta ajena con SETA.</w:t>
      </w:r>
    </w:p>
    <w:p>
      <w:pPr>
        <w:spacing w:after="40"/>
        <w:ind w:left="369" w:hanging="227"/>
      </w:pPr>
      <w:r>
        <w:rPr>
          <w:rFonts w:ascii="Arial" w:hAnsi="Arial" w:cs="Arial"/>
          <w:sz w:val="22"/>
        </w:rPr>
        <w:t xml:space="preserve">16. </w:t>
      </w:r>
      <w:r>
        <w:rPr>
          <w:rFonts w:ascii="Arial" w:hAnsi="Arial" w:cs="Arial"/>
          <w:b/>
          <w:sz w:val="22"/>
        </w:rPr>
        <w:t>Aplicar el plazo excepcional agrario de las doce horas a cualquier alta.</w:t>
      </w:r>
    </w:p>
    <w:p>
      <w:pPr>
        <w:spacing w:after="40"/>
        <w:ind w:left="369" w:hanging="227"/>
      </w:pPr>
      <w:r>
        <w:rPr>
          <w:rFonts w:ascii="Arial" w:hAnsi="Arial" w:cs="Arial"/>
          <w:sz w:val="22"/>
        </w:rPr>
        <w:t xml:space="preserve">17. </w:t>
      </w:r>
      <w:r>
        <w:rPr>
          <w:rFonts w:ascii="Arial" w:hAnsi="Arial" w:cs="Arial"/>
          <w:b/>
          <w:sz w:val="22"/>
        </w:rPr>
        <w:t>Creer que la inactividad agraria es una relación laboral ficticia.</w:t>
      </w:r>
      <w:r>
        <w:rPr>
          <w:rFonts w:ascii="Arial" w:hAnsi="Arial" w:cs="Arial"/>
          <w:sz w:val="22"/>
        </w:rPr>
        <w:t xml:space="preserve"> Es una situación de inclusión protectora y cotización propia.</w:t>
      </w:r>
    </w:p>
    <w:p>
      <w:pPr>
        <w:spacing w:after="40"/>
        <w:ind w:left="369" w:hanging="227"/>
      </w:pPr>
      <w:r>
        <w:rPr>
          <w:rFonts w:ascii="Arial" w:hAnsi="Arial" w:cs="Arial"/>
          <w:sz w:val="22"/>
        </w:rPr>
        <w:t xml:space="preserve">18. </w:t>
      </w:r>
      <w:r>
        <w:rPr>
          <w:rFonts w:ascii="Arial" w:hAnsi="Arial" w:cs="Arial"/>
          <w:b/>
          <w:sz w:val="22"/>
        </w:rPr>
        <w:t>Atribuir a todo sistema histórico prestaciones distintas.</w:t>
      </w:r>
      <w:r>
        <w:rPr>
          <w:rFonts w:ascii="Arial" w:hAnsi="Arial" w:cs="Arial"/>
          <w:sz w:val="22"/>
        </w:rPr>
        <w:t xml:space="preserve"> La acción protectora sigue al régimen matriz salvo norma expresa.</w:t>
      </w:r>
    </w:p>
    <w:p>
      <w:pPr>
        <w:spacing w:after="40"/>
        <w:ind w:left="369" w:hanging="227"/>
      </w:pPr>
      <w:r>
        <w:rPr>
          <w:rFonts w:ascii="Arial" w:hAnsi="Arial" w:cs="Arial"/>
          <w:sz w:val="22"/>
        </w:rPr>
        <w:t xml:space="preserve">19. </w:t>
      </w:r>
      <w:r>
        <w:rPr>
          <w:rFonts w:ascii="Arial" w:hAnsi="Arial" w:cs="Arial"/>
          <w:b/>
          <w:sz w:val="22"/>
        </w:rPr>
        <w:t>Confundir Seguro Escolar y prácticas formativas.</w:t>
      </w:r>
    </w:p>
    <w:p>
      <w:pPr>
        <w:spacing w:after="40"/>
        <w:ind w:left="369" w:hanging="227"/>
      </w:pPr>
      <w:r>
        <w:rPr>
          <w:rFonts w:ascii="Arial" w:hAnsi="Arial" w:cs="Arial"/>
          <w:sz w:val="22"/>
        </w:rPr>
        <w:t xml:space="preserve">20. </w:t>
      </w:r>
      <w:r>
        <w:rPr>
          <w:rFonts w:ascii="Arial" w:hAnsi="Arial" w:cs="Arial"/>
          <w:b/>
          <w:sz w:val="22"/>
        </w:rPr>
        <w:t>Suponer que nuevos mutualistas desde 2011 quedan fuera de su mutualidad.</w:t>
      </w:r>
      <w:r>
        <w:rPr>
          <w:rFonts w:ascii="Arial" w:hAnsi="Arial" w:cs="Arial"/>
          <w:sz w:val="22"/>
        </w:rPr>
        <w:t xml:space="preserve"> Cambia principalmente el régimen de pensiones.</w:t>
      </w:r>
    </w:p>
    <w:p>
      <w:pPr>
        <w:pStyle w:val="Heading1"/>
        <w:keepNext/>
      </w:pPr>
      <w:r>
        <w:rPr>
          <w:rFonts w:ascii="Arial" w:hAnsi="Arial" w:cs="Arial"/>
          <w:sz w:val="30"/>
        </w:rPr>
        <w:t>17. Resumen de repaso</w:t>
      </w:r>
    </w:p>
    <w:p>
      <w:pPr>
        <w:jc w:val="both"/>
      </w:pPr>
      <w:r>
        <w:rPr>
          <w:rFonts w:ascii="Arial" w:hAnsi="Arial" w:cs="Arial"/>
          <w:sz w:val="22"/>
        </w:rPr>
        <w:t>El artículo 7 define un campo contributivo profesional y otro no contributivo residencial. El artículo 9 compone el sistema con Régimen General y regímenes especiales; el artículo 11 limita los sistemas especiales a encuadramiento, afiliación, forma de cotización y recaudación.</w:t>
      </w:r>
    </w:p>
    <w:p>
      <w:pPr>
        <w:jc w:val="both"/>
      </w:pPr>
      <w:r>
        <w:rPr>
          <w:rFonts w:ascii="Arial" w:hAnsi="Arial" w:cs="Arial"/>
          <w:sz w:val="22"/>
        </w:rPr>
        <w:t>El Régimen General incluye al trabajo por cuenta ajena y asimilado no reservado a un régimen especial. Incorpora expresamente sociedades, personal público y otros colectivos, con exclusiones para servicios amistosos, actividades de un régimen especial y ciertos eméritos. En sociedades, funciones y control efectivo deciden entre Régimen General, asimilación y RETA.</w:t>
      </w:r>
    </w:p>
    <w:p>
      <w:pPr>
        <w:jc w:val="both"/>
      </w:pPr>
      <w:r>
        <w:rPr>
          <w:rFonts w:ascii="Arial" w:hAnsi="Arial" w:cs="Arial"/>
          <w:sz w:val="22"/>
        </w:rPr>
        <w:t>El RETA protege actividad habitual, personal, directa y lucrativa por cuenta propia y cotiza según rendimientos netos. El Mar combina asalariados y autónomos, grupos de cotización, coeficientes y protección sectorial del ISM. Carbón utiliza bases normalizadas y reducciones de edad. Funcionarios conservan mutualismo propio según colectivo y estudiantes, Seguro Escolar.</w:t>
      </w:r>
    </w:p>
    <w:p>
      <w:pPr>
        <w:jc w:val="both"/>
      </w:pPr>
      <w:r>
        <w:rPr>
          <w:rFonts w:ascii="Arial" w:hAnsi="Arial" w:cs="Arial"/>
          <w:sz w:val="22"/>
        </w:rPr>
        <w:t>Los sistemas especiales del Régimen General son ocho en la enumeración oficial. Hogar y agrario poseen regulación legal extensa; los restantes adaptan campañas o discontinuidad. El SETA pertenece al RETA. Toda peculiaridad protectora exige norma: la simple etiqueta de sistema especial no crea una acción protectora autónoma.</w:t>
      </w:r>
    </w:p>
    <w:p>
      <w:pPr>
        <w:pStyle w:val="Heading1"/>
        <w:keepNext/>
      </w:pPr>
      <w:r>
        <w:rPr>
          <w:rFonts w:ascii="Arial" w:hAnsi="Arial" w:cs="Arial"/>
          <w:sz w:val="30"/>
        </w:rPr>
        <w:t>18. Datos preguntables</w:t>
      </w:r>
    </w:p>
    <w:p>
      <w:pPr>
        <w:pStyle w:val="ListBullet"/>
      </w:pPr>
      <w:r>
        <w:rPr>
          <w:rFonts w:ascii="Arial" w:hAnsi="Arial" w:cs="Arial"/>
          <w:sz w:val="22"/>
        </w:rPr>
        <w:t xml:space="preserve">Principios del sistema: </w:t>
      </w:r>
      <w:r>
        <w:rPr>
          <w:rFonts w:ascii="Arial" w:hAnsi="Arial" w:cs="Arial"/>
          <w:b/>
          <w:sz w:val="22"/>
        </w:rPr>
        <w:t>universalidad, unidad, solidaridad e igualdad</w:t>
      </w:r>
      <w:r>
        <w:rPr>
          <w:rFonts w:ascii="Arial" w:hAnsi="Arial" w:cs="Arial"/>
          <w:sz w:val="22"/>
        </w:rPr>
        <w:t>.</w:t>
      </w:r>
    </w:p>
    <w:p>
      <w:pPr>
        <w:pStyle w:val="ListBullet"/>
      </w:pPr>
      <w:r>
        <w:rPr>
          <w:rFonts w:ascii="Arial" w:hAnsi="Arial" w:cs="Arial"/>
          <w:sz w:val="22"/>
        </w:rPr>
        <w:t xml:space="preserve">Composición del artículo 9: </w:t>
      </w:r>
      <w:r>
        <w:rPr>
          <w:rFonts w:ascii="Arial" w:hAnsi="Arial" w:cs="Arial"/>
          <w:b/>
          <w:sz w:val="22"/>
        </w:rPr>
        <w:t>Régimen General y regímenes especiales</w:t>
      </w:r>
      <w:r>
        <w:rPr>
          <w:rFonts w:ascii="Arial" w:hAnsi="Arial" w:cs="Arial"/>
          <w:sz w:val="22"/>
        </w:rPr>
        <w:t>.</w:t>
      </w:r>
    </w:p>
    <w:p>
      <w:pPr>
        <w:pStyle w:val="ListBullet"/>
      </w:pPr>
      <w:r>
        <w:rPr>
          <w:rFonts w:ascii="Arial" w:hAnsi="Arial" w:cs="Arial"/>
          <w:sz w:val="22"/>
        </w:rPr>
        <w:t xml:space="preserve">Materias del artículo 11: </w:t>
      </w:r>
      <w:r>
        <w:rPr>
          <w:rFonts w:ascii="Arial" w:hAnsi="Arial" w:cs="Arial"/>
          <w:b/>
          <w:sz w:val="22"/>
        </w:rPr>
        <w:t>encuadramiento, afiliación, forma de cotización y recaudación</w:t>
      </w:r>
      <w:r>
        <w:rPr>
          <w:rFonts w:ascii="Arial" w:hAnsi="Arial" w:cs="Arial"/>
          <w:sz w:val="22"/>
        </w:rPr>
        <w:t>.</w:t>
      </w:r>
    </w:p>
    <w:p>
      <w:pPr>
        <w:pStyle w:val="ListBullet"/>
      </w:pPr>
      <w:r>
        <w:rPr>
          <w:rFonts w:ascii="Arial" w:hAnsi="Arial" w:cs="Arial"/>
          <w:sz w:val="22"/>
        </w:rPr>
        <w:t xml:space="preserve">Parentesco de la presunción familiar: hasta </w:t>
      </w:r>
      <w:r>
        <w:rPr>
          <w:rFonts w:ascii="Arial" w:hAnsi="Arial" w:cs="Arial"/>
          <w:b/>
          <w:sz w:val="22"/>
        </w:rPr>
        <w:t>segundo grado</w:t>
      </w:r>
      <w:r>
        <w:rPr>
          <w:rFonts w:ascii="Arial" w:hAnsi="Arial" w:cs="Arial"/>
          <w:sz w:val="22"/>
        </w:rPr>
        <w:t>.</w:t>
      </w:r>
    </w:p>
    <w:p>
      <w:pPr>
        <w:pStyle w:val="ListBullet"/>
      </w:pPr>
      <w:r>
        <w:rPr>
          <w:rFonts w:ascii="Arial" w:hAnsi="Arial" w:cs="Arial"/>
          <w:sz w:val="22"/>
        </w:rPr>
        <w:t xml:space="preserve">Edad general mínima de autónomo: </w:t>
      </w:r>
      <w:r>
        <w:rPr>
          <w:rFonts w:ascii="Arial" w:hAnsi="Arial" w:cs="Arial"/>
          <w:b/>
          <w:sz w:val="22"/>
        </w:rPr>
        <w:t>más de dieciocho años</w:t>
      </w:r>
      <w:r>
        <w:rPr>
          <w:rFonts w:ascii="Arial" w:hAnsi="Arial" w:cs="Arial"/>
          <w:sz w:val="22"/>
        </w:rPr>
        <w:t xml:space="preserve"> en la formulación del artículo 305.</w:t>
      </w:r>
    </w:p>
    <w:p>
      <w:pPr>
        <w:pStyle w:val="ListBullet"/>
      </w:pPr>
      <w:r>
        <w:rPr>
          <w:rFonts w:ascii="Arial" w:hAnsi="Arial" w:cs="Arial"/>
          <w:sz w:val="22"/>
        </w:rPr>
        <w:t xml:space="preserve">Presunciones societarias: </w:t>
      </w:r>
      <w:r>
        <w:rPr>
          <w:rFonts w:ascii="Arial" w:hAnsi="Arial" w:cs="Arial"/>
          <w:b/>
          <w:sz w:val="22"/>
        </w:rPr>
        <w:t>1/2</w:t>
      </w:r>
      <w:r>
        <w:rPr>
          <w:rFonts w:ascii="Arial" w:hAnsi="Arial" w:cs="Arial"/>
          <w:sz w:val="22"/>
        </w:rPr>
        <w:t xml:space="preserve">, </w:t>
      </w:r>
      <w:r>
        <w:rPr>
          <w:rFonts w:ascii="Arial" w:hAnsi="Arial" w:cs="Arial"/>
          <w:b/>
          <w:sz w:val="22"/>
        </w:rPr>
        <w:t>1/3</w:t>
      </w:r>
      <w:r>
        <w:rPr>
          <w:rFonts w:ascii="Arial" w:hAnsi="Arial" w:cs="Arial"/>
          <w:sz w:val="22"/>
        </w:rPr>
        <w:t xml:space="preserve">, o </w:t>
      </w:r>
      <w:r>
        <w:rPr>
          <w:rFonts w:ascii="Arial" w:hAnsi="Arial" w:cs="Arial"/>
          <w:b/>
          <w:sz w:val="22"/>
        </w:rPr>
        <w:t>1/4 con dirección y gerencia</w:t>
      </w:r>
      <w:r>
        <w:rPr>
          <w:rFonts w:ascii="Arial" w:hAnsi="Arial" w:cs="Arial"/>
          <w:sz w:val="22"/>
        </w:rPr>
        <w:t>.</w:t>
      </w:r>
    </w:p>
    <w:p>
      <w:pPr>
        <w:pStyle w:val="ListBullet"/>
      </w:pPr>
      <w:r>
        <w:rPr>
          <w:rFonts w:ascii="Arial" w:hAnsi="Arial" w:cs="Arial"/>
          <w:sz w:val="22"/>
        </w:rPr>
        <w:t xml:space="preserve">Deducción genérica RETA: </w:t>
      </w:r>
      <w:r>
        <w:rPr>
          <w:rFonts w:ascii="Arial" w:hAnsi="Arial" w:cs="Arial"/>
          <w:b/>
          <w:sz w:val="22"/>
        </w:rPr>
        <w:t>7 %</w:t>
      </w:r>
      <w:r>
        <w:rPr>
          <w:rFonts w:ascii="Arial" w:hAnsi="Arial" w:cs="Arial"/>
          <w:sz w:val="22"/>
        </w:rPr>
        <w:t xml:space="preserve">; ciertos societarios: </w:t>
      </w:r>
      <w:r>
        <w:rPr>
          <w:rFonts w:ascii="Arial" w:hAnsi="Arial" w:cs="Arial"/>
          <w:b/>
          <w:sz w:val="22"/>
        </w:rPr>
        <w:t>3 %</w:t>
      </w:r>
      <w:r>
        <w:rPr>
          <w:rFonts w:ascii="Arial" w:hAnsi="Arial" w:cs="Arial"/>
          <w:sz w:val="22"/>
        </w:rPr>
        <w:t>.</w:t>
      </w:r>
    </w:p>
    <w:p>
      <w:pPr>
        <w:pStyle w:val="ListBullet"/>
      </w:pPr>
      <w:r>
        <w:rPr>
          <w:rFonts w:ascii="Arial" w:hAnsi="Arial" w:cs="Arial"/>
          <w:sz w:val="22"/>
        </w:rPr>
        <w:t xml:space="preserve">Antelación máxima ordinaria del alta: </w:t>
      </w:r>
      <w:r>
        <w:rPr>
          <w:rFonts w:ascii="Arial" w:hAnsi="Arial" w:cs="Arial"/>
          <w:b/>
          <w:sz w:val="22"/>
        </w:rPr>
        <w:t>60 días naturales</w:t>
      </w:r>
      <w:r>
        <w:rPr>
          <w:rFonts w:ascii="Arial" w:hAnsi="Arial" w:cs="Arial"/>
          <w:sz w:val="22"/>
        </w:rPr>
        <w:t>.</w:t>
      </w:r>
    </w:p>
    <w:p>
      <w:pPr>
        <w:pStyle w:val="ListBullet"/>
      </w:pPr>
      <w:r>
        <w:rPr>
          <w:rFonts w:ascii="Arial" w:hAnsi="Arial" w:cs="Arial"/>
          <w:sz w:val="22"/>
        </w:rPr>
        <w:t xml:space="preserve">Bajas y variaciones: </w:t>
      </w:r>
      <w:r>
        <w:rPr>
          <w:rFonts w:ascii="Arial" w:hAnsi="Arial" w:cs="Arial"/>
          <w:b/>
          <w:sz w:val="22"/>
        </w:rPr>
        <w:t>3 días naturales</w:t>
      </w:r>
      <w:r>
        <w:rPr>
          <w:rFonts w:ascii="Arial" w:hAnsi="Arial" w:cs="Arial"/>
          <w:sz w:val="22"/>
        </w:rPr>
        <w:t>.</w:t>
      </w:r>
    </w:p>
    <w:p>
      <w:pPr>
        <w:pStyle w:val="ListBullet"/>
      </w:pPr>
      <w:r>
        <w:rPr>
          <w:rFonts w:ascii="Arial" w:hAnsi="Arial" w:cs="Arial"/>
          <w:sz w:val="22"/>
        </w:rPr>
        <w:t xml:space="preserve">Grupos del Mar: </w:t>
      </w:r>
      <w:r>
        <w:rPr>
          <w:rFonts w:ascii="Arial" w:hAnsi="Arial" w:cs="Arial"/>
          <w:b/>
          <w:sz w:val="22"/>
        </w:rPr>
        <w:t>I, II A, II B y III</w:t>
      </w:r>
      <w:r>
        <w:rPr>
          <w:rFonts w:ascii="Arial" w:hAnsi="Arial" w:cs="Arial"/>
          <w:sz w:val="22"/>
        </w:rPr>
        <w:t>.</w:t>
      </w:r>
    </w:p>
    <w:p>
      <w:pPr>
        <w:pStyle w:val="ListBullet"/>
      </w:pPr>
      <w:r>
        <w:rPr>
          <w:rFonts w:ascii="Arial" w:hAnsi="Arial" w:cs="Arial"/>
          <w:sz w:val="22"/>
        </w:rPr>
        <w:t xml:space="preserve">Coeficientes Mar: </w:t>
      </w:r>
      <w:r>
        <w:rPr>
          <w:rFonts w:ascii="Arial" w:hAnsi="Arial" w:cs="Arial"/>
          <w:b/>
          <w:sz w:val="22"/>
        </w:rPr>
        <w:t>2/3, 1/2 y 1/3</w:t>
      </w:r>
      <w:r>
        <w:rPr>
          <w:rFonts w:ascii="Arial" w:hAnsi="Arial" w:cs="Arial"/>
          <w:sz w:val="22"/>
        </w:rPr>
        <w:t>.</w:t>
      </w:r>
    </w:p>
    <w:p>
      <w:pPr>
        <w:pStyle w:val="ListBullet"/>
      </w:pPr>
      <w:r>
        <w:rPr>
          <w:rFonts w:ascii="Arial" w:hAnsi="Arial" w:cs="Arial"/>
          <w:sz w:val="22"/>
        </w:rPr>
        <w:t xml:space="preserve">Máximo general de reducción de edad en Mar: </w:t>
      </w:r>
      <w:r>
        <w:rPr>
          <w:rFonts w:ascii="Arial" w:hAnsi="Arial" w:cs="Arial"/>
          <w:b/>
          <w:sz w:val="22"/>
        </w:rPr>
        <w:t>10 años</w:t>
      </w:r>
      <w:r>
        <w:rPr>
          <w:rFonts w:ascii="Arial" w:hAnsi="Arial" w:cs="Arial"/>
          <w:sz w:val="22"/>
        </w:rPr>
        <w:t>.</w:t>
      </w:r>
    </w:p>
    <w:p>
      <w:pPr>
        <w:pStyle w:val="ListBullet"/>
      </w:pPr>
      <w:r>
        <w:rPr>
          <w:rFonts w:ascii="Arial" w:hAnsi="Arial" w:cs="Arial"/>
          <w:sz w:val="22"/>
        </w:rPr>
        <w:t xml:space="preserve">Comunicación mensual en Carbón: dentro de </w:t>
      </w:r>
      <w:r>
        <w:rPr>
          <w:rFonts w:ascii="Arial" w:hAnsi="Arial" w:cs="Arial"/>
          <w:b/>
          <w:sz w:val="22"/>
        </w:rPr>
        <w:t>15 días</w:t>
      </w:r>
      <w:r>
        <w:rPr>
          <w:rFonts w:ascii="Arial" w:hAnsi="Arial" w:cs="Arial"/>
          <w:sz w:val="22"/>
        </w:rPr>
        <w:t xml:space="preserve"> del mes siguiente.</w:t>
      </w:r>
    </w:p>
    <w:p>
      <w:pPr>
        <w:pStyle w:val="ListBullet"/>
      </w:pPr>
      <w:r>
        <w:rPr>
          <w:rFonts w:ascii="Arial" w:hAnsi="Arial" w:cs="Arial"/>
          <w:sz w:val="22"/>
        </w:rPr>
        <w:t xml:space="preserve">Sistemas especiales oficiales del Régimen General enumerados: </w:t>
      </w:r>
      <w:r>
        <w:rPr>
          <w:rFonts w:ascii="Arial" w:hAnsi="Arial" w:cs="Arial"/>
          <w:b/>
          <w:sz w:val="22"/>
        </w:rPr>
        <w:t>ocho</w:t>
      </w:r>
      <w:r>
        <w:rPr>
          <w:rFonts w:ascii="Arial" w:hAnsi="Arial" w:cs="Arial"/>
          <w:sz w:val="22"/>
        </w:rPr>
        <w:t>.</w:t>
      </w:r>
    </w:p>
    <w:p>
      <w:pPr>
        <w:pStyle w:val="ListBullet"/>
      </w:pPr>
      <w:r>
        <w:rPr>
          <w:rFonts w:ascii="Arial" w:hAnsi="Arial" w:cs="Arial"/>
          <w:sz w:val="22"/>
        </w:rPr>
        <w:t xml:space="preserve">Pago de IT común en hogar: empleador días </w:t>
      </w:r>
      <w:r>
        <w:rPr>
          <w:rFonts w:ascii="Arial" w:hAnsi="Arial" w:cs="Arial"/>
          <w:b/>
          <w:sz w:val="22"/>
        </w:rPr>
        <w:t>4 a 8</w:t>
      </w:r>
      <w:r>
        <w:rPr>
          <w:rFonts w:ascii="Arial" w:hAnsi="Arial" w:cs="Arial"/>
          <w:sz w:val="22"/>
        </w:rPr>
        <w:t xml:space="preserve">; entidad desde día </w:t>
      </w:r>
      <w:r>
        <w:rPr>
          <w:rFonts w:ascii="Arial" w:hAnsi="Arial" w:cs="Arial"/>
          <w:b/>
          <w:sz w:val="22"/>
        </w:rPr>
        <w:t>9</w:t>
      </w:r>
      <w:r>
        <w:rPr>
          <w:rFonts w:ascii="Arial" w:hAnsi="Arial" w:cs="Arial"/>
          <w:sz w:val="22"/>
        </w:rPr>
        <w:t>.</w:t>
      </w:r>
    </w:p>
    <w:p>
      <w:pPr>
        <w:pStyle w:val="ListBullet"/>
      </w:pPr>
      <w:r>
        <w:rPr>
          <w:rFonts w:ascii="Arial" w:hAnsi="Arial" w:cs="Arial"/>
          <w:sz w:val="22"/>
        </w:rPr>
        <w:t xml:space="preserve">Umbral mensual de actividad agraria: </w:t>
      </w:r>
      <w:r>
        <w:rPr>
          <w:rFonts w:ascii="Arial" w:hAnsi="Arial" w:cs="Arial"/>
          <w:b/>
          <w:sz w:val="22"/>
        </w:rPr>
        <w:t>76,67 %</w:t>
      </w:r>
      <w:r>
        <w:rPr>
          <w:rFonts w:ascii="Arial" w:hAnsi="Arial" w:cs="Arial"/>
          <w:sz w:val="22"/>
        </w:rPr>
        <w:t>.</w:t>
      </w:r>
    </w:p>
    <w:p>
      <w:pPr>
        <w:pStyle w:val="ListBullet"/>
      </w:pPr>
      <w:r>
        <w:rPr>
          <w:rFonts w:ascii="Arial" w:hAnsi="Arial" w:cs="Arial"/>
          <w:sz w:val="22"/>
        </w:rPr>
        <w:t xml:space="preserve">Jornadas para inclusión agraria en inactividad: </w:t>
      </w:r>
      <w:r>
        <w:rPr>
          <w:rFonts w:ascii="Arial" w:hAnsi="Arial" w:cs="Arial"/>
          <w:b/>
          <w:sz w:val="22"/>
        </w:rPr>
        <w:t>30 en 365 días</w:t>
      </w:r>
      <w:r>
        <w:rPr>
          <w:rFonts w:ascii="Arial" w:hAnsi="Arial" w:cs="Arial"/>
          <w:sz w:val="22"/>
        </w:rPr>
        <w:t>.</w:t>
      </w:r>
    </w:p>
    <w:p>
      <w:pPr>
        <w:pStyle w:val="ListBullet"/>
      </w:pPr>
      <w:r>
        <w:rPr>
          <w:rFonts w:ascii="Arial" w:hAnsi="Arial" w:cs="Arial"/>
          <w:sz w:val="22"/>
        </w:rPr>
        <w:t xml:space="preserve">Plazo de solicitud de esa inclusión: </w:t>
      </w:r>
      <w:r>
        <w:rPr>
          <w:rFonts w:ascii="Arial" w:hAnsi="Arial" w:cs="Arial"/>
          <w:b/>
          <w:sz w:val="22"/>
        </w:rPr>
        <w:t>3 meses naturales</w:t>
      </w:r>
      <w:r>
        <w:rPr>
          <w:rFonts w:ascii="Arial" w:hAnsi="Arial" w:cs="Arial"/>
          <w:sz w:val="22"/>
        </w:rPr>
        <w:t>.</w:t>
      </w:r>
    </w:p>
    <w:p>
      <w:pPr>
        <w:pStyle w:val="ListBullet"/>
      </w:pPr>
      <w:r>
        <w:rPr>
          <w:rFonts w:ascii="Arial" w:hAnsi="Arial" w:cs="Arial"/>
          <w:sz w:val="22"/>
        </w:rPr>
        <w:t xml:space="preserve">Tipo legal de inactividad agraria: </w:t>
      </w:r>
      <w:r>
        <w:rPr>
          <w:rFonts w:ascii="Arial" w:hAnsi="Arial" w:cs="Arial"/>
          <w:b/>
          <w:sz w:val="22"/>
        </w:rPr>
        <w:t>11,50 %</w:t>
      </w:r>
      <w:r>
        <w:rPr>
          <w:rFonts w:ascii="Arial" w:hAnsi="Arial" w:cs="Arial"/>
          <w:sz w:val="22"/>
        </w:rPr>
        <w:t>.</w:t>
      </w:r>
    </w:p>
    <w:p>
      <w:pPr>
        <w:pStyle w:val="ListBullet"/>
      </w:pPr>
      <w:r>
        <w:rPr>
          <w:rFonts w:ascii="Arial" w:hAnsi="Arial" w:cs="Arial"/>
          <w:sz w:val="22"/>
        </w:rPr>
        <w:t xml:space="preserve">Familiares del SETA: hasta </w:t>
      </w:r>
      <w:r>
        <w:rPr>
          <w:rFonts w:ascii="Arial" w:hAnsi="Arial" w:cs="Arial"/>
          <w:b/>
          <w:sz w:val="22"/>
        </w:rPr>
        <w:t>tercer grado</w:t>
      </w:r>
      <w:r>
        <w:rPr>
          <w:rFonts w:ascii="Arial" w:hAnsi="Arial" w:cs="Arial"/>
          <w:sz w:val="22"/>
        </w:rPr>
        <w:t>.</w:t>
      </w:r>
    </w:p>
    <w:p>
      <w:pPr>
        <w:pStyle w:val="ListBullet"/>
      </w:pPr>
      <w:r>
        <w:rPr>
          <w:rFonts w:ascii="Arial" w:hAnsi="Arial" w:cs="Arial"/>
          <w:sz w:val="22"/>
        </w:rPr>
        <w:t xml:space="preserve">Límite estructural SETA: </w:t>
      </w:r>
      <w:r>
        <w:rPr>
          <w:rFonts w:ascii="Arial" w:hAnsi="Arial" w:cs="Arial"/>
          <w:b/>
          <w:sz w:val="22"/>
        </w:rPr>
        <w:t>2 trabajadores mensuales o 546 jornadas anuales</w:t>
      </w:r>
      <w:r>
        <w:rPr>
          <w:rFonts w:ascii="Arial" w:hAnsi="Arial" w:cs="Arial"/>
          <w:sz w:val="22"/>
        </w:rPr>
        <w:t>, ampliable según titulares.</w:t>
      </w:r>
    </w:p>
    <w:p>
      <w:pPr>
        <w:pStyle w:val="ListBullet"/>
      </w:pPr>
      <w:r>
        <w:rPr>
          <w:rFonts w:ascii="Arial" w:hAnsi="Arial" w:cs="Arial"/>
          <w:sz w:val="22"/>
        </w:rPr>
        <w:t xml:space="preserve">Seguro Escolar: menores de </w:t>
      </w:r>
      <w:r>
        <w:rPr>
          <w:rFonts w:ascii="Arial" w:hAnsi="Arial" w:cs="Arial"/>
          <w:b/>
          <w:sz w:val="22"/>
        </w:rPr>
        <w:t>28 años</w:t>
      </w:r>
      <w:r>
        <w:rPr>
          <w:rFonts w:ascii="Arial" w:hAnsi="Arial" w:cs="Arial"/>
          <w:sz w:val="22"/>
        </w:rPr>
        <w:t>, con cobertura durante el curso en que cumplen esa edad.</w:t>
      </w:r>
    </w:p>
    <w:p>
      <w:pPr>
        <w:pStyle w:val="Heading1"/>
        <w:keepNext/>
      </w:pPr>
      <w:r>
        <w:rPr>
          <w:rFonts w:ascii="Arial" w:hAnsi="Arial" w:cs="Arial"/>
          <w:sz w:val="30"/>
        </w:rPr>
        <w:t>19. Fuentes oficiales</w:t>
      </w:r>
    </w:p>
    <w:p>
      <w:pPr>
        <w:pStyle w:val="ListBullet"/>
      </w:pPr>
      <w:r>
        <w:rPr>
          <w:rFonts w:ascii="Arial" w:hAnsi="Arial" w:cs="Arial"/>
          <w:sz w:val="22"/>
        </w:rPr>
        <w:t>Real Decreto Legislativo 8/2015, texto refundido de la Ley General de la Seguridad Social (https://www.boe.es/buscar/act.php?id=BOE-A-2015-11724).</w:t>
      </w:r>
    </w:p>
    <w:p>
      <w:pPr>
        <w:pStyle w:val="ListBullet"/>
      </w:pPr>
      <w:r>
        <w:rPr>
          <w:rFonts w:ascii="Arial" w:hAnsi="Arial" w:cs="Arial"/>
          <w:sz w:val="22"/>
        </w:rPr>
        <w:t>Real Decreto 84/1996, Reglamento general sobre inscripción, afiliación, altas, bajas y variaciones (https://www.boe.es/buscar/act.php?id=BOE-A-1996-4447).</w:t>
      </w:r>
    </w:p>
    <w:p>
      <w:pPr>
        <w:pStyle w:val="ListBullet"/>
      </w:pPr>
      <w:r>
        <w:rPr>
          <w:rFonts w:ascii="Arial" w:hAnsi="Arial" w:cs="Arial"/>
          <w:sz w:val="22"/>
        </w:rPr>
        <w:t>Ley 47/2015, protección social de las personas trabajadoras del sector marítimo-pesquero (https://www.boe.es/buscar/act.php?id=BOE-A-2015-11346).</w:t>
      </w:r>
    </w:p>
    <w:p>
      <w:pPr>
        <w:pStyle w:val="ListBullet"/>
      </w:pPr>
      <w:r>
        <w:rPr>
          <w:rFonts w:ascii="Arial" w:hAnsi="Arial" w:cs="Arial"/>
          <w:sz w:val="22"/>
        </w:rPr>
        <w:t>Decreto 298/1973, Régimen Especial de la Minería del Carbón (https://www.boe.es/buscar/act.php?id=BOE-A-1973-282).</w:t>
      </w:r>
    </w:p>
    <w:p>
      <w:pPr>
        <w:pStyle w:val="ListBullet"/>
      </w:pPr>
      <w:r>
        <w:rPr>
          <w:rFonts w:ascii="Arial" w:hAnsi="Arial" w:cs="Arial"/>
          <w:sz w:val="22"/>
        </w:rPr>
        <w:t>Real Decreto Legislativo 4/2000, texto refundido de la Ley sobre Seguridad Social de los Funcionarios Civiles del Estado (https://www.boe.es/buscar/act.php?id=BOE-A-2000-12140).</w:t>
      </w:r>
    </w:p>
    <w:p>
      <w:pPr>
        <w:pStyle w:val="ListBullet"/>
      </w:pPr>
      <w:r>
        <w:rPr>
          <w:rFonts w:ascii="Arial" w:hAnsi="Arial" w:cs="Arial"/>
          <w:sz w:val="22"/>
        </w:rPr>
        <w:t>Ley de 17 de julio de 1953 sobre establecimiento del Seguro Escolar (https://www.boe.es/buscar/act.php?id=BOE-A-1953-9858).</w:t>
      </w:r>
    </w:p>
    <w:p>
      <w:pPr>
        <w:pStyle w:val="ListBullet"/>
      </w:pPr>
      <w:r>
        <w:rPr>
          <w:rFonts w:ascii="Arial" w:hAnsi="Arial" w:cs="Arial"/>
          <w:sz w:val="22"/>
        </w:rPr>
        <w:t>Portal oficial: Regímenes de la Seguridad Social (https://www.seg-social.es/wps/portal/wss/internet/Trabajadores/Afiliacion/30348/4165?changeLanguage=es).</w:t>
      </w:r>
    </w:p>
    <w:p>
      <w:pPr>
        <w:pStyle w:val="ListBullet"/>
      </w:pPr>
      <w:r>
        <w:rPr>
          <w:rFonts w:ascii="Arial" w:hAnsi="Arial" w:cs="Arial"/>
          <w:sz w:val="22"/>
        </w:rPr>
        <w:t>Portal oficial: Sistemas especiales del Régimen General (https://www.seg-social.es/wps/portal/wss/internet/Trabajadores/Afiliacion/10548/10562/32868?changeLanguage=es).</w:t>
      </w:r>
    </w:p>
    <w:p>
      <w:pPr>
        <w:pStyle w:val="ListBullet"/>
      </w:pPr>
      <w:r>
        <w:rPr>
          <w:rFonts w:ascii="Arial" w:hAnsi="Arial" w:cs="Arial"/>
          <w:sz w:val="22"/>
        </w:rPr>
        <w:t>Portal oficial: plazos de altas y bajas (https://www.seg-social.es/wps/portal/wss/internet/Trabajadores/Afiliacion/32765/32772?changeLanguage=es).</w:t>
      </w:r>
    </w:p>
    <w:p>
      <w:pPr>
        <w:pStyle w:val="ListBullet"/>
      </w:pPr>
      <w:r>
        <w:rPr>
          <w:rFonts w:ascii="Arial" w:hAnsi="Arial" w:cs="Arial"/>
          <w:sz w:val="22"/>
        </w:rPr>
        <w:t>Portal oficial: Régimen Especial de la Minería del Carbón (https://www.seg-social.es/wps/portal/wss/internet/Trabajadores/Afiliacion/32765/32774/32658?changeLanguage=es).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4, 2025: 11, 2026: 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18 /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(10); Texto Refundido de la Ley General de la Seguridad Social (4); Real Decreto legislativo 8/2015 (1); Ley 47/2015 (1); Real Decreto 84/1996 (1).</w:t>
      </w:r>
    </w:p>
    <w:p>
      <w:pPr>
        <w:jc w:val="both"/>
      </w:pPr>
      <w:r>
        <w:rPr>
          <w:rFonts w:ascii="Arial" w:hAnsi="Arial" w:cs="Arial"/>
          <w:b/>
          <w:sz w:val="22"/>
        </w:rPr>
        <w:t>Artículos o preceptos más repetidos:</w:t>
      </w:r>
      <w:r>
        <w:rPr>
          <w:rFonts w:ascii="Arial" w:hAnsi="Arial" w:cs="Arial"/>
          <w:sz w:val="22"/>
        </w:rPr>
        <w:t xml:space="preserve"> 253 (2); 10 (2); 7.3 (1); 4 (1); 8 (1); 136.2 (1); 10.2 (1); 7 (1).</w:t>
      </w:r>
    </w:p>
    <w:p>
      <w:pPr>
        <w:jc w:val="both"/>
      </w:pPr>
      <w:r>
        <w:rPr>
          <w:rFonts w:ascii="Arial" w:hAnsi="Arial" w:cs="Arial"/>
          <w:b/>
          <w:sz w:val="22"/>
        </w:rPr>
        <w:t>Formas de pregunta predominantes:</w:t>
      </w:r>
      <w:r>
        <w:rPr>
          <w:rFonts w:ascii="Arial" w:hAnsi="Arial" w:cs="Arial"/>
          <w:sz w:val="22"/>
        </w:rPr>
        <w:t xml:space="preserve"> Artículos literales (18); Requisitos (1).</w:t>
      </w:r>
    </w:p>
    <w:p>
      <w:pPr>
        <w:pStyle w:val="Heading2"/>
        <w:keepNext/>
      </w:pPr>
      <w:r>
        <w:rPr>
          <w:rFonts w:ascii="Arial" w:hAnsi="Arial" w:cs="Arial"/>
          <w:sz w:val="25"/>
        </w:rPr>
        <w:t>Patrones observados</w:t>
      </w:r>
    </w:p>
    <w:p>
      <w:pPr>
        <w:pStyle w:val="ListBullet"/>
      </w:pPr>
      <w:r>
        <w:rPr>
          <w:rFonts w:ascii="Arial" w:hAnsi="Arial" w:cs="Arial"/>
          <w:b/>
          <w:sz w:val="22"/>
        </w:rPr>
        <w:t>2025, supuesto 1:</w:t>
      </w:r>
      <w:r>
        <w:rPr>
          <w:rFonts w:ascii="Arial" w:hAnsi="Arial" w:cs="Arial"/>
          <w:sz w:val="22"/>
        </w:rPr>
        <w:t xml:space="preserve"> D. Max Estrella, pretende que su hija Claudia le ayude en el negocio, para adquirir experiencia, puesto que es la primera vez que trabaja. Ante esta situación, determine si Claudia puede tener la…</w:t>
      </w:r>
    </w:p>
    <w:p>
      <w:pPr>
        <w:pStyle w:val="ListBullet"/>
      </w:pPr>
      <w:r>
        <w:rPr>
          <w:rFonts w:ascii="Arial" w:hAnsi="Arial" w:cs="Arial"/>
          <w:b/>
          <w:sz w:val="22"/>
        </w:rPr>
        <w:t>2025, teoría 73, reserva:</w:t>
      </w:r>
      <w:r>
        <w:rPr>
          <w:rFonts w:ascii="Arial" w:hAnsi="Arial" w:cs="Arial"/>
          <w:sz w:val="22"/>
        </w:rPr>
        <w:t xml:space="preserve"> De acuerdo con el artículo 10.2 del Texto Refundido de la Ley General de la Seguridad Social, se considerarán Regímenes Especiales los que encuadren a los grupos siguientes:</w:t>
      </w:r>
    </w:p>
    <w:p>
      <w:pPr>
        <w:pStyle w:val="ListBullet"/>
      </w:pPr>
      <w:r>
        <w:rPr>
          <w:rFonts w:ascii="Arial" w:hAnsi="Arial" w:cs="Arial"/>
          <w:b/>
          <w:sz w:val="22"/>
        </w:rPr>
        <w:t>2024, teoría 25:</w:t>
      </w:r>
      <w:r>
        <w:rPr>
          <w:rFonts w:ascii="Arial" w:hAnsi="Arial" w:cs="Arial"/>
          <w:sz w:val="22"/>
        </w:rPr>
        <w:t xml:space="preserve"> ¿Cuál es el Titulo IV del texto refundido de la Ley General de la Seguridad Social, aprobado por Real Decreto legislativo 8/2015, de 30 de octubre?:</w:t>
      </w:r>
    </w:p>
    <w:p>
      <w:pPr>
        <w:pStyle w:val="ListBullet"/>
      </w:pPr>
      <w:r>
        <w:rPr>
          <w:rFonts w:ascii="Arial" w:hAnsi="Arial" w:cs="Arial"/>
          <w:b/>
          <w:sz w:val="22"/>
        </w:rPr>
        <w:t>2024, teoría 27:</w:t>
      </w:r>
      <w:r>
        <w:rPr>
          <w:rFonts w:ascii="Arial" w:hAnsi="Arial" w:cs="Arial"/>
          <w:sz w:val="22"/>
        </w:rPr>
        <w:t xml:space="preserve"> De acuerdo con el articulo 7.3 del texto refundido de la Ley General de la Seguridad Social, el Gobierno, en el marco de los sistemas de protección social pública, puede establecer medidas de protección…</w:t>
      </w:r>
    </w:p>
    <w:p>
      <w:pPr>
        <w:pStyle w:val="ListBullet"/>
      </w:pPr>
      <w:r>
        <w:rPr>
          <w:rFonts w:ascii="Arial" w:hAnsi="Arial" w:cs="Arial"/>
          <w:b/>
          <w:sz w:val="22"/>
        </w:rPr>
        <w:t>2024, teoría 28:</w:t>
      </w:r>
      <w:r>
        <w:rPr>
          <w:rFonts w:ascii="Arial" w:hAnsi="Arial" w:cs="Arial"/>
          <w:sz w:val="22"/>
        </w:rPr>
        <w:t xml:space="preserve"> Según el artículo 4 de la Ley 47/2015, quedan comprendidos en eI Régimen Especial de la Seguridad Social de los Trabajadores del Mar, entre otros, como trabajadores por cuenta propia o autónomos:</w:t>
      </w:r>
    </w:p>
    <w:p>
      <w:pPr>
        <w:pStyle w:val="ListBullet"/>
      </w:pPr>
      <w:r>
        <w:rPr>
          <w:rFonts w:ascii="Arial" w:hAnsi="Arial" w:cs="Arial"/>
          <w:b/>
          <w:sz w:val="22"/>
        </w:rPr>
        <w:t>2024, teoría 29:</w:t>
      </w:r>
      <w:r>
        <w:rPr>
          <w:rFonts w:ascii="Arial" w:hAnsi="Arial" w:cs="Arial"/>
          <w:sz w:val="22"/>
        </w:rPr>
        <w:t xml:space="preserve"> De acuerdo con el articulo 253,2. del texto refundido de la Ley General de la Seguridad Social, para quedar incluido en eI Sistema Especial de Trabajadores por Cuenta Ajena Agrarios durante los períodos de…</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S02 · Tema 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 Campo de aplicación y composición del sistema de la Seguridad Social. Régimen general - ámbito subjetivo de aplicación, inclusiones y exclusi…</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