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TEMARIO ESPECÍFICO SEGURIDAD SOCIAL</w:t>
      </w:r>
    </w:p>
    <w:p>
      <w:pPr>
        <w:spacing w:before="0" w:after="160"/>
      </w:pPr>
      <w:r>
        <w:rPr>
          <w:rFonts w:ascii="Arial" w:hAnsi="Arial" w:cs="Arial"/>
          <w:b/>
          <w:color w:val="1F4E79"/>
          <w:sz w:val="26"/>
        </w:rPr>
        <w:t>TEMA 3</w:t>
      </w:r>
    </w:p>
    <w:p>
      <w:pPr>
        <w:keepNext/>
        <w:spacing w:before="0" w:after="280"/>
        <w:pBdr>
          <w:bottom w:val="single" w:sz="12" w:space="1" w:color="2F75B5"/>
        </w:pBdr>
      </w:pPr>
      <w:r>
        <w:rPr>
          <w:rFonts w:ascii="Arial" w:hAnsi="Arial" w:cs="Arial"/>
          <w:b/>
          <w:color w:val="17365D"/>
          <w:sz w:val="40"/>
        </w:rPr>
        <w:t>Normas sobre afiliación. Altas y bajas en el régimen general. Procedimiento y efectos. El convenio especial y otras situaciones asimiladas a la del alta. Encuadramiento e inscripción.</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spacing w:after="100"/>
        <w:ind w:left="340" w:right="227"/>
        <w:shd w:fill="EAF2F8"/>
      </w:pPr>
      <w:r>
        <w:rPr>
          <w:rFonts w:ascii="Arial" w:hAnsi="Arial" w:cs="Arial"/>
          <w:b/>
          <w:sz w:val="20"/>
        </w:rPr>
        <w:t>Contenido actualizado y revisado a fecha de 30 de julio de 2026.</w:t>
      </w:r>
    </w:p>
    <w:p>
      <w:pPr>
        <w:jc w:val="both"/>
      </w:pPr>
      <w:r>
        <w:rPr>
          <w:rFonts w:ascii="Arial" w:hAnsi="Arial" w:cs="Arial"/>
          <w:sz w:val="22"/>
        </w:rPr>
        <w:t xml:space="preserve">La afiliación, el alta, la baja, el encuadramiento y la inscripción de empresas son actos distintos que permiten identificar a las personas y empresas integradas en el sistema, determinar el régimen aplicable y fijar desde cuándo existe obligación de cotizar. Su correcta secuencia es decisiva: primero se identifica al empresario y su actividad; después se afilia, cuando sea necesario, a la persona que entra por primera vez en el sistema; finalmente se comunica cada alta, baja o variación correspondiente a la relación o actividad concreta. La exposición se ajusta al ordenamiento vigente a </w:t>
      </w:r>
      <w:r>
        <w:rPr>
          <w:rFonts w:ascii="Arial" w:hAnsi="Arial" w:cs="Arial"/>
          <w:b/>
          <w:sz w:val="22"/>
        </w:rPr>
        <w:t>30 de julio de 2026</w:t>
      </w:r>
      <w:r>
        <w:rPr>
          <w:rFonts w:ascii="Arial" w:hAnsi="Arial" w:cs="Arial"/>
          <w:sz w:val="22"/>
        </w:rPr>
        <w:t xml:space="preserve"> y separa la reforma publicada ese día cuya entrada en vigor se produce el 1 de agosto de 2026.</w:t>
      </w:r>
    </w:p>
    <w:p>
      <w:pPr>
        <w:pStyle w:val="Heading1"/>
        <w:keepNext/>
      </w:pPr>
      <w:r>
        <w:rPr>
          <w:rFonts w:ascii="Arial" w:hAnsi="Arial" w:cs="Arial"/>
          <w:sz w:val="30"/>
        </w:rPr>
        <w:t>1. Normativa básica y distribución de competencias</w:t>
      </w:r>
    </w:p>
    <w:p>
      <w:pPr>
        <w:jc w:val="both"/>
      </w:pPr>
      <w:r>
        <w:rPr>
          <w:rFonts w:ascii="Arial" w:hAnsi="Arial" w:cs="Arial"/>
          <w:sz w:val="22"/>
        </w:rPr>
        <w:t>La regulación central se encuentra en:</w:t>
      </w:r>
    </w:p>
    <w:p>
      <w:pPr>
        <w:pStyle w:val="ListBullet"/>
      </w:pPr>
      <w:r>
        <w:rPr>
          <w:rFonts w:ascii="Arial" w:hAnsi="Arial" w:cs="Arial"/>
          <w:sz w:val="22"/>
        </w:rPr>
        <w:t>el texto refundido de la Ley General de la Seguridad Social —TRLGSS—, aprobado por Real Decreto Legislativo 8/2015, especialmente sus reglas sobre afiliación, altas, bajas, inscripción, encuadramiento y situaciones asimiladas;</w:t>
      </w:r>
    </w:p>
    <w:p>
      <w:pPr>
        <w:pStyle w:val="ListBullet"/>
      </w:pPr>
      <w:r>
        <w:rPr>
          <w:rFonts w:ascii="Arial" w:hAnsi="Arial" w:cs="Arial"/>
          <w:sz w:val="22"/>
        </w:rPr>
        <w:t>el Real Decreto 84/1996, de 26 de enero, por el que se aprueba el Reglamento general sobre inscripción de empresas y afiliación, altas, bajas y variaciones de datos de trabajadores en la Seguridad Social;</w:t>
      </w:r>
    </w:p>
    <w:p>
      <w:pPr>
        <w:pStyle w:val="ListBullet"/>
      </w:pPr>
      <w:r>
        <w:rPr>
          <w:rFonts w:ascii="Arial" w:hAnsi="Arial" w:cs="Arial"/>
          <w:sz w:val="22"/>
        </w:rPr>
        <w:t>el Real Decreto 643/2026, de 29 de julio, publicado el 30 de julio y con entrada en vigor el 1 de agosto de 2026, que amplía el plazo de bajas y variaciones de datos de trabajadores regulado en el artículo 32.3;</w:t>
      </w:r>
    </w:p>
    <w:p>
      <w:pPr>
        <w:pStyle w:val="ListBullet"/>
      </w:pPr>
      <w:r>
        <w:rPr>
          <w:rFonts w:ascii="Arial" w:hAnsi="Arial" w:cs="Arial"/>
          <w:sz w:val="22"/>
        </w:rPr>
        <w:t>la Orden TAS/2865/2003, de 13 de octubre, reguladora del convenio especial en el sistema de la Seguridad Social;</w:t>
      </w:r>
    </w:p>
    <w:p>
      <w:pPr>
        <w:pStyle w:val="ListBullet"/>
      </w:pPr>
      <w:r>
        <w:rPr>
          <w:rFonts w:ascii="Arial" w:hAnsi="Arial" w:cs="Arial"/>
          <w:sz w:val="22"/>
        </w:rPr>
        <w:t>las normas específicas de cada régimen, sistema especial o colectivo;</w:t>
      </w:r>
    </w:p>
    <w:p>
      <w:pPr>
        <w:pStyle w:val="ListBullet"/>
      </w:pPr>
      <w:r>
        <w:rPr>
          <w:rFonts w:ascii="Arial" w:hAnsi="Arial" w:cs="Arial"/>
          <w:sz w:val="22"/>
        </w:rPr>
        <w:t>el texto refundido de la Ley sobre Infracciones y Sanciones en el Orden Social, aprobado por Real Decreto Legislativo 5/2000, para las consecuencias sancionadoras de los incumplimientos;</w:t>
      </w:r>
    </w:p>
    <w:p>
      <w:pPr>
        <w:pStyle w:val="ListBullet"/>
      </w:pPr>
      <w:r>
        <w:rPr>
          <w:rFonts w:ascii="Arial" w:hAnsi="Arial" w:cs="Arial"/>
          <w:sz w:val="22"/>
        </w:rPr>
        <w:t>la Ley 39/2015, de 1 de octubre, en los aspectos procedimentales no regulados de forma especial.</w:t>
      </w:r>
    </w:p>
    <w:p>
      <w:pPr>
        <w:jc w:val="both"/>
      </w:pPr>
      <w:r>
        <w:rPr>
          <w:rFonts w:ascii="Arial" w:hAnsi="Arial" w:cs="Arial"/>
          <w:sz w:val="22"/>
        </w:rPr>
        <w:t xml:space="preserve">La </w:t>
      </w:r>
      <w:r>
        <w:rPr>
          <w:rFonts w:ascii="Arial" w:hAnsi="Arial" w:cs="Arial"/>
          <w:b/>
          <w:sz w:val="22"/>
        </w:rPr>
        <w:t>Tesorería General de la Seguridad Social —TGSS—</w:t>
      </w:r>
      <w:r>
        <w:rPr>
          <w:rFonts w:ascii="Arial" w:hAnsi="Arial" w:cs="Arial"/>
          <w:sz w:val="22"/>
        </w:rPr>
        <w:t xml:space="preserve"> es el servicio común competente para realizar la inscripción de empresas y reconocer la afiliación, el alta, la baja y las variaciones de datos. La competencia se ejerce por sus direcciones provinciales y administraciones conforme a las reglas territoriales y funcionales del Reglamento. La Inspección de Trabajo y Seguridad Social investiga incumplimientos y puede promover actuaciones de oficio, pero no sustituye a la TGSS como órgano que dicta el acto de encuadramiento.</w:t>
      </w:r>
    </w:p>
    <w:p>
      <w:pPr>
        <w:jc w:val="both"/>
      </w:pPr>
      <w:r>
        <w:rPr>
          <w:rFonts w:ascii="Arial" w:hAnsi="Arial" w:cs="Arial"/>
          <w:sz w:val="22"/>
        </w:rPr>
        <w:t>Debe distinguirse la competencia de gestión de prestaciones del encuadramiento. El Instituto Nacional de la Seguridad Social reconoce la mayoría de las prestaciones económicas; la TGSS decide la afiliación, las altas, las bajas, la inscripción y la cotización. Una resolución del INSS sobre una prestación no convierte a este organismo en competente para tramitar el alta.</w:t>
      </w:r>
    </w:p>
    <w:p>
      <w:pPr>
        <w:pStyle w:val="Heading1"/>
        <w:keepNext/>
      </w:pPr>
      <w:r>
        <w:rPr>
          <w:rFonts w:ascii="Arial" w:hAnsi="Arial" w:cs="Arial"/>
          <w:sz w:val="30"/>
        </w:rPr>
        <w:t>2. Conceptos que no deben confundirse</w:t>
      </w:r>
    </w:p>
    <w:tbl>
      <w:tblPr>
        <w:tblStyle w:val="TableGrid"/>
        <w:tblW w:type="dxa" w:w="9026"/>
        <w:jc w:val="left"/>
        <w:tblLayout w:type="fixed"/>
        <w:tblLook w:firstColumn="1" w:firstRow="1" w:lastColumn="0" w:lastRow="0" w:noHBand="0" w:noVBand="1" w:val="04A0"/>
        <w:tblInd w:w="120" w:type="dxa"/>
      </w:tblPr>
      <w:tblGrid>
        <w:gridCol w:w="1791"/>
        <w:gridCol w:w="4134"/>
        <w:gridCol w:w="3101"/>
      </w:tblGrid>
      <w:tr>
        <w:trPr>
          <w:tblHeader w:val="true"/>
        </w:trPr>
        <w:tc>
          <w:tcPr>
            <w:tcW w:type="dxa" w:w="1791"/>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Concepto</w:t>
            </w:r>
          </w:p>
        </w:tc>
        <w:tc>
          <w:tcPr>
            <w:tcW w:type="dxa" w:w="4134"/>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Objeto</w:t>
            </w:r>
          </w:p>
        </w:tc>
        <w:tc>
          <w:tcPr>
            <w:tcW w:type="dxa" w:w="3101"/>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Frecuencia</w:t>
            </w:r>
          </w:p>
        </w:tc>
      </w:tr>
      <w:tr>
        <w:tc>
          <w:tcPr>
            <w:tcW w:type="dxa" w:w="1791"/>
            <w:tcMar>
              <w:top w:w="80" w:type="dxa"/>
              <w:start w:w="120" w:type="dxa"/>
              <w:bottom w:w="80" w:type="dxa"/>
              <w:end w:w="120" w:type="dxa"/>
            </w:tcMar>
            <w:vAlign w:val="center"/>
          </w:tcPr>
          <w:p>
            <w:pPr>
              <w:spacing w:before="0" w:after="0" w:line="240" w:lineRule="auto"/>
              <w:jc w:val="left"/>
            </w:pPr>
            <w:r/>
            <w:r>
              <w:rPr>
                <w:rFonts w:ascii="Arial" w:hAnsi="Arial" w:cs="Arial"/>
                <w:sz w:val="18"/>
              </w:rPr>
              <w:t>Inscripción de empresa</w:t>
            </w:r>
          </w:p>
        </w:tc>
        <w:tc>
          <w:tcPr>
            <w:tcW w:type="dxa" w:w="4134"/>
            <w:tcMar>
              <w:top w:w="80" w:type="dxa"/>
              <w:start w:w="120" w:type="dxa"/>
              <w:bottom w:w="80" w:type="dxa"/>
              <w:end w:w="120" w:type="dxa"/>
            </w:tcMar>
            <w:vAlign w:val="center"/>
          </w:tcPr>
          <w:p>
            <w:pPr>
              <w:spacing w:before="0" w:after="0" w:line="240" w:lineRule="auto"/>
              <w:jc w:val="left"/>
            </w:pPr>
            <w:r/>
            <w:r>
              <w:rPr>
                <w:rFonts w:ascii="Arial" w:hAnsi="Arial" w:cs="Arial"/>
                <w:sz w:val="18"/>
              </w:rPr>
              <w:t>Identifica al empresario antes de emplear trabajadores</w:t>
            </w:r>
          </w:p>
        </w:tc>
        <w:tc>
          <w:tcPr>
            <w:tcW w:type="dxa" w:w="3101"/>
            <w:tcMar>
              <w:top w:w="80" w:type="dxa"/>
              <w:start w:w="120" w:type="dxa"/>
              <w:bottom w:w="80" w:type="dxa"/>
              <w:end w:w="120" w:type="dxa"/>
            </w:tcMar>
            <w:vAlign w:val="center"/>
          </w:tcPr>
          <w:p>
            <w:pPr>
              <w:spacing w:before="0" w:after="0" w:line="240" w:lineRule="auto"/>
              <w:jc w:val="left"/>
            </w:pPr>
            <w:r/>
            <w:r>
              <w:rPr>
                <w:rFonts w:ascii="Arial" w:hAnsi="Arial" w:cs="Arial"/>
                <w:sz w:val="18"/>
              </w:rPr>
              <w:t>Una por empresario, sin perjuicio de códigos de cuenta</w:t>
            </w:r>
          </w:p>
        </w:tc>
      </w:tr>
      <w:tr>
        <w:tc>
          <w:tcPr>
            <w:tcW w:type="dxa" w:w="1791"/>
            <w:tcMar>
              <w:top w:w="80" w:type="dxa"/>
              <w:start w:w="120" w:type="dxa"/>
              <w:bottom w:w="80" w:type="dxa"/>
              <w:end w:w="120" w:type="dxa"/>
            </w:tcMar>
            <w:vAlign w:val="center"/>
          </w:tcPr>
          <w:p>
            <w:pPr>
              <w:spacing w:before="0" w:after="0" w:line="240" w:lineRule="auto"/>
              <w:jc w:val="left"/>
            </w:pPr>
            <w:r/>
            <w:r>
              <w:rPr>
                <w:rFonts w:ascii="Arial" w:hAnsi="Arial" w:cs="Arial"/>
                <w:sz w:val="18"/>
              </w:rPr>
              <w:t>Código de cuenta de cotización</w:t>
            </w:r>
          </w:p>
        </w:tc>
        <w:tc>
          <w:tcPr>
            <w:tcW w:type="dxa" w:w="4134"/>
            <w:tcMar>
              <w:top w:w="80" w:type="dxa"/>
              <w:start w:w="120" w:type="dxa"/>
              <w:bottom w:w="80" w:type="dxa"/>
              <w:end w:w="120" w:type="dxa"/>
            </w:tcMar>
            <w:vAlign w:val="center"/>
          </w:tcPr>
          <w:p>
            <w:pPr>
              <w:spacing w:before="0" w:after="0" w:line="240" w:lineRule="auto"/>
              <w:jc w:val="left"/>
            </w:pPr>
            <w:r/>
            <w:r>
              <w:rPr>
                <w:rFonts w:ascii="Arial" w:hAnsi="Arial" w:cs="Arial"/>
                <w:sz w:val="18"/>
              </w:rPr>
              <w:t>Individualiza una cuenta para liquidar cuotas por provincia, actividad o peculiaridad</w:t>
            </w:r>
          </w:p>
        </w:tc>
        <w:tc>
          <w:tcPr>
            <w:tcW w:type="dxa" w:w="3101"/>
            <w:tcMar>
              <w:top w:w="80" w:type="dxa"/>
              <w:start w:w="120" w:type="dxa"/>
              <w:bottom w:w="80" w:type="dxa"/>
              <w:end w:w="120" w:type="dxa"/>
            </w:tcMar>
            <w:vAlign w:val="center"/>
          </w:tcPr>
          <w:p>
            <w:pPr>
              <w:spacing w:before="0" w:after="0" w:line="240" w:lineRule="auto"/>
              <w:jc w:val="left"/>
            </w:pPr>
            <w:r/>
            <w:r>
              <w:rPr>
                <w:rFonts w:ascii="Arial" w:hAnsi="Arial" w:cs="Arial"/>
                <w:sz w:val="18"/>
              </w:rPr>
              <w:t>Puede haber varios</w:t>
            </w:r>
          </w:p>
        </w:tc>
      </w:tr>
      <w:tr>
        <w:tc>
          <w:tcPr>
            <w:tcW w:type="dxa" w:w="1791"/>
            <w:tcMar>
              <w:top w:w="80" w:type="dxa"/>
              <w:start w:w="120" w:type="dxa"/>
              <w:bottom w:w="80" w:type="dxa"/>
              <w:end w:w="120" w:type="dxa"/>
            </w:tcMar>
            <w:vAlign w:val="center"/>
          </w:tcPr>
          <w:p>
            <w:pPr>
              <w:spacing w:before="0" w:after="0" w:line="240" w:lineRule="auto"/>
              <w:jc w:val="left"/>
            </w:pPr>
            <w:r/>
            <w:r>
              <w:rPr>
                <w:rFonts w:ascii="Arial" w:hAnsi="Arial" w:cs="Arial"/>
                <w:sz w:val="18"/>
              </w:rPr>
              <w:t>Afiliación</w:t>
            </w:r>
          </w:p>
        </w:tc>
        <w:tc>
          <w:tcPr>
            <w:tcW w:type="dxa" w:w="4134"/>
            <w:tcMar>
              <w:top w:w="80" w:type="dxa"/>
              <w:start w:w="120" w:type="dxa"/>
              <w:bottom w:w="80" w:type="dxa"/>
              <w:end w:w="120" w:type="dxa"/>
            </w:tcMar>
            <w:vAlign w:val="center"/>
          </w:tcPr>
          <w:p>
            <w:pPr>
              <w:spacing w:before="0" w:after="0" w:line="240" w:lineRule="auto"/>
              <w:jc w:val="left"/>
            </w:pPr>
            <w:r/>
            <w:r>
              <w:rPr>
                <w:rFonts w:ascii="Arial" w:hAnsi="Arial" w:cs="Arial"/>
                <w:sz w:val="18"/>
              </w:rPr>
              <w:t>Reconoce por primera vez la inclusión de una persona física en el sistema</w:t>
            </w:r>
          </w:p>
        </w:tc>
        <w:tc>
          <w:tcPr>
            <w:tcW w:type="dxa" w:w="3101"/>
            <w:tcMar>
              <w:top w:w="80" w:type="dxa"/>
              <w:start w:w="120" w:type="dxa"/>
              <w:bottom w:w="80" w:type="dxa"/>
              <w:end w:w="120" w:type="dxa"/>
            </w:tcMar>
            <w:vAlign w:val="center"/>
          </w:tcPr>
          <w:p>
            <w:pPr>
              <w:spacing w:before="0" w:after="0" w:line="240" w:lineRule="auto"/>
              <w:jc w:val="left"/>
            </w:pPr>
            <w:r/>
            <w:r>
              <w:rPr>
                <w:rFonts w:ascii="Arial" w:hAnsi="Arial" w:cs="Arial"/>
                <w:sz w:val="18"/>
              </w:rPr>
              <w:t>Única y vitalicia</w:t>
            </w:r>
          </w:p>
        </w:tc>
      </w:tr>
      <w:tr>
        <w:tc>
          <w:tcPr>
            <w:tcW w:type="dxa" w:w="1791"/>
            <w:tcMar>
              <w:top w:w="80" w:type="dxa"/>
              <w:start w:w="120" w:type="dxa"/>
              <w:bottom w:w="80" w:type="dxa"/>
              <w:end w:w="120" w:type="dxa"/>
            </w:tcMar>
            <w:vAlign w:val="center"/>
          </w:tcPr>
          <w:p>
            <w:pPr>
              <w:spacing w:before="0" w:after="0" w:line="240" w:lineRule="auto"/>
              <w:jc w:val="left"/>
            </w:pPr>
            <w:r/>
            <w:r>
              <w:rPr>
                <w:rFonts w:ascii="Arial" w:hAnsi="Arial" w:cs="Arial"/>
                <w:sz w:val="18"/>
              </w:rPr>
              <w:t>Alta</w:t>
            </w:r>
          </w:p>
        </w:tc>
        <w:tc>
          <w:tcPr>
            <w:tcW w:type="dxa" w:w="4134"/>
            <w:tcMar>
              <w:top w:w="80" w:type="dxa"/>
              <w:start w:w="120" w:type="dxa"/>
              <w:bottom w:w="80" w:type="dxa"/>
              <w:end w:w="120" w:type="dxa"/>
            </w:tcMar>
            <w:vAlign w:val="center"/>
          </w:tcPr>
          <w:p>
            <w:pPr>
              <w:spacing w:before="0" w:after="0" w:line="240" w:lineRule="auto"/>
              <w:jc w:val="left"/>
            </w:pPr>
            <w:r/>
            <w:r>
              <w:rPr>
                <w:rFonts w:ascii="Arial" w:hAnsi="Arial" w:cs="Arial"/>
                <w:sz w:val="18"/>
              </w:rPr>
              <w:t>Vincula una actividad concreta con un régimen y periodo</w:t>
            </w:r>
          </w:p>
        </w:tc>
        <w:tc>
          <w:tcPr>
            <w:tcW w:type="dxa" w:w="3101"/>
            <w:tcMar>
              <w:top w:w="80" w:type="dxa"/>
              <w:start w:w="120" w:type="dxa"/>
              <w:bottom w:w="80" w:type="dxa"/>
              <w:end w:w="120" w:type="dxa"/>
            </w:tcMar>
            <w:vAlign w:val="center"/>
          </w:tcPr>
          <w:p>
            <w:pPr>
              <w:spacing w:before="0" w:after="0" w:line="240" w:lineRule="auto"/>
              <w:jc w:val="left"/>
            </w:pPr>
            <w:r/>
            <w:r>
              <w:rPr>
                <w:rFonts w:ascii="Arial" w:hAnsi="Arial" w:cs="Arial"/>
                <w:sz w:val="18"/>
              </w:rPr>
              <w:t>Puede haber muchas</w:t>
            </w:r>
          </w:p>
        </w:tc>
      </w:tr>
      <w:tr>
        <w:tc>
          <w:tcPr>
            <w:tcW w:type="dxa" w:w="1791"/>
            <w:tcMar>
              <w:top w:w="80" w:type="dxa"/>
              <w:start w:w="120" w:type="dxa"/>
              <w:bottom w:w="80" w:type="dxa"/>
              <w:end w:w="120" w:type="dxa"/>
            </w:tcMar>
            <w:vAlign w:val="center"/>
          </w:tcPr>
          <w:p>
            <w:pPr>
              <w:spacing w:before="0" w:after="0" w:line="240" w:lineRule="auto"/>
              <w:jc w:val="left"/>
            </w:pPr>
            <w:r/>
            <w:r>
              <w:rPr>
                <w:rFonts w:ascii="Arial" w:hAnsi="Arial" w:cs="Arial"/>
                <w:sz w:val="18"/>
              </w:rPr>
              <w:t>Baja</w:t>
            </w:r>
          </w:p>
        </w:tc>
        <w:tc>
          <w:tcPr>
            <w:tcW w:type="dxa" w:w="4134"/>
            <w:tcMar>
              <w:top w:w="80" w:type="dxa"/>
              <w:start w:w="120" w:type="dxa"/>
              <w:bottom w:w="80" w:type="dxa"/>
              <w:end w:w="120" w:type="dxa"/>
            </w:tcMar>
            <w:vAlign w:val="center"/>
          </w:tcPr>
          <w:p>
            <w:pPr>
              <w:spacing w:before="0" w:after="0" w:line="240" w:lineRule="auto"/>
              <w:jc w:val="left"/>
            </w:pPr>
            <w:r/>
            <w:r>
              <w:rPr>
                <w:rFonts w:ascii="Arial" w:hAnsi="Arial" w:cs="Arial"/>
                <w:sz w:val="18"/>
              </w:rPr>
              <w:t>Declara el cese de esa actividad o relación</w:t>
            </w:r>
          </w:p>
        </w:tc>
        <w:tc>
          <w:tcPr>
            <w:tcW w:type="dxa" w:w="3101"/>
            <w:tcMar>
              <w:top w:w="80" w:type="dxa"/>
              <w:start w:w="120" w:type="dxa"/>
              <w:bottom w:w="80" w:type="dxa"/>
              <w:end w:w="120" w:type="dxa"/>
            </w:tcMar>
            <w:vAlign w:val="center"/>
          </w:tcPr>
          <w:p>
            <w:pPr>
              <w:spacing w:before="0" w:after="0" w:line="240" w:lineRule="auto"/>
              <w:jc w:val="left"/>
            </w:pPr>
            <w:r/>
            <w:r>
              <w:rPr>
                <w:rFonts w:ascii="Arial" w:hAnsi="Arial" w:cs="Arial"/>
                <w:sz w:val="18"/>
              </w:rPr>
              <w:t>Una por cada alta que termina</w:t>
            </w:r>
          </w:p>
        </w:tc>
      </w:tr>
      <w:tr>
        <w:tc>
          <w:tcPr>
            <w:tcW w:type="dxa" w:w="1791"/>
            <w:tcMar>
              <w:top w:w="80" w:type="dxa"/>
              <w:start w:w="120" w:type="dxa"/>
              <w:bottom w:w="80" w:type="dxa"/>
              <w:end w:w="120" w:type="dxa"/>
            </w:tcMar>
            <w:vAlign w:val="center"/>
          </w:tcPr>
          <w:p>
            <w:pPr>
              <w:spacing w:before="0" w:after="0" w:line="240" w:lineRule="auto"/>
              <w:jc w:val="left"/>
            </w:pPr>
            <w:r/>
            <w:r>
              <w:rPr>
                <w:rFonts w:ascii="Arial" w:hAnsi="Arial" w:cs="Arial"/>
                <w:sz w:val="18"/>
              </w:rPr>
              <w:t>Variación de datos</w:t>
            </w:r>
          </w:p>
        </w:tc>
        <w:tc>
          <w:tcPr>
            <w:tcW w:type="dxa" w:w="4134"/>
            <w:tcMar>
              <w:top w:w="80" w:type="dxa"/>
              <w:start w:w="120" w:type="dxa"/>
              <w:bottom w:w="80" w:type="dxa"/>
              <w:end w:w="120" w:type="dxa"/>
            </w:tcMar>
            <w:vAlign w:val="center"/>
          </w:tcPr>
          <w:p>
            <w:pPr>
              <w:spacing w:before="0" w:after="0" w:line="240" w:lineRule="auto"/>
              <w:jc w:val="left"/>
            </w:pPr>
            <w:r/>
            <w:r>
              <w:rPr>
                <w:rFonts w:ascii="Arial" w:hAnsi="Arial" w:cs="Arial"/>
                <w:sz w:val="18"/>
              </w:rPr>
              <w:t>Modifica datos relevantes sin extinguir necesariamente el alta</w:t>
            </w:r>
          </w:p>
        </w:tc>
        <w:tc>
          <w:tcPr>
            <w:tcW w:type="dxa" w:w="3101"/>
            <w:tcMar>
              <w:top w:w="80" w:type="dxa"/>
              <w:start w:w="120" w:type="dxa"/>
              <w:bottom w:w="80" w:type="dxa"/>
              <w:end w:w="120" w:type="dxa"/>
            </w:tcMar>
            <w:vAlign w:val="center"/>
          </w:tcPr>
          <w:p>
            <w:pPr>
              <w:spacing w:before="0" w:after="0" w:line="240" w:lineRule="auto"/>
              <w:jc w:val="left"/>
            </w:pPr>
            <w:r/>
            <w:r>
              <w:rPr>
                <w:rFonts w:ascii="Arial" w:hAnsi="Arial" w:cs="Arial"/>
                <w:sz w:val="18"/>
              </w:rPr>
              <w:t>Siempre que cambie un dato comunicado</w:t>
            </w:r>
          </w:p>
        </w:tc>
      </w:tr>
      <w:tr>
        <w:tc>
          <w:tcPr>
            <w:tcW w:type="dxa" w:w="1791"/>
            <w:tcMar>
              <w:top w:w="80" w:type="dxa"/>
              <w:start w:w="120" w:type="dxa"/>
              <w:bottom w:w="80" w:type="dxa"/>
              <w:end w:w="120" w:type="dxa"/>
            </w:tcMar>
            <w:vAlign w:val="center"/>
          </w:tcPr>
          <w:p>
            <w:pPr>
              <w:spacing w:before="0" w:after="0" w:line="240" w:lineRule="auto"/>
              <w:jc w:val="left"/>
            </w:pPr>
            <w:r/>
            <w:r>
              <w:rPr>
                <w:rFonts w:ascii="Arial" w:hAnsi="Arial" w:cs="Arial"/>
                <w:sz w:val="18"/>
              </w:rPr>
              <w:t>Encuadramiento</w:t>
            </w:r>
          </w:p>
        </w:tc>
        <w:tc>
          <w:tcPr>
            <w:tcW w:type="dxa" w:w="4134"/>
            <w:tcMar>
              <w:top w:w="80" w:type="dxa"/>
              <w:start w:w="120" w:type="dxa"/>
              <w:bottom w:w="80" w:type="dxa"/>
              <w:end w:w="120" w:type="dxa"/>
            </w:tcMar>
            <w:vAlign w:val="center"/>
          </w:tcPr>
          <w:p>
            <w:pPr>
              <w:spacing w:before="0" w:after="0" w:line="240" w:lineRule="auto"/>
              <w:jc w:val="left"/>
            </w:pPr>
            <w:r/>
            <w:r>
              <w:rPr>
                <w:rFonts w:ascii="Arial" w:hAnsi="Arial" w:cs="Arial"/>
                <w:sz w:val="18"/>
              </w:rPr>
              <w:t>Determina régimen, sistema, grupo o cuenta aplicable</w:t>
            </w:r>
          </w:p>
        </w:tc>
        <w:tc>
          <w:tcPr>
            <w:tcW w:type="dxa" w:w="3101"/>
            <w:tcMar>
              <w:top w:w="80" w:type="dxa"/>
              <w:start w:w="120" w:type="dxa"/>
              <w:bottom w:w="80" w:type="dxa"/>
              <w:end w:w="120" w:type="dxa"/>
            </w:tcMar>
            <w:vAlign w:val="center"/>
          </w:tcPr>
          <w:p>
            <w:pPr>
              <w:spacing w:before="0" w:after="0" w:line="240" w:lineRule="auto"/>
              <w:jc w:val="left"/>
            </w:pPr>
            <w:r/>
            <w:r>
              <w:rPr>
                <w:rFonts w:ascii="Arial" w:hAnsi="Arial" w:cs="Arial"/>
                <w:sz w:val="18"/>
              </w:rPr>
              <w:t>Depende de la actividad real</w:t>
            </w:r>
          </w:p>
        </w:tc>
      </w:tr>
      <w:tr>
        <w:tc>
          <w:tcPr>
            <w:tcW w:type="dxa" w:w="1791"/>
            <w:tcMar>
              <w:top w:w="80" w:type="dxa"/>
              <w:start w:w="120" w:type="dxa"/>
              <w:bottom w:w="80" w:type="dxa"/>
              <w:end w:w="120" w:type="dxa"/>
            </w:tcMar>
            <w:vAlign w:val="center"/>
          </w:tcPr>
          <w:p>
            <w:pPr>
              <w:spacing w:before="0" w:after="0" w:line="240" w:lineRule="auto"/>
              <w:jc w:val="left"/>
            </w:pPr>
            <w:r/>
            <w:r>
              <w:rPr>
                <w:rFonts w:ascii="Arial" w:hAnsi="Arial" w:cs="Arial"/>
                <w:sz w:val="18"/>
              </w:rPr>
              <w:t>Convenio especial</w:t>
            </w:r>
          </w:p>
        </w:tc>
        <w:tc>
          <w:tcPr>
            <w:tcW w:type="dxa" w:w="4134"/>
            <w:tcMar>
              <w:top w:w="80" w:type="dxa"/>
              <w:start w:w="120" w:type="dxa"/>
              <w:bottom w:w="80" w:type="dxa"/>
              <w:end w:w="120" w:type="dxa"/>
            </w:tcMar>
            <w:vAlign w:val="center"/>
          </w:tcPr>
          <w:p>
            <w:pPr>
              <w:spacing w:before="0" w:after="0" w:line="240" w:lineRule="auto"/>
              <w:jc w:val="left"/>
            </w:pPr>
            <w:r/>
            <w:r>
              <w:rPr>
                <w:rFonts w:ascii="Arial" w:hAnsi="Arial" w:cs="Arial"/>
                <w:sz w:val="18"/>
              </w:rPr>
              <w:t>Mantiene voluntariamente cotización en supuestos regulados</w:t>
            </w:r>
          </w:p>
        </w:tc>
        <w:tc>
          <w:tcPr>
            <w:tcW w:type="dxa" w:w="3101"/>
            <w:tcMar>
              <w:top w:w="80" w:type="dxa"/>
              <w:start w:w="120" w:type="dxa"/>
              <w:bottom w:w="80" w:type="dxa"/>
              <w:end w:w="120" w:type="dxa"/>
            </w:tcMar>
            <w:vAlign w:val="center"/>
          </w:tcPr>
          <w:p>
            <w:pPr>
              <w:spacing w:before="0" w:after="0" w:line="240" w:lineRule="auto"/>
              <w:jc w:val="left"/>
            </w:pPr>
            <w:r/>
            <w:r>
              <w:rPr>
                <w:rFonts w:ascii="Arial" w:hAnsi="Arial" w:cs="Arial"/>
                <w:sz w:val="18"/>
              </w:rPr>
              <w:t>Temporal, causal y sujeto a cuota</w:t>
            </w:r>
          </w:p>
        </w:tc>
      </w:tr>
    </w:tbl>
    <w:p>
      <w:pPr>
        <w:spacing w:after="40"/>
      </w:pPr>
    </w:p>
    <w:p>
      <w:pPr>
        <w:jc w:val="both"/>
      </w:pPr>
      <w:r>
        <w:rPr>
          <w:rFonts w:ascii="Arial" w:hAnsi="Arial" w:cs="Arial"/>
          <w:sz w:val="22"/>
        </w:rPr>
        <w:t xml:space="preserve">La afiliación no se repite al cambiar de empresa ni de régimen. Una persona conserva el mismo número y puede acumular sucesivas altas. También puede mantener altas simultáneas: </w:t>
      </w:r>
      <w:r>
        <w:rPr>
          <w:rFonts w:ascii="Arial" w:hAnsi="Arial" w:cs="Arial"/>
          <w:b/>
          <w:sz w:val="22"/>
        </w:rPr>
        <w:t>pluriempleo</w:t>
      </w:r>
      <w:r>
        <w:rPr>
          <w:rFonts w:ascii="Arial" w:hAnsi="Arial" w:cs="Arial"/>
          <w:sz w:val="22"/>
        </w:rPr>
        <w:t xml:space="preserve"> cuando presta servicios para dos o más empresarios en actividades que determinan inclusión en el Régimen General; </w:t>
      </w:r>
      <w:r>
        <w:rPr>
          <w:rFonts w:ascii="Arial" w:hAnsi="Arial" w:cs="Arial"/>
          <w:b/>
          <w:sz w:val="22"/>
        </w:rPr>
        <w:t>pluriactividad</w:t>
      </w:r>
      <w:r>
        <w:rPr>
          <w:rFonts w:ascii="Arial" w:hAnsi="Arial" w:cs="Arial"/>
          <w:sz w:val="22"/>
        </w:rPr>
        <w:t xml:space="preserve"> cuando realiza actividades que obligan al alta en regímenes distintos. La pluralidad de altas no crea varias afiliaciones.</w:t>
      </w:r>
    </w:p>
    <w:p>
      <w:pPr>
        <w:pStyle w:val="Heading1"/>
        <w:keepNext/>
      </w:pPr>
      <w:r>
        <w:rPr>
          <w:rFonts w:ascii="Arial" w:hAnsi="Arial" w:cs="Arial"/>
          <w:sz w:val="30"/>
        </w:rPr>
        <w:t>3. Encuadramiento</w:t>
      </w:r>
    </w:p>
    <w:p>
      <w:pPr>
        <w:jc w:val="both"/>
      </w:pPr>
      <w:r>
        <w:rPr>
          <w:rFonts w:ascii="Arial" w:hAnsi="Arial" w:cs="Arial"/>
          <w:sz w:val="22"/>
        </w:rPr>
        <w:t>Encuadrar consiste en aplicar los hechos reales a las reglas que delimitan los regímenes. No depende del nombre del contrato, de lo declarado por las partes ni de una opción libre cuando la ley impone un régimen. Se examinan, entre otros elementos:</w:t>
      </w:r>
    </w:p>
    <w:p>
      <w:pPr>
        <w:spacing w:after="40"/>
        <w:ind w:left="369" w:hanging="227"/>
      </w:pPr>
      <w:r>
        <w:rPr>
          <w:rFonts w:ascii="Arial" w:hAnsi="Arial" w:cs="Arial"/>
          <w:sz w:val="22"/>
        </w:rPr>
        <w:t>1. trabajo por cuenta ajena o por cuenta propia;</w:t>
      </w:r>
    </w:p>
    <w:p>
      <w:pPr>
        <w:spacing w:after="40"/>
        <w:ind w:left="369" w:hanging="227"/>
      </w:pPr>
      <w:r>
        <w:rPr>
          <w:rFonts w:ascii="Arial" w:hAnsi="Arial" w:cs="Arial"/>
          <w:sz w:val="22"/>
        </w:rPr>
        <w:t>2. dependencia, ajenidad, habitualidad y asunción del riesgo;</w:t>
      </w:r>
    </w:p>
    <w:p>
      <w:pPr>
        <w:spacing w:after="40"/>
        <w:ind w:left="369" w:hanging="227"/>
      </w:pPr>
      <w:r>
        <w:rPr>
          <w:rFonts w:ascii="Arial" w:hAnsi="Arial" w:cs="Arial"/>
          <w:sz w:val="22"/>
        </w:rPr>
        <w:t>3. control efectivo de sociedades y funciones de dirección;</w:t>
      </w:r>
    </w:p>
    <w:p>
      <w:pPr>
        <w:spacing w:after="40"/>
        <w:ind w:left="369" w:hanging="227"/>
      </w:pPr>
      <w:r>
        <w:rPr>
          <w:rFonts w:ascii="Arial" w:hAnsi="Arial" w:cs="Arial"/>
          <w:sz w:val="22"/>
        </w:rPr>
        <w:t>4. parentesco, convivencia y dependencia económica;</w:t>
      </w:r>
    </w:p>
    <w:p>
      <w:pPr>
        <w:spacing w:after="40"/>
        <w:ind w:left="369" w:hanging="227"/>
      </w:pPr>
      <w:r>
        <w:rPr>
          <w:rFonts w:ascii="Arial" w:hAnsi="Arial" w:cs="Arial"/>
          <w:sz w:val="22"/>
        </w:rPr>
        <w:t>5. actividad marítimo-pesquera, agraria, doméstica u otra con regla especial;</w:t>
      </w:r>
    </w:p>
    <w:p>
      <w:pPr>
        <w:spacing w:after="40"/>
        <w:ind w:left="369" w:hanging="227"/>
      </w:pPr>
      <w:r>
        <w:rPr>
          <w:rFonts w:ascii="Arial" w:hAnsi="Arial" w:cs="Arial"/>
          <w:sz w:val="22"/>
        </w:rPr>
        <w:t>6. condición de funcionario, cooperativista, estudiante o persona en práctica formativa;</w:t>
      </w:r>
    </w:p>
    <w:p>
      <w:pPr>
        <w:spacing w:after="40"/>
        <w:ind w:left="369" w:hanging="227"/>
      </w:pPr>
      <w:r>
        <w:rPr>
          <w:rFonts w:ascii="Arial" w:hAnsi="Arial" w:cs="Arial"/>
          <w:sz w:val="22"/>
        </w:rPr>
        <w:t>7. territorio de prestación y normas internacionales de conflicto.</w:t>
      </w:r>
    </w:p>
    <w:p>
      <w:pPr>
        <w:jc w:val="both"/>
      </w:pPr>
      <w:r>
        <w:rPr>
          <w:rFonts w:ascii="Arial" w:hAnsi="Arial" w:cs="Arial"/>
          <w:sz w:val="22"/>
        </w:rPr>
        <w:t>La TGSS puede revisar el encuadramiento si los datos declarados no coinciden con la actividad. El cambio de criterio no autoriza a ignorar los efectos temporales previstos en la norma ni las garantías de audiencia, motivación y recurso. Cuando existe duda entre Régimen General y RETA, la pregunta decisiva suele ser si hay trabajo dependiente y ajeno o actividad autónoma, y, en sociedades, si existe control efectivo.</w:t>
      </w:r>
    </w:p>
    <w:p>
      <w:pPr>
        <w:pStyle w:val="Heading2"/>
        <w:keepNext/>
      </w:pPr>
      <w:r>
        <w:rPr>
          <w:rFonts w:ascii="Arial" w:hAnsi="Arial" w:cs="Arial"/>
          <w:sz w:val="25"/>
        </w:rPr>
        <w:t>3.1. Encuadramiento de socios y familiares</w:t>
      </w:r>
    </w:p>
    <w:p>
      <w:pPr>
        <w:jc w:val="both"/>
      </w:pPr>
      <w:r>
        <w:rPr>
          <w:rFonts w:ascii="Arial" w:hAnsi="Arial" w:cs="Arial"/>
          <w:sz w:val="22"/>
        </w:rPr>
        <w:t>Los socios trabajadores pueden quedar en Régimen General, asimilados sin desempleo ni FOGASA o incluidos en RETA según funciones y control. No basta ser administrador: han de analizarse las facultades efectivas, la participación y los vínculos familiares computables.</w:t>
      </w:r>
    </w:p>
    <w:p>
      <w:pPr>
        <w:jc w:val="both"/>
      </w:pPr>
      <w:r>
        <w:rPr>
          <w:rFonts w:ascii="Arial" w:hAnsi="Arial" w:cs="Arial"/>
          <w:sz w:val="22"/>
        </w:rPr>
        <w:t>El cónyuge y los parientes del empresario hasta segundo grado que convivan con él y estén a su cargo se presumen no asalariados, salvo prueba en contrario. La presunción no es una exclusión absoluta. Si se acredita una verdadera relación laboral con salario, dependencia y ajenidad, procede el Régimen General; si colaboran de forma habitual sin esas notas, suele proceder el régimen de cuenta propia correspondiente.</w:t>
      </w:r>
    </w:p>
    <w:p>
      <w:pPr>
        <w:pStyle w:val="Heading1"/>
        <w:keepNext/>
      </w:pPr>
      <w:r>
        <w:rPr>
          <w:rFonts w:ascii="Arial" w:hAnsi="Arial" w:cs="Arial"/>
          <w:sz w:val="30"/>
        </w:rPr>
        <w:t>4. Inscripción de empresas</w:t>
      </w:r>
    </w:p>
    <w:p>
      <w:pPr>
        <w:pStyle w:val="Heading2"/>
        <w:keepNext/>
      </w:pPr>
      <w:r>
        <w:rPr>
          <w:rFonts w:ascii="Arial" w:hAnsi="Arial" w:cs="Arial"/>
          <w:sz w:val="25"/>
        </w:rPr>
        <w:t>4.1. Concepto de empresario a estos efectos</w:t>
      </w:r>
    </w:p>
    <w:p>
      <w:pPr>
        <w:jc w:val="both"/>
      </w:pPr>
      <w:r>
        <w:rPr>
          <w:rFonts w:ascii="Arial" w:hAnsi="Arial" w:cs="Arial"/>
          <w:sz w:val="22"/>
        </w:rPr>
        <w:t>Es empresario, aunque su actividad carezca de ánimo de lucro, toda persona física o jurídica, pública o privada, a la que presten servicios personas incluidas en un régimen cuya incorporación deba promover aquella. También pueden recibir tal consideración comunidades de bienes, herencias yacentes, agrupaciones u otras entidades sin personalidad cuando ocupan trabajadores.</w:t>
      </w:r>
    </w:p>
    <w:p>
      <w:pPr>
        <w:jc w:val="both"/>
      </w:pPr>
      <w:r>
        <w:rPr>
          <w:rFonts w:ascii="Arial" w:hAnsi="Arial" w:cs="Arial"/>
          <w:sz w:val="22"/>
        </w:rPr>
        <w:t>La noción de empresario de Seguridad Social es funcional. No coincide necesariamente con la condición mercantil de comerciante. Una asociación, una Administración pública o un hogar familiar pueden ser empresarios a efectos de inscripción, alta y cotización.</w:t>
      </w:r>
    </w:p>
    <w:p>
      <w:pPr>
        <w:pStyle w:val="Heading2"/>
        <w:keepNext/>
      </w:pPr>
      <w:r>
        <w:rPr>
          <w:rFonts w:ascii="Arial" w:hAnsi="Arial" w:cs="Arial"/>
          <w:sz w:val="25"/>
        </w:rPr>
        <w:t>4.2. Solicitud y momento</w:t>
      </w:r>
    </w:p>
    <w:p>
      <w:pPr>
        <w:jc w:val="both"/>
      </w:pPr>
      <w:r>
        <w:rPr>
          <w:rFonts w:ascii="Arial" w:hAnsi="Arial" w:cs="Arial"/>
          <w:sz w:val="22"/>
        </w:rPr>
        <w:t xml:space="preserve">El empresario debe solicitar su inscripción </w:t>
      </w:r>
      <w:r>
        <w:rPr>
          <w:rFonts w:ascii="Arial" w:hAnsi="Arial" w:cs="Arial"/>
          <w:b/>
          <w:sz w:val="22"/>
        </w:rPr>
        <w:t>antes de iniciar sus actividades y de ocupar trabajadores</w:t>
      </w:r>
      <w:r>
        <w:rPr>
          <w:rFonts w:ascii="Arial" w:hAnsi="Arial" w:cs="Arial"/>
          <w:sz w:val="22"/>
        </w:rPr>
        <w:t>. La solicitud se dirige a la TGSS y contiene los datos necesarios para identificar:</w:t>
      </w:r>
    </w:p>
    <w:p>
      <w:pPr>
        <w:pStyle w:val="ListBullet"/>
      </w:pPr>
      <w:r>
        <w:rPr>
          <w:rFonts w:ascii="Arial" w:hAnsi="Arial" w:cs="Arial"/>
          <w:sz w:val="22"/>
        </w:rPr>
        <w:t>nombre o razón social, domicilio y número de identificación fiscal;</w:t>
      </w:r>
    </w:p>
    <w:p>
      <w:pPr>
        <w:pStyle w:val="ListBullet"/>
      </w:pPr>
      <w:r>
        <w:rPr>
          <w:rFonts w:ascii="Arial" w:hAnsi="Arial" w:cs="Arial"/>
          <w:sz w:val="22"/>
        </w:rPr>
        <w:t>actividad económica principal y demás actividades relevantes;</w:t>
      </w:r>
    </w:p>
    <w:p>
      <w:pPr>
        <w:pStyle w:val="ListBullet"/>
      </w:pPr>
      <w:r>
        <w:rPr>
          <w:rFonts w:ascii="Arial" w:hAnsi="Arial" w:cs="Arial"/>
          <w:sz w:val="22"/>
        </w:rPr>
        <w:t>centros de trabajo y provincias;</w:t>
      </w:r>
    </w:p>
    <w:p>
      <w:pPr>
        <w:pStyle w:val="ListBullet"/>
      </w:pPr>
      <w:r>
        <w:rPr>
          <w:rFonts w:ascii="Arial" w:hAnsi="Arial" w:cs="Arial"/>
          <w:sz w:val="22"/>
        </w:rPr>
        <w:t>fecha prevista de comienzo;</w:t>
      </w:r>
    </w:p>
    <w:p>
      <w:pPr>
        <w:pStyle w:val="ListBullet"/>
      </w:pPr>
      <w:r>
        <w:rPr>
          <w:rFonts w:ascii="Arial" w:hAnsi="Arial" w:cs="Arial"/>
          <w:sz w:val="22"/>
        </w:rPr>
        <w:t>entidad que cubre las contingencias profesionales y, cuando corresponda, la incapacidad temporal por contingencias comunes;</w:t>
      </w:r>
    </w:p>
    <w:p>
      <w:pPr>
        <w:pStyle w:val="ListBullet"/>
      </w:pPr>
      <w:r>
        <w:rPr>
          <w:rFonts w:ascii="Arial" w:hAnsi="Arial" w:cs="Arial"/>
          <w:sz w:val="22"/>
        </w:rPr>
        <w:t>representantes y medios de contacto;</w:t>
      </w:r>
    </w:p>
    <w:p>
      <w:pPr>
        <w:pStyle w:val="ListBullet"/>
      </w:pPr>
      <w:r>
        <w:rPr>
          <w:rFonts w:ascii="Arial" w:hAnsi="Arial" w:cs="Arial"/>
          <w:sz w:val="22"/>
        </w:rPr>
        <w:t>demás peculiaridades de cotización.</w:t>
      </w:r>
    </w:p>
    <w:p>
      <w:pPr>
        <w:jc w:val="both"/>
      </w:pPr>
      <w:r>
        <w:rPr>
          <w:rFonts w:ascii="Arial" w:hAnsi="Arial" w:cs="Arial"/>
          <w:sz w:val="22"/>
        </w:rPr>
        <w:t xml:space="preserve">La inscripción se realiza una sola vez y es válida en todo el territorio, pero la TGSS asigna un </w:t>
      </w:r>
      <w:r>
        <w:rPr>
          <w:rFonts w:ascii="Arial" w:hAnsi="Arial" w:cs="Arial"/>
          <w:b/>
          <w:sz w:val="22"/>
        </w:rPr>
        <w:t>código de cuenta de cotización principal</w:t>
      </w:r>
      <w:r>
        <w:rPr>
          <w:rFonts w:ascii="Arial" w:hAnsi="Arial" w:cs="Arial"/>
          <w:sz w:val="22"/>
        </w:rPr>
        <w:t xml:space="preserve"> y los códigos secundarios que procedan. Los códigos permiten separar provincias, actividades, colectivos o peculiaridades que exigen liquidación diferenciada. No deben confundirse con el número de Seguridad Social de cada trabajador.</w:t>
      </w:r>
    </w:p>
    <w:p>
      <w:pPr>
        <w:pStyle w:val="Heading2"/>
        <w:keepNext/>
      </w:pPr>
      <w:r>
        <w:rPr>
          <w:rFonts w:ascii="Arial" w:hAnsi="Arial" w:cs="Arial"/>
          <w:sz w:val="25"/>
        </w:rPr>
        <w:t>4.3. Variaciones y cese</w:t>
      </w:r>
    </w:p>
    <w:p>
      <w:pPr>
        <w:jc w:val="both"/>
      </w:pPr>
      <w:r>
        <w:rPr>
          <w:rFonts w:ascii="Arial" w:hAnsi="Arial" w:cs="Arial"/>
          <w:sz w:val="22"/>
        </w:rPr>
        <w:t>El empresario comunica cambios de denominación, domicilio, actividad, entidad colaboradora, centros, representación y demás datos determinantes. También comunica el cese, temporal o definitivo, sin que la mera comunicación extinga deudas anteriores.</w:t>
      </w:r>
    </w:p>
    <w:p>
      <w:pPr>
        <w:jc w:val="both"/>
      </w:pPr>
      <w:r>
        <w:rPr>
          <w:rFonts w:ascii="Arial" w:hAnsi="Arial" w:cs="Arial"/>
          <w:sz w:val="22"/>
        </w:rPr>
        <w:t>La baja de todos los trabajadores no equivale automáticamente a cancelar cualquier obligación empresarial. La TGSS conserva información e historial y puede exigir cuotas, recargos o responsabilidades pendientes. Si se reanuda la actividad, deberá actuarse conforme a la situación de la inscripción y los códigos, no abrir artificialmente identidades para eludir deuda.</w:t>
      </w:r>
    </w:p>
    <w:p>
      <w:pPr>
        <w:pStyle w:val="Heading2"/>
        <w:keepNext/>
      </w:pPr>
      <w:r>
        <w:rPr>
          <w:rFonts w:ascii="Arial" w:hAnsi="Arial" w:cs="Arial"/>
          <w:sz w:val="25"/>
        </w:rPr>
        <w:t>4.4. Inscripción de oficio</w:t>
      </w:r>
    </w:p>
    <w:p>
      <w:pPr>
        <w:jc w:val="both"/>
      </w:pPr>
      <w:r>
        <w:rPr>
          <w:rFonts w:ascii="Arial" w:hAnsi="Arial" w:cs="Arial"/>
          <w:sz w:val="22"/>
        </w:rPr>
        <w:t>Cuando el empresario incumple, la TGSS puede inscribirlo de oficio a partir de actuaciones inspectoras, datos de otras Administraciones, resoluciones judiciales o cualquier medio admisible. La inscripción de oficio no sanea la infracción ni elimina las cuotas del periodo trabajado.</w:t>
      </w:r>
    </w:p>
    <w:p>
      <w:pPr>
        <w:pStyle w:val="Heading1"/>
        <w:keepNext/>
      </w:pPr>
      <w:r>
        <w:rPr>
          <w:rFonts w:ascii="Arial" w:hAnsi="Arial" w:cs="Arial"/>
          <w:sz w:val="30"/>
        </w:rPr>
        <w:t>5. La afiliación</w:t>
      </w:r>
    </w:p>
    <w:p>
      <w:pPr>
        <w:pStyle w:val="Heading2"/>
        <w:keepNext/>
      </w:pPr>
      <w:r>
        <w:rPr>
          <w:rFonts w:ascii="Arial" w:hAnsi="Arial" w:cs="Arial"/>
          <w:sz w:val="25"/>
        </w:rPr>
        <w:t>5.1. Naturaleza</w:t>
      </w:r>
    </w:p>
    <w:p>
      <w:pPr>
        <w:jc w:val="both"/>
      </w:pPr>
      <w:r>
        <w:rPr>
          <w:rFonts w:ascii="Arial" w:hAnsi="Arial" w:cs="Arial"/>
          <w:sz w:val="22"/>
        </w:rPr>
        <w:t>La afiliación es el acto administrativo por el que la TGSS reconoce a una persona física, cuando realiza por primera vez una actividad determinante de inclusión, la condición de comprendida en el sistema. Sus notas clásicas son:</w:t>
      </w:r>
    </w:p>
    <w:p>
      <w:pPr>
        <w:pStyle w:val="ListBullet"/>
      </w:pPr>
      <w:r>
        <w:rPr>
          <w:rFonts w:ascii="Arial" w:hAnsi="Arial" w:cs="Arial"/>
          <w:b/>
          <w:sz w:val="22"/>
        </w:rPr>
        <w:t>obligatoria</w:t>
      </w:r>
      <w:r>
        <w:rPr>
          <w:rFonts w:ascii="Arial" w:hAnsi="Arial" w:cs="Arial"/>
          <w:sz w:val="22"/>
        </w:rPr>
        <w:t>, porque no depende de la voluntad;</w:t>
      </w:r>
    </w:p>
    <w:p>
      <w:pPr>
        <w:pStyle w:val="ListBullet"/>
      </w:pPr>
      <w:r>
        <w:rPr>
          <w:rFonts w:ascii="Arial" w:hAnsi="Arial" w:cs="Arial"/>
          <w:b/>
          <w:sz w:val="22"/>
        </w:rPr>
        <w:t>única</w:t>
      </w:r>
      <w:r>
        <w:rPr>
          <w:rFonts w:ascii="Arial" w:hAnsi="Arial" w:cs="Arial"/>
          <w:sz w:val="22"/>
        </w:rPr>
        <w:t>, para todos los regímenes;</w:t>
      </w:r>
    </w:p>
    <w:p>
      <w:pPr>
        <w:pStyle w:val="ListBullet"/>
      </w:pPr>
      <w:r>
        <w:rPr>
          <w:rFonts w:ascii="Arial" w:hAnsi="Arial" w:cs="Arial"/>
          <w:b/>
          <w:sz w:val="22"/>
        </w:rPr>
        <w:t>general</w:t>
      </w:r>
      <w:r>
        <w:rPr>
          <w:rFonts w:ascii="Arial" w:hAnsi="Arial" w:cs="Arial"/>
          <w:sz w:val="22"/>
        </w:rPr>
        <w:t>, pues se refiere al sistema completo;</w:t>
      </w:r>
    </w:p>
    <w:p>
      <w:pPr>
        <w:pStyle w:val="ListBullet"/>
      </w:pPr>
      <w:r>
        <w:rPr>
          <w:rFonts w:ascii="Arial" w:hAnsi="Arial" w:cs="Arial"/>
          <w:b/>
          <w:sz w:val="22"/>
        </w:rPr>
        <w:t>vitalicia</w:t>
      </w:r>
      <w:r>
        <w:rPr>
          <w:rFonts w:ascii="Arial" w:hAnsi="Arial" w:cs="Arial"/>
          <w:sz w:val="22"/>
        </w:rPr>
        <w:t>, aunque se alternen periodos de actividad e inactividad;</w:t>
      </w:r>
    </w:p>
    <w:p>
      <w:pPr>
        <w:pStyle w:val="ListBullet"/>
      </w:pPr>
      <w:r>
        <w:rPr>
          <w:rFonts w:ascii="Arial" w:hAnsi="Arial" w:cs="Arial"/>
          <w:b/>
          <w:sz w:val="22"/>
        </w:rPr>
        <w:t>exclusiva</w:t>
      </w:r>
      <w:r>
        <w:rPr>
          <w:rFonts w:ascii="Arial" w:hAnsi="Arial" w:cs="Arial"/>
          <w:sz w:val="22"/>
        </w:rPr>
        <w:t>, sin duplicación por el mismo trabajo.</w:t>
      </w:r>
    </w:p>
    <w:p>
      <w:pPr>
        <w:jc w:val="both"/>
      </w:pPr>
      <w:r>
        <w:rPr>
          <w:rFonts w:ascii="Arial" w:hAnsi="Arial" w:cs="Arial"/>
          <w:sz w:val="22"/>
        </w:rPr>
        <w:t>La afiliación produce la asignación de un número de Seguridad Social, que identifica a la persona en sus relaciones con el sistema. Si ya se dispone de número por asistencia sanitaria u otro motivo, ese dato se utiliza y consolida; no se solicita uno nuevo por cada empleo.</w:t>
      </w:r>
    </w:p>
    <w:p>
      <w:pPr>
        <w:pStyle w:val="Heading2"/>
        <w:keepNext/>
      </w:pPr>
      <w:r>
        <w:rPr>
          <w:rFonts w:ascii="Arial" w:hAnsi="Arial" w:cs="Arial"/>
          <w:sz w:val="25"/>
        </w:rPr>
        <w:t>5.2. Sujetos obligados a promoverla</w:t>
      </w:r>
    </w:p>
    <w:p>
      <w:pPr>
        <w:jc w:val="both"/>
      </w:pPr>
      <w:r>
        <w:rPr>
          <w:rFonts w:ascii="Arial" w:hAnsi="Arial" w:cs="Arial"/>
          <w:sz w:val="22"/>
        </w:rPr>
        <w:t>En el trabajo por cuenta ajena, el empresario solicita la afiliación de quien todavía no esté afiliado, simultáneamente con el alta y antes del comienzo de los servicios. Si incumple, la persona trabajadora puede solicitarla directamente. La TGSS también puede practicarla de oficio.</w:t>
      </w:r>
    </w:p>
    <w:p>
      <w:pPr>
        <w:jc w:val="both"/>
      </w:pPr>
      <w:r>
        <w:rPr>
          <w:rFonts w:ascii="Arial" w:hAnsi="Arial" w:cs="Arial"/>
          <w:sz w:val="22"/>
        </w:rPr>
        <w:t>En el trabajo por cuenta propia, la persona interesada promueve su afiliación y alta. Las reglas especiales pueden prever intermediación electrónica o actuación de colectivos autorizados, pero la responsabilidad material no desaparece.</w:t>
      </w:r>
    </w:p>
    <w:p>
      <w:pPr>
        <w:pStyle w:val="Heading2"/>
        <w:keepNext/>
      </w:pPr>
      <w:r>
        <w:rPr>
          <w:rFonts w:ascii="Arial" w:hAnsi="Arial" w:cs="Arial"/>
          <w:sz w:val="25"/>
        </w:rPr>
        <w:t>5.3. Solicitud del trabajador y actuación de oficio</w:t>
      </w:r>
    </w:p>
    <w:p>
      <w:pPr>
        <w:jc w:val="both"/>
      </w:pPr>
      <w:r>
        <w:rPr>
          <w:rFonts w:ascii="Arial" w:hAnsi="Arial" w:cs="Arial"/>
          <w:sz w:val="22"/>
        </w:rPr>
        <w:t>La solicitud subsidiaria del trabajador evita que el incumplimiento empresarial le cierre el acceso formal al sistema. La TGSS da cuenta a la Inspección de Trabajo y Seguridad Social cuando la solicitud revela incumplimiento del empresario. Ello permite separar dos consecuencias:</w:t>
      </w:r>
    </w:p>
    <w:p>
      <w:pPr>
        <w:spacing w:after="40"/>
        <w:ind w:left="369" w:hanging="227"/>
      </w:pPr>
      <w:r>
        <w:rPr>
          <w:rFonts w:ascii="Arial" w:hAnsi="Arial" w:cs="Arial"/>
          <w:sz w:val="22"/>
        </w:rPr>
        <w:t>1. la TGSS regulariza afiliación y alta;</w:t>
      </w:r>
    </w:p>
    <w:p>
      <w:pPr>
        <w:spacing w:after="40"/>
        <w:ind w:left="369" w:hanging="227"/>
      </w:pPr>
      <w:r>
        <w:rPr>
          <w:rFonts w:ascii="Arial" w:hAnsi="Arial" w:cs="Arial"/>
          <w:sz w:val="22"/>
        </w:rPr>
        <w:t>2. la Inspección valora infracción, acta y responsabilidades.</w:t>
      </w:r>
    </w:p>
    <w:p>
      <w:pPr>
        <w:jc w:val="both"/>
      </w:pPr>
      <w:r>
        <w:rPr>
          <w:rFonts w:ascii="Arial" w:hAnsi="Arial" w:cs="Arial"/>
          <w:sz w:val="22"/>
        </w:rPr>
        <w:t>La afiliación de oficio puede nacer de una actuación inspectora, de información obrante en entidades gestoras o servicios comunes, de datos tributarios o de otros hechos suficientemente acreditados. Debe dictarse resolución con el periodo y régimen correctos.</w:t>
      </w:r>
    </w:p>
    <w:p>
      <w:pPr>
        <w:pStyle w:val="Heading2"/>
        <w:keepNext/>
      </w:pPr>
      <w:r>
        <w:rPr>
          <w:rFonts w:ascii="Arial" w:hAnsi="Arial" w:cs="Arial"/>
          <w:sz w:val="25"/>
        </w:rPr>
        <w:t>5.4. Variaciones de datos de afiliación</w:t>
      </w:r>
    </w:p>
    <w:p>
      <w:pPr>
        <w:jc w:val="both"/>
      </w:pPr>
      <w:r>
        <w:rPr>
          <w:rFonts w:ascii="Arial" w:hAnsi="Arial" w:cs="Arial"/>
          <w:sz w:val="22"/>
        </w:rPr>
        <w:t xml:space="preserve">Los cambios de identidad, domicilio u otros datos personales facilitados al practicarse la afiliación se comunican a la TGSS, con carácter general, dentro de los </w:t>
      </w:r>
      <w:r>
        <w:rPr>
          <w:rFonts w:ascii="Arial" w:hAnsi="Arial" w:cs="Arial"/>
          <w:b/>
          <w:sz w:val="22"/>
        </w:rPr>
        <w:t>tres días naturales siguientes</w:t>
      </w:r>
      <w:r>
        <w:rPr>
          <w:rFonts w:ascii="Arial" w:hAnsi="Arial" w:cs="Arial"/>
          <w:sz w:val="22"/>
        </w:rPr>
        <w:t xml:space="preserve"> a la variación, conforme al artículo 28. Este plazo no ha sido modificado por el Real Decreto 643/2026: la ampliación a seis días afecta al artículo 32.3.2.º, es decir, a las solicitudes de baja y variaciones de datos de trabajadores allí reguladas. No toda variación personal exige una nueva alta; tampoco una nueva alta sustituye la obligación de corregir datos identificativos.</w:t>
      </w:r>
    </w:p>
    <w:p>
      <w:pPr>
        <w:pStyle w:val="Heading1"/>
        <w:keepNext/>
      </w:pPr>
      <w:r>
        <w:rPr>
          <w:rFonts w:ascii="Arial" w:hAnsi="Arial" w:cs="Arial"/>
          <w:sz w:val="30"/>
        </w:rPr>
        <w:t>6. El alta en el Régimen General</w:t>
      </w:r>
    </w:p>
    <w:p>
      <w:pPr>
        <w:pStyle w:val="Heading2"/>
        <w:keepNext/>
      </w:pPr>
      <w:r>
        <w:rPr>
          <w:rFonts w:ascii="Arial" w:hAnsi="Arial" w:cs="Arial"/>
          <w:sz w:val="25"/>
        </w:rPr>
        <w:t>6.1. Concepto y obligación</w:t>
      </w:r>
    </w:p>
    <w:p>
      <w:pPr>
        <w:jc w:val="both"/>
      </w:pPr>
      <w:r>
        <w:rPr>
          <w:rFonts w:ascii="Arial" w:hAnsi="Arial" w:cs="Arial"/>
          <w:sz w:val="22"/>
        </w:rPr>
        <w:t>El alta declara que una persona inicia o mantiene una actividad concreta incluida en el Régimen General. El empresario debe solicitarla por cada relación que determine obligación de inclusión. Si existen varios empleadores hay pluriempleo y cada uno tramita su alta. Si, además, la persona realiza una actividad autónoma, existe pluriactividad y debe constar el alta en cada régimen.</w:t>
      </w:r>
    </w:p>
    <w:p>
      <w:pPr>
        <w:jc w:val="both"/>
      </w:pPr>
      <w:r>
        <w:rPr>
          <w:rFonts w:ascii="Arial" w:hAnsi="Arial" w:cs="Arial"/>
          <w:sz w:val="22"/>
        </w:rPr>
        <w:t xml:space="preserve">La regla general es que el alta se solicite </w:t>
      </w:r>
      <w:r>
        <w:rPr>
          <w:rFonts w:ascii="Arial" w:hAnsi="Arial" w:cs="Arial"/>
          <w:b/>
          <w:sz w:val="22"/>
        </w:rPr>
        <w:t>antes del comienzo de la prestación</w:t>
      </w:r>
      <w:r>
        <w:rPr>
          <w:rFonts w:ascii="Arial" w:hAnsi="Arial" w:cs="Arial"/>
          <w:sz w:val="22"/>
        </w:rPr>
        <w:t xml:space="preserve">, sin que pueda presentarse con una antelación superior a </w:t>
      </w:r>
      <w:r>
        <w:rPr>
          <w:rFonts w:ascii="Arial" w:hAnsi="Arial" w:cs="Arial"/>
          <w:b/>
          <w:sz w:val="22"/>
        </w:rPr>
        <w:t>sesenta días naturales</w:t>
      </w:r>
      <w:r>
        <w:rPr>
          <w:rFonts w:ascii="Arial" w:hAnsi="Arial" w:cs="Arial"/>
          <w:sz w:val="22"/>
        </w:rPr>
        <w:t>, salvo reglas especiales. La posibilidad de anticiparla permite organizar la incorporación, pero no adelanta por sí sola sus efectos: estos comienzan con la actividad comunicada.</w:t>
      </w:r>
    </w:p>
    <w:p>
      <w:pPr>
        <w:pStyle w:val="Heading2"/>
        <w:keepNext/>
      </w:pPr>
      <w:r>
        <w:rPr>
          <w:rFonts w:ascii="Arial" w:hAnsi="Arial" w:cs="Arial"/>
          <w:sz w:val="25"/>
        </w:rPr>
        <w:t>6.2. Datos de la solicitud</w:t>
      </w:r>
    </w:p>
    <w:p>
      <w:pPr>
        <w:jc w:val="both"/>
      </w:pPr>
      <w:r>
        <w:rPr>
          <w:rFonts w:ascii="Arial" w:hAnsi="Arial" w:cs="Arial"/>
          <w:sz w:val="22"/>
        </w:rPr>
        <w:t>La solicitud identifica al empresario, código de cuenta, persona trabajadora, fecha y hora cuando proceda, grupo de cotización, tipo de contrato, ocupación relevante para contingencias profesionales, jornada, sistema especial y demás peculiaridades. Los datos deben reflejar la realidad.</w:t>
      </w:r>
    </w:p>
    <w:p>
      <w:pPr>
        <w:jc w:val="both"/>
      </w:pPr>
      <w:r>
        <w:rPr>
          <w:rFonts w:ascii="Arial" w:hAnsi="Arial" w:cs="Arial"/>
          <w:sz w:val="22"/>
        </w:rPr>
        <w:t>La tarifa de primas por accidentes de trabajo y enfermedades profesionales se aplica, como regla, según la actividad económica principal del empresario; determinadas ocupaciones expresamente enumeradas tienen un tipo propio. No puede elegirse la ocupación más barata si no corresponde al trabajo real.</w:t>
      </w:r>
    </w:p>
    <w:p>
      <w:pPr>
        <w:pStyle w:val="Heading2"/>
        <w:keepNext/>
      </w:pPr>
      <w:r>
        <w:rPr>
          <w:rFonts w:ascii="Arial" w:hAnsi="Arial" w:cs="Arial"/>
          <w:sz w:val="25"/>
        </w:rPr>
        <w:t>6.3. Quién puede promover el alta</w:t>
      </w:r>
    </w:p>
    <w:p>
      <w:pPr>
        <w:jc w:val="both"/>
      </w:pPr>
      <w:r>
        <w:rPr>
          <w:rFonts w:ascii="Arial" w:hAnsi="Arial" w:cs="Arial"/>
          <w:sz w:val="22"/>
        </w:rPr>
        <w:t>El orden es:</w:t>
      </w:r>
    </w:p>
    <w:p>
      <w:pPr>
        <w:spacing w:after="40"/>
        <w:ind w:left="369" w:hanging="227"/>
      </w:pPr>
      <w:r>
        <w:rPr>
          <w:rFonts w:ascii="Arial" w:hAnsi="Arial" w:cs="Arial"/>
          <w:sz w:val="22"/>
        </w:rPr>
        <w:t>1. empresario obligado;</w:t>
      </w:r>
    </w:p>
    <w:p>
      <w:pPr>
        <w:spacing w:after="40"/>
        <w:ind w:left="369" w:hanging="227"/>
      </w:pPr>
      <w:r>
        <w:rPr>
          <w:rFonts w:ascii="Arial" w:hAnsi="Arial" w:cs="Arial"/>
          <w:sz w:val="22"/>
        </w:rPr>
        <w:t>2. trabajador por cuenta ajena, si el empresario incumple;</w:t>
      </w:r>
    </w:p>
    <w:p>
      <w:pPr>
        <w:spacing w:after="40"/>
        <w:ind w:left="369" w:hanging="227"/>
      </w:pPr>
      <w:r>
        <w:rPr>
          <w:rFonts w:ascii="Arial" w:hAnsi="Arial" w:cs="Arial"/>
          <w:sz w:val="22"/>
        </w:rPr>
        <w:t>3. TGSS de oficio.</w:t>
      </w:r>
    </w:p>
    <w:p>
      <w:pPr>
        <w:jc w:val="both"/>
      </w:pPr>
      <w:r>
        <w:rPr>
          <w:rFonts w:ascii="Arial" w:hAnsi="Arial" w:cs="Arial"/>
          <w:sz w:val="22"/>
        </w:rPr>
        <w:t>El reconocimiento corresponde a la dirección provincial de la TGSS o a su administración competente. Una comunicación a otro organismo no reemplaza la solicitud, aunque los datos puedan provocar una actuación de oficio.</w:t>
      </w:r>
    </w:p>
    <w:p>
      <w:pPr>
        <w:pStyle w:val="Heading2"/>
        <w:keepNext/>
      </w:pPr>
      <w:r>
        <w:rPr>
          <w:rFonts w:ascii="Arial" w:hAnsi="Arial" w:cs="Arial"/>
          <w:sz w:val="25"/>
        </w:rPr>
        <w:t>6.4. Altas sucesivas y cambios de cuenta</w:t>
      </w:r>
    </w:p>
    <w:p>
      <w:pPr>
        <w:jc w:val="both"/>
      </w:pPr>
      <w:r>
        <w:rPr>
          <w:rFonts w:ascii="Arial" w:hAnsi="Arial" w:cs="Arial"/>
          <w:sz w:val="22"/>
        </w:rPr>
        <w:t>Un traslado puede exigir baja en un código y alta en otro cuando cambia la provincia, actividad o peculiaridad que justifica cuentas diferenciadas, aun sin extinguirse el contrato. No debe confundirse el movimiento de Seguridad Social con una extinción laboral.</w:t>
      </w:r>
    </w:p>
    <w:p>
      <w:pPr>
        <w:jc w:val="both"/>
      </w:pPr>
      <w:r>
        <w:rPr>
          <w:rFonts w:ascii="Arial" w:hAnsi="Arial" w:cs="Arial"/>
          <w:sz w:val="22"/>
        </w:rPr>
        <w:t>En los cambios de destino de funcionarios incluidos en el Régimen General, las altas y bajas se coordinan para evitar interrupciones artificiales: la baja produce efectos al finalizar el destino de origen y el alta al comenzar el nuevo, conforme a la regla específica.</w:t>
      </w:r>
    </w:p>
    <w:p>
      <w:pPr>
        <w:pStyle w:val="Heading1"/>
        <w:keepNext/>
      </w:pPr>
      <w:r>
        <w:rPr>
          <w:rFonts w:ascii="Arial" w:hAnsi="Arial" w:cs="Arial"/>
          <w:sz w:val="30"/>
        </w:rPr>
        <w:t>7. La baja y las variaciones de datos</w:t>
      </w:r>
    </w:p>
    <w:p>
      <w:pPr>
        <w:pStyle w:val="Heading2"/>
        <w:keepNext/>
      </w:pPr>
      <w:r>
        <w:rPr>
          <w:rFonts w:ascii="Arial" w:hAnsi="Arial" w:cs="Arial"/>
          <w:sz w:val="25"/>
        </w:rPr>
        <w:t>7.1. Baja</w:t>
      </w:r>
    </w:p>
    <w:p>
      <w:pPr>
        <w:jc w:val="both"/>
      </w:pPr>
      <w:r>
        <w:rPr>
          <w:rFonts w:ascii="Arial" w:hAnsi="Arial" w:cs="Arial"/>
          <w:sz w:val="22"/>
        </w:rPr>
        <w:t xml:space="preserve">La baja comunica el cese efectivo en el trabajo o situación que justificaba el alta. El 30 de julio de 2026, el empresario debe solicitarla dentro de los </w:t>
      </w:r>
      <w:r>
        <w:rPr>
          <w:rFonts w:ascii="Arial" w:hAnsi="Arial" w:cs="Arial"/>
          <w:b/>
          <w:sz w:val="22"/>
        </w:rPr>
        <w:t>tres días naturales siguientes</w:t>
      </w:r>
      <w:r>
        <w:rPr>
          <w:rFonts w:ascii="Arial" w:hAnsi="Arial" w:cs="Arial"/>
          <w:sz w:val="22"/>
        </w:rPr>
        <w:t xml:space="preserve"> al cese. El Real Decreto 643/2026 amplía el plazo a </w:t>
      </w:r>
      <w:r>
        <w:rPr>
          <w:rFonts w:ascii="Arial" w:hAnsi="Arial" w:cs="Arial"/>
          <w:b/>
          <w:sz w:val="22"/>
        </w:rPr>
        <w:t>seis días naturales desde el 1 de agosto de 2026</w:t>
      </w:r>
      <w:r>
        <w:rPr>
          <w:rFonts w:ascii="Arial" w:hAnsi="Arial" w:cs="Arial"/>
          <w:sz w:val="22"/>
        </w:rPr>
        <w:t>. Una baja comunicada antes de que termine realmente el trabajo no puede utilizarse para descargar cotización ni protección.</w:t>
      </w:r>
    </w:p>
    <w:p>
      <w:pPr>
        <w:jc w:val="both"/>
      </w:pPr>
      <w:r>
        <w:rPr>
          <w:rFonts w:ascii="Arial" w:hAnsi="Arial" w:cs="Arial"/>
          <w:sz w:val="22"/>
        </w:rPr>
        <w:t>La incapacidad temporal, vacaciones, permisos, suspensión con reserva, nacimiento y cuidado de menor u otras situaciones en las que subsiste la relación no originan por sí mismas baja. La obligación de cotizar puede continuar, suspenderse o recibir reglas especiales, pero hay que consultar la norma de cada situación.</w:t>
      </w:r>
    </w:p>
    <w:p>
      <w:pPr>
        <w:pStyle w:val="Heading2"/>
        <w:keepNext/>
      </w:pPr>
      <w:r>
        <w:rPr>
          <w:rFonts w:ascii="Arial" w:hAnsi="Arial" w:cs="Arial"/>
          <w:sz w:val="25"/>
        </w:rPr>
        <w:t>7.2. Variaciones</w:t>
      </w:r>
    </w:p>
    <w:p>
      <w:pPr>
        <w:jc w:val="both"/>
      </w:pPr>
      <w:r>
        <w:rPr>
          <w:rFonts w:ascii="Arial" w:hAnsi="Arial" w:cs="Arial"/>
          <w:sz w:val="22"/>
        </w:rPr>
        <w:t xml:space="preserve">Los cambios de jornada, contrato, grupo, ocupación, centro, sistema especial o cualquier dato que influya en el encuadramiento o cotización se comunican, con carácter general, en </w:t>
      </w:r>
      <w:r>
        <w:rPr>
          <w:rFonts w:ascii="Arial" w:hAnsi="Arial" w:cs="Arial"/>
          <w:b/>
          <w:sz w:val="22"/>
        </w:rPr>
        <w:t>tres días naturales a 30 de julio de 2026</w:t>
      </w:r>
      <w:r>
        <w:rPr>
          <w:rFonts w:ascii="Arial" w:hAnsi="Arial" w:cs="Arial"/>
          <w:sz w:val="22"/>
        </w:rPr>
        <w:t xml:space="preserve"> y en </w:t>
      </w:r>
      <w:r>
        <w:rPr>
          <w:rFonts w:ascii="Arial" w:hAnsi="Arial" w:cs="Arial"/>
          <w:b/>
          <w:sz w:val="22"/>
        </w:rPr>
        <w:t>seis días naturales desde el 1 de agosto de 2026</w:t>
      </w:r>
      <w:r>
        <w:rPr>
          <w:rFonts w:ascii="Arial" w:hAnsi="Arial" w:cs="Arial"/>
          <w:sz w:val="22"/>
        </w:rPr>
        <w:t>. Una variación no debe usarse si el cambio exige realmente baja y nueva alta en otra cuenta o régimen.</w:t>
      </w:r>
    </w:p>
    <w:p>
      <w:pPr>
        <w:pStyle w:val="Heading2"/>
        <w:keepNext/>
      </w:pPr>
      <w:r>
        <w:rPr>
          <w:rFonts w:ascii="Arial" w:hAnsi="Arial" w:cs="Arial"/>
          <w:sz w:val="25"/>
        </w:rPr>
        <w:t>7.3. Sujetos y órgano</w:t>
      </w:r>
    </w:p>
    <w:p>
      <w:pPr>
        <w:jc w:val="both"/>
      </w:pPr>
      <w:r>
        <w:rPr>
          <w:rFonts w:ascii="Arial" w:hAnsi="Arial" w:cs="Arial"/>
          <w:sz w:val="22"/>
        </w:rPr>
        <w:t>Las solicitudes de baja y variación se dirigen a la dirección provincial o administración de la TGSS competente y las formula el empresario. El trabajador puede promover la baja cuando acredita que ha cesado y el empresario no actúa. La TGSS puede acordarla de oficio.</w:t>
      </w:r>
    </w:p>
    <w:p>
      <w:pPr>
        <w:pStyle w:val="Heading1"/>
        <w:keepNext/>
      </w:pPr>
      <w:r>
        <w:rPr>
          <w:rFonts w:ascii="Arial" w:hAnsi="Arial" w:cs="Arial"/>
          <w:sz w:val="30"/>
        </w:rPr>
        <w:t>8. Efectos temporales</w:t>
      </w:r>
    </w:p>
    <w:p>
      <w:pPr>
        <w:pStyle w:val="Heading2"/>
        <w:keepNext/>
      </w:pPr>
      <w:r>
        <w:rPr>
          <w:rFonts w:ascii="Arial" w:hAnsi="Arial" w:cs="Arial"/>
          <w:sz w:val="25"/>
        </w:rPr>
        <w:t>8.1. Alta presentada en plazo</w:t>
      </w:r>
    </w:p>
    <w:p>
      <w:pPr>
        <w:jc w:val="both"/>
      </w:pPr>
      <w:r>
        <w:rPr>
          <w:rFonts w:ascii="Arial" w:hAnsi="Arial" w:cs="Arial"/>
          <w:sz w:val="22"/>
        </w:rPr>
        <w:t>El alta previa produce efectos desde el día en que comienza la actividad. Si la actividad no llega a iniciarse, debe anularse o comunicarse la circunstancia; mantener un alta ficticia puede generar liquidaciones y datos incorrectos.</w:t>
      </w:r>
    </w:p>
    <w:p>
      <w:pPr>
        <w:pStyle w:val="Heading2"/>
        <w:keepNext/>
      </w:pPr>
      <w:r>
        <w:rPr>
          <w:rFonts w:ascii="Arial" w:hAnsi="Arial" w:cs="Arial"/>
          <w:sz w:val="25"/>
        </w:rPr>
        <w:t>8.2. Alta fuera de plazo</w:t>
      </w:r>
    </w:p>
    <w:p>
      <w:pPr>
        <w:jc w:val="both"/>
      </w:pPr>
      <w:r>
        <w:rPr>
          <w:rFonts w:ascii="Arial" w:hAnsi="Arial" w:cs="Arial"/>
          <w:sz w:val="22"/>
        </w:rPr>
        <w:t>Como regla, el alta solicitada después de comenzar el trabajo produce efectos desde el día de la solicitud. Ello no elimina:</w:t>
      </w:r>
    </w:p>
    <w:p>
      <w:pPr>
        <w:pStyle w:val="ListBullet"/>
      </w:pPr>
      <w:r>
        <w:rPr>
          <w:rFonts w:ascii="Arial" w:hAnsi="Arial" w:cs="Arial"/>
          <w:sz w:val="22"/>
        </w:rPr>
        <w:t>la obligación de cotizar desde el inicio real;</w:t>
      </w:r>
    </w:p>
    <w:p>
      <w:pPr>
        <w:pStyle w:val="ListBullet"/>
      </w:pPr>
      <w:r>
        <w:rPr>
          <w:rFonts w:ascii="Arial" w:hAnsi="Arial" w:cs="Arial"/>
          <w:sz w:val="22"/>
        </w:rPr>
        <w:t>las responsabilidades empresariales;</w:t>
      </w:r>
    </w:p>
    <w:p>
      <w:pPr>
        <w:pStyle w:val="ListBullet"/>
      </w:pPr>
      <w:r>
        <w:rPr>
          <w:rFonts w:ascii="Arial" w:hAnsi="Arial" w:cs="Arial"/>
          <w:sz w:val="22"/>
        </w:rPr>
        <w:t>las reglas de alta de pleno derecho;</w:t>
      </w:r>
    </w:p>
    <w:p>
      <w:pPr>
        <w:pStyle w:val="ListBullet"/>
      </w:pPr>
      <w:r>
        <w:rPr>
          <w:rFonts w:ascii="Arial" w:hAnsi="Arial" w:cs="Arial"/>
          <w:sz w:val="22"/>
        </w:rPr>
        <w:t>los efectos retroactivos que correspondan a un alta practicada de oficio;</w:t>
      </w:r>
    </w:p>
    <w:p>
      <w:pPr>
        <w:pStyle w:val="ListBullet"/>
      </w:pPr>
      <w:r>
        <w:rPr>
          <w:rFonts w:ascii="Arial" w:hAnsi="Arial" w:cs="Arial"/>
          <w:sz w:val="22"/>
        </w:rPr>
        <w:t>la sanción por falta de alta.</w:t>
      </w:r>
    </w:p>
    <w:p>
      <w:pPr>
        <w:jc w:val="both"/>
      </w:pPr>
      <w:r>
        <w:rPr>
          <w:rFonts w:ascii="Arial" w:hAnsi="Arial" w:cs="Arial"/>
          <w:sz w:val="22"/>
        </w:rPr>
        <w:t>Cuando se acredita que se ingresaron cuotas correspondientes a periodos anteriores a la solicitud, los efectos pueden retrotraerse en los términos reglamentarios al inicio del periodo al que se refiera la primera cuota ingresada, sin convertir un pago aislado en prueba absoluta de todos los datos.</w:t>
      </w:r>
    </w:p>
    <w:p>
      <w:pPr>
        <w:pStyle w:val="Heading2"/>
        <w:keepNext/>
      </w:pPr>
      <w:r>
        <w:rPr>
          <w:rFonts w:ascii="Arial" w:hAnsi="Arial" w:cs="Arial"/>
          <w:sz w:val="25"/>
        </w:rPr>
        <w:t>8.3. Alta de oficio</w:t>
      </w:r>
    </w:p>
    <w:p>
      <w:pPr>
        <w:jc w:val="both"/>
      </w:pPr>
      <w:r>
        <w:rPr>
          <w:rFonts w:ascii="Arial" w:hAnsi="Arial" w:cs="Arial"/>
          <w:sz w:val="22"/>
        </w:rPr>
        <w:t>Si la TGSS actúa de oficio, la fecha depende del origen y contenido de la actuación. Cuando deriva de acta de la Inspección, se atiende a la fecha y hechos comprobados conforme al Reglamento; cuando surge de datos ya obrantes en la TGSS, la resolución fija el momento en que concurrieron los requisitos. La retroacción debe estar motivada y respeta prescripción y prueba.</w:t>
      </w:r>
    </w:p>
    <w:p>
      <w:pPr>
        <w:pStyle w:val="Heading2"/>
        <w:keepNext/>
      </w:pPr>
      <w:r>
        <w:rPr>
          <w:rFonts w:ascii="Arial" w:hAnsi="Arial" w:cs="Arial"/>
          <w:sz w:val="25"/>
        </w:rPr>
        <w:t>8.4. Baja en plazo y fuera de plazo</w:t>
      </w:r>
    </w:p>
    <w:p>
      <w:pPr>
        <w:jc w:val="both"/>
      </w:pPr>
      <w:r>
        <w:rPr>
          <w:rFonts w:ascii="Arial" w:hAnsi="Arial" w:cs="Arial"/>
          <w:sz w:val="22"/>
        </w:rPr>
        <w:t>La baja solicitada dentro de plazo produce efectos desde el cese real y termina desde entonces la obligación de cotizar, salvo situación con regla especial. Si se presenta tarde, la obligación de cotizar continúa, en principio, hasta que la TGSS conoce el cese. El interesado puede acreditar por medios admisibles que el trabajo terminó antes para obtener los efectos reglamentarios, sin perjuicio de límites de devolución, prescripción y sanción.</w:t>
      </w:r>
    </w:p>
    <w:p>
      <w:pPr>
        <w:jc w:val="both"/>
      </w:pPr>
      <w:r>
        <w:rPr>
          <w:rFonts w:ascii="Arial" w:hAnsi="Arial" w:cs="Arial"/>
          <w:sz w:val="22"/>
        </w:rPr>
        <w:t>No basta una fecha escrita unilateralmente. Nóminas, finiquito, comunicaciones laborales, registros de jornada, datos fiscales y actuación inspectora pueden confirmar o desmentir el cese.</w:t>
      </w:r>
    </w:p>
    <w:p>
      <w:pPr>
        <w:pStyle w:val="Heading2"/>
        <w:keepNext/>
      </w:pPr>
      <w:r>
        <w:rPr>
          <w:rFonts w:ascii="Arial" w:hAnsi="Arial" w:cs="Arial"/>
          <w:sz w:val="25"/>
        </w:rPr>
        <w:t>8.5. Variaciones fuera de plazo</w:t>
      </w:r>
    </w:p>
    <w:p>
      <w:pPr>
        <w:jc w:val="both"/>
      </w:pPr>
      <w:r>
        <w:rPr>
          <w:rFonts w:ascii="Arial" w:hAnsi="Arial" w:cs="Arial"/>
          <w:sz w:val="22"/>
        </w:rPr>
        <w:t>Una variación tardía produce efectos conforme a la fecha de comunicación, salvo que la TGSS reconozca la realidad anterior con los efectos permitidos. Si el cambio incrementa cuotas, la empresa no queda liberada del periodo omitido. Si las reduce, la devolución exige acreditar el presupuesto y respetar las reglas sobre ingresos indebidos.</w:t>
      </w:r>
    </w:p>
    <w:p>
      <w:pPr>
        <w:pStyle w:val="Heading1"/>
        <w:keepNext/>
      </w:pPr>
      <w:r>
        <w:rPr>
          <w:rFonts w:ascii="Arial" w:hAnsi="Arial" w:cs="Arial"/>
          <w:sz w:val="30"/>
        </w:rPr>
        <w:t>9. Alta de pleno derecho y protección del trabajador</w:t>
      </w:r>
    </w:p>
    <w:p>
      <w:pPr>
        <w:jc w:val="both"/>
      </w:pPr>
      <w:r>
        <w:rPr>
          <w:rFonts w:ascii="Arial" w:hAnsi="Arial" w:cs="Arial"/>
          <w:sz w:val="22"/>
        </w:rPr>
        <w:t>Aunque el empresario incumpla afiliación o alta, los trabajadores por cuenta ajena se consideran de pleno derecho en alta para las contingencias expresamente protegidas por la ley, especialmente accidentes de trabajo, enfermedades profesionales y desempleo, y en los demás supuestos legalmente establecidos. Esta ficción protectora evita trasladar automáticamente al trabajador el riesgo del incumplimiento.</w:t>
      </w:r>
    </w:p>
    <w:p>
      <w:pPr>
        <w:jc w:val="both"/>
      </w:pPr>
      <w:r>
        <w:rPr>
          <w:rFonts w:ascii="Arial" w:hAnsi="Arial" w:cs="Arial"/>
          <w:sz w:val="22"/>
        </w:rPr>
        <w:t>No significa que exista un alta administrativa formal ni que toda prestación se reconozca sin requisitos. Deben distinguirse:</w:t>
      </w:r>
    </w:p>
    <w:p>
      <w:pPr>
        <w:pStyle w:val="ListBullet"/>
      </w:pPr>
      <w:r>
        <w:rPr>
          <w:rFonts w:ascii="Arial" w:hAnsi="Arial" w:cs="Arial"/>
          <w:sz w:val="22"/>
        </w:rPr>
        <w:t>la posición protegida del trabajador;</w:t>
      </w:r>
    </w:p>
    <w:p>
      <w:pPr>
        <w:pStyle w:val="ListBullet"/>
      </w:pPr>
      <w:r>
        <w:rPr>
          <w:rFonts w:ascii="Arial" w:hAnsi="Arial" w:cs="Arial"/>
          <w:sz w:val="22"/>
        </w:rPr>
        <w:t>la obligación de la entidad de anticipar cuando proceda;</w:t>
      </w:r>
    </w:p>
    <w:p>
      <w:pPr>
        <w:pStyle w:val="ListBullet"/>
      </w:pPr>
      <w:r>
        <w:rPr>
          <w:rFonts w:ascii="Arial" w:hAnsi="Arial" w:cs="Arial"/>
          <w:sz w:val="22"/>
        </w:rPr>
        <w:t>la responsabilidad empresarial por falta de alta o cotización;</w:t>
      </w:r>
    </w:p>
    <w:p>
      <w:pPr>
        <w:pStyle w:val="ListBullet"/>
      </w:pPr>
      <w:r>
        <w:rPr>
          <w:rFonts w:ascii="Arial" w:hAnsi="Arial" w:cs="Arial"/>
          <w:sz w:val="22"/>
        </w:rPr>
        <w:t>la reclamación de cuotas y sanciones.</w:t>
      </w:r>
    </w:p>
    <w:p>
      <w:pPr>
        <w:jc w:val="both"/>
      </w:pPr>
      <w:r>
        <w:rPr>
          <w:rFonts w:ascii="Arial" w:hAnsi="Arial" w:cs="Arial"/>
          <w:sz w:val="22"/>
        </w:rPr>
        <w:t>En un supuesto de accidente de trabajo de una persona no dada de alta, la respuesta no es «queda sin protección». Se analiza el alta de pleno derecho, el anticipo y la responsabilidad empresarial.</w:t>
      </w:r>
    </w:p>
    <w:p>
      <w:pPr>
        <w:pStyle w:val="Heading1"/>
        <w:keepNext/>
      </w:pPr>
      <w:r>
        <w:rPr>
          <w:rFonts w:ascii="Arial" w:hAnsi="Arial" w:cs="Arial"/>
          <w:sz w:val="30"/>
        </w:rPr>
        <w:t>10. Situaciones de alta especial y asimiladas</w:t>
      </w:r>
    </w:p>
    <w:p>
      <w:pPr>
        <w:pStyle w:val="Heading2"/>
        <w:keepNext/>
      </w:pPr>
      <w:r>
        <w:rPr>
          <w:rFonts w:ascii="Arial" w:hAnsi="Arial" w:cs="Arial"/>
          <w:sz w:val="25"/>
        </w:rPr>
        <w:t>10.1. Alta especial</w:t>
      </w:r>
    </w:p>
    <w:p>
      <w:pPr>
        <w:jc w:val="both"/>
      </w:pPr>
      <w:r>
        <w:rPr>
          <w:rFonts w:ascii="Arial" w:hAnsi="Arial" w:cs="Arial"/>
          <w:sz w:val="22"/>
        </w:rPr>
        <w:t xml:space="preserve">Durante la huelga legal y el cierre patronal legal la persona se encuentra en </w:t>
      </w:r>
      <w:r>
        <w:rPr>
          <w:rFonts w:ascii="Arial" w:hAnsi="Arial" w:cs="Arial"/>
          <w:b/>
          <w:sz w:val="22"/>
        </w:rPr>
        <w:t>alta especial</w:t>
      </w:r>
      <w:r>
        <w:rPr>
          <w:rFonts w:ascii="Arial" w:hAnsi="Arial" w:cs="Arial"/>
          <w:sz w:val="22"/>
        </w:rPr>
        <w:t>. Se suspende el contrato y, con carácter general, la obligación de cotizar durante el periodo, sin tramitar una baja ordinaria. La ilegalidad o las circunstancias concretas pueden alterar consecuencias, pero la etiqueta correcta no es «baja».</w:t>
      </w:r>
    </w:p>
    <w:p>
      <w:pPr>
        <w:pStyle w:val="Heading2"/>
        <w:keepNext/>
      </w:pPr>
      <w:r>
        <w:rPr>
          <w:rFonts w:ascii="Arial" w:hAnsi="Arial" w:cs="Arial"/>
          <w:sz w:val="25"/>
        </w:rPr>
        <w:t>10.2. Situación asimilada al alta</w:t>
      </w:r>
    </w:p>
    <w:p>
      <w:pPr>
        <w:jc w:val="both"/>
      </w:pPr>
      <w:r>
        <w:rPr>
          <w:rFonts w:ascii="Arial" w:hAnsi="Arial" w:cs="Arial"/>
          <w:sz w:val="22"/>
        </w:rPr>
        <w:t>La asimilación permite considerar cumplido el requisito de alta para determinadas prestaciones aunque no exista actividad ordinaria. Su alcance nunca se presume para todas las contingencias: depende de la norma que la declara y puede exigir inscripción, demanda de empleo, convenio, residencia o mantenimiento de otros requisitos.</w:t>
      </w:r>
    </w:p>
    <w:p>
      <w:pPr>
        <w:jc w:val="both"/>
      </w:pPr>
      <w:r>
        <w:rPr>
          <w:rFonts w:ascii="Arial" w:hAnsi="Arial" w:cs="Arial"/>
          <w:sz w:val="22"/>
        </w:rPr>
        <w:t>Entre las situaciones relevantes figuran:</w:t>
      </w:r>
    </w:p>
    <w:p>
      <w:pPr>
        <w:pStyle w:val="ListBullet"/>
      </w:pPr>
      <w:r>
        <w:rPr>
          <w:rFonts w:ascii="Arial" w:hAnsi="Arial" w:cs="Arial"/>
          <w:sz w:val="22"/>
        </w:rPr>
        <w:t>desempleo legal total durante el que se percibe prestación;</w:t>
      </w:r>
    </w:p>
    <w:p>
      <w:pPr>
        <w:pStyle w:val="ListBullet"/>
      </w:pPr>
      <w:r>
        <w:rPr>
          <w:rFonts w:ascii="Arial" w:hAnsi="Arial" w:cs="Arial"/>
          <w:sz w:val="22"/>
        </w:rPr>
        <w:t>paro involuntario tras agotar la prestación, si se mantiene la inscripción exigida;</w:t>
      </w:r>
    </w:p>
    <w:p>
      <w:pPr>
        <w:pStyle w:val="ListBullet"/>
      </w:pPr>
      <w:r>
        <w:rPr>
          <w:rFonts w:ascii="Arial" w:hAnsi="Arial" w:cs="Arial"/>
          <w:sz w:val="22"/>
        </w:rPr>
        <w:t>excedencia forzosa por cargo público o sindical;</w:t>
      </w:r>
    </w:p>
    <w:p>
      <w:pPr>
        <w:pStyle w:val="ListBullet"/>
      </w:pPr>
      <w:r>
        <w:rPr>
          <w:rFonts w:ascii="Arial" w:hAnsi="Arial" w:cs="Arial"/>
          <w:sz w:val="22"/>
        </w:rPr>
        <w:t>traslado del trabajador por la empresa fuera del territorio nacional;</w:t>
      </w:r>
    </w:p>
    <w:p>
      <w:pPr>
        <w:pStyle w:val="ListBullet"/>
      </w:pPr>
      <w:r>
        <w:rPr>
          <w:rFonts w:ascii="Arial" w:hAnsi="Arial" w:cs="Arial"/>
          <w:sz w:val="22"/>
        </w:rPr>
        <w:t>convenio especial;</w:t>
      </w:r>
    </w:p>
    <w:p>
      <w:pPr>
        <w:pStyle w:val="ListBullet"/>
      </w:pPr>
      <w:r>
        <w:rPr>
          <w:rFonts w:ascii="Arial" w:hAnsi="Arial" w:cs="Arial"/>
          <w:sz w:val="22"/>
        </w:rPr>
        <w:t>determinados periodos de excedencia para cuidado de hijos o familiares;</w:t>
      </w:r>
    </w:p>
    <w:p>
      <w:pPr>
        <w:pStyle w:val="ListBullet"/>
      </w:pPr>
      <w:r>
        <w:rPr>
          <w:rFonts w:ascii="Arial" w:hAnsi="Arial" w:cs="Arial"/>
          <w:sz w:val="22"/>
        </w:rPr>
        <w:t>periodos de inactividad entre trabajos de temporada;</w:t>
      </w:r>
    </w:p>
    <w:p>
      <w:pPr>
        <w:pStyle w:val="ListBullet"/>
      </w:pPr>
      <w:r>
        <w:rPr>
          <w:rFonts w:ascii="Arial" w:hAnsi="Arial" w:cs="Arial"/>
          <w:sz w:val="22"/>
        </w:rPr>
        <w:t>determinadas situaciones de violencia de género o sexual y otros supuestos expresamente previstos;</w:t>
      </w:r>
    </w:p>
    <w:p>
      <w:pPr>
        <w:pStyle w:val="ListBullet"/>
      </w:pPr>
      <w:r>
        <w:rPr>
          <w:rFonts w:ascii="Arial" w:hAnsi="Arial" w:cs="Arial"/>
          <w:sz w:val="22"/>
        </w:rPr>
        <w:t>percepción de ciertas prestaciones o subsidios;</w:t>
      </w:r>
    </w:p>
    <w:p>
      <w:pPr>
        <w:pStyle w:val="ListBullet"/>
      </w:pPr>
      <w:r>
        <w:rPr>
          <w:rFonts w:ascii="Arial" w:hAnsi="Arial" w:cs="Arial"/>
          <w:sz w:val="22"/>
        </w:rPr>
        <w:t>suscripción a programas formativos o situaciones específicas declaradas por ley.</w:t>
      </w:r>
    </w:p>
    <w:p>
      <w:pPr>
        <w:jc w:val="both"/>
      </w:pPr>
      <w:r>
        <w:rPr>
          <w:rFonts w:ascii="Arial" w:hAnsi="Arial" w:cs="Arial"/>
          <w:sz w:val="22"/>
        </w:rPr>
        <w:t>La lista se completa con las normas de cada prestación. Una situación puede estar asimilada para jubilación y no para incapacidad temporal. En los traslados al extranjero deben aplicarse, además, reglamentos europeos, convenios bilaterales y reglas de desplazamiento.</w:t>
      </w:r>
    </w:p>
    <w:p>
      <w:pPr>
        <w:pStyle w:val="Heading2"/>
        <w:keepNext/>
      </w:pPr>
      <w:r>
        <w:rPr>
          <w:rFonts w:ascii="Arial" w:hAnsi="Arial" w:cs="Arial"/>
          <w:sz w:val="25"/>
        </w:rPr>
        <w:t>10.3. Conservación de requisitos</w:t>
      </w:r>
    </w:p>
    <w:p>
      <w:pPr>
        <w:jc w:val="both"/>
      </w:pPr>
      <w:r>
        <w:rPr>
          <w:rFonts w:ascii="Arial" w:hAnsi="Arial" w:cs="Arial"/>
          <w:sz w:val="22"/>
        </w:rPr>
        <w:t>La asimilación no crea cotizaciones que no existan, salvo que la norma obligue o permita cotizar. Puede conservar el requisito de alta y facilitar el cómputo de carencia, pero base reguladora, integración de lagunas y hecho causante siguen sus reglas.</w:t>
      </w:r>
    </w:p>
    <w:p>
      <w:pPr>
        <w:pStyle w:val="Heading1"/>
        <w:keepNext/>
      </w:pPr>
      <w:r>
        <w:rPr>
          <w:rFonts w:ascii="Arial" w:hAnsi="Arial" w:cs="Arial"/>
          <w:sz w:val="30"/>
        </w:rPr>
        <w:t>11. El convenio especial</w:t>
      </w:r>
    </w:p>
    <w:p>
      <w:pPr>
        <w:pStyle w:val="Heading2"/>
        <w:keepNext/>
      </w:pPr>
      <w:r>
        <w:rPr>
          <w:rFonts w:ascii="Arial" w:hAnsi="Arial" w:cs="Arial"/>
          <w:sz w:val="25"/>
        </w:rPr>
        <w:t>11.1. Finalidad</w:t>
      </w:r>
    </w:p>
    <w:p>
      <w:pPr>
        <w:jc w:val="both"/>
      </w:pPr>
      <w:r>
        <w:rPr>
          <w:rFonts w:ascii="Arial" w:hAnsi="Arial" w:cs="Arial"/>
          <w:sz w:val="22"/>
        </w:rPr>
        <w:t>El convenio especial es un acuerdo reglado con la TGSS por el que una persona abona a su cargo cuotas para mantener o completar protección cuando cesa o disminuye su cotización obligatoria. Produce situación asimilada al alta respecto de las contingencias cubiertas.</w:t>
      </w:r>
    </w:p>
    <w:p>
      <w:pPr>
        <w:jc w:val="both"/>
      </w:pPr>
      <w:r>
        <w:rPr>
          <w:rFonts w:ascii="Arial" w:hAnsi="Arial" w:cs="Arial"/>
          <w:sz w:val="22"/>
        </w:rPr>
        <w:t>El convenio general protege, en los términos de la Orden TAS/2865/2003, jubilación, incapacidad permanente y muerte y supervivencia derivadas de contingencias comunes, además de los servicios sociales vinculados. No equivale a un contrato privado ni permite diseñar libremente cualquier cobertura.</w:t>
      </w:r>
    </w:p>
    <w:p>
      <w:pPr>
        <w:pStyle w:val="Heading2"/>
        <w:keepNext/>
      </w:pPr>
      <w:r>
        <w:rPr>
          <w:rFonts w:ascii="Arial" w:hAnsi="Arial" w:cs="Arial"/>
          <w:sz w:val="25"/>
        </w:rPr>
        <w:t>11.2. Supuestos de acceso</w:t>
      </w:r>
    </w:p>
    <w:p>
      <w:pPr>
        <w:jc w:val="both"/>
      </w:pPr>
      <w:r>
        <w:rPr>
          <w:rFonts w:ascii="Arial" w:hAnsi="Arial" w:cs="Arial"/>
          <w:sz w:val="22"/>
        </w:rPr>
        <w:t>Pueden solicitarlo, si cumplen requisitos, entre otros:</w:t>
      </w:r>
    </w:p>
    <w:p>
      <w:pPr>
        <w:pStyle w:val="ListBullet"/>
      </w:pPr>
      <w:r>
        <w:rPr>
          <w:rFonts w:ascii="Arial" w:hAnsi="Arial" w:cs="Arial"/>
          <w:sz w:val="22"/>
        </w:rPr>
        <w:t>quienes causen baja en un régimen y no queden incluidos en otro;</w:t>
      </w:r>
    </w:p>
    <w:p>
      <w:pPr>
        <w:pStyle w:val="ListBullet"/>
      </w:pPr>
      <w:r>
        <w:rPr>
          <w:rFonts w:ascii="Arial" w:hAnsi="Arial" w:cs="Arial"/>
          <w:sz w:val="22"/>
        </w:rPr>
        <w:t>trabajadores por cuenta ajena indefinidos o autónomos que continúen en alta después de alcanzar la edad ordinaria aplicable y se encuentren en el supuesto regulado;</w:t>
      </w:r>
    </w:p>
    <w:p>
      <w:pPr>
        <w:pStyle w:val="ListBullet"/>
      </w:pPr>
      <w:r>
        <w:rPr>
          <w:rFonts w:ascii="Arial" w:hAnsi="Arial" w:cs="Arial"/>
          <w:sz w:val="22"/>
        </w:rPr>
        <w:t>personas en pluriempleo o pluriactividad que cesen en alguna actividad;</w:t>
      </w:r>
    </w:p>
    <w:p>
      <w:pPr>
        <w:pStyle w:val="ListBullet"/>
      </w:pPr>
      <w:r>
        <w:rPr>
          <w:rFonts w:ascii="Arial" w:hAnsi="Arial" w:cs="Arial"/>
          <w:sz w:val="22"/>
        </w:rPr>
        <w:t>pensionistas a quienes se anule o deniegue una pensión y pierdan cotización;</w:t>
      </w:r>
    </w:p>
    <w:p>
      <w:pPr>
        <w:pStyle w:val="ListBullet"/>
      </w:pPr>
      <w:r>
        <w:rPr>
          <w:rFonts w:ascii="Arial" w:hAnsi="Arial" w:cs="Arial"/>
          <w:sz w:val="22"/>
        </w:rPr>
        <w:t>trabajadores cuya nueva base sea inferior al promedio o base que venían manteniendo;</w:t>
      </w:r>
    </w:p>
    <w:p>
      <w:pPr>
        <w:pStyle w:val="ListBullet"/>
      </w:pPr>
      <w:r>
        <w:rPr>
          <w:rFonts w:ascii="Arial" w:hAnsi="Arial" w:cs="Arial"/>
          <w:sz w:val="22"/>
        </w:rPr>
        <w:t>perceptores de determinadas prestaciones cuando se extingan;</w:t>
      </w:r>
    </w:p>
    <w:p>
      <w:pPr>
        <w:pStyle w:val="ListBullet"/>
      </w:pPr>
      <w:r>
        <w:rPr>
          <w:rFonts w:ascii="Arial" w:hAnsi="Arial" w:cs="Arial"/>
          <w:sz w:val="22"/>
        </w:rPr>
        <w:t>colectivos incluidos en modalidades especiales previstas por la propia orden u otras normas.</w:t>
      </w:r>
    </w:p>
    <w:p>
      <w:pPr>
        <w:jc w:val="both"/>
      </w:pPr>
      <w:r>
        <w:rPr>
          <w:rFonts w:ascii="Arial" w:hAnsi="Arial" w:cs="Arial"/>
          <w:sz w:val="22"/>
        </w:rPr>
        <w:t>No basta la conveniencia personal: debe existir un hecho causante previsto. Tampoco procede para eludir una inclusión obligatoria.</w:t>
      </w:r>
    </w:p>
    <w:p>
      <w:pPr>
        <w:pStyle w:val="Heading2"/>
        <w:keepNext/>
      </w:pPr>
      <w:r>
        <w:rPr>
          <w:rFonts w:ascii="Arial" w:hAnsi="Arial" w:cs="Arial"/>
          <w:sz w:val="25"/>
        </w:rPr>
        <w:t>11.3. Carencia previa</w:t>
      </w:r>
    </w:p>
    <w:p>
      <w:pPr>
        <w:jc w:val="both"/>
      </w:pPr>
      <w:r>
        <w:rPr>
          <w:rFonts w:ascii="Arial" w:hAnsi="Arial" w:cs="Arial"/>
          <w:sz w:val="22"/>
        </w:rPr>
        <w:t xml:space="preserve">En el convenio general se exige haber cubierto </w:t>
      </w:r>
      <w:r>
        <w:rPr>
          <w:rFonts w:ascii="Arial" w:hAnsi="Arial" w:cs="Arial"/>
          <w:b/>
          <w:sz w:val="22"/>
        </w:rPr>
        <w:t>1.080 días de cotización dentro de los doce años inmediatamente anteriores</w:t>
      </w:r>
      <w:r>
        <w:rPr>
          <w:rFonts w:ascii="Arial" w:hAnsi="Arial" w:cs="Arial"/>
          <w:sz w:val="22"/>
        </w:rPr>
        <w:t xml:space="preserve"> a la baja o situación determinante, con las reglas de cómputo de la Orden. Se computan los periodos que esta admite y se excluyen duplicidades.</w:t>
      </w:r>
    </w:p>
    <w:p>
      <w:pPr>
        <w:jc w:val="both"/>
      </w:pPr>
      <w:r>
        <w:rPr>
          <w:rFonts w:ascii="Arial" w:hAnsi="Arial" w:cs="Arial"/>
          <w:sz w:val="22"/>
        </w:rPr>
        <w:t>Existen convenios especiales con requisitos distintos o sin esta carencia, por lo que nunca debe trasladarse automáticamente la cifra a cualquier modalidad.</w:t>
      </w:r>
    </w:p>
    <w:p>
      <w:pPr>
        <w:pStyle w:val="Heading2"/>
        <w:keepNext/>
      </w:pPr>
      <w:r>
        <w:rPr>
          <w:rFonts w:ascii="Arial" w:hAnsi="Arial" w:cs="Arial"/>
          <w:sz w:val="25"/>
        </w:rPr>
        <w:t>11.4. Solicitud y efectos</w:t>
      </w:r>
    </w:p>
    <w:p>
      <w:pPr>
        <w:jc w:val="both"/>
      </w:pPr>
      <w:r>
        <w:rPr>
          <w:rFonts w:ascii="Arial" w:hAnsi="Arial" w:cs="Arial"/>
          <w:sz w:val="22"/>
        </w:rPr>
        <w:t xml:space="preserve">La solicitud se presenta ante la TGSS dentro del plazo máximo general de </w:t>
      </w:r>
      <w:r>
        <w:rPr>
          <w:rFonts w:ascii="Arial" w:hAnsi="Arial" w:cs="Arial"/>
          <w:b/>
          <w:sz w:val="22"/>
        </w:rPr>
        <w:t>un año</w:t>
      </w:r>
      <w:r>
        <w:rPr>
          <w:rFonts w:ascii="Arial" w:hAnsi="Arial" w:cs="Arial"/>
          <w:sz w:val="22"/>
        </w:rPr>
        <w:t xml:space="preserve"> desde la situación que permite suscribirlo. Si se presenta dentro de los </w:t>
      </w:r>
      <w:r>
        <w:rPr>
          <w:rFonts w:ascii="Arial" w:hAnsi="Arial" w:cs="Arial"/>
          <w:b/>
          <w:sz w:val="22"/>
        </w:rPr>
        <w:t>noventa días naturales</w:t>
      </w:r>
      <w:r>
        <w:rPr>
          <w:rFonts w:ascii="Arial" w:hAnsi="Arial" w:cs="Arial"/>
          <w:sz w:val="22"/>
        </w:rPr>
        <w:t xml:space="preserve"> siguientes al hecho causante, el interesado puede obtener efectos desde el día siguiente a aquel en que produjo efectos la baja o situación determinante. Si se solicita después, los efectos nacen desde la solicitud, salvo regla especial.</w:t>
      </w:r>
    </w:p>
    <w:p>
      <w:pPr>
        <w:jc w:val="both"/>
      </w:pPr>
      <w:r>
        <w:rPr>
          <w:rFonts w:ascii="Arial" w:hAnsi="Arial" w:cs="Arial"/>
          <w:sz w:val="22"/>
        </w:rPr>
        <w:t>La TGSS comprueba identidad, hecho causante, carencia, base y modalidad. La resolución debe indicar contingencias, base, fecha y cuota. El convenio no queda perfeccionado por una mera transferencia sin resolución o reconocimiento.</w:t>
      </w:r>
    </w:p>
    <w:p>
      <w:pPr>
        <w:pStyle w:val="Heading2"/>
        <w:keepNext/>
      </w:pPr>
      <w:r>
        <w:rPr>
          <w:rFonts w:ascii="Arial" w:hAnsi="Arial" w:cs="Arial"/>
          <w:sz w:val="25"/>
        </w:rPr>
        <w:t>11.5. Base de cotización</w:t>
      </w:r>
    </w:p>
    <w:p>
      <w:pPr>
        <w:jc w:val="both"/>
      </w:pPr>
      <w:r>
        <w:rPr>
          <w:rFonts w:ascii="Arial" w:hAnsi="Arial" w:cs="Arial"/>
          <w:sz w:val="22"/>
        </w:rPr>
        <w:t>Dentro de las condiciones de la Orden, puede optarse por:</w:t>
      </w:r>
    </w:p>
    <w:p>
      <w:pPr>
        <w:pStyle w:val="ListBullet"/>
      </w:pPr>
      <w:r>
        <w:rPr>
          <w:rFonts w:ascii="Arial" w:hAnsi="Arial" w:cs="Arial"/>
          <w:sz w:val="22"/>
        </w:rPr>
        <w:t>la base máxima del grupo o régimen cuando se acredita el periodo previo de cotización por ella exigido;</w:t>
      </w:r>
    </w:p>
    <w:p>
      <w:pPr>
        <w:pStyle w:val="ListBullet"/>
      </w:pPr>
      <w:r>
        <w:rPr>
          <w:rFonts w:ascii="Arial" w:hAnsi="Arial" w:cs="Arial"/>
          <w:sz w:val="22"/>
        </w:rPr>
        <w:t>la media de bases de un periodo previo;</w:t>
      </w:r>
    </w:p>
    <w:p>
      <w:pPr>
        <w:pStyle w:val="ListBullet"/>
      </w:pPr>
      <w:r>
        <w:rPr>
          <w:rFonts w:ascii="Arial" w:hAnsi="Arial" w:cs="Arial"/>
          <w:sz w:val="22"/>
        </w:rPr>
        <w:t>la base mínima aplicable;</w:t>
      </w:r>
    </w:p>
    <w:p>
      <w:pPr>
        <w:pStyle w:val="ListBullet"/>
      </w:pPr>
      <w:r>
        <w:rPr>
          <w:rFonts w:ascii="Arial" w:hAnsi="Arial" w:cs="Arial"/>
          <w:sz w:val="22"/>
        </w:rPr>
        <w:t>una base intermedia comprendida entre los límites.</w:t>
      </w:r>
    </w:p>
    <w:p>
      <w:pPr>
        <w:jc w:val="both"/>
      </w:pPr>
      <w:r>
        <w:rPr>
          <w:rFonts w:ascii="Arial" w:hAnsi="Arial" w:cs="Arial"/>
          <w:sz w:val="22"/>
        </w:rPr>
        <w:t>La elección queda sometida a topes y actualización anual. La cuota se obtiene aplicando a la base elegida el tipo correspondiente a contingencias comunes y el coeficiente establecido para las contingencias cubiertas, junto con los conceptos adicionales que resulten legalmente exigibles. No se aplica sin más la cuota completa de un trabajador en activo.</w:t>
      </w:r>
    </w:p>
    <w:p>
      <w:pPr>
        <w:pStyle w:val="Heading2"/>
        <w:keepNext/>
      </w:pPr>
      <w:r>
        <w:rPr>
          <w:rFonts w:ascii="Arial" w:hAnsi="Arial" w:cs="Arial"/>
          <w:sz w:val="25"/>
        </w:rPr>
        <w:t>11.6. Obligación de pago</w:t>
      </w:r>
    </w:p>
    <w:p>
      <w:pPr>
        <w:jc w:val="both"/>
      </w:pPr>
      <w:r>
        <w:rPr>
          <w:rFonts w:ascii="Arial" w:hAnsi="Arial" w:cs="Arial"/>
          <w:sz w:val="22"/>
        </w:rPr>
        <w:t>La cuota corre exclusivamente a cargo del suscriptor, salvo convenio especial en el que una norma o acuerdo imponga participación empresarial o pública. El ingreso se realiza dentro del plazo reglamentario. La falta de pago puede producir recargo y, si alcanza el número de mensualidades previsto, extinción.</w:t>
      </w:r>
    </w:p>
    <w:p>
      <w:pPr>
        <w:pStyle w:val="Heading2"/>
        <w:keepNext/>
      </w:pPr>
      <w:r>
        <w:rPr>
          <w:rFonts w:ascii="Arial" w:hAnsi="Arial" w:cs="Arial"/>
          <w:sz w:val="25"/>
        </w:rPr>
        <w:t>11.7. Suspensión</w:t>
      </w:r>
    </w:p>
    <w:p>
      <w:pPr>
        <w:jc w:val="both"/>
      </w:pPr>
      <w:r>
        <w:rPr>
          <w:rFonts w:ascii="Arial" w:hAnsi="Arial" w:cs="Arial"/>
          <w:sz w:val="22"/>
        </w:rPr>
        <w:t xml:space="preserve">El convenio se suspende, como regla, durante una actividad que determina encuadramiento en un régimen cuando la nueva base es </w:t>
      </w:r>
      <w:r>
        <w:rPr>
          <w:rFonts w:ascii="Arial" w:hAnsi="Arial" w:cs="Arial"/>
          <w:b/>
          <w:sz w:val="22"/>
        </w:rPr>
        <w:t>inferior</w:t>
      </w:r>
      <w:r>
        <w:rPr>
          <w:rFonts w:ascii="Arial" w:hAnsi="Arial" w:cs="Arial"/>
          <w:sz w:val="22"/>
        </w:rPr>
        <w:t xml:space="preserve"> a la base aplicada en el convenio, salvo que el suscriptor manifieste su voluntad de extinguirlo o de mantenerlo vigente en el supuesto permitido. La actividad que causa la suspensión se comunica dentro de </w:t>
      </w:r>
      <w:r>
        <w:rPr>
          <w:rFonts w:ascii="Arial" w:hAnsi="Arial" w:cs="Arial"/>
          <w:b/>
          <w:sz w:val="22"/>
        </w:rPr>
        <w:t>diez días naturales</w:t>
      </w:r>
      <w:r>
        <w:rPr>
          <w:rFonts w:ascii="Arial" w:hAnsi="Arial" w:cs="Arial"/>
          <w:sz w:val="22"/>
        </w:rPr>
        <w:t xml:space="preserve"> y la suspensión produce efectos desde el día anterior a la incorporación al trabajo. Si la nueva base es igual o superior a la del convenio puede operar la extinción conforme a la regla del artículo 10.2 de la Orden, con las excepciones previstas para pluriempleo o pluriactividad.</w:t>
      </w:r>
    </w:p>
    <w:p>
      <w:pPr>
        <w:jc w:val="both"/>
      </w:pPr>
      <w:r>
        <w:rPr>
          <w:rFonts w:ascii="Arial" w:hAnsi="Arial" w:cs="Arial"/>
          <w:sz w:val="22"/>
        </w:rPr>
        <w:t xml:space="preserve">Al terminar la actividad, la efectividad puede reanudarse desde el día siguiente al cese si se comunica a la TGSS dentro del </w:t>
      </w:r>
      <w:r>
        <w:rPr>
          <w:rFonts w:ascii="Arial" w:hAnsi="Arial" w:cs="Arial"/>
          <w:b/>
          <w:sz w:val="22"/>
        </w:rPr>
        <w:t>mes natural siguiente</w:t>
      </w:r>
      <w:r>
        <w:rPr>
          <w:rFonts w:ascii="Arial" w:hAnsi="Arial" w:cs="Arial"/>
          <w:sz w:val="22"/>
        </w:rPr>
        <w:t xml:space="preserve"> a aquel en que se produjo. Si se comunica después, la reanudación nace desde la presentación, salvo el efecto que la Orden atribuye a cotizaciones anteriores ingresadas en plazo. No debe confundirse el mes natural para reanudar con el plazo de tres meses que aparece en otros procedimientos.</w:t>
      </w:r>
    </w:p>
    <w:p>
      <w:pPr>
        <w:pStyle w:val="Heading2"/>
        <w:keepNext/>
      </w:pPr>
      <w:r>
        <w:rPr>
          <w:rFonts w:ascii="Arial" w:hAnsi="Arial" w:cs="Arial"/>
          <w:sz w:val="25"/>
        </w:rPr>
        <w:t>11.8. Extinción</w:t>
      </w:r>
    </w:p>
    <w:p>
      <w:pPr>
        <w:jc w:val="both"/>
      </w:pPr>
      <w:r>
        <w:rPr>
          <w:rFonts w:ascii="Arial" w:hAnsi="Arial" w:cs="Arial"/>
          <w:sz w:val="22"/>
        </w:rPr>
        <w:t>El convenio general se extingue por:</w:t>
      </w:r>
    </w:p>
    <w:p>
      <w:pPr>
        <w:spacing w:after="40"/>
        <w:ind w:left="369" w:hanging="227"/>
      </w:pPr>
      <w:r>
        <w:rPr>
          <w:rFonts w:ascii="Arial" w:hAnsi="Arial" w:cs="Arial"/>
          <w:sz w:val="22"/>
        </w:rPr>
        <w:t>1. inclusión en un régimen con base igual o superior a la del convenio, cuando no proceda mera suspensión;</w:t>
      </w:r>
    </w:p>
    <w:p>
      <w:pPr>
        <w:spacing w:after="40"/>
        <w:ind w:left="369" w:hanging="227"/>
      </w:pPr>
      <w:r>
        <w:rPr>
          <w:rFonts w:ascii="Arial" w:hAnsi="Arial" w:cs="Arial"/>
          <w:sz w:val="22"/>
        </w:rPr>
        <w:t>2. adquisición de la condición de pensionista por jubilación o incapacidad permanente respecto de las contingencias cubiertas;</w:t>
      </w:r>
    </w:p>
    <w:p>
      <w:pPr>
        <w:spacing w:after="40"/>
        <w:ind w:left="369" w:hanging="227"/>
      </w:pPr>
      <w:r>
        <w:rPr>
          <w:rFonts w:ascii="Arial" w:hAnsi="Arial" w:cs="Arial"/>
          <w:sz w:val="22"/>
        </w:rPr>
        <w:t xml:space="preserve">3. falta de pago de </w:t>
      </w:r>
      <w:r>
        <w:rPr>
          <w:rFonts w:ascii="Arial" w:hAnsi="Arial" w:cs="Arial"/>
          <w:b/>
          <w:sz w:val="22"/>
        </w:rPr>
        <w:t>tres mensualidades consecutivas o cinco alternativas</w:t>
      </w:r>
      <w:r>
        <w:rPr>
          <w:rFonts w:ascii="Arial" w:hAnsi="Arial" w:cs="Arial"/>
          <w:sz w:val="22"/>
        </w:rPr>
        <w:t>;</w:t>
      </w:r>
    </w:p>
    <w:p>
      <w:pPr>
        <w:spacing w:after="40"/>
        <w:ind w:left="369" w:hanging="227"/>
      </w:pPr>
      <w:r>
        <w:rPr>
          <w:rFonts w:ascii="Arial" w:hAnsi="Arial" w:cs="Arial"/>
          <w:sz w:val="22"/>
        </w:rPr>
        <w:t>4. fallecimiento;</w:t>
      </w:r>
    </w:p>
    <w:p>
      <w:pPr>
        <w:spacing w:after="40"/>
        <w:ind w:left="369" w:hanging="227"/>
      </w:pPr>
      <w:r>
        <w:rPr>
          <w:rFonts w:ascii="Arial" w:hAnsi="Arial" w:cs="Arial"/>
          <w:sz w:val="22"/>
        </w:rPr>
        <w:t>5. decisión del interesado comunicada a la TGSS;</w:t>
      </w:r>
    </w:p>
    <w:p>
      <w:pPr>
        <w:spacing w:after="40"/>
        <w:ind w:left="369" w:hanging="227"/>
      </w:pPr>
      <w:r>
        <w:rPr>
          <w:rFonts w:ascii="Arial" w:hAnsi="Arial" w:cs="Arial"/>
          <w:sz w:val="22"/>
        </w:rPr>
        <w:t>6. cualquier otra causa específica de la modalidad.</w:t>
      </w:r>
    </w:p>
    <w:p>
      <w:pPr>
        <w:jc w:val="both"/>
      </w:pPr>
      <w:r>
        <w:rPr>
          <w:rFonts w:ascii="Arial" w:hAnsi="Arial" w:cs="Arial"/>
          <w:sz w:val="22"/>
        </w:rPr>
        <w:t>La baja voluntaria no borra cuotas vencidas. La extinción por impago exige distinguir mensualidades, regularizaciones y pagos correctamente imputados.</w:t>
      </w:r>
    </w:p>
    <w:p>
      <w:pPr>
        <w:pStyle w:val="Heading1"/>
        <w:keepNext/>
      </w:pPr>
      <w:r>
        <w:rPr>
          <w:rFonts w:ascii="Arial" w:hAnsi="Arial" w:cs="Arial"/>
          <w:sz w:val="30"/>
        </w:rPr>
        <w:t>12. Procedimiento administrativo</w:t>
      </w:r>
    </w:p>
    <w:p>
      <w:pPr>
        <w:pStyle w:val="Heading2"/>
        <w:keepNext/>
      </w:pPr>
      <w:r>
        <w:rPr>
          <w:rFonts w:ascii="Arial" w:hAnsi="Arial" w:cs="Arial"/>
          <w:sz w:val="25"/>
        </w:rPr>
        <w:t>12.1. Canales</w:t>
      </w:r>
    </w:p>
    <w:p>
      <w:pPr>
        <w:jc w:val="both"/>
      </w:pPr>
      <w:r>
        <w:rPr>
          <w:rFonts w:ascii="Arial" w:hAnsi="Arial" w:cs="Arial"/>
          <w:sz w:val="22"/>
        </w:rPr>
        <w:t>Empresas y sujetos obligados se relacionan electrónicamente mediante los sistemas habilitados, en especial Sistema RED y sede electrónica. La representación por autorizado RED no desplaza la responsabilidad del obligado sobre la veracidad y puntualidad de los datos.</w:t>
      </w:r>
    </w:p>
    <w:p>
      <w:pPr>
        <w:jc w:val="both"/>
      </w:pPr>
      <w:r>
        <w:rPr>
          <w:rFonts w:ascii="Arial" w:hAnsi="Arial" w:cs="Arial"/>
          <w:sz w:val="22"/>
        </w:rPr>
        <w:t>Las personas físicas no obligadas pueden utilizar los canales admitidos. La TGSS conserva facultades de comprobación y puede requerir documentos cuando no sea posible obtenerlos por interoperabilidad.</w:t>
      </w:r>
    </w:p>
    <w:p>
      <w:pPr>
        <w:pStyle w:val="Heading2"/>
        <w:keepNext/>
      </w:pPr>
      <w:r>
        <w:rPr>
          <w:rFonts w:ascii="Arial" w:hAnsi="Arial" w:cs="Arial"/>
          <w:sz w:val="25"/>
        </w:rPr>
        <w:t>12.2. Resolución, motivación y prueba</w:t>
      </w:r>
    </w:p>
    <w:p>
      <w:pPr>
        <w:jc w:val="both"/>
      </w:pPr>
      <w:r>
        <w:rPr>
          <w:rFonts w:ascii="Arial" w:hAnsi="Arial" w:cs="Arial"/>
          <w:sz w:val="22"/>
        </w:rPr>
        <w:t>Las resoluciones identifican régimen, fecha y efectos. Cuando la TGSS se aparta de lo pedido, actúa de oficio con retroacción o modifica encuadramiento, debe expresar hechos y fundamento. La prueba se valora en conjunto: contrato, nóminas, actividad efectiva, control societario, comunicaciones y datos de otras Administraciones.</w:t>
      </w:r>
    </w:p>
    <w:p>
      <w:pPr>
        <w:jc w:val="both"/>
      </w:pPr>
      <w:r>
        <w:rPr>
          <w:rFonts w:ascii="Arial" w:hAnsi="Arial" w:cs="Arial"/>
          <w:sz w:val="22"/>
        </w:rPr>
        <w:t xml:space="preserve">El artículo 63 del Real Decreto 84/1996 fija en </w:t>
      </w:r>
      <w:r>
        <w:rPr>
          <w:rFonts w:ascii="Arial" w:hAnsi="Arial" w:cs="Arial"/>
          <w:b/>
          <w:sz w:val="22"/>
        </w:rPr>
        <w:t>cuarenta y cinco días</w:t>
      </w:r>
      <w:r>
        <w:rPr>
          <w:rFonts w:ascii="Arial" w:hAnsi="Arial" w:cs="Arial"/>
          <w:sz w:val="22"/>
        </w:rPr>
        <w:t xml:space="preserve"> el plazo máximo para resolver los procedimientos relativos a las materias del Reglamento, sin perjuicio del plazo propio del convenio especial y de procedimientos específicos.</w:t>
      </w:r>
    </w:p>
    <w:p>
      <w:pPr>
        <w:pStyle w:val="Heading2"/>
        <w:keepNext/>
      </w:pPr>
      <w:r>
        <w:rPr>
          <w:rFonts w:ascii="Arial" w:hAnsi="Arial" w:cs="Arial"/>
          <w:sz w:val="25"/>
        </w:rPr>
        <w:t>12.3. Revisión e impugnación</w:t>
      </w:r>
    </w:p>
    <w:p>
      <w:pPr>
        <w:jc w:val="both"/>
      </w:pPr>
      <w:r>
        <w:rPr>
          <w:rFonts w:ascii="Arial" w:hAnsi="Arial" w:cs="Arial"/>
          <w:sz w:val="22"/>
        </w:rPr>
        <w:t>Los actos de encuadramiento y afiliación pueden revisarse de oficio dentro de los límites legales y recurrirse por las vías administrativas y jurisdiccionales correspondientes. La presentación de recurso no convierte automáticamente en ineficaz el alta ni suspende la obligación de cotizar.</w:t>
      </w:r>
    </w:p>
    <w:p>
      <w:pPr>
        <w:jc w:val="both"/>
      </w:pPr>
      <w:r>
        <w:rPr>
          <w:rFonts w:ascii="Arial" w:hAnsi="Arial" w:cs="Arial"/>
          <w:sz w:val="22"/>
        </w:rPr>
        <w:t>Las controversias sobre actos de encuadramiento, afiliación, altas y bajas de la TGSS se someten a la distribución jurisdiccional legal. Debe atenderse a la naturaleza exacta del acto, no a que posteriormente influya en una prestación.</w:t>
      </w:r>
    </w:p>
    <w:p>
      <w:pPr>
        <w:pStyle w:val="Heading1"/>
        <w:keepNext/>
      </w:pPr>
      <w:r>
        <w:rPr>
          <w:rFonts w:ascii="Arial" w:hAnsi="Arial" w:cs="Arial"/>
          <w:sz w:val="30"/>
        </w:rPr>
        <w:t>13. Incumplimientos y responsabilidades</w:t>
      </w:r>
    </w:p>
    <w:p>
      <w:pPr>
        <w:jc w:val="both"/>
      </w:pPr>
      <w:r>
        <w:rPr>
          <w:rFonts w:ascii="Arial" w:hAnsi="Arial" w:cs="Arial"/>
          <w:sz w:val="22"/>
        </w:rPr>
        <w:t>No solicitar afiliación o alta, comunicar fuera de plazo, obtener altas indebidas o falsear datos puede constituir infracción administrativa. La LISOS distingue conductas y gradúa sanciones. En particular, no solicitar el alta de cada trabajador puede computarse como una infracción por persona afectada.</w:t>
      </w:r>
    </w:p>
    <w:p>
      <w:pPr>
        <w:jc w:val="both"/>
      </w:pPr>
      <w:r>
        <w:rPr>
          <w:rFonts w:ascii="Arial" w:hAnsi="Arial" w:cs="Arial"/>
          <w:sz w:val="22"/>
        </w:rPr>
        <w:t>Las consecuencias pueden acumularse:</w:t>
      </w:r>
    </w:p>
    <w:p>
      <w:pPr>
        <w:pStyle w:val="ListBullet"/>
      </w:pPr>
      <w:r>
        <w:rPr>
          <w:rFonts w:ascii="Arial" w:hAnsi="Arial" w:cs="Arial"/>
          <w:sz w:val="22"/>
        </w:rPr>
        <w:t>alta o baja de oficio;</w:t>
      </w:r>
    </w:p>
    <w:p>
      <w:pPr>
        <w:pStyle w:val="ListBullet"/>
      </w:pPr>
      <w:r>
        <w:rPr>
          <w:rFonts w:ascii="Arial" w:hAnsi="Arial" w:cs="Arial"/>
          <w:sz w:val="22"/>
        </w:rPr>
        <w:t>liquidación de cuotas;</w:t>
      </w:r>
    </w:p>
    <w:p>
      <w:pPr>
        <w:pStyle w:val="ListBullet"/>
      </w:pPr>
      <w:r>
        <w:rPr>
          <w:rFonts w:ascii="Arial" w:hAnsi="Arial" w:cs="Arial"/>
          <w:sz w:val="22"/>
        </w:rPr>
        <w:t>recargos e intereses;</w:t>
      </w:r>
    </w:p>
    <w:p>
      <w:pPr>
        <w:pStyle w:val="ListBullet"/>
      </w:pPr>
      <w:r>
        <w:rPr>
          <w:rFonts w:ascii="Arial" w:hAnsi="Arial" w:cs="Arial"/>
          <w:sz w:val="22"/>
        </w:rPr>
        <w:t>sanción;</w:t>
      </w:r>
    </w:p>
    <w:p>
      <w:pPr>
        <w:pStyle w:val="ListBullet"/>
      </w:pPr>
      <w:r>
        <w:rPr>
          <w:rFonts w:ascii="Arial" w:hAnsi="Arial" w:cs="Arial"/>
          <w:sz w:val="22"/>
        </w:rPr>
        <w:t>pérdida de reducciones o bonificaciones;</w:t>
      </w:r>
    </w:p>
    <w:p>
      <w:pPr>
        <w:pStyle w:val="ListBullet"/>
      </w:pPr>
      <w:r>
        <w:rPr>
          <w:rFonts w:ascii="Arial" w:hAnsi="Arial" w:cs="Arial"/>
          <w:sz w:val="22"/>
        </w:rPr>
        <w:t>responsabilidad empresarial en prestaciones;</w:t>
      </w:r>
    </w:p>
    <w:p>
      <w:pPr>
        <w:pStyle w:val="ListBullet"/>
      </w:pPr>
      <w:r>
        <w:rPr>
          <w:rFonts w:ascii="Arial" w:hAnsi="Arial" w:cs="Arial"/>
          <w:sz w:val="22"/>
        </w:rPr>
        <w:t>derivación a responsables solidarios o subsidiarios;</w:t>
      </w:r>
    </w:p>
    <w:p>
      <w:pPr>
        <w:pStyle w:val="ListBullet"/>
      </w:pPr>
      <w:r>
        <w:rPr>
          <w:rFonts w:ascii="Arial" w:hAnsi="Arial" w:cs="Arial"/>
          <w:sz w:val="22"/>
        </w:rPr>
        <w:t>consecuencias penales en supuestos de fraude grave.</w:t>
      </w:r>
    </w:p>
    <w:p>
      <w:pPr>
        <w:jc w:val="both"/>
      </w:pPr>
      <w:r>
        <w:rPr>
          <w:rFonts w:ascii="Arial" w:hAnsi="Arial" w:cs="Arial"/>
          <w:sz w:val="22"/>
        </w:rPr>
        <w:t>La sanción no sustituye al pago de cuotas, y el pago de cuotas no elimina por sí solo la infracción.</w:t>
      </w:r>
    </w:p>
    <w:p>
      <w:pPr>
        <w:pStyle w:val="Heading1"/>
        <w:keepNext/>
      </w:pPr>
      <w:r>
        <w:rPr>
          <w:rFonts w:ascii="Arial" w:hAnsi="Arial" w:cs="Arial"/>
          <w:sz w:val="30"/>
        </w:rPr>
        <w:t>14. Cuadro de plazos esenciales</w:t>
      </w:r>
    </w:p>
    <w:tbl>
      <w:tblPr>
        <w:tblStyle w:val="TableGrid"/>
        <w:tblW w:type="dxa" w:w="9026"/>
        <w:jc w:val="left"/>
        <w:tblLayout w:type="fixed"/>
        <w:tblLook w:firstColumn="1" w:firstRow="1" w:lastColumn="0" w:lastRow="0" w:noHBand="0" w:noVBand="1" w:val="04A0"/>
        <w:tblInd w:w="120" w:type="dxa"/>
      </w:tblPr>
      <w:tblGrid>
        <w:gridCol w:w="2914"/>
        <w:gridCol w:w="2985"/>
        <w:gridCol w:w="3127"/>
      </w:tblGrid>
      <w:tr>
        <w:trPr>
          <w:tblHeader w:val="true"/>
        </w:trPr>
        <w:tc>
          <w:tcPr>
            <w:tcW w:type="dxa" w:w="2914"/>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Actuación</w:t>
            </w:r>
          </w:p>
        </w:tc>
        <w:tc>
          <w:tcPr>
            <w:tcW w:type="dxa" w:w="2985"/>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Plazo general</w:t>
            </w:r>
          </w:p>
        </w:tc>
        <w:tc>
          <w:tcPr>
            <w:tcW w:type="dxa" w:w="3127"/>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Efecto clave</w:t>
            </w:r>
          </w:p>
        </w:tc>
      </w:tr>
      <w:tr>
        <w:tc>
          <w:tcPr>
            <w:tcW w:type="dxa" w:w="2914"/>
            <w:tcMar>
              <w:top w:w="80" w:type="dxa"/>
              <w:start w:w="120" w:type="dxa"/>
              <w:bottom w:w="80" w:type="dxa"/>
              <w:end w:w="120" w:type="dxa"/>
            </w:tcMar>
            <w:vAlign w:val="center"/>
          </w:tcPr>
          <w:p>
            <w:pPr>
              <w:spacing w:before="0" w:after="0" w:line="240" w:lineRule="auto"/>
              <w:jc w:val="left"/>
            </w:pPr>
            <w:r/>
            <w:r>
              <w:rPr>
                <w:rFonts w:ascii="Arial" w:hAnsi="Arial" w:cs="Arial"/>
                <w:sz w:val="18"/>
              </w:rPr>
              <w:t>Inscripción de empresa</w:t>
            </w:r>
          </w:p>
        </w:tc>
        <w:tc>
          <w:tcPr>
            <w:tcW w:type="dxa" w:w="2985"/>
            <w:tcMar>
              <w:top w:w="80" w:type="dxa"/>
              <w:start w:w="120" w:type="dxa"/>
              <w:bottom w:w="80" w:type="dxa"/>
              <w:end w:w="120" w:type="dxa"/>
            </w:tcMar>
            <w:vAlign w:val="center"/>
          </w:tcPr>
          <w:p>
            <w:pPr>
              <w:spacing w:before="0" w:after="0" w:line="240" w:lineRule="auto"/>
              <w:jc w:val="left"/>
            </w:pPr>
            <w:r/>
            <w:r>
              <w:rPr>
                <w:rFonts w:ascii="Arial" w:hAnsi="Arial" w:cs="Arial"/>
                <w:sz w:val="18"/>
              </w:rPr>
              <w:t>Antes de iniciar actividad y ocupar trabajadores</w:t>
            </w:r>
          </w:p>
        </w:tc>
        <w:tc>
          <w:tcPr>
            <w:tcW w:type="dxa" w:w="3127"/>
            <w:tcMar>
              <w:top w:w="80" w:type="dxa"/>
              <w:start w:w="120" w:type="dxa"/>
              <w:bottom w:w="80" w:type="dxa"/>
              <w:end w:w="120" w:type="dxa"/>
            </w:tcMar>
            <w:vAlign w:val="center"/>
          </w:tcPr>
          <w:p>
            <w:pPr>
              <w:spacing w:before="0" w:after="0" w:line="240" w:lineRule="auto"/>
              <w:jc w:val="left"/>
            </w:pPr>
            <w:r/>
            <w:r>
              <w:rPr>
                <w:rFonts w:ascii="Arial" w:hAnsi="Arial" w:cs="Arial"/>
                <w:sz w:val="18"/>
              </w:rPr>
              <w:t>Identificación previa</w:t>
            </w:r>
          </w:p>
        </w:tc>
      </w:tr>
      <w:tr>
        <w:tc>
          <w:tcPr>
            <w:tcW w:type="dxa" w:w="2914"/>
            <w:tcMar>
              <w:top w:w="80" w:type="dxa"/>
              <w:start w:w="120" w:type="dxa"/>
              <w:bottom w:w="80" w:type="dxa"/>
              <w:end w:w="120" w:type="dxa"/>
            </w:tcMar>
            <w:vAlign w:val="center"/>
          </w:tcPr>
          <w:p>
            <w:pPr>
              <w:spacing w:before="0" w:after="0" w:line="240" w:lineRule="auto"/>
              <w:jc w:val="left"/>
            </w:pPr>
            <w:r/>
            <w:r>
              <w:rPr>
                <w:rFonts w:ascii="Arial" w:hAnsi="Arial" w:cs="Arial"/>
                <w:sz w:val="18"/>
              </w:rPr>
              <w:t>Afiliación de quien entra por primera vez</w:t>
            </w:r>
          </w:p>
        </w:tc>
        <w:tc>
          <w:tcPr>
            <w:tcW w:type="dxa" w:w="2985"/>
            <w:tcMar>
              <w:top w:w="80" w:type="dxa"/>
              <w:start w:w="120" w:type="dxa"/>
              <w:bottom w:w="80" w:type="dxa"/>
              <w:end w:w="120" w:type="dxa"/>
            </w:tcMar>
            <w:vAlign w:val="center"/>
          </w:tcPr>
          <w:p>
            <w:pPr>
              <w:spacing w:before="0" w:after="0" w:line="240" w:lineRule="auto"/>
              <w:jc w:val="left"/>
            </w:pPr>
            <w:r/>
            <w:r>
              <w:rPr>
                <w:rFonts w:ascii="Arial" w:hAnsi="Arial" w:cs="Arial"/>
                <w:sz w:val="18"/>
              </w:rPr>
              <w:t>Antes del inicio, con el alta</w:t>
            </w:r>
          </w:p>
        </w:tc>
        <w:tc>
          <w:tcPr>
            <w:tcW w:type="dxa" w:w="3127"/>
            <w:tcMar>
              <w:top w:w="80" w:type="dxa"/>
              <w:start w:w="120" w:type="dxa"/>
              <w:bottom w:w="80" w:type="dxa"/>
              <w:end w:w="120" w:type="dxa"/>
            </w:tcMar>
            <w:vAlign w:val="center"/>
          </w:tcPr>
          <w:p>
            <w:pPr>
              <w:spacing w:before="0" w:after="0" w:line="240" w:lineRule="auto"/>
              <w:jc w:val="left"/>
            </w:pPr>
            <w:r/>
            <w:r>
              <w:rPr>
                <w:rFonts w:ascii="Arial" w:hAnsi="Arial" w:cs="Arial"/>
                <w:sz w:val="18"/>
              </w:rPr>
              <w:t>Afiliación única</w:t>
            </w:r>
          </w:p>
        </w:tc>
      </w:tr>
      <w:tr>
        <w:tc>
          <w:tcPr>
            <w:tcW w:type="dxa" w:w="2914"/>
            <w:tcMar>
              <w:top w:w="80" w:type="dxa"/>
              <w:start w:w="120" w:type="dxa"/>
              <w:bottom w:w="80" w:type="dxa"/>
              <w:end w:w="120" w:type="dxa"/>
            </w:tcMar>
            <w:vAlign w:val="center"/>
          </w:tcPr>
          <w:p>
            <w:pPr>
              <w:spacing w:before="0" w:after="0" w:line="240" w:lineRule="auto"/>
              <w:jc w:val="left"/>
            </w:pPr>
            <w:r/>
            <w:r>
              <w:rPr>
                <w:rFonts w:ascii="Arial" w:hAnsi="Arial" w:cs="Arial"/>
                <w:sz w:val="18"/>
              </w:rPr>
              <w:t>Alta en Régimen General</w:t>
            </w:r>
          </w:p>
        </w:tc>
        <w:tc>
          <w:tcPr>
            <w:tcW w:type="dxa" w:w="2985"/>
            <w:tcMar>
              <w:top w:w="80" w:type="dxa"/>
              <w:start w:w="120" w:type="dxa"/>
              <w:bottom w:w="80" w:type="dxa"/>
              <w:end w:w="120" w:type="dxa"/>
            </w:tcMar>
            <w:vAlign w:val="center"/>
          </w:tcPr>
          <w:p>
            <w:pPr>
              <w:spacing w:before="0" w:after="0" w:line="240" w:lineRule="auto"/>
              <w:jc w:val="left"/>
            </w:pPr>
            <w:r/>
            <w:r>
              <w:rPr>
                <w:rFonts w:ascii="Arial" w:hAnsi="Arial" w:cs="Arial"/>
                <w:sz w:val="18"/>
              </w:rPr>
              <w:t>Previa; máximo 60 días naturales de antelación</w:t>
            </w:r>
          </w:p>
        </w:tc>
        <w:tc>
          <w:tcPr>
            <w:tcW w:type="dxa" w:w="3127"/>
            <w:tcMar>
              <w:top w:w="80" w:type="dxa"/>
              <w:start w:w="120" w:type="dxa"/>
              <w:bottom w:w="80" w:type="dxa"/>
              <w:end w:w="120" w:type="dxa"/>
            </w:tcMar>
            <w:vAlign w:val="center"/>
          </w:tcPr>
          <w:p>
            <w:pPr>
              <w:spacing w:before="0" w:after="0" w:line="240" w:lineRule="auto"/>
              <w:jc w:val="left"/>
            </w:pPr>
            <w:r/>
            <w:r>
              <w:rPr>
                <w:rFonts w:ascii="Arial" w:hAnsi="Arial" w:cs="Arial"/>
                <w:sz w:val="18"/>
              </w:rPr>
              <w:t>Efectos al comenzar</w:t>
            </w:r>
          </w:p>
        </w:tc>
      </w:tr>
      <w:tr>
        <w:tc>
          <w:tcPr>
            <w:tcW w:type="dxa" w:w="2914"/>
            <w:tcMar>
              <w:top w:w="80" w:type="dxa"/>
              <w:start w:w="120" w:type="dxa"/>
              <w:bottom w:w="80" w:type="dxa"/>
              <w:end w:w="120" w:type="dxa"/>
            </w:tcMar>
            <w:vAlign w:val="center"/>
          </w:tcPr>
          <w:p>
            <w:pPr>
              <w:spacing w:before="0" w:after="0" w:line="240" w:lineRule="auto"/>
              <w:jc w:val="left"/>
            </w:pPr>
            <w:r/>
            <w:r>
              <w:rPr>
                <w:rFonts w:ascii="Arial" w:hAnsi="Arial" w:cs="Arial"/>
                <w:sz w:val="18"/>
              </w:rPr>
              <w:t>Baja</w:t>
            </w:r>
          </w:p>
        </w:tc>
        <w:tc>
          <w:tcPr>
            <w:tcW w:type="dxa" w:w="2985"/>
            <w:tcMar>
              <w:top w:w="80" w:type="dxa"/>
              <w:start w:w="120" w:type="dxa"/>
              <w:bottom w:w="80" w:type="dxa"/>
              <w:end w:w="120" w:type="dxa"/>
            </w:tcMar>
            <w:vAlign w:val="center"/>
          </w:tcPr>
          <w:p>
            <w:pPr>
              <w:spacing w:before="0" w:after="0" w:line="240" w:lineRule="auto"/>
              <w:jc w:val="left"/>
            </w:pPr>
            <w:r/>
            <w:r>
              <w:rPr>
                <w:rFonts w:ascii="Arial" w:hAnsi="Arial" w:cs="Arial"/>
                <w:sz w:val="18"/>
              </w:rPr>
              <w:t>3 días naturales a 30-07-2026; 6 desde 01-08-2026</w:t>
            </w:r>
          </w:p>
        </w:tc>
        <w:tc>
          <w:tcPr>
            <w:tcW w:type="dxa" w:w="3127"/>
            <w:tcMar>
              <w:top w:w="80" w:type="dxa"/>
              <w:start w:w="120" w:type="dxa"/>
              <w:bottom w:w="80" w:type="dxa"/>
              <w:end w:w="120" w:type="dxa"/>
            </w:tcMar>
            <w:vAlign w:val="center"/>
          </w:tcPr>
          <w:p>
            <w:pPr>
              <w:spacing w:before="0" w:after="0" w:line="240" w:lineRule="auto"/>
              <w:jc w:val="left"/>
            </w:pPr>
            <w:r/>
            <w:r>
              <w:rPr>
                <w:rFonts w:ascii="Arial" w:hAnsi="Arial" w:cs="Arial"/>
                <w:sz w:val="18"/>
              </w:rPr>
              <w:t>Fin de cotización si se presenta en plazo</w:t>
            </w:r>
          </w:p>
        </w:tc>
      </w:tr>
      <w:tr>
        <w:tc>
          <w:tcPr>
            <w:tcW w:type="dxa" w:w="2914"/>
            <w:tcMar>
              <w:top w:w="80" w:type="dxa"/>
              <w:start w:w="120" w:type="dxa"/>
              <w:bottom w:w="80" w:type="dxa"/>
              <w:end w:w="120" w:type="dxa"/>
            </w:tcMar>
            <w:vAlign w:val="center"/>
          </w:tcPr>
          <w:p>
            <w:pPr>
              <w:spacing w:before="0" w:after="0" w:line="240" w:lineRule="auto"/>
              <w:jc w:val="left"/>
            </w:pPr>
            <w:r/>
            <w:r>
              <w:rPr>
                <w:rFonts w:ascii="Arial" w:hAnsi="Arial" w:cs="Arial"/>
                <w:sz w:val="18"/>
              </w:rPr>
              <w:t>Variación de datos de afiliación del art. 28</w:t>
            </w:r>
          </w:p>
        </w:tc>
        <w:tc>
          <w:tcPr>
            <w:tcW w:type="dxa" w:w="2985"/>
            <w:tcMar>
              <w:top w:w="80" w:type="dxa"/>
              <w:start w:w="120" w:type="dxa"/>
              <w:bottom w:w="80" w:type="dxa"/>
              <w:end w:w="120" w:type="dxa"/>
            </w:tcMar>
            <w:vAlign w:val="center"/>
          </w:tcPr>
          <w:p>
            <w:pPr>
              <w:spacing w:before="0" w:after="0" w:line="240" w:lineRule="auto"/>
              <w:jc w:val="left"/>
            </w:pPr>
            <w:r/>
            <w:r>
              <w:rPr>
                <w:rFonts w:ascii="Arial" w:hAnsi="Arial" w:cs="Arial"/>
                <w:sz w:val="18"/>
              </w:rPr>
              <w:t>3 días naturales</w:t>
            </w:r>
          </w:p>
        </w:tc>
        <w:tc>
          <w:tcPr>
            <w:tcW w:type="dxa" w:w="3127"/>
            <w:tcMar>
              <w:top w:w="80" w:type="dxa"/>
              <w:start w:w="120" w:type="dxa"/>
              <w:bottom w:w="80" w:type="dxa"/>
              <w:end w:w="120" w:type="dxa"/>
            </w:tcMar>
            <w:vAlign w:val="center"/>
          </w:tcPr>
          <w:p>
            <w:pPr>
              <w:spacing w:before="0" w:after="0" w:line="240" w:lineRule="auto"/>
              <w:jc w:val="left"/>
            </w:pPr>
            <w:r/>
            <w:r>
              <w:rPr>
                <w:rFonts w:ascii="Arial" w:hAnsi="Arial" w:cs="Arial"/>
                <w:sz w:val="18"/>
              </w:rPr>
              <w:t>Actualización de datos personales</w:t>
            </w:r>
          </w:p>
        </w:tc>
      </w:tr>
      <w:tr>
        <w:tc>
          <w:tcPr>
            <w:tcW w:type="dxa" w:w="2914"/>
            <w:tcMar>
              <w:top w:w="80" w:type="dxa"/>
              <w:start w:w="120" w:type="dxa"/>
              <w:bottom w:w="80" w:type="dxa"/>
              <w:end w:w="120" w:type="dxa"/>
            </w:tcMar>
            <w:vAlign w:val="center"/>
          </w:tcPr>
          <w:p>
            <w:pPr>
              <w:spacing w:before="0" w:after="0" w:line="240" w:lineRule="auto"/>
              <w:jc w:val="left"/>
            </w:pPr>
            <w:r/>
            <w:r>
              <w:rPr>
                <w:rFonts w:ascii="Arial" w:hAnsi="Arial" w:cs="Arial"/>
                <w:sz w:val="18"/>
              </w:rPr>
              <w:t>Variación de datos de trabajadores del art. 32.3.2.º</w:t>
            </w:r>
          </w:p>
        </w:tc>
        <w:tc>
          <w:tcPr>
            <w:tcW w:type="dxa" w:w="2985"/>
            <w:tcMar>
              <w:top w:w="80" w:type="dxa"/>
              <w:start w:w="120" w:type="dxa"/>
              <w:bottom w:w="80" w:type="dxa"/>
              <w:end w:w="120" w:type="dxa"/>
            </w:tcMar>
            <w:vAlign w:val="center"/>
          </w:tcPr>
          <w:p>
            <w:pPr>
              <w:spacing w:before="0" w:after="0" w:line="240" w:lineRule="auto"/>
              <w:jc w:val="left"/>
            </w:pPr>
            <w:r/>
            <w:r>
              <w:rPr>
                <w:rFonts w:ascii="Arial" w:hAnsi="Arial" w:cs="Arial"/>
                <w:sz w:val="18"/>
              </w:rPr>
              <w:t>3 días naturales a 30-07-2026; 6 desde 01-08-2026</w:t>
            </w:r>
          </w:p>
        </w:tc>
        <w:tc>
          <w:tcPr>
            <w:tcW w:type="dxa" w:w="3127"/>
            <w:tcMar>
              <w:top w:w="80" w:type="dxa"/>
              <w:start w:w="120" w:type="dxa"/>
              <w:bottom w:w="80" w:type="dxa"/>
              <w:end w:w="120" w:type="dxa"/>
            </w:tcMar>
            <w:vAlign w:val="center"/>
          </w:tcPr>
          <w:p>
            <w:pPr>
              <w:spacing w:before="0" w:after="0" w:line="240" w:lineRule="auto"/>
              <w:jc w:val="left"/>
            </w:pPr>
            <w:r/>
            <w:r>
              <w:rPr>
                <w:rFonts w:ascii="Arial" w:hAnsi="Arial" w:cs="Arial"/>
                <w:sz w:val="18"/>
              </w:rPr>
              <w:t>Ajuste de encuadramiento/cotización</w:t>
            </w:r>
          </w:p>
        </w:tc>
      </w:tr>
      <w:tr>
        <w:tc>
          <w:tcPr>
            <w:tcW w:type="dxa" w:w="2914"/>
            <w:tcMar>
              <w:top w:w="80" w:type="dxa"/>
              <w:start w:w="120" w:type="dxa"/>
              <w:bottom w:w="80" w:type="dxa"/>
              <w:end w:w="120" w:type="dxa"/>
            </w:tcMar>
            <w:vAlign w:val="center"/>
          </w:tcPr>
          <w:p>
            <w:pPr>
              <w:spacing w:before="0" w:after="0" w:line="240" w:lineRule="auto"/>
              <w:jc w:val="left"/>
            </w:pPr>
            <w:r/>
            <w:r>
              <w:rPr>
                <w:rFonts w:ascii="Arial" w:hAnsi="Arial" w:cs="Arial"/>
                <w:sz w:val="18"/>
              </w:rPr>
              <w:t>Resolución ordinaria RD 84/1996</w:t>
            </w:r>
          </w:p>
        </w:tc>
        <w:tc>
          <w:tcPr>
            <w:tcW w:type="dxa" w:w="2985"/>
            <w:tcMar>
              <w:top w:w="80" w:type="dxa"/>
              <w:start w:w="120" w:type="dxa"/>
              <w:bottom w:w="80" w:type="dxa"/>
              <w:end w:w="120" w:type="dxa"/>
            </w:tcMar>
            <w:vAlign w:val="center"/>
          </w:tcPr>
          <w:p>
            <w:pPr>
              <w:spacing w:before="0" w:after="0" w:line="240" w:lineRule="auto"/>
              <w:jc w:val="center"/>
            </w:pPr>
            <w:r/>
            <w:r>
              <w:rPr>
                <w:rFonts w:ascii="Arial" w:hAnsi="Arial" w:cs="Arial"/>
                <w:sz w:val="18"/>
              </w:rPr>
              <w:t>45 días</w:t>
            </w:r>
          </w:p>
        </w:tc>
        <w:tc>
          <w:tcPr>
            <w:tcW w:type="dxa" w:w="3127"/>
            <w:tcMar>
              <w:top w:w="80" w:type="dxa"/>
              <w:start w:w="120" w:type="dxa"/>
              <w:bottom w:w="80" w:type="dxa"/>
              <w:end w:w="120" w:type="dxa"/>
            </w:tcMar>
            <w:vAlign w:val="center"/>
          </w:tcPr>
          <w:p>
            <w:pPr>
              <w:spacing w:before="0" w:after="0" w:line="240" w:lineRule="auto"/>
              <w:jc w:val="left"/>
            </w:pPr>
            <w:r/>
            <w:r>
              <w:rPr>
                <w:rFonts w:ascii="Arial" w:hAnsi="Arial" w:cs="Arial"/>
                <w:sz w:val="18"/>
              </w:rPr>
              <w:t>Plazo máximo general</w:t>
            </w:r>
          </w:p>
        </w:tc>
      </w:tr>
      <w:tr>
        <w:tc>
          <w:tcPr>
            <w:tcW w:type="dxa" w:w="2914"/>
            <w:tcMar>
              <w:top w:w="80" w:type="dxa"/>
              <w:start w:w="120" w:type="dxa"/>
              <w:bottom w:w="80" w:type="dxa"/>
              <w:end w:w="120" w:type="dxa"/>
            </w:tcMar>
            <w:vAlign w:val="center"/>
          </w:tcPr>
          <w:p>
            <w:pPr>
              <w:spacing w:before="0" w:after="0" w:line="240" w:lineRule="auto"/>
              <w:jc w:val="left"/>
            </w:pPr>
            <w:r/>
            <w:r>
              <w:rPr>
                <w:rFonts w:ascii="Arial" w:hAnsi="Arial" w:cs="Arial"/>
                <w:sz w:val="18"/>
              </w:rPr>
              <w:t>Solicitud de convenio general</w:t>
            </w:r>
          </w:p>
        </w:tc>
        <w:tc>
          <w:tcPr>
            <w:tcW w:type="dxa" w:w="2985"/>
            <w:tcMar>
              <w:top w:w="80" w:type="dxa"/>
              <w:start w:w="120" w:type="dxa"/>
              <w:bottom w:w="80" w:type="dxa"/>
              <w:end w:w="120" w:type="dxa"/>
            </w:tcMar>
            <w:vAlign w:val="center"/>
          </w:tcPr>
          <w:p>
            <w:pPr>
              <w:spacing w:before="0" w:after="0" w:line="240" w:lineRule="auto"/>
              <w:jc w:val="left"/>
            </w:pPr>
            <w:r/>
            <w:r>
              <w:rPr>
                <w:rFonts w:ascii="Arial" w:hAnsi="Arial" w:cs="Arial"/>
                <w:sz w:val="18"/>
              </w:rPr>
              <w:t>1 año desde el hecho causante</w:t>
            </w:r>
          </w:p>
        </w:tc>
        <w:tc>
          <w:tcPr>
            <w:tcW w:type="dxa" w:w="3127"/>
            <w:tcMar>
              <w:top w:w="80" w:type="dxa"/>
              <w:start w:w="120" w:type="dxa"/>
              <w:bottom w:w="80" w:type="dxa"/>
              <w:end w:w="120" w:type="dxa"/>
            </w:tcMar>
            <w:vAlign w:val="center"/>
          </w:tcPr>
          <w:p>
            <w:pPr>
              <w:spacing w:before="0" w:after="0" w:line="240" w:lineRule="auto"/>
              <w:jc w:val="left"/>
            </w:pPr>
            <w:r/>
            <w:r>
              <w:rPr>
                <w:rFonts w:ascii="Arial" w:hAnsi="Arial" w:cs="Arial"/>
                <w:sz w:val="18"/>
              </w:rPr>
              <w:t>Fuera del plazo no nace el derecho</w:t>
            </w:r>
          </w:p>
        </w:tc>
      </w:tr>
      <w:tr>
        <w:tc>
          <w:tcPr>
            <w:tcW w:type="dxa" w:w="2914"/>
            <w:tcMar>
              <w:top w:w="80" w:type="dxa"/>
              <w:start w:w="120" w:type="dxa"/>
              <w:bottom w:w="80" w:type="dxa"/>
              <w:end w:w="120" w:type="dxa"/>
            </w:tcMar>
            <w:vAlign w:val="center"/>
          </w:tcPr>
          <w:p>
            <w:pPr>
              <w:spacing w:before="0" w:after="0" w:line="240" w:lineRule="auto"/>
              <w:jc w:val="left"/>
            </w:pPr>
            <w:r/>
            <w:r>
              <w:rPr>
                <w:rFonts w:ascii="Arial" w:hAnsi="Arial" w:cs="Arial"/>
                <w:sz w:val="18"/>
              </w:rPr>
              <w:t>Solicitud de convenio con retroacción elegible</w:t>
            </w:r>
          </w:p>
        </w:tc>
        <w:tc>
          <w:tcPr>
            <w:tcW w:type="dxa" w:w="2985"/>
            <w:tcMar>
              <w:top w:w="80" w:type="dxa"/>
              <w:start w:w="120" w:type="dxa"/>
              <w:bottom w:w="80" w:type="dxa"/>
              <w:end w:w="120" w:type="dxa"/>
            </w:tcMar>
            <w:vAlign w:val="center"/>
          </w:tcPr>
          <w:p>
            <w:pPr>
              <w:spacing w:before="0" w:after="0" w:line="240" w:lineRule="auto"/>
              <w:jc w:val="left"/>
            </w:pPr>
            <w:r/>
            <w:r>
              <w:rPr>
                <w:rFonts w:ascii="Arial" w:hAnsi="Arial" w:cs="Arial"/>
                <w:sz w:val="18"/>
              </w:rPr>
              <w:t>90 días naturales</w:t>
            </w:r>
          </w:p>
        </w:tc>
        <w:tc>
          <w:tcPr>
            <w:tcW w:type="dxa" w:w="3127"/>
            <w:tcMar>
              <w:top w:w="80" w:type="dxa"/>
              <w:start w:w="120" w:type="dxa"/>
              <w:bottom w:w="80" w:type="dxa"/>
              <w:end w:w="120" w:type="dxa"/>
            </w:tcMar>
            <w:vAlign w:val="center"/>
          </w:tcPr>
          <w:p>
            <w:pPr>
              <w:spacing w:before="0" w:after="0" w:line="240" w:lineRule="auto"/>
              <w:jc w:val="left"/>
            </w:pPr>
            <w:r/>
            <w:r>
              <w:rPr>
                <w:rFonts w:ascii="Arial" w:hAnsi="Arial" w:cs="Arial"/>
                <w:sz w:val="18"/>
              </w:rPr>
              <w:t>Posibles efectos desde el día siguiente a la baja</w:t>
            </w:r>
          </w:p>
        </w:tc>
      </w:tr>
      <w:tr>
        <w:tc>
          <w:tcPr>
            <w:tcW w:type="dxa" w:w="2914"/>
            <w:tcMar>
              <w:top w:w="80" w:type="dxa"/>
              <w:start w:w="120" w:type="dxa"/>
              <w:bottom w:w="80" w:type="dxa"/>
              <w:end w:w="120" w:type="dxa"/>
            </w:tcMar>
            <w:vAlign w:val="center"/>
          </w:tcPr>
          <w:p>
            <w:pPr>
              <w:spacing w:before="0" w:after="0" w:line="240" w:lineRule="auto"/>
              <w:jc w:val="left"/>
            </w:pPr>
            <w:r/>
            <w:r>
              <w:rPr>
                <w:rFonts w:ascii="Arial" w:hAnsi="Arial" w:cs="Arial"/>
                <w:sz w:val="18"/>
              </w:rPr>
              <w:t>Carencia convenio general</w:t>
            </w:r>
          </w:p>
        </w:tc>
        <w:tc>
          <w:tcPr>
            <w:tcW w:type="dxa" w:w="2985"/>
            <w:tcMar>
              <w:top w:w="80" w:type="dxa"/>
              <w:start w:w="120" w:type="dxa"/>
              <w:bottom w:w="80" w:type="dxa"/>
              <w:end w:w="120" w:type="dxa"/>
            </w:tcMar>
            <w:vAlign w:val="center"/>
          </w:tcPr>
          <w:p>
            <w:pPr>
              <w:spacing w:before="0" w:after="0" w:line="240" w:lineRule="auto"/>
              <w:jc w:val="left"/>
            </w:pPr>
            <w:r/>
            <w:r>
              <w:rPr>
                <w:rFonts w:ascii="Arial" w:hAnsi="Arial" w:cs="Arial"/>
                <w:sz w:val="18"/>
              </w:rPr>
              <w:t>1.080 días en 12 años</w:t>
            </w:r>
          </w:p>
        </w:tc>
        <w:tc>
          <w:tcPr>
            <w:tcW w:type="dxa" w:w="3127"/>
            <w:tcMar>
              <w:top w:w="80" w:type="dxa"/>
              <w:start w:w="120" w:type="dxa"/>
              <w:bottom w:w="80" w:type="dxa"/>
              <w:end w:w="120" w:type="dxa"/>
            </w:tcMar>
            <w:vAlign w:val="center"/>
          </w:tcPr>
          <w:p>
            <w:pPr>
              <w:spacing w:before="0" w:after="0" w:line="240" w:lineRule="auto"/>
              <w:jc w:val="left"/>
            </w:pPr>
            <w:r/>
            <w:r>
              <w:rPr>
                <w:rFonts w:ascii="Arial" w:hAnsi="Arial" w:cs="Arial"/>
                <w:sz w:val="18"/>
              </w:rPr>
              <w:t>Requisito ordinario</w:t>
            </w:r>
          </w:p>
        </w:tc>
      </w:tr>
      <w:tr>
        <w:tc>
          <w:tcPr>
            <w:tcW w:type="dxa" w:w="2914"/>
            <w:tcMar>
              <w:top w:w="80" w:type="dxa"/>
              <w:start w:w="120" w:type="dxa"/>
              <w:bottom w:w="80" w:type="dxa"/>
              <w:end w:w="120" w:type="dxa"/>
            </w:tcMar>
            <w:vAlign w:val="center"/>
          </w:tcPr>
          <w:p>
            <w:pPr>
              <w:spacing w:before="0" w:after="0" w:line="240" w:lineRule="auto"/>
              <w:jc w:val="left"/>
            </w:pPr>
            <w:r/>
            <w:r>
              <w:rPr>
                <w:rFonts w:ascii="Arial" w:hAnsi="Arial" w:cs="Arial"/>
                <w:sz w:val="18"/>
              </w:rPr>
              <w:t>Comunicar actividad que suspende el convenio</w:t>
            </w:r>
          </w:p>
        </w:tc>
        <w:tc>
          <w:tcPr>
            <w:tcW w:type="dxa" w:w="2985"/>
            <w:tcMar>
              <w:top w:w="80" w:type="dxa"/>
              <w:start w:w="120" w:type="dxa"/>
              <w:bottom w:w="80" w:type="dxa"/>
              <w:end w:w="120" w:type="dxa"/>
            </w:tcMar>
            <w:vAlign w:val="center"/>
          </w:tcPr>
          <w:p>
            <w:pPr>
              <w:spacing w:before="0" w:after="0" w:line="240" w:lineRule="auto"/>
              <w:jc w:val="left"/>
            </w:pPr>
            <w:r/>
            <w:r>
              <w:rPr>
                <w:rFonts w:ascii="Arial" w:hAnsi="Arial" w:cs="Arial"/>
                <w:sz w:val="18"/>
              </w:rPr>
              <w:t>10 días naturales</w:t>
            </w:r>
          </w:p>
        </w:tc>
        <w:tc>
          <w:tcPr>
            <w:tcW w:type="dxa" w:w="3127"/>
            <w:tcMar>
              <w:top w:w="80" w:type="dxa"/>
              <w:start w:w="120" w:type="dxa"/>
              <w:bottom w:w="80" w:type="dxa"/>
              <w:end w:w="120" w:type="dxa"/>
            </w:tcMar>
            <w:vAlign w:val="center"/>
          </w:tcPr>
          <w:p>
            <w:pPr>
              <w:spacing w:before="0" w:after="0" w:line="240" w:lineRule="auto"/>
              <w:jc w:val="left"/>
            </w:pPr>
            <w:r/>
            <w:r>
              <w:rPr>
                <w:rFonts w:ascii="Arial" w:hAnsi="Arial" w:cs="Arial"/>
                <w:sz w:val="18"/>
              </w:rPr>
              <w:t>Suspensión desde el día anterior a la incorporación</w:t>
            </w:r>
          </w:p>
        </w:tc>
      </w:tr>
      <w:tr>
        <w:tc>
          <w:tcPr>
            <w:tcW w:type="dxa" w:w="2914"/>
            <w:tcMar>
              <w:top w:w="80" w:type="dxa"/>
              <w:start w:w="120" w:type="dxa"/>
              <w:bottom w:w="80" w:type="dxa"/>
              <w:end w:w="120" w:type="dxa"/>
            </w:tcMar>
            <w:vAlign w:val="center"/>
          </w:tcPr>
          <w:p>
            <w:pPr>
              <w:spacing w:before="0" w:after="0" w:line="240" w:lineRule="auto"/>
              <w:jc w:val="left"/>
            </w:pPr>
            <w:r/>
            <w:r>
              <w:rPr>
                <w:rFonts w:ascii="Arial" w:hAnsi="Arial" w:cs="Arial"/>
                <w:sz w:val="18"/>
              </w:rPr>
              <w:t>Reanudación tras suspensión del convenio</w:t>
            </w:r>
          </w:p>
        </w:tc>
        <w:tc>
          <w:tcPr>
            <w:tcW w:type="dxa" w:w="2985"/>
            <w:tcMar>
              <w:top w:w="80" w:type="dxa"/>
              <w:start w:w="120" w:type="dxa"/>
              <w:bottom w:w="80" w:type="dxa"/>
              <w:end w:w="120" w:type="dxa"/>
            </w:tcMar>
            <w:vAlign w:val="center"/>
          </w:tcPr>
          <w:p>
            <w:pPr>
              <w:spacing w:before="0" w:after="0" w:line="240" w:lineRule="auto"/>
              <w:jc w:val="left"/>
            </w:pPr>
            <w:r/>
            <w:r>
              <w:rPr>
                <w:rFonts w:ascii="Arial" w:hAnsi="Arial" w:cs="Arial"/>
                <w:sz w:val="18"/>
              </w:rPr>
              <w:t>Mes natural siguiente al cese</w:t>
            </w:r>
          </w:p>
        </w:tc>
        <w:tc>
          <w:tcPr>
            <w:tcW w:type="dxa" w:w="3127"/>
            <w:tcMar>
              <w:top w:w="80" w:type="dxa"/>
              <w:start w:w="120" w:type="dxa"/>
              <w:bottom w:w="80" w:type="dxa"/>
              <w:end w:w="120" w:type="dxa"/>
            </w:tcMar>
            <w:vAlign w:val="center"/>
          </w:tcPr>
          <w:p>
            <w:pPr>
              <w:spacing w:before="0" w:after="0" w:line="240" w:lineRule="auto"/>
              <w:jc w:val="left"/>
            </w:pPr>
            <w:r/>
            <w:r>
              <w:rPr>
                <w:rFonts w:ascii="Arial" w:hAnsi="Arial" w:cs="Arial"/>
                <w:sz w:val="18"/>
              </w:rPr>
              <w:t>Continuidad desde el día siguiente al cese</w:t>
            </w:r>
          </w:p>
        </w:tc>
      </w:tr>
      <w:tr>
        <w:tc>
          <w:tcPr>
            <w:tcW w:type="dxa" w:w="2914"/>
            <w:tcMar>
              <w:top w:w="80" w:type="dxa"/>
              <w:start w:w="120" w:type="dxa"/>
              <w:bottom w:w="80" w:type="dxa"/>
              <w:end w:w="120" w:type="dxa"/>
            </w:tcMar>
            <w:vAlign w:val="center"/>
          </w:tcPr>
          <w:p>
            <w:pPr>
              <w:spacing w:before="0" w:after="0" w:line="240" w:lineRule="auto"/>
              <w:jc w:val="left"/>
            </w:pPr>
            <w:r/>
            <w:r>
              <w:rPr>
                <w:rFonts w:ascii="Arial" w:hAnsi="Arial" w:cs="Arial"/>
                <w:sz w:val="18"/>
              </w:rPr>
              <w:t>Impago extintivo del convenio</w:t>
            </w:r>
          </w:p>
        </w:tc>
        <w:tc>
          <w:tcPr>
            <w:tcW w:type="dxa" w:w="2985"/>
            <w:tcMar>
              <w:top w:w="80" w:type="dxa"/>
              <w:start w:w="120" w:type="dxa"/>
              <w:bottom w:w="80" w:type="dxa"/>
              <w:end w:w="120" w:type="dxa"/>
            </w:tcMar>
            <w:vAlign w:val="center"/>
          </w:tcPr>
          <w:p>
            <w:pPr>
              <w:spacing w:before="0" w:after="0" w:line="240" w:lineRule="auto"/>
              <w:jc w:val="left"/>
            </w:pPr>
            <w:r/>
            <w:r>
              <w:rPr>
                <w:rFonts w:ascii="Arial" w:hAnsi="Arial" w:cs="Arial"/>
                <w:sz w:val="18"/>
              </w:rPr>
              <w:t>3 consecutivas o 5 alternativas</w:t>
            </w:r>
          </w:p>
        </w:tc>
        <w:tc>
          <w:tcPr>
            <w:tcW w:type="dxa" w:w="3127"/>
            <w:tcMar>
              <w:top w:w="80" w:type="dxa"/>
              <w:start w:w="120" w:type="dxa"/>
              <w:bottom w:w="80" w:type="dxa"/>
              <w:end w:w="120" w:type="dxa"/>
            </w:tcMar>
            <w:vAlign w:val="center"/>
          </w:tcPr>
          <w:p>
            <w:pPr>
              <w:spacing w:before="0" w:after="0" w:line="240" w:lineRule="auto"/>
              <w:jc w:val="center"/>
            </w:pPr>
            <w:r/>
            <w:r>
              <w:rPr>
                <w:rFonts w:ascii="Arial" w:hAnsi="Arial" w:cs="Arial"/>
                <w:sz w:val="18"/>
              </w:rPr>
              <w:t>Extinción</w:t>
            </w:r>
          </w:p>
        </w:tc>
      </w:tr>
    </w:tbl>
    <w:p>
      <w:pPr>
        <w:spacing w:after="40"/>
      </w:pPr>
    </w:p>
    <w:p>
      <w:pPr>
        <w:pStyle w:val="Heading1"/>
        <w:keepNext/>
      </w:pPr>
      <w:r>
        <w:rPr>
          <w:rFonts w:ascii="Arial" w:hAnsi="Arial" w:cs="Arial"/>
          <w:sz w:val="30"/>
        </w:rPr>
        <w:t>15. Método para resolver supuestos</w:t>
      </w:r>
    </w:p>
    <w:p>
      <w:pPr>
        <w:jc w:val="both"/>
      </w:pPr>
      <w:r>
        <w:rPr>
          <w:rFonts w:ascii="Arial" w:hAnsi="Arial" w:cs="Arial"/>
          <w:sz w:val="22"/>
        </w:rPr>
        <w:t>Ante un caso práctico conviene seguir siempre esta secuencia:</w:t>
      </w:r>
    </w:p>
    <w:p>
      <w:pPr>
        <w:spacing w:after="40"/>
        <w:ind w:left="369" w:hanging="227"/>
      </w:pPr>
      <w:r>
        <w:rPr>
          <w:rFonts w:ascii="Arial" w:hAnsi="Arial" w:cs="Arial"/>
          <w:sz w:val="22"/>
        </w:rPr>
        <w:t xml:space="preserve">1. </w:t>
      </w:r>
      <w:r>
        <w:rPr>
          <w:rFonts w:ascii="Arial" w:hAnsi="Arial" w:cs="Arial"/>
          <w:b/>
          <w:sz w:val="22"/>
        </w:rPr>
        <w:t>Identificar la actividad real.</w:t>
      </w:r>
      <w:r>
        <w:rPr>
          <w:rFonts w:ascii="Arial" w:hAnsi="Arial" w:cs="Arial"/>
          <w:sz w:val="22"/>
        </w:rPr>
        <w:t xml:space="preserve"> Distinguir cuenta ajena, propia y situación societaria.</w:t>
      </w:r>
    </w:p>
    <w:p>
      <w:pPr>
        <w:spacing w:after="40"/>
        <w:ind w:left="369" w:hanging="227"/>
      </w:pPr>
      <w:r>
        <w:rPr>
          <w:rFonts w:ascii="Arial" w:hAnsi="Arial" w:cs="Arial"/>
          <w:sz w:val="22"/>
        </w:rPr>
        <w:t xml:space="preserve">2. </w:t>
      </w:r>
      <w:r>
        <w:rPr>
          <w:rFonts w:ascii="Arial" w:hAnsi="Arial" w:cs="Arial"/>
          <w:b/>
          <w:sz w:val="22"/>
        </w:rPr>
        <w:t>Determinar el régimen.</w:t>
      </w:r>
      <w:r>
        <w:rPr>
          <w:rFonts w:ascii="Arial" w:hAnsi="Arial" w:cs="Arial"/>
          <w:sz w:val="22"/>
        </w:rPr>
        <w:t xml:space="preserve"> Régimen General, especial o sistema especial.</w:t>
      </w:r>
    </w:p>
    <w:p>
      <w:pPr>
        <w:spacing w:after="40"/>
        <w:ind w:left="369" w:hanging="227"/>
      </w:pPr>
      <w:r>
        <w:rPr>
          <w:rFonts w:ascii="Arial" w:hAnsi="Arial" w:cs="Arial"/>
          <w:sz w:val="22"/>
        </w:rPr>
        <w:t xml:space="preserve">3. </w:t>
      </w:r>
      <w:r>
        <w:rPr>
          <w:rFonts w:ascii="Arial" w:hAnsi="Arial" w:cs="Arial"/>
          <w:b/>
          <w:sz w:val="22"/>
        </w:rPr>
        <w:t>Comprobar afiliación previa.</w:t>
      </w:r>
      <w:r>
        <w:rPr>
          <w:rFonts w:ascii="Arial" w:hAnsi="Arial" w:cs="Arial"/>
          <w:sz w:val="22"/>
        </w:rPr>
        <w:t xml:space="preserve"> Solo se afilia si entra por primera vez.</w:t>
      </w:r>
    </w:p>
    <w:p>
      <w:pPr>
        <w:spacing w:after="40"/>
        <w:ind w:left="369" w:hanging="227"/>
      </w:pPr>
      <w:r>
        <w:rPr>
          <w:rFonts w:ascii="Arial" w:hAnsi="Arial" w:cs="Arial"/>
          <w:sz w:val="22"/>
        </w:rPr>
        <w:t xml:space="preserve">4. </w:t>
      </w:r>
      <w:r>
        <w:rPr>
          <w:rFonts w:ascii="Arial" w:hAnsi="Arial" w:cs="Arial"/>
          <w:b/>
          <w:sz w:val="22"/>
        </w:rPr>
        <w:t>Señalar obligado.</w:t>
      </w:r>
      <w:r>
        <w:rPr>
          <w:rFonts w:ascii="Arial" w:hAnsi="Arial" w:cs="Arial"/>
          <w:sz w:val="22"/>
        </w:rPr>
        <w:t xml:space="preserve"> Empresario, trabajador o actuación de oficio.</w:t>
      </w:r>
    </w:p>
    <w:p>
      <w:pPr>
        <w:spacing w:after="40"/>
        <w:ind w:left="369" w:hanging="227"/>
      </w:pPr>
      <w:r>
        <w:rPr>
          <w:rFonts w:ascii="Arial" w:hAnsi="Arial" w:cs="Arial"/>
          <w:sz w:val="22"/>
        </w:rPr>
        <w:t xml:space="preserve">5. </w:t>
      </w:r>
      <w:r>
        <w:rPr>
          <w:rFonts w:ascii="Arial" w:hAnsi="Arial" w:cs="Arial"/>
          <w:b/>
          <w:sz w:val="22"/>
        </w:rPr>
        <w:t>Fijar fecha real.</w:t>
      </w:r>
      <w:r>
        <w:rPr>
          <w:rFonts w:ascii="Arial" w:hAnsi="Arial" w:cs="Arial"/>
          <w:sz w:val="22"/>
        </w:rPr>
        <w:t xml:space="preserve"> Inicio, cese o variación.</w:t>
      </w:r>
    </w:p>
    <w:p>
      <w:pPr>
        <w:spacing w:after="40"/>
        <w:ind w:left="369" w:hanging="227"/>
      </w:pPr>
      <w:r>
        <w:rPr>
          <w:rFonts w:ascii="Arial" w:hAnsi="Arial" w:cs="Arial"/>
          <w:sz w:val="22"/>
        </w:rPr>
        <w:t xml:space="preserve">6. </w:t>
      </w:r>
      <w:r>
        <w:rPr>
          <w:rFonts w:ascii="Arial" w:hAnsi="Arial" w:cs="Arial"/>
          <w:b/>
          <w:sz w:val="22"/>
        </w:rPr>
        <w:t>Calcular plazo y fecha normativa.</w:t>
      </w:r>
      <w:r>
        <w:rPr>
          <w:rFonts w:ascii="Arial" w:hAnsi="Arial" w:cs="Arial"/>
          <w:sz w:val="22"/>
        </w:rPr>
        <w:t xml:space="preserve"> Alta previa; baja o variación de datos del trabajador sujeta al artículo 32.3.2.º en tres días naturales a 30 de julio de 2026 y en seis desde el 1 de agosto. La variación de datos de afiliación del artículo 28 conserva tres días.</w:t>
      </w:r>
    </w:p>
    <w:p>
      <w:pPr>
        <w:spacing w:after="40"/>
        <w:ind w:left="369" w:hanging="227"/>
      </w:pPr>
      <w:r>
        <w:rPr>
          <w:rFonts w:ascii="Arial" w:hAnsi="Arial" w:cs="Arial"/>
          <w:sz w:val="22"/>
        </w:rPr>
        <w:t xml:space="preserve">7. </w:t>
      </w:r>
      <w:r>
        <w:rPr>
          <w:rFonts w:ascii="Arial" w:hAnsi="Arial" w:cs="Arial"/>
          <w:b/>
          <w:sz w:val="22"/>
        </w:rPr>
        <w:t>Comparar fecha comunicada.</w:t>
      </w:r>
      <w:r>
        <w:rPr>
          <w:rFonts w:ascii="Arial" w:hAnsi="Arial" w:cs="Arial"/>
          <w:sz w:val="22"/>
        </w:rPr>
        <w:t xml:space="preserve"> En plazo o fuera de plazo.</w:t>
      </w:r>
    </w:p>
    <w:p>
      <w:pPr>
        <w:spacing w:after="40"/>
        <w:ind w:left="369" w:hanging="227"/>
      </w:pPr>
      <w:r>
        <w:rPr>
          <w:rFonts w:ascii="Arial" w:hAnsi="Arial" w:cs="Arial"/>
          <w:sz w:val="22"/>
        </w:rPr>
        <w:t xml:space="preserve">8. </w:t>
      </w:r>
      <w:r>
        <w:rPr>
          <w:rFonts w:ascii="Arial" w:hAnsi="Arial" w:cs="Arial"/>
          <w:b/>
          <w:sz w:val="22"/>
        </w:rPr>
        <w:t>Aplicar efectos.</w:t>
      </w:r>
      <w:r>
        <w:rPr>
          <w:rFonts w:ascii="Arial" w:hAnsi="Arial" w:cs="Arial"/>
          <w:sz w:val="22"/>
        </w:rPr>
        <w:t xml:space="preserve"> Fecha de solicitud, retroacción, obligación de cotizar y protección.</w:t>
      </w:r>
    </w:p>
    <w:p>
      <w:pPr>
        <w:spacing w:after="40"/>
        <w:ind w:left="369" w:hanging="227"/>
      </w:pPr>
      <w:r>
        <w:rPr>
          <w:rFonts w:ascii="Arial" w:hAnsi="Arial" w:cs="Arial"/>
          <w:sz w:val="22"/>
        </w:rPr>
        <w:t xml:space="preserve">9. </w:t>
      </w:r>
      <w:r>
        <w:rPr>
          <w:rFonts w:ascii="Arial" w:hAnsi="Arial" w:cs="Arial"/>
          <w:b/>
          <w:sz w:val="22"/>
        </w:rPr>
        <w:t>Comprobar alta de pleno derecho o asimilación.</w:t>
      </w:r>
    </w:p>
    <w:p>
      <w:pPr>
        <w:spacing w:after="40"/>
        <w:ind w:left="369" w:hanging="227"/>
      </w:pPr>
      <w:r>
        <w:rPr>
          <w:rFonts w:ascii="Arial" w:hAnsi="Arial" w:cs="Arial"/>
          <w:sz w:val="22"/>
        </w:rPr>
        <w:t xml:space="preserve">10. </w:t>
      </w:r>
      <w:r>
        <w:rPr>
          <w:rFonts w:ascii="Arial" w:hAnsi="Arial" w:cs="Arial"/>
          <w:b/>
          <w:sz w:val="22"/>
        </w:rPr>
        <w:t>Añadir consecuencias.</w:t>
      </w:r>
      <w:r>
        <w:rPr>
          <w:rFonts w:ascii="Arial" w:hAnsi="Arial" w:cs="Arial"/>
          <w:sz w:val="22"/>
        </w:rPr>
        <w:t xml:space="preserve"> Cuotas, sanción y responsabilidad.</w:t>
      </w:r>
    </w:p>
    <w:p>
      <w:pPr>
        <w:pStyle w:val="Heading2"/>
        <w:keepNext/>
      </w:pPr>
      <w:r>
        <w:rPr>
          <w:rFonts w:ascii="Arial" w:hAnsi="Arial" w:cs="Arial"/>
          <w:sz w:val="25"/>
        </w:rPr>
        <w:t>15.1. Ejemplo de alta tardía</w:t>
      </w:r>
    </w:p>
    <w:p>
      <w:pPr>
        <w:jc w:val="both"/>
      </w:pPr>
      <w:r>
        <w:rPr>
          <w:rFonts w:ascii="Arial" w:hAnsi="Arial" w:cs="Arial"/>
          <w:sz w:val="22"/>
        </w:rPr>
        <w:t>Una empresa contrata a una persona el 2 de septiembre y solicita el alta el 9. La obligación era previa. Administrativamente el alta tardía produce, como regla, efectos desde la solicitud, pero la empresa debe cotizar desde el día 2 y puede ser sancionada. Si el día 5 ocurrió un accidente de trabajo, se aplica el alta de pleno derecho para esa contingencia y se examina la responsabilidad empresarial.</w:t>
      </w:r>
    </w:p>
    <w:p>
      <w:pPr>
        <w:pStyle w:val="Heading2"/>
        <w:keepNext/>
      </w:pPr>
      <w:r>
        <w:rPr>
          <w:rFonts w:ascii="Arial" w:hAnsi="Arial" w:cs="Arial"/>
          <w:sz w:val="25"/>
        </w:rPr>
        <w:t>15.2. Ejemplo de baja tardía</w:t>
      </w:r>
    </w:p>
    <w:p>
      <w:pPr>
        <w:jc w:val="both"/>
      </w:pPr>
      <w:r>
        <w:rPr>
          <w:rFonts w:ascii="Arial" w:hAnsi="Arial" w:cs="Arial"/>
          <w:sz w:val="22"/>
        </w:rPr>
        <w:t>El contrato termina el 10 de octubre y la baja se comunica el 22. Se supera tanto el plazo de tres días vigente a la fecha de corte como el de seis días aplicable desde el 1 de agosto. En principio continúa la obligación hasta que la TGSS conoce el cese, aunque el empresario puede acreditar la fecha real para obtener los efectos reglamentarios. La presentación tardía puede ser sancionada y no autoriza a fabricar una fecha distinta.</w:t>
      </w:r>
    </w:p>
    <w:p>
      <w:pPr>
        <w:pStyle w:val="Heading2"/>
        <w:keepNext/>
      </w:pPr>
      <w:r>
        <w:rPr>
          <w:rFonts w:ascii="Arial" w:hAnsi="Arial" w:cs="Arial"/>
          <w:sz w:val="25"/>
        </w:rPr>
        <w:t>15.3. Ejemplo de convenio especial</w:t>
      </w:r>
    </w:p>
    <w:p>
      <w:pPr>
        <w:jc w:val="both"/>
      </w:pPr>
      <w:r>
        <w:rPr>
          <w:rFonts w:ascii="Arial" w:hAnsi="Arial" w:cs="Arial"/>
          <w:sz w:val="22"/>
        </w:rPr>
        <w:t>Una persona causa baja el 31 de enero y reúne 1.080 días en los doce años previos. Solicita convenio el 20 de marzo: está dentro de noventa días y puede optar por efectos desde el 1 de febrero, asumiendo las cuotas correspondientes. Si lo solicita el 15 de junio, sigue dentro del año, pero los efectos generales comienzan con la solicitud.</w:t>
      </w:r>
    </w:p>
    <w:p>
      <w:pPr>
        <w:pStyle w:val="Heading1"/>
        <w:keepNext/>
      </w:pPr>
      <w:r>
        <w:rPr>
          <w:rFonts w:ascii="Arial" w:hAnsi="Arial" w:cs="Arial"/>
          <w:sz w:val="30"/>
        </w:rPr>
        <w:t>16. Diferencias especialmente preguntables</w:t>
      </w:r>
    </w:p>
    <w:tbl>
      <w:tblPr>
        <w:tblStyle w:val="TableGrid"/>
        <w:tblW w:type="dxa" w:w="9026"/>
        <w:jc w:val="left"/>
        <w:tblLayout w:type="fixed"/>
        <w:tblLook w:firstColumn="1" w:firstRow="1" w:lastColumn="0" w:lastRow="0" w:noHBand="0" w:noVBand="1" w:val="04A0"/>
        <w:tblInd w:w="120" w:type="dxa"/>
      </w:tblPr>
      <w:tblGrid>
        <w:gridCol w:w="3556"/>
        <w:gridCol w:w="5470"/>
      </w:tblGrid>
      <w:tr>
        <w:trPr>
          <w:tblHeader w:val="true"/>
        </w:trPr>
        <w:tc>
          <w:tcPr>
            <w:tcW w:type="dxa" w:w="3556"/>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No confundir</w:t>
            </w:r>
          </w:p>
        </w:tc>
        <w:tc>
          <w:tcPr>
            <w:tcW w:type="dxa" w:w="547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Regla correcta</w:t>
            </w:r>
          </w:p>
        </w:tc>
      </w:tr>
      <w:tr>
        <w:tc>
          <w:tcPr>
            <w:tcW w:type="dxa" w:w="3556"/>
            <w:tcMar>
              <w:top w:w="80" w:type="dxa"/>
              <w:start w:w="120" w:type="dxa"/>
              <w:bottom w:w="80" w:type="dxa"/>
              <w:end w:w="120" w:type="dxa"/>
            </w:tcMar>
            <w:vAlign w:val="center"/>
          </w:tcPr>
          <w:p>
            <w:pPr>
              <w:spacing w:before="0" w:after="0" w:line="240" w:lineRule="auto"/>
              <w:jc w:val="left"/>
            </w:pPr>
            <w:r/>
            <w:r>
              <w:rPr>
                <w:rFonts w:ascii="Arial" w:hAnsi="Arial" w:cs="Arial"/>
                <w:sz w:val="18"/>
              </w:rPr>
              <w:t>Afiliación y alta</w:t>
            </w:r>
          </w:p>
        </w:tc>
        <w:tc>
          <w:tcPr>
            <w:tcW w:type="dxa" w:w="5470"/>
            <w:tcMar>
              <w:top w:w="80" w:type="dxa"/>
              <w:start w:w="120" w:type="dxa"/>
              <w:bottom w:w="80" w:type="dxa"/>
              <w:end w:w="120" w:type="dxa"/>
            </w:tcMar>
            <w:vAlign w:val="center"/>
          </w:tcPr>
          <w:p>
            <w:pPr>
              <w:spacing w:before="0" w:after="0" w:line="240" w:lineRule="auto"/>
              <w:jc w:val="left"/>
            </w:pPr>
            <w:r/>
            <w:r>
              <w:rPr>
                <w:rFonts w:ascii="Arial" w:hAnsi="Arial" w:cs="Arial"/>
                <w:sz w:val="18"/>
              </w:rPr>
              <w:t>Afiliación una vez; alta por actividad</w:t>
            </w:r>
          </w:p>
        </w:tc>
      </w:tr>
      <w:tr>
        <w:tc>
          <w:tcPr>
            <w:tcW w:type="dxa" w:w="3556"/>
            <w:tcMar>
              <w:top w:w="80" w:type="dxa"/>
              <w:start w:w="120" w:type="dxa"/>
              <w:bottom w:w="80" w:type="dxa"/>
              <w:end w:w="120" w:type="dxa"/>
            </w:tcMar>
            <w:vAlign w:val="center"/>
          </w:tcPr>
          <w:p>
            <w:pPr>
              <w:spacing w:before="0" w:after="0" w:line="240" w:lineRule="auto"/>
              <w:jc w:val="left"/>
            </w:pPr>
            <w:r/>
            <w:r>
              <w:rPr>
                <w:rFonts w:ascii="Arial" w:hAnsi="Arial" w:cs="Arial"/>
                <w:sz w:val="18"/>
              </w:rPr>
              <w:t>NUSS y CCC</w:t>
            </w:r>
          </w:p>
        </w:tc>
        <w:tc>
          <w:tcPr>
            <w:tcW w:type="dxa" w:w="5470"/>
            <w:tcMar>
              <w:top w:w="80" w:type="dxa"/>
              <w:start w:w="120" w:type="dxa"/>
              <w:bottom w:w="80" w:type="dxa"/>
              <w:end w:w="120" w:type="dxa"/>
            </w:tcMar>
            <w:vAlign w:val="center"/>
          </w:tcPr>
          <w:p>
            <w:pPr>
              <w:spacing w:before="0" w:after="0" w:line="240" w:lineRule="auto"/>
              <w:jc w:val="left"/>
            </w:pPr>
            <w:r/>
            <w:r>
              <w:rPr>
                <w:rFonts w:ascii="Arial" w:hAnsi="Arial" w:cs="Arial"/>
                <w:sz w:val="18"/>
              </w:rPr>
              <w:t>NUSS identifica persona; CCC identifica cuenta empresarial</w:t>
            </w:r>
          </w:p>
        </w:tc>
      </w:tr>
      <w:tr>
        <w:tc>
          <w:tcPr>
            <w:tcW w:type="dxa" w:w="3556"/>
            <w:tcMar>
              <w:top w:w="80" w:type="dxa"/>
              <w:start w:w="120" w:type="dxa"/>
              <w:bottom w:w="80" w:type="dxa"/>
              <w:end w:w="120" w:type="dxa"/>
            </w:tcMar>
            <w:vAlign w:val="center"/>
          </w:tcPr>
          <w:p>
            <w:pPr>
              <w:spacing w:before="0" w:after="0" w:line="240" w:lineRule="auto"/>
              <w:jc w:val="left"/>
            </w:pPr>
            <w:r/>
            <w:r>
              <w:rPr>
                <w:rFonts w:ascii="Arial" w:hAnsi="Arial" w:cs="Arial"/>
                <w:sz w:val="18"/>
              </w:rPr>
              <w:t>Pluriempleo y pluriactividad</w:t>
            </w:r>
          </w:p>
        </w:tc>
        <w:tc>
          <w:tcPr>
            <w:tcW w:type="dxa" w:w="5470"/>
            <w:tcMar>
              <w:top w:w="80" w:type="dxa"/>
              <w:start w:w="120" w:type="dxa"/>
              <w:bottom w:w="80" w:type="dxa"/>
              <w:end w:w="120" w:type="dxa"/>
            </w:tcMar>
            <w:vAlign w:val="center"/>
          </w:tcPr>
          <w:p>
            <w:pPr>
              <w:spacing w:before="0" w:after="0" w:line="240" w:lineRule="auto"/>
              <w:jc w:val="left"/>
            </w:pPr>
            <w:r/>
            <w:r>
              <w:rPr>
                <w:rFonts w:ascii="Arial" w:hAnsi="Arial" w:cs="Arial"/>
                <w:sz w:val="18"/>
              </w:rPr>
              <w:t>Varios empresarios en RG / varios regímenes</w:t>
            </w:r>
          </w:p>
        </w:tc>
      </w:tr>
      <w:tr>
        <w:tc>
          <w:tcPr>
            <w:tcW w:type="dxa" w:w="3556"/>
            <w:tcMar>
              <w:top w:w="80" w:type="dxa"/>
              <w:start w:w="120" w:type="dxa"/>
              <w:bottom w:w="80" w:type="dxa"/>
              <w:end w:w="120" w:type="dxa"/>
            </w:tcMar>
            <w:vAlign w:val="center"/>
          </w:tcPr>
          <w:p>
            <w:pPr>
              <w:spacing w:before="0" w:after="0" w:line="240" w:lineRule="auto"/>
              <w:jc w:val="left"/>
            </w:pPr>
            <w:r/>
            <w:r>
              <w:rPr>
                <w:rFonts w:ascii="Arial" w:hAnsi="Arial" w:cs="Arial"/>
                <w:sz w:val="18"/>
              </w:rPr>
              <w:t>Baja laboral médica y baja de Seguridad Social</w:t>
            </w:r>
          </w:p>
        </w:tc>
        <w:tc>
          <w:tcPr>
            <w:tcW w:type="dxa" w:w="5470"/>
            <w:tcMar>
              <w:top w:w="80" w:type="dxa"/>
              <w:start w:w="120" w:type="dxa"/>
              <w:bottom w:w="80" w:type="dxa"/>
              <w:end w:w="120" w:type="dxa"/>
            </w:tcMar>
            <w:vAlign w:val="center"/>
          </w:tcPr>
          <w:p>
            <w:pPr>
              <w:spacing w:before="0" w:after="0" w:line="240" w:lineRule="auto"/>
              <w:jc w:val="left"/>
            </w:pPr>
            <w:r/>
            <w:r>
              <w:rPr>
                <w:rFonts w:ascii="Arial" w:hAnsi="Arial" w:cs="Arial"/>
                <w:sz w:val="18"/>
              </w:rPr>
              <w:t>La IT no extingue el alta</w:t>
            </w:r>
          </w:p>
        </w:tc>
      </w:tr>
      <w:tr>
        <w:tc>
          <w:tcPr>
            <w:tcW w:type="dxa" w:w="3556"/>
            <w:tcMar>
              <w:top w:w="80" w:type="dxa"/>
              <w:start w:w="120" w:type="dxa"/>
              <w:bottom w:w="80" w:type="dxa"/>
              <w:end w:w="120" w:type="dxa"/>
            </w:tcMar>
            <w:vAlign w:val="center"/>
          </w:tcPr>
          <w:p>
            <w:pPr>
              <w:spacing w:before="0" w:after="0" w:line="240" w:lineRule="auto"/>
              <w:jc w:val="left"/>
            </w:pPr>
            <w:r/>
            <w:r>
              <w:rPr>
                <w:rFonts w:ascii="Arial" w:hAnsi="Arial" w:cs="Arial"/>
                <w:sz w:val="18"/>
              </w:rPr>
              <w:t>Alta tardía y ausencia de cotización previa</w:t>
            </w:r>
          </w:p>
        </w:tc>
        <w:tc>
          <w:tcPr>
            <w:tcW w:type="dxa" w:w="5470"/>
            <w:tcMar>
              <w:top w:w="80" w:type="dxa"/>
              <w:start w:w="120" w:type="dxa"/>
              <w:bottom w:w="80" w:type="dxa"/>
              <w:end w:w="120" w:type="dxa"/>
            </w:tcMar>
            <w:vAlign w:val="center"/>
          </w:tcPr>
          <w:p>
            <w:pPr>
              <w:spacing w:before="0" w:after="0" w:line="240" w:lineRule="auto"/>
              <w:jc w:val="left"/>
            </w:pPr>
            <w:r/>
            <w:r>
              <w:rPr>
                <w:rFonts w:ascii="Arial" w:hAnsi="Arial" w:cs="Arial"/>
                <w:sz w:val="18"/>
              </w:rPr>
              <w:t>Son problemas relacionados, no idénticos</w:t>
            </w:r>
          </w:p>
        </w:tc>
      </w:tr>
      <w:tr>
        <w:tc>
          <w:tcPr>
            <w:tcW w:type="dxa" w:w="3556"/>
            <w:tcMar>
              <w:top w:w="80" w:type="dxa"/>
              <w:start w:w="120" w:type="dxa"/>
              <w:bottom w:w="80" w:type="dxa"/>
              <w:end w:w="120" w:type="dxa"/>
            </w:tcMar>
            <w:vAlign w:val="center"/>
          </w:tcPr>
          <w:p>
            <w:pPr>
              <w:spacing w:before="0" w:after="0" w:line="240" w:lineRule="auto"/>
              <w:jc w:val="left"/>
            </w:pPr>
            <w:r/>
            <w:r>
              <w:rPr>
                <w:rFonts w:ascii="Arial" w:hAnsi="Arial" w:cs="Arial"/>
                <w:sz w:val="18"/>
              </w:rPr>
              <w:t>Alta de pleno derecho y alta formal</w:t>
            </w:r>
          </w:p>
        </w:tc>
        <w:tc>
          <w:tcPr>
            <w:tcW w:type="dxa" w:w="5470"/>
            <w:tcMar>
              <w:top w:w="80" w:type="dxa"/>
              <w:start w:w="120" w:type="dxa"/>
              <w:bottom w:w="80" w:type="dxa"/>
              <w:end w:w="120" w:type="dxa"/>
            </w:tcMar>
            <w:vAlign w:val="center"/>
          </w:tcPr>
          <w:p>
            <w:pPr>
              <w:spacing w:before="0" w:after="0" w:line="240" w:lineRule="auto"/>
              <w:jc w:val="left"/>
            </w:pPr>
            <w:r/>
            <w:r>
              <w:rPr>
                <w:rFonts w:ascii="Arial" w:hAnsi="Arial" w:cs="Arial"/>
                <w:sz w:val="18"/>
              </w:rPr>
              <w:t>La primera protege contingencias; no sanea el incumplimiento</w:t>
            </w:r>
          </w:p>
        </w:tc>
      </w:tr>
      <w:tr>
        <w:tc>
          <w:tcPr>
            <w:tcW w:type="dxa" w:w="3556"/>
            <w:tcMar>
              <w:top w:w="80" w:type="dxa"/>
              <w:start w:w="120" w:type="dxa"/>
              <w:bottom w:w="80" w:type="dxa"/>
              <w:end w:w="120" w:type="dxa"/>
            </w:tcMar>
            <w:vAlign w:val="center"/>
          </w:tcPr>
          <w:p>
            <w:pPr>
              <w:spacing w:before="0" w:after="0" w:line="240" w:lineRule="auto"/>
              <w:jc w:val="left"/>
            </w:pPr>
            <w:r/>
            <w:r>
              <w:rPr>
                <w:rFonts w:ascii="Arial" w:hAnsi="Arial" w:cs="Arial"/>
                <w:sz w:val="18"/>
              </w:rPr>
              <w:t>Alta especial y asimilada</w:t>
            </w:r>
          </w:p>
        </w:tc>
        <w:tc>
          <w:tcPr>
            <w:tcW w:type="dxa" w:w="5470"/>
            <w:tcMar>
              <w:top w:w="80" w:type="dxa"/>
              <w:start w:w="120" w:type="dxa"/>
              <w:bottom w:w="80" w:type="dxa"/>
              <w:end w:w="120" w:type="dxa"/>
            </w:tcMar>
            <w:vAlign w:val="center"/>
          </w:tcPr>
          <w:p>
            <w:pPr>
              <w:spacing w:before="0" w:after="0" w:line="240" w:lineRule="auto"/>
              <w:jc w:val="left"/>
            </w:pPr>
            <w:r/>
            <w:r>
              <w:rPr>
                <w:rFonts w:ascii="Arial" w:hAnsi="Arial" w:cs="Arial"/>
                <w:sz w:val="18"/>
              </w:rPr>
              <w:t>Huelga/cierre legal / situaciones protegidas sin alta ordinaria</w:t>
            </w:r>
          </w:p>
        </w:tc>
      </w:tr>
      <w:tr>
        <w:tc>
          <w:tcPr>
            <w:tcW w:type="dxa" w:w="3556"/>
            <w:tcMar>
              <w:top w:w="80" w:type="dxa"/>
              <w:start w:w="120" w:type="dxa"/>
              <w:bottom w:w="80" w:type="dxa"/>
              <w:end w:w="120" w:type="dxa"/>
            </w:tcMar>
            <w:vAlign w:val="center"/>
          </w:tcPr>
          <w:p>
            <w:pPr>
              <w:spacing w:before="0" w:after="0" w:line="240" w:lineRule="auto"/>
              <w:jc w:val="left"/>
            </w:pPr>
            <w:r/>
            <w:r>
              <w:rPr>
                <w:rFonts w:ascii="Arial" w:hAnsi="Arial" w:cs="Arial"/>
                <w:sz w:val="18"/>
              </w:rPr>
              <w:t>Convenio especial y alta obligatoria</w:t>
            </w:r>
          </w:p>
        </w:tc>
        <w:tc>
          <w:tcPr>
            <w:tcW w:type="dxa" w:w="5470"/>
            <w:tcMar>
              <w:top w:w="80" w:type="dxa"/>
              <w:start w:w="120" w:type="dxa"/>
              <w:bottom w:w="80" w:type="dxa"/>
              <w:end w:w="120" w:type="dxa"/>
            </w:tcMar>
            <w:vAlign w:val="center"/>
          </w:tcPr>
          <w:p>
            <w:pPr>
              <w:spacing w:before="0" w:after="0" w:line="240" w:lineRule="auto"/>
              <w:jc w:val="left"/>
            </w:pPr>
            <w:r/>
            <w:r>
              <w:rPr>
                <w:rFonts w:ascii="Arial" w:hAnsi="Arial" w:cs="Arial"/>
                <w:sz w:val="18"/>
              </w:rPr>
              <w:t>El convenio es voluntario y causal; no sustituye actividad obligatoria</w:t>
            </w:r>
          </w:p>
        </w:tc>
      </w:tr>
      <w:tr>
        <w:tc>
          <w:tcPr>
            <w:tcW w:type="dxa" w:w="3556"/>
            <w:tcMar>
              <w:top w:w="80" w:type="dxa"/>
              <w:start w:w="120" w:type="dxa"/>
              <w:bottom w:w="80" w:type="dxa"/>
              <w:end w:w="120" w:type="dxa"/>
            </w:tcMar>
            <w:vAlign w:val="center"/>
          </w:tcPr>
          <w:p>
            <w:pPr>
              <w:spacing w:before="0" w:after="0" w:line="240" w:lineRule="auto"/>
              <w:jc w:val="left"/>
            </w:pPr>
            <w:r/>
            <w:r>
              <w:rPr>
                <w:rFonts w:ascii="Arial" w:hAnsi="Arial" w:cs="Arial"/>
                <w:sz w:val="18"/>
              </w:rPr>
              <w:t>Inscripción y código secundario</w:t>
            </w:r>
          </w:p>
        </w:tc>
        <w:tc>
          <w:tcPr>
            <w:tcW w:type="dxa" w:w="5470"/>
            <w:tcMar>
              <w:top w:w="80" w:type="dxa"/>
              <w:start w:w="120" w:type="dxa"/>
              <w:bottom w:w="80" w:type="dxa"/>
              <w:end w:w="120" w:type="dxa"/>
            </w:tcMar>
            <w:vAlign w:val="center"/>
          </w:tcPr>
          <w:p>
            <w:pPr>
              <w:spacing w:before="0" w:after="0" w:line="240" w:lineRule="auto"/>
              <w:jc w:val="left"/>
            </w:pPr>
            <w:r/>
            <w:r>
              <w:rPr>
                <w:rFonts w:ascii="Arial" w:hAnsi="Arial" w:cs="Arial"/>
                <w:sz w:val="18"/>
              </w:rPr>
              <w:t>Una inscripción; varios códigos posibles</w:t>
            </w:r>
          </w:p>
        </w:tc>
      </w:tr>
      <w:tr>
        <w:tc>
          <w:tcPr>
            <w:tcW w:type="dxa" w:w="3556"/>
            <w:tcMar>
              <w:top w:w="80" w:type="dxa"/>
              <w:start w:w="120" w:type="dxa"/>
              <w:bottom w:w="80" w:type="dxa"/>
              <w:end w:w="120" w:type="dxa"/>
            </w:tcMar>
            <w:vAlign w:val="center"/>
          </w:tcPr>
          <w:p>
            <w:pPr>
              <w:spacing w:before="0" w:after="0" w:line="240" w:lineRule="auto"/>
              <w:jc w:val="left"/>
            </w:pPr>
            <w:r/>
            <w:r>
              <w:rPr>
                <w:rFonts w:ascii="Arial" w:hAnsi="Arial" w:cs="Arial"/>
                <w:sz w:val="18"/>
              </w:rPr>
              <w:t>Órgano gestor de prestación y TGSS</w:t>
            </w:r>
          </w:p>
        </w:tc>
        <w:tc>
          <w:tcPr>
            <w:tcW w:type="dxa" w:w="5470"/>
            <w:tcMar>
              <w:top w:w="80" w:type="dxa"/>
              <w:start w:w="120" w:type="dxa"/>
              <w:bottom w:w="80" w:type="dxa"/>
              <w:end w:w="120" w:type="dxa"/>
            </w:tcMar>
            <w:vAlign w:val="center"/>
          </w:tcPr>
          <w:p>
            <w:pPr>
              <w:spacing w:before="0" w:after="0" w:line="240" w:lineRule="auto"/>
              <w:jc w:val="left"/>
            </w:pPr>
            <w:r/>
            <w:r>
              <w:rPr>
                <w:rFonts w:ascii="Arial" w:hAnsi="Arial" w:cs="Arial"/>
                <w:sz w:val="18"/>
              </w:rPr>
              <w:t>INSS reconoce prestaciones; TGSS encuadra</w:t>
            </w:r>
          </w:p>
        </w:tc>
      </w:tr>
    </w:tbl>
    <w:p>
      <w:pPr>
        <w:spacing w:after="40"/>
      </w:pPr>
    </w:p>
    <w:p>
      <w:pPr>
        <w:pStyle w:val="Heading1"/>
        <w:keepNext/>
      </w:pPr>
      <w:r>
        <w:rPr>
          <w:rFonts w:ascii="Arial" w:hAnsi="Arial" w:cs="Arial"/>
          <w:sz w:val="30"/>
        </w:rPr>
        <w:t>17. Errores frecuentes</w:t>
      </w:r>
    </w:p>
    <w:p>
      <w:pPr>
        <w:spacing w:after="40"/>
        <w:ind w:left="369" w:hanging="227"/>
      </w:pPr>
      <w:r>
        <w:rPr>
          <w:rFonts w:ascii="Arial" w:hAnsi="Arial" w:cs="Arial"/>
          <w:sz w:val="22"/>
        </w:rPr>
        <w:t>1. Solicitar una afiliación nueva al cambiar de empresa.</w:t>
      </w:r>
    </w:p>
    <w:p>
      <w:pPr>
        <w:spacing w:after="40"/>
        <w:ind w:left="369" w:hanging="227"/>
      </w:pPr>
      <w:r>
        <w:rPr>
          <w:rFonts w:ascii="Arial" w:hAnsi="Arial" w:cs="Arial"/>
          <w:sz w:val="22"/>
        </w:rPr>
        <w:t>2. Confundir el número de Seguridad Social con el código de cuenta de cotización.</w:t>
      </w:r>
    </w:p>
    <w:p>
      <w:pPr>
        <w:spacing w:after="40"/>
        <w:ind w:left="369" w:hanging="227"/>
      </w:pPr>
      <w:r>
        <w:rPr>
          <w:rFonts w:ascii="Arial" w:hAnsi="Arial" w:cs="Arial"/>
          <w:sz w:val="22"/>
        </w:rPr>
        <w:t>3. Afirmar que el alta puede solicitarse después porque existe un plazo posterior: los tres días vigentes a 30 de julio —seis desde el 1 de agosto— corresponden a bajas y variaciones; el alta es previa.</w:t>
      </w:r>
    </w:p>
    <w:p>
      <w:pPr>
        <w:spacing w:after="40"/>
        <w:ind w:left="369" w:hanging="227"/>
      </w:pPr>
      <w:r>
        <w:rPr>
          <w:rFonts w:ascii="Arial" w:hAnsi="Arial" w:cs="Arial"/>
          <w:sz w:val="22"/>
        </w:rPr>
        <w:t>4. Contar como hábil el plazo de baja o variación de datos del artículo 32.3.2.º, o ignorar la reforma: son tres días naturales a 30 de julio de 2026 y seis días naturales desde el 1 de agosto. La variación de datos de afiliación del artículo 28 permanece en tres días naturales.</w:t>
      </w:r>
    </w:p>
    <w:p>
      <w:pPr>
        <w:spacing w:after="40"/>
        <w:ind w:left="369" w:hanging="227"/>
      </w:pPr>
      <w:r>
        <w:rPr>
          <w:rFonts w:ascii="Arial" w:hAnsi="Arial" w:cs="Arial"/>
          <w:sz w:val="22"/>
        </w:rPr>
        <w:t>5. Creer que el máximo de sesenta días anticipa efectos del alta.</w:t>
      </w:r>
    </w:p>
    <w:p>
      <w:pPr>
        <w:spacing w:after="40"/>
        <w:ind w:left="369" w:hanging="227"/>
      </w:pPr>
      <w:r>
        <w:rPr>
          <w:rFonts w:ascii="Arial" w:hAnsi="Arial" w:cs="Arial"/>
          <w:sz w:val="22"/>
        </w:rPr>
        <w:t>6. Dar de baja durante una incapacidad temporal.</w:t>
      </w:r>
    </w:p>
    <w:p>
      <w:pPr>
        <w:spacing w:after="40"/>
        <w:ind w:left="369" w:hanging="227"/>
      </w:pPr>
      <w:r>
        <w:rPr>
          <w:rFonts w:ascii="Arial" w:hAnsi="Arial" w:cs="Arial"/>
          <w:sz w:val="22"/>
        </w:rPr>
        <w:t>7. Confundir baja médica con baja administrativa.</w:t>
      </w:r>
    </w:p>
    <w:p>
      <w:pPr>
        <w:spacing w:after="40"/>
        <w:ind w:left="369" w:hanging="227"/>
      </w:pPr>
      <w:r>
        <w:rPr>
          <w:rFonts w:ascii="Arial" w:hAnsi="Arial" w:cs="Arial"/>
          <w:sz w:val="22"/>
        </w:rPr>
        <w:t>8. Suponer que toda variación se resuelve con baja y nueva alta, o lo contrario.</w:t>
      </w:r>
    </w:p>
    <w:p>
      <w:pPr>
        <w:spacing w:after="40"/>
        <w:ind w:left="369" w:hanging="227"/>
      </w:pPr>
      <w:r>
        <w:rPr>
          <w:rFonts w:ascii="Arial" w:hAnsi="Arial" w:cs="Arial"/>
          <w:sz w:val="22"/>
        </w:rPr>
        <w:t>9. Entender que el recurso suspende siempre cotización y efectos.</w:t>
      </w:r>
    </w:p>
    <w:p>
      <w:pPr>
        <w:spacing w:after="40"/>
        <w:ind w:left="369" w:hanging="227"/>
      </w:pPr>
      <w:r>
        <w:rPr>
          <w:rFonts w:ascii="Arial" w:hAnsi="Arial" w:cs="Arial"/>
          <w:sz w:val="22"/>
        </w:rPr>
        <w:t>10. Atribuir al INSS el reconocimiento del alta.</w:t>
      </w:r>
    </w:p>
    <w:p>
      <w:pPr>
        <w:spacing w:after="40"/>
        <w:ind w:left="369" w:hanging="227"/>
      </w:pPr>
      <w:r>
        <w:rPr>
          <w:rFonts w:ascii="Arial" w:hAnsi="Arial" w:cs="Arial"/>
          <w:sz w:val="22"/>
        </w:rPr>
        <w:t>11. Negar protección por accidente de trabajo cuando faltó alta empresarial.</w:t>
      </w:r>
    </w:p>
    <w:p>
      <w:pPr>
        <w:spacing w:after="40"/>
        <w:ind w:left="369" w:hanging="227"/>
      </w:pPr>
      <w:r>
        <w:rPr>
          <w:rFonts w:ascii="Arial" w:hAnsi="Arial" w:cs="Arial"/>
          <w:sz w:val="22"/>
        </w:rPr>
        <w:t>12. Convertir el alta de pleno derecho en perdón de cuotas o sanciones.</w:t>
      </w:r>
    </w:p>
    <w:p>
      <w:pPr>
        <w:spacing w:after="40"/>
        <w:ind w:left="369" w:hanging="227"/>
      </w:pPr>
      <w:r>
        <w:rPr>
          <w:rFonts w:ascii="Arial" w:hAnsi="Arial" w:cs="Arial"/>
          <w:sz w:val="22"/>
        </w:rPr>
        <w:t>13. Aplicar toda situación asimilada a todas las prestaciones.</w:t>
      </w:r>
    </w:p>
    <w:p>
      <w:pPr>
        <w:spacing w:after="40"/>
        <w:ind w:left="369" w:hanging="227"/>
      </w:pPr>
      <w:r>
        <w:rPr>
          <w:rFonts w:ascii="Arial" w:hAnsi="Arial" w:cs="Arial"/>
          <w:sz w:val="22"/>
        </w:rPr>
        <w:t>14. Considerar la huelga legal una baja.</w:t>
      </w:r>
    </w:p>
    <w:p>
      <w:pPr>
        <w:spacing w:after="40"/>
        <w:ind w:left="369" w:hanging="227"/>
      </w:pPr>
      <w:r>
        <w:rPr>
          <w:rFonts w:ascii="Arial" w:hAnsi="Arial" w:cs="Arial"/>
          <w:sz w:val="22"/>
        </w:rPr>
        <w:t>15. Usar un convenio especial para evitar un alta obligatoria.</w:t>
      </w:r>
    </w:p>
    <w:p>
      <w:pPr>
        <w:spacing w:after="40"/>
        <w:ind w:left="369" w:hanging="227"/>
      </w:pPr>
      <w:r>
        <w:rPr>
          <w:rFonts w:ascii="Arial" w:hAnsi="Arial" w:cs="Arial"/>
          <w:sz w:val="22"/>
        </w:rPr>
        <w:t>16. Olvidar la carencia general de 1.080 días en doce años.</w:t>
      </w:r>
    </w:p>
    <w:p>
      <w:pPr>
        <w:spacing w:after="40"/>
        <w:ind w:left="369" w:hanging="227"/>
      </w:pPr>
      <w:r>
        <w:rPr>
          <w:rFonts w:ascii="Arial" w:hAnsi="Arial" w:cs="Arial"/>
          <w:sz w:val="22"/>
        </w:rPr>
        <w:t>17. Confundir el plazo de un año para solicitar el convenio con los noventa días relevantes para sus efectos.</w:t>
      </w:r>
    </w:p>
    <w:p>
      <w:pPr>
        <w:spacing w:after="40"/>
        <w:ind w:left="369" w:hanging="227"/>
      </w:pPr>
      <w:r>
        <w:rPr>
          <w:rFonts w:ascii="Arial" w:hAnsi="Arial" w:cs="Arial"/>
          <w:sz w:val="22"/>
        </w:rPr>
        <w:t>18. Afirmar que cualquier impago extingue inmediatamente el convenio.</w:t>
      </w:r>
    </w:p>
    <w:p>
      <w:pPr>
        <w:spacing w:after="40"/>
        <w:ind w:left="369" w:hanging="227"/>
      </w:pPr>
      <w:r>
        <w:rPr>
          <w:rFonts w:ascii="Arial" w:hAnsi="Arial" w:cs="Arial"/>
          <w:sz w:val="22"/>
        </w:rPr>
        <w:t>19. Aplicar al convenio especial una cuota empresarial ordinaria completa.</w:t>
      </w:r>
    </w:p>
    <w:p>
      <w:pPr>
        <w:spacing w:after="40"/>
        <w:ind w:left="369" w:hanging="227"/>
      </w:pPr>
      <w:r>
        <w:rPr>
          <w:rFonts w:ascii="Arial" w:hAnsi="Arial" w:cs="Arial"/>
          <w:sz w:val="22"/>
        </w:rPr>
        <w:t>20. Pensar que el cese comunicado extingue deudas empresariales anteriores.</w:t>
      </w:r>
    </w:p>
    <w:p>
      <w:pPr>
        <w:pStyle w:val="Heading1"/>
        <w:keepNext/>
      </w:pPr>
      <w:r>
        <w:rPr>
          <w:rFonts w:ascii="Arial" w:hAnsi="Arial" w:cs="Arial"/>
          <w:sz w:val="30"/>
        </w:rPr>
        <w:t>18. Resumen de repaso</w:t>
      </w:r>
    </w:p>
    <w:p>
      <w:pPr>
        <w:jc w:val="both"/>
      </w:pPr>
      <w:r>
        <w:rPr>
          <w:rFonts w:ascii="Arial" w:hAnsi="Arial" w:cs="Arial"/>
          <w:sz w:val="22"/>
        </w:rPr>
        <w:t>La TGSS es competente para inscripción, afiliación, altas, bajas, variaciones y encuadramiento. La inscripción identifica al empresario antes de ocupar trabajadores; los códigos de cuenta separan liquidaciones. La afiliación es obligatoria, única, general y vitalicia. El alta se vincula a una actividad y debe solicitarse antes de comenzar, como máximo sesenta días naturales antes.</w:t>
      </w:r>
    </w:p>
    <w:p>
      <w:pPr>
        <w:jc w:val="both"/>
      </w:pPr>
      <w:r>
        <w:rPr>
          <w:rFonts w:ascii="Arial" w:hAnsi="Arial" w:cs="Arial"/>
          <w:sz w:val="22"/>
        </w:rPr>
        <w:t>La baja y las variaciones de datos de trabajadores comprendidas en el artículo 32.3.2.º se comunican dentro de tres días naturales a 30 de julio de 2026; el plazo pasa a seis días desde el 1 de agosto. La variación de datos personales de afiliación del artículo 28 conserva el plazo de tres días naturales. El alta en plazo surte efectos desde el inicio; la tardía, como regla, desde la solicitud, sin perjuicio de cuotas desde el comienzo, alta de pleno derecho, actuación de oficio y responsabilidades. La baja tardía prolonga en principio la obligación hasta conocimiento de la TGSS, aunque puede probarse el cese real.</w:t>
      </w:r>
    </w:p>
    <w:p>
      <w:pPr>
        <w:jc w:val="both"/>
      </w:pPr>
      <w:r>
        <w:rPr>
          <w:rFonts w:ascii="Arial" w:hAnsi="Arial" w:cs="Arial"/>
          <w:sz w:val="22"/>
        </w:rPr>
        <w:t>Las situaciones asimiladas conservan el requisito de alta solo en los términos de su norma. El convenio especial permite mantener cotización, normalmente con 1.080 días en doce años, solicitud dentro de un año y opción de retroacción si se pide dentro de noventa días. Se extingue, entre otras causas, por tres cuotas consecutivas o cinco alternativas impagadas.</w:t>
      </w:r>
    </w:p>
    <w:p>
      <w:pPr>
        <w:pStyle w:val="Heading1"/>
        <w:keepNext/>
      </w:pPr>
      <w:r>
        <w:rPr>
          <w:rFonts w:ascii="Arial" w:hAnsi="Arial" w:cs="Arial"/>
          <w:sz w:val="30"/>
        </w:rPr>
        <w:t>19. Datos especialmente preguntables</w:t>
      </w:r>
    </w:p>
    <w:p>
      <w:pPr>
        <w:pStyle w:val="ListBullet"/>
      </w:pPr>
      <w:r>
        <w:rPr>
          <w:rFonts w:ascii="Arial" w:hAnsi="Arial" w:cs="Arial"/>
          <w:sz w:val="22"/>
        </w:rPr>
        <w:t xml:space="preserve">Órgano competente: </w:t>
      </w:r>
      <w:r>
        <w:rPr>
          <w:rFonts w:ascii="Arial" w:hAnsi="Arial" w:cs="Arial"/>
          <w:b/>
          <w:sz w:val="22"/>
        </w:rPr>
        <w:t>TGSS</w:t>
      </w:r>
      <w:r>
        <w:rPr>
          <w:rFonts w:ascii="Arial" w:hAnsi="Arial" w:cs="Arial"/>
          <w:sz w:val="22"/>
        </w:rPr>
        <w:t>.</w:t>
      </w:r>
    </w:p>
    <w:p>
      <w:pPr>
        <w:pStyle w:val="ListBullet"/>
      </w:pPr>
      <w:r>
        <w:rPr>
          <w:rFonts w:ascii="Arial" w:hAnsi="Arial" w:cs="Arial"/>
          <w:sz w:val="22"/>
        </w:rPr>
        <w:t xml:space="preserve">Afiliación: </w:t>
      </w:r>
      <w:r>
        <w:rPr>
          <w:rFonts w:ascii="Arial" w:hAnsi="Arial" w:cs="Arial"/>
          <w:b/>
          <w:sz w:val="22"/>
        </w:rPr>
        <w:t>obligatoria, única, general y vitalicia</w:t>
      </w:r>
      <w:r>
        <w:rPr>
          <w:rFonts w:ascii="Arial" w:hAnsi="Arial" w:cs="Arial"/>
          <w:sz w:val="22"/>
        </w:rPr>
        <w:t>.</w:t>
      </w:r>
    </w:p>
    <w:p>
      <w:pPr>
        <w:pStyle w:val="ListBullet"/>
      </w:pPr>
      <w:r>
        <w:rPr>
          <w:rFonts w:ascii="Arial" w:hAnsi="Arial" w:cs="Arial"/>
          <w:sz w:val="22"/>
        </w:rPr>
        <w:t xml:space="preserve">Alta: </w:t>
      </w:r>
      <w:r>
        <w:rPr>
          <w:rFonts w:ascii="Arial" w:hAnsi="Arial" w:cs="Arial"/>
          <w:b/>
          <w:sz w:val="22"/>
        </w:rPr>
        <w:t>antes del comienzo</w:t>
      </w:r>
      <w:r>
        <w:rPr>
          <w:rFonts w:ascii="Arial" w:hAnsi="Arial" w:cs="Arial"/>
          <w:sz w:val="22"/>
        </w:rPr>
        <w:t>.</w:t>
      </w:r>
    </w:p>
    <w:p>
      <w:pPr>
        <w:pStyle w:val="ListBullet"/>
      </w:pPr>
      <w:r>
        <w:rPr>
          <w:rFonts w:ascii="Arial" w:hAnsi="Arial" w:cs="Arial"/>
          <w:sz w:val="22"/>
        </w:rPr>
        <w:t xml:space="preserve">Antelación máxima ordinaria: </w:t>
      </w:r>
      <w:r>
        <w:rPr>
          <w:rFonts w:ascii="Arial" w:hAnsi="Arial" w:cs="Arial"/>
          <w:b/>
          <w:sz w:val="22"/>
        </w:rPr>
        <w:t>60 días naturales</w:t>
      </w:r>
      <w:r>
        <w:rPr>
          <w:rFonts w:ascii="Arial" w:hAnsi="Arial" w:cs="Arial"/>
          <w:sz w:val="22"/>
        </w:rPr>
        <w:t>.</w:t>
      </w:r>
    </w:p>
    <w:p>
      <w:pPr>
        <w:pStyle w:val="ListBullet"/>
      </w:pPr>
      <w:r>
        <w:rPr>
          <w:rFonts w:ascii="Arial" w:hAnsi="Arial" w:cs="Arial"/>
          <w:sz w:val="22"/>
        </w:rPr>
        <w:t xml:space="preserve">Baja y variación del artículo 32.3.2.º: </w:t>
      </w:r>
      <w:r>
        <w:rPr>
          <w:rFonts w:ascii="Arial" w:hAnsi="Arial" w:cs="Arial"/>
          <w:b/>
          <w:sz w:val="22"/>
        </w:rPr>
        <w:t>3 días naturales a 30-07-2026; 6 días desde 01-08-2026</w:t>
      </w:r>
      <w:r>
        <w:rPr>
          <w:rFonts w:ascii="Arial" w:hAnsi="Arial" w:cs="Arial"/>
          <w:sz w:val="22"/>
        </w:rPr>
        <w:t>.</w:t>
      </w:r>
    </w:p>
    <w:p>
      <w:pPr>
        <w:pStyle w:val="ListBullet"/>
      </w:pPr>
      <w:r>
        <w:rPr>
          <w:rFonts w:ascii="Arial" w:hAnsi="Arial" w:cs="Arial"/>
          <w:sz w:val="22"/>
        </w:rPr>
        <w:t xml:space="preserve">Variación de datos de afiliación del artículo 28: </w:t>
      </w:r>
      <w:r>
        <w:rPr>
          <w:rFonts w:ascii="Arial" w:hAnsi="Arial" w:cs="Arial"/>
          <w:b/>
          <w:sz w:val="22"/>
        </w:rPr>
        <w:t>3 días naturales</w:t>
      </w:r>
      <w:r>
        <w:rPr>
          <w:rFonts w:ascii="Arial" w:hAnsi="Arial" w:cs="Arial"/>
          <w:sz w:val="22"/>
        </w:rPr>
        <w:t>.</w:t>
      </w:r>
    </w:p>
    <w:p>
      <w:pPr>
        <w:pStyle w:val="ListBullet"/>
      </w:pPr>
      <w:r>
        <w:rPr>
          <w:rFonts w:ascii="Arial" w:hAnsi="Arial" w:cs="Arial"/>
          <w:sz w:val="22"/>
        </w:rPr>
        <w:t xml:space="preserve">Resolución general del Reglamento: </w:t>
      </w:r>
      <w:r>
        <w:rPr>
          <w:rFonts w:ascii="Arial" w:hAnsi="Arial" w:cs="Arial"/>
          <w:b/>
          <w:sz w:val="22"/>
        </w:rPr>
        <w:t>45 días</w:t>
      </w:r>
      <w:r>
        <w:rPr>
          <w:rFonts w:ascii="Arial" w:hAnsi="Arial" w:cs="Arial"/>
          <w:sz w:val="22"/>
        </w:rPr>
        <w:t>.</w:t>
      </w:r>
    </w:p>
    <w:p>
      <w:pPr>
        <w:pStyle w:val="ListBullet"/>
      </w:pPr>
      <w:r>
        <w:rPr>
          <w:rFonts w:ascii="Arial" w:hAnsi="Arial" w:cs="Arial"/>
          <w:sz w:val="22"/>
        </w:rPr>
        <w:t>Pluriempleo: varias actividades por cuenta ajena dentro del Régimen General para distintos empresarios.</w:t>
      </w:r>
    </w:p>
    <w:p>
      <w:pPr>
        <w:pStyle w:val="ListBullet"/>
      </w:pPr>
      <w:r>
        <w:rPr>
          <w:rFonts w:ascii="Arial" w:hAnsi="Arial" w:cs="Arial"/>
          <w:sz w:val="22"/>
        </w:rPr>
        <w:t>Pluriactividad: altas en regímenes distintos.</w:t>
      </w:r>
    </w:p>
    <w:p>
      <w:pPr>
        <w:pStyle w:val="ListBullet"/>
      </w:pPr>
      <w:r>
        <w:rPr>
          <w:rFonts w:ascii="Arial" w:hAnsi="Arial" w:cs="Arial"/>
          <w:sz w:val="22"/>
        </w:rPr>
        <w:t>Alta especial: huelga y cierre patronal legales.</w:t>
      </w:r>
    </w:p>
    <w:p>
      <w:pPr>
        <w:pStyle w:val="ListBullet"/>
      </w:pPr>
      <w:r>
        <w:rPr>
          <w:rFonts w:ascii="Arial" w:hAnsi="Arial" w:cs="Arial"/>
          <w:sz w:val="22"/>
        </w:rPr>
        <w:t xml:space="preserve">Convenio general: </w:t>
      </w:r>
      <w:r>
        <w:rPr>
          <w:rFonts w:ascii="Arial" w:hAnsi="Arial" w:cs="Arial"/>
          <w:b/>
          <w:sz w:val="22"/>
        </w:rPr>
        <w:t>1.080 días cotizados en los 12 años anteriores</w:t>
      </w:r>
      <w:r>
        <w:rPr>
          <w:rFonts w:ascii="Arial" w:hAnsi="Arial" w:cs="Arial"/>
          <w:sz w:val="22"/>
        </w:rPr>
        <w:t>.</w:t>
      </w:r>
    </w:p>
    <w:p>
      <w:pPr>
        <w:pStyle w:val="ListBullet"/>
      </w:pPr>
      <w:r>
        <w:rPr>
          <w:rFonts w:ascii="Arial" w:hAnsi="Arial" w:cs="Arial"/>
          <w:sz w:val="22"/>
        </w:rPr>
        <w:t xml:space="preserve">Solicitud del convenio: máximo general de </w:t>
      </w:r>
      <w:r>
        <w:rPr>
          <w:rFonts w:ascii="Arial" w:hAnsi="Arial" w:cs="Arial"/>
          <w:b/>
          <w:sz w:val="22"/>
        </w:rPr>
        <w:t>1 año</w:t>
      </w:r>
      <w:r>
        <w:rPr>
          <w:rFonts w:ascii="Arial" w:hAnsi="Arial" w:cs="Arial"/>
          <w:sz w:val="22"/>
        </w:rPr>
        <w:t>.</w:t>
      </w:r>
    </w:p>
    <w:p>
      <w:pPr>
        <w:pStyle w:val="ListBullet"/>
      </w:pPr>
      <w:r>
        <w:rPr>
          <w:rFonts w:ascii="Arial" w:hAnsi="Arial" w:cs="Arial"/>
          <w:sz w:val="22"/>
        </w:rPr>
        <w:t xml:space="preserve">Efectos desde el día siguiente a la baja si se solicita dentro de </w:t>
      </w:r>
      <w:r>
        <w:rPr>
          <w:rFonts w:ascii="Arial" w:hAnsi="Arial" w:cs="Arial"/>
          <w:b/>
          <w:sz w:val="22"/>
        </w:rPr>
        <w:t>90 días naturales</w:t>
      </w:r>
      <w:r>
        <w:rPr>
          <w:rFonts w:ascii="Arial" w:hAnsi="Arial" w:cs="Arial"/>
          <w:sz w:val="22"/>
        </w:rPr>
        <w:t xml:space="preserve"> y se ejercita la opción.</w:t>
      </w:r>
    </w:p>
    <w:p>
      <w:pPr>
        <w:pStyle w:val="ListBullet"/>
      </w:pPr>
      <w:r>
        <w:rPr>
          <w:rFonts w:ascii="Arial" w:hAnsi="Arial" w:cs="Arial"/>
          <w:sz w:val="22"/>
        </w:rPr>
        <w:t xml:space="preserve">Actividad que suspende el convenio: comunicación en </w:t>
      </w:r>
      <w:r>
        <w:rPr>
          <w:rFonts w:ascii="Arial" w:hAnsi="Arial" w:cs="Arial"/>
          <w:b/>
          <w:sz w:val="22"/>
        </w:rPr>
        <w:t>10 días naturales</w:t>
      </w:r>
      <w:r>
        <w:rPr>
          <w:rFonts w:ascii="Arial" w:hAnsi="Arial" w:cs="Arial"/>
          <w:sz w:val="22"/>
        </w:rPr>
        <w:t>.</w:t>
      </w:r>
    </w:p>
    <w:p>
      <w:pPr>
        <w:pStyle w:val="ListBullet"/>
      </w:pPr>
      <w:r>
        <w:rPr>
          <w:rFonts w:ascii="Arial" w:hAnsi="Arial" w:cs="Arial"/>
          <w:sz w:val="22"/>
        </w:rPr>
        <w:t xml:space="preserve">Reanudación general tras suspensión: comunicación dentro del </w:t>
      </w:r>
      <w:r>
        <w:rPr>
          <w:rFonts w:ascii="Arial" w:hAnsi="Arial" w:cs="Arial"/>
          <w:b/>
          <w:sz w:val="22"/>
        </w:rPr>
        <w:t>mes natural siguiente al cese</w:t>
      </w:r>
      <w:r>
        <w:rPr>
          <w:rFonts w:ascii="Arial" w:hAnsi="Arial" w:cs="Arial"/>
          <w:sz w:val="22"/>
        </w:rPr>
        <w:t>.</w:t>
      </w:r>
    </w:p>
    <w:p>
      <w:pPr>
        <w:pStyle w:val="ListBullet"/>
      </w:pPr>
      <w:r>
        <w:rPr>
          <w:rFonts w:ascii="Arial" w:hAnsi="Arial" w:cs="Arial"/>
          <w:sz w:val="22"/>
        </w:rPr>
        <w:t xml:space="preserve">Impago extintivo: </w:t>
      </w:r>
      <w:r>
        <w:rPr>
          <w:rFonts w:ascii="Arial" w:hAnsi="Arial" w:cs="Arial"/>
          <w:b/>
          <w:sz w:val="22"/>
        </w:rPr>
        <w:t>3 mensualidades consecutivas o 5 alternativas</w:t>
      </w:r>
      <w:r>
        <w:rPr>
          <w:rFonts w:ascii="Arial" w:hAnsi="Arial" w:cs="Arial"/>
          <w:sz w:val="22"/>
        </w:rPr>
        <w:t>.</w:t>
      </w:r>
    </w:p>
    <w:p>
      <w:pPr>
        <w:pStyle w:val="ListBullet"/>
      </w:pPr>
      <w:r>
        <w:rPr>
          <w:rFonts w:ascii="Arial" w:hAnsi="Arial" w:cs="Arial"/>
          <w:sz w:val="22"/>
        </w:rPr>
        <w:t>La falta de alta no excluye el alta de pleno derecho en las contingencias legales.</w:t>
      </w:r>
    </w:p>
    <w:p>
      <w:pPr>
        <w:pStyle w:val="ListBullet"/>
      </w:pPr>
      <w:r>
        <w:rPr>
          <w:rFonts w:ascii="Arial" w:hAnsi="Arial" w:cs="Arial"/>
          <w:sz w:val="22"/>
        </w:rPr>
        <w:t>La incapacidad temporal no exige baja administrativa.</w:t>
      </w:r>
    </w:p>
    <w:p>
      <w:pPr>
        <w:pStyle w:val="Heading1"/>
        <w:keepNext/>
      </w:pPr>
      <w:r>
        <w:rPr>
          <w:rFonts w:ascii="Arial" w:hAnsi="Arial" w:cs="Arial"/>
          <w:sz w:val="30"/>
        </w:rPr>
        <w:t>Antecedentes de examen y puntos especialmente preguntados</w:t>
      </w:r>
    </w:p>
    <w:p>
      <w:pPr>
        <w:jc w:val="both"/>
      </w:pPr>
      <w:r>
        <w:rPr>
          <w:rFonts w:ascii="Arial" w:hAnsi="Arial" w:cs="Arial"/>
          <w:sz w:val="22"/>
        </w:rPr>
        <w:t xml:space="preserve">El análisis se ha realizado sobre las preguntas oficiales de acceso libre publicadas para las convocatorias 2023, 2024 y 2025, con fecha de corte </w:t>
      </w:r>
      <w:r>
        <w:rPr>
          <w:rFonts w:ascii="Arial" w:hAnsi="Arial" w:cs="Arial"/>
          <w:b/>
          <w:sz w:val="22"/>
        </w:rPr>
        <w:t>30 de julio de 2026</w:t>
      </w:r>
      <w:r>
        <w:rPr>
          <w:rFonts w:ascii="Arial" w:hAnsi="Arial" w:cs="Arial"/>
          <w:sz w:val="22"/>
        </w:rPr>
        <w:t xml:space="preserve">. La base conserva las variantes necesarias para la trazabilidad, pero el recuento de frecuencia usa </w:t>
      </w:r>
      <w:r>
        <w:rPr>
          <w:rFonts w:ascii="Arial" w:hAnsi="Arial" w:cs="Arial"/>
          <w:b/>
          <w:sz w:val="22"/>
        </w:rPr>
        <w:t>una sola variante canónica por sesión</w:t>
      </w:r>
      <w:r>
        <w:rPr>
          <w:rFonts w:ascii="Arial" w:hAnsi="Arial" w:cs="Arial"/>
          <w:sz w:val="22"/>
        </w:rPr>
        <w:t>, de modo que los modelos o colores que únicamente permutan el orden o las opciones no se cuentan dos veces. Este criterio permite medir repeticiones reales entre sesiones sin inflar artificialmente la presencia del tema.</w:t>
      </w:r>
    </w:p>
    <w:tbl>
      <w:tblPr>
        <w:tblStyle w:val="TableGrid"/>
        <w:tblW w:type="dxa" w:w="9026"/>
        <w:jc w:val="left"/>
        <w:tblLayout w:type="fixed"/>
        <w:tblLook w:firstColumn="1" w:firstRow="1" w:lastColumn="0" w:lastRow="0" w:noHBand="0" w:noVBand="1" w:val="04A0"/>
        <w:tblInd w:w="120" w:type="dxa"/>
      </w:tblPr>
      <w:tblGrid>
        <w:gridCol w:w="6838"/>
        <w:gridCol w:w="2188"/>
      </w:tblGrid>
      <w:tr>
        <w:trPr>
          <w:tblHeader w:val="true"/>
        </w:trPr>
        <w:tc>
          <w:tcPr>
            <w:tcW w:type="dxa" w:w="683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Indicador</w:t>
            </w:r>
          </w:p>
        </w:tc>
        <w:tc>
          <w:tcPr>
            <w:tcW w:type="dxa" w:w="218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Resultado para S03</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canónicas atribuidas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30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Distribución por año de examen</w:t>
            </w:r>
          </w:p>
        </w:tc>
        <w:tc>
          <w:tcPr>
            <w:tcW w:type="dxa" w:w="2188"/>
            <w:tcMar>
              <w:top w:w="80" w:type="dxa"/>
              <w:start w:w="120" w:type="dxa"/>
              <w:bottom w:w="80" w:type="dxa"/>
              <w:end w:w="120" w:type="dxa"/>
            </w:tcMar>
            <w:vAlign w:val="center"/>
          </w:tcPr>
          <w:p>
            <w:pPr>
              <w:spacing w:before="0" w:after="0" w:line="240" w:lineRule="auto"/>
              <w:jc w:val="left"/>
            </w:pPr>
            <w:r/>
            <w:r>
              <w:rPr>
                <w:rFonts w:ascii="Arial" w:hAnsi="Arial" w:cs="Arial"/>
                <w:sz w:val="18"/>
              </w:rPr>
              <w:t>2024: 8, 2025: 16, 2026: 6</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Teóricas / prácticas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19 / 11</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de reserva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3</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Anuladas / con respuesta modificada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Enunciados con excepción, negación o respuesta incorrecta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2</w:t>
            </w:r>
          </w:p>
        </w:tc>
      </w:tr>
    </w:tbl>
    <w:p>
      <w:pPr>
        <w:spacing w:after="40"/>
      </w:pPr>
    </w:p>
    <w:p>
      <w:pPr>
        <w:jc w:val="both"/>
      </w:pPr>
      <w:r>
        <w:rPr>
          <w:rFonts w:ascii="Arial" w:hAnsi="Arial" w:cs="Arial"/>
          <w:b/>
          <w:sz w:val="22"/>
        </w:rPr>
        <w:t>Normas que más aparecen:</w:t>
      </w:r>
      <w:r>
        <w:rPr>
          <w:rFonts w:ascii="Arial" w:hAnsi="Arial" w:cs="Arial"/>
          <w:sz w:val="22"/>
        </w:rPr>
        <w:t xml:space="preserve"> Real Decreto 84/1996 (12); Real Decreto Legislativo 8/2015 (1); texto Refundido de la Ley General de la Seguridad Social (1); Real Decreto Legislativo 5/2000 (1).</w:t>
      </w:r>
    </w:p>
    <w:p>
      <w:pPr>
        <w:jc w:val="both"/>
      </w:pPr>
      <w:r>
        <w:rPr>
          <w:rFonts w:ascii="Arial" w:hAnsi="Arial" w:cs="Arial"/>
          <w:b/>
          <w:sz w:val="22"/>
        </w:rPr>
        <w:t>Artículos o preceptos más repetidos:</w:t>
      </w:r>
      <w:r>
        <w:rPr>
          <w:rFonts w:ascii="Arial" w:hAnsi="Arial" w:cs="Arial"/>
          <w:sz w:val="22"/>
        </w:rPr>
        <w:t xml:space="preserve"> 29 (2); 63 (2); 28 (1); 6.1 (1); 32 (1); 33 (1); 10 (1); 24 (1).</w:t>
      </w:r>
    </w:p>
    <w:p>
      <w:pPr>
        <w:jc w:val="both"/>
      </w:pPr>
      <w:r>
        <w:rPr>
          <w:rFonts w:ascii="Arial" w:hAnsi="Arial" w:cs="Arial"/>
          <w:b/>
          <w:sz w:val="22"/>
        </w:rPr>
        <w:t>Formas de pregunta predominantes:</w:t>
      </w:r>
      <w:r>
        <w:rPr>
          <w:rFonts w:ascii="Arial" w:hAnsi="Arial" w:cs="Arial"/>
          <w:sz w:val="22"/>
        </w:rPr>
        <w:t xml:space="preserve"> Afiliación, altas y bajas (18); Procedimientos (5); Plazos (4); Competencias (1); Causas de extinción (1).</w:t>
      </w:r>
    </w:p>
    <w:p>
      <w:pPr>
        <w:pStyle w:val="Heading2"/>
        <w:keepNext/>
      </w:pPr>
      <w:r>
        <w:rPr>
          <w:rFonts w:ascii="Arial" w:hAnsi="Arial" w:cs="Arial"/>
          <w:sz w:val="25"/>
        </w:rPr>
        <w:t>Patrones observados</w:t>
      </w:r>
    </w:p>
    <w:p>
      <w:pPr>
        <w:pStyle w:val="ListBullet"/>
      </w:pPr>
      <w:r>
        <w:rPr>
          <w:rFonts w:ascii="Arial" w:hAnsi="Arial" w:cs="Arial"/>
          <w:b/>
          <w:sz w:val="22"/>
        </w:rPr>
        <w:t>2024, supuesto 17, reserva:</w:t>
      </w:r>
      <w:r>
        <w:rPr>
          <w:rFonts w:ascii="Arial" w:hAnsi="Arial" w:cs="Arial"/>
          <w:sz w:val="22"/>
        </w:rPr>
        <w:t xml:space="preserve"> ¿Cuál es el último día que la empresa "Señor de La Lage, S.L." tiene para comunicar la baja del trabajador Juan Santacruz en la Seguridad Social?</w:t>
      </w:r>
    </w:p>
    <w:p>
      <w:pPr>
        <w:pStyle w:val="ListBullet"/>
      </w:pPr>
      <w:r>
        <w:rPr>
          <w:rFonts w:ascii="Arial" w:hAnsi="Arial" w:cs="Arial"/>
          <w:b/>
          <w:sz w:val="22"/>
        </w:rPr>
        <w:t>2025, supuesto 16, reserva:</w:t>
      </w:r>
      <w:r>
        <w:rPr>
          <w:rFonts w:ascii="Arial" w:hAnsi="Arial" w:cs="Arial"/>
          <w:sz w:val="22"/>
        </w:rPr>
        <w:t xml:space="preserve"> Dña. Celestina ha decidido dejar voluntariamente la empresa eI día 28 de abril de 2025, comunicándolo con la antelación que la legislación laboral establece. Determine hasta que día tiene la empresa…</w:t>
      </w:r>
    </w:p>
    <w:p>
      <w:pPr>
        <w:pStyle w:val="ListBullet"/>
      </w:pPr>
      <w:r>
        <w:rPr>
          <w:rFonts w:ascii="Arial" w:hAnsi="Arial" w:cs="Arial"/>
          <w:b/>
          <w:sz w:val="22"/>
        </w:rPr>
        <w:t>2024, supuesto 2:</w:t>
      </w:r>
      <w:r>
        <w:rPr>
          <w:rFonts w:ascii="Arial" w:hAnsi="Arial" w:cs="Arial"/>
          <w:sz w:val="22"/>
        </w:rPr>
        <w:t xml:space="preserve"> La solicitud de alta en la Seguridad Social del trabajador Maximiliano Rubín deberá realizarse por la empresa "Señor de La Lage, S.L.":</w:t>
      </w:r>
    </w:p>
    <w:p>
      <w:pPr>
        <w:pStyle w:val="ListBullet"/>
      </w:pPr>
      <w:r>
        <w:rPr>
          <w:rFonts w:ascii="Arial" w:hAnsi="Arial" w:cs="Arial"/>
          <w:b/>
          <w:sz w:val="22"/>
        </w:rPr>
        <w:t>2024, supuesto 4:</w:t>
      </w:r>
      <w:r>
        <w:rPr>
          <w:rFonts w:ascii="Arial" w:hAnsi="Arial" w:cs="Arial"/>
          <w:sz w:val="22"/>
        </w:rPr>
        <w:t xml:space="preserve"> Cuando el trabajador Maximiliano Rubín es trasladado por la empresa a Ciudad del Cabo (Sudáfrica) ¿en qué situación queda a efectos de la Seguridad Social española?:</w:t>
      </w:r>
    </w:p>
    <w:p>
      <w:pPr>
        <w:pStyle w:val="ListBullet"/>
      </w:pPr>
      <w:r>
        <w:rPr>
          <w:rFonts w:ascii="Arial" w:hAnsi="Arial" w:cs="Arial"/>
          <w:b/>
          <w:sz w:val="22"/>
        </w:rPr>
        <w:t>2025, supuesto 1:</w:t>
      </w:r>
      <w:r>
        <w:rPr>
          <w:rFonts w:ascii="Arial" w:hAnsi="Arial" w:cs="Arial"/>
          <w:sz w:val="22"/>
        </w:rPr>
        <w:t xml:space="preserve"> Indique en qué situación se encuentra en la Seguridad Social D. TOMAS RODAJA, a efectos del accidente de trabajo que sufrió el día 4 de marzo de 2024:</w:t>
      </w:r>
    </w:p>
    <w:p>
      <w:pPr>
        <w:pStyle w:val="ListBullet"/>
      </w:pPr>
      <w:r>
        <w:rPr>
          <w:rFonts w:ascii="Arial" w:hAnsi="Arial" w:cs="Arial"/>
          <w:b/>
          <w:sz w:val="22"/>
        </w:rPr>
        <w:t>2025, supuesto 1:</w:t>
      </w:r>
      <w:r>
        <w:rPr>
          <w:rFonts w:ascii="Arial" w:hAnsi="Arial" w:cs="Arial"/>
          <w:sz w:val="22"/>
        </w:rPr>
        <w:t xml:space="preserve"> Doña Melibea se dirige a una Administración de la Seguridad Social, consultando si su fundación tendrá la consideración de empresario en la Seguridad Social y por tanto tendrá que realizar engorrosos trámites…</w:t>
      </w:r>
    </w:p>
    <w:p>
      <w:pPr>
        <w:pStyle w:val="Heading2"/>
        <w:keepNext/>
      </w:pPr>
      <w:r>
        <w:rPr>
          <w:rFonts w:ascii="Arial" w:hAnsi="Arial" w:cs="Arial"/>
          <w:sz w:val="25"/>
        </w:rPr>
        <w:t>Cómo trasladarlo al estudio</w:t>
      </w:r>
    </w:p>
    <w:p>
      <w:pPr>
        <w:spacing w:after="40"/>
        <w:ind w:left="369" w:hanging="227"/>
      </w:pPr>
      <w:r>
        <w:rPr>
          <w:rFonts w:ascii="Arial" w:hAnsi="Arial" w:cs="Arial"/>
          <w:sz w:val="22"/>
        </w:rPr>
        <w:t xml:space="preserve">1. </w:t>
      </w:r>
      <w:r>
        <w:rPr>
          <w:rFonts w:ascii="Arial" w:hAnsi="Arial" w:cs="Arial"/>
          <w:b/>
          <w:sz w:val="22"/>
        </w:rPr>
        <w:t>Priorice la literalidad útil.</w:t>
      </w:r>
      <w:r>
        <w:rPr>
          <w:rFonts w:ascii="Arial" w:hAnsi="Arial" w:cs="Arial"/>
          <w:sz w:val="22"/>
        </w:rPr>
        <w:t xml:space="preserve"> Memorice la regla, su artículo y la excepción, pero comprenda antes quién actúa, sobre qué supuesto y con qué plazo.</w:t>
      </w:r>
    </w:p>
    <w:p>
      <w:pPr>
        <w:spacing w:after="40"/>
        <w:ind w:left="369" w:hanging="227"/>
      </w:pPr>
      <w:r>
        <w:rPr>
          <w:rFonts w:ascii="Arial" w:hAnsi="Arial" w:cs="Arial"/>
          <w:sz w:val="22"/>
        </w:rPr>
        <w:t xml:space="preserve">2. </w:t>
      </w:r>
      <w:r>
        <w:rPr>
          <w:rFonts w:ascii="Arial" w:hAnsi="Arial" w:cs="Arial"/>
          <w:b/>
          <w:sz w:val="22"/>
        </w:rPr>
        <w:t>Entrene las negaciones.</w:t>
      </w:r>
      <w:r>
        <w:rPr>
          <w:rFonts w:ascii="Arial" w:hAnsi="Arial" w:cs="Arial"/>
          <w:sz w:val="22"/>
        </w:rPr>
        <w:t xml:space="preserve"> En este tema se han localizado 2 enunciados con fórmulas como «INCORRECTA», «NO», «salvo» o «excepto». Subraye siempre el mandato antes de leer las opciones.</w:t>
      </w:r>
    </w:p>
    <w:p>
      <w:pPr>
        <w:spacing w:after="40"/>
        <w:ind w:left="369" w:hanging="227"/>
      </w:pPr>
      <w:r>
        <w:rPr>
          <w:rFonts w:ascii="Arial" w:hAnsi="Arial" w:cs="Arial"/>
          <w:sz w:val="22"/>
        </w:rPr>
        <w:t xml:space="preserve">3. </w:t>
      </w:r>
      <w:r>
        <w:rPr>
          <w:rFonts w:ascii="Arial" w:hAnsi="Arial" w:cs="Arial"/>
          <w:b/>
          <w:sz w:val="22"/>
        </w:rPr>
        <w:t>Separe regla estable y dato anual.</w:t>
      </w:r>
      <w:r>
        <w:rPr>
          <w:rFonts w:ascii="Arial" w:hAnsi="Arial" w:cs="Arial"/>
          <w:sz w:val="22"/>
        </w:rPr>
        <w:t xml:space="preserve"> Cuando intervengan cuantías, bases, tipos, edades o porcentajes, anote el año de referencia y contraste la cifra con la norma consolidada vigente.</w:t>
      </w:r>
    </w:p>
    <w:p>
      <w:pPr>
        <w:spacing w:after="40"/>
        <w:ind w:left="369" w:hanging="227"/>
      </w:pPr>
      <w:r>
        <w:rPr>
          <w:rFonts w:ascii="Arial" w:hAnsi="Arial" w:cs="Arial"/>
          <w:sz w:val="22"/>
        </w:rPr>
        <w:t xml:space="preserve">4. </w:t>
      </w:r>
      <w:r>
        <w:rPr>
          <w:rFonts w:ascii="Arial" w:hAnsi="Arial" w:cs="Arial"/>
          <w:b/>
          <w:sz w:val="22"/>
        </w:rPr>
        <w:t>Use las anulaciones como señal de riesgo.</w:t>
      </w:r>
      <w:r>
        <w:rPr>
          <w:rFonts w:ascii="Arial" w:hAnsi="Arial" w:cs="Arial"/>
          <w:sz w:val="22"/>
        </w:rPr>
        <w:t xml:space="preserve"> Una pregunta anulada no desaparece del aprendizaje: suele revelar una redacción ambigua, una reforma reciente o dos preceptos que deben diferenciarse.</w:t>
      </w:r>
    </w:p>
    <w:p>
      <w:pPr>
        <w:spacing w:after="40"/>
        <w:ind w:left="369" w:hanging="227"/>
      </w:pPr>
      <w:r>
        <w:rPr>
          <w:rFonts w:ascii="Arial" w:hAnsi="Arial" w:cs="Arial"/>
          <w:sz w:val="22"/>
        </w:rPr>
        <w:t xml:space="preserve">5. </w:t>
      </w:r>
      <w:r>
        <w:rPr>
          <w:rFonts w:ascii="Arial" w:hAnsi="Arial" w:cs="Arial"/>
          <w:b/>
          <w:sz w:val="22"/>
        </w:rPr>
        <w:t>No confunda frecuencia con seguridad de aparición.</w:t>
      </w:r>
      <w:r>
        <w:rPr>
          <w:rFonts w:ascii="Arial" w:hAnsi="Arial" w:cs="Arial"/>
          <w:sz w:val="22"/>
        </w:rPr>
        <w:t xml:space="preserve"> El recuento describe el corpus disponible; no garantiza la distribución de una convocatoria futura ni permite excluir epígrafes poco preguntados.</w:t>
      </w:r>
    </w:p>
    <w:p>
      <w:pPr>
        <w:pStyle w:val="Heading1"/>
        <w:keepNext/>
      </w:pPr>
      <w:r>
        <w:rPr>
          <w:rFonts w:ascii="Arial" w:hAnsi="Arial" w:cs="Arial"/>
          <w:sz w:val="30"/>
        </w:rPr>
        <w:t>21. Fuentes oficiales</w:t>
      </w:r>
    </w:p>
    <w:p>
      <w:pPr>
        <w:pStyle w:val="ListBullet"/>
      </w:pPr>
      <w:r>
        <w:rPr>
          <w:rFonts w:ascii="Arial" w:hAnsi="Arial" w:cs="Arial"/>
          <w:sz w:val="22"/>
        </w:rPr>
        <w:t>Real Decreto Legislativo 8/2015, de 30 de octubre, texto refundido de la Ley General de la Seguridad Social (https://www.boe.es/buscar/act.php?id=BOE-A-2015-11724).</w:t>
      </w:r>
    </w:p>
    <w:p>
      <w:pPr>
        <w:pStyle w:val="ListBullet"/>
      </w:pPr>
      <w:r>
        <w:rPr>
          <w:rFonts w:ascii="Arial" w:hAnsi="Arial" w:cs="Arial"/>
          <w:sz w:val="22"/>
        </w:rPr>
        <w:t>Real Decreto 84/1996, de 26 de enero, Reglamento general sobre inscripción de empresas y afiliación, altas, bajas y variaciones (https://www.boe.es/buscar/act.php?id=BOE-A-1996-4447).</w:t>
      </w:r>
    </w:p>
    <w:p>
      <w:pPr>
        <w:pStyle w:val="ListBullet"/>
      </w:pPr>
      <w:r>
        <w:rPr>
          <w:rFonts w:ascii="Arial" w:hAnsi="Arial" w:cs="Arial"/>
          <w:sz w:val="22"/>
        </w:rPr>
        <w:t>Real Decreto 643/2026, de 29 de julio, reforma con entrada en vigor el 1 de agosto de 2026 (https://www.boe.es/diario_boe/txt.php?id=BOE-A-2026-16557).</w:t>
      </w:r>
    </w:p>
    <w:p>
      <w:pPr>
        <w:pStyle w:val="ListBullet"/>
      </w:pPr>
      <w:r>
        <w:rPr>
          <w:rFonts w:ascii="Arial" w:hAnsi="Arial" w:cs="Arial"/>
          <w:sz w:val="22"/>
        </w:rPr>
        <w:t>Orden TAS/2865/2003, de 13 de octubre, reguladora del convenio especial (https://www.boe.es/buscar/act.php?id=BOE-A-2003-19281).</w:t>
      </w:r>
    </w:p>
    <w:p>
      <w:pPr>
        <w:pStyle w:val="ListBullet"/>
      </w:pPr>
      <w:r>
        <w:rPr>
          <w:rFonts w:ascii="Arial" w:hAnsi="Arial" w:cs="Arial"/>
          <w:sz w:val="22"/>
        </w:rPr>
        <w:t>Real Decreto Legislativo 5/2000, de 4 de agosto, texto refundido de la Ley sobre Infracciones y Sanciones en el Orden Social (https://www.boe.es/buscar/act.php?id=BOE-A-2000-15060).</w:t>
      </w:r>
    </w:p>
    <w:p>
      <w:pPr>
        <w:pStyle w:val="ListBullet"/>
      </w:pPr>
      <w:r>
        <w:rPr>
          <w:rFonts w:ascii="Arial" w:hAnsi="Arial" w:cs="Arial"/>
          <w:sz w:val="22"/>
        </w:rPr>
        <w:t>Ley 39/2015, de 1 de octubre, del Procedimiento Administrativo Común (https://www.boe.es/buscar/act.php?id=BOE-A-2015-10565).</w:t>
      </w:r>
    </w:p>
    <w:p>
      <w:pPr>
        <w:pStyle w:val="ListBullet"/>
      </w:pPr>
      <w:r>
        <w:rPr>
          <w:rFonts w:ascii="Arial" w:hAnsi="Arial" w:cs="Arial"/>
          <w:sz w:val="22"/>
        </w:rPr>
        <w:t>Portal oficial de la Seguridad Social: afiliación (https://www.seg-social.es/wps/portal/wss/internet/Trabajadores/Afiliacion).</w:t>
      </w:r>
    </w:p>
    <w:p>
      <w:pPr>
        <w:pStyle w:val="ListBullet"/>
      </w:pPr>
      <w:r>
        <w:rPr>
          <w:rFonts w:ascii="Arial" w:hAnsi="Arial" w:cs="Arial"/>
          <w:sz w:val="22"/>
        </w:rPr>
        <w:t>Portal oficial de la Seguridad Social: altas, bajas y variaciones (https://www.seg-social.es/wps/portal/wss/internet/Trabajadores/Afiliacion/32765/32772).</w:t>
      </w:r>
    </w:p>
    <w:p>
      <w:pPr>
        <w:pStyle w:val="ListBullet"/>
      </w:pPr>
      <w:r>
        <w:rPr>
          <w:rFonts w:ascii="Arial" w:hAnsi="Arial" w:cs="Arial"/>
          <w:sz w:val="22"/>
        </w:rPr>
        <w:t>Sede electrónica de la Seguridad Social (https://sede.seg-social.gob.es/).</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S03 · Tema 3 · Actualizado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3. Normas sobre afiliación. Altas y bajas en el régimen general. Procedimiento y efectos. El convenio especial y otras situaciones asimiladas a…</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