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TEMA 4</w:t>
      </w:r>
    </w:p>
    <w:p>
      <w:pPr>
        <w:keepNext/>
        <w:spacing w:before="0" w:after="280"/>
        <w:pBdr>
          <w:bottom w:val="single" w:sz="12" w:space="1" w:color="2F75B5"/>
        </w:pBdr>
      </w:pPr>
      <w:r>
        <w:rPr>
          <w:rFonts w:ascii="Arial" w:hAnsi="Arial" w:cs="Arial"/>
          <w:b/>
          <w:color w:val="17365D"/>
          <w:sz w:val="40"/>
        </w:rPr>
        <w:t>La cotización a la Seguridad Social: normas comunes del sistema. La liquidación de cuotas. El régimen general de la Seguridad Social. Supuestos especiales. Bases y tipos de cotización. Liquidación de otras deudas.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La cotización transforma la obligación legal de contribuir en cuotas destinadas a financiar el sistema de la Seguridad Social. No es el precio individual de una prestación futura: responde también a los principios de solidaridad, unidad financiera y caja única. El tema se desarrolla conforme al texto refundido de la Ley General de la Seguridad Social —TRLGSS—, al Reglamento General sobre Cotización y Liquidación de otros Derechos de la Seguridad Social —RGCL—, aprobado por Real Decreto 2064/1995, y a las reglas anuales vigentes a </w:t>
      </w:r>
      <w:r>
        <w:rPr>
          <w:rFonts w:ascii="Arial" w:hAnsi="Arial" w:cs="Arial"/>
          <w:b/>
          <w:sz w:val="22"/>
        </w:rPr>
        <w:t>30 de julio de 2026</w:t>
      </w:r>
      <w:r>
        <w:rPr>
          <w:rFonts w:ascii="Arial" w:hAnsi="Arial" w:cs="Arial"/>
          <w:sz w:val="22"/>
        </w:rPr>
        <w:t xml:space="preserve">. Para 2026 son esenciales el artículo 3 del </w:t>
      </w:r>
      <w:r>
        <w:rPr>
          <w:rFonts w:ascii="Arial" w:hAnsi="Arial" w:cs="Arial"/>
          <w:b/>
          <w:sz w:val="22"/>
        </w:rPr>
        <w:t>Real Decreto-ley 3/2026, de 3 de febrero</w:t>
      </w:r>
      <w:r>
        <w:rPr>
          <w:rFonts w:ascii="Arial" w:hAnsi="Arial" w:cs="Arial"/>
          <w:sz w:val="22"/>
        </w:rPr>
        <w:t xml:space="preserve">, y la </w:t>
      </w:r>
      <w:r>
        <w:rPr>
          <w:rFonts w:ascii="Arial" w:hAnsi="Arial" w:cs="Arial"/>
          <w:b/>
          <w:sz w:val="22"/>
        </w:rPr>
        <w:t>Orden PJC/297/2026, de 30 de marzo</w:t>
      </w:r>
      <w:r>
        <w:rPr>
          <w:rFonts w:ascii="Arial" w:hAnsi="Arial" w:cs="Arial"/>
          <w:sz w:val="22"/>
        </w:rPr>
        <w:t>.</w:t>
      </w:r>
    </w:p>
    <w:p>
      <w:pPr>
        <w:pStyle w:val="Heading1"/>
        <w:keepNext/>
      </w:pPr>
      <w:r>
        <w:rPr>
          <w:rFonts w:ascii="Arial" w:hAnsi="Arial" w:cs="Arial"/>
          <w:sz w:val="30"/>
        </w:rPr>
        <w:t>1. Concepto, función y fuentes</w:t>
      </w:r>
    </w:p>
    <w:p>
      <w:pPr>
        <w:jc w:val="both"/>
      </w:pPr>
      <w:r>
        <w:rPr>
          <w:rFonts w:ascii="Arial" w:hAnsi="Arial" w:cs="Arial"/>
          <w:sz w:val="22"/>
        </w:rPr>
        <w:t>Cotizar es ingresar, durante las situaciones legalmente previstas, una cantidad calculada mediante la aplicación de un tipo a una base. En su formulación más sencilla:</w:t>
      </w:r>
    </w:p>
    <w:p>
      <w:pPr>
        <w:spacing w:after="100"/>
        <w:ind w:left="340" w:right="227"/>
        <w:shd w:fill="EAF2F8"/>
      </w:pPr>
      <w:r>
        <w:rPr>
          <w:rFonts w:ascii="Arial" w:hAnsi="Arial" w:cs="Arial"/>
          <w:b/>
          <w:sz w:val="20"/>
        </w:rPr>
        <w:t>Cuota íntegra = base de cotización × tipo de cotización.</w:t>
      </w:r>
    </w:p>
    <w:p>
      <w:pPr>
        <w:jc w:val="both"/>
      </w:pPr>
      <w:r>
        <w:rPr>
          <w:rFonts w:ascii="Arial" w:hAnsi="Arial" w:cs="Arial"/>
          <w:sz w:val="22"/>
        </w:rPr>
        <w:t>La cantidad finalmente ingresada puede variar por bonificaciones, reducciones, compensaciones, deducciones o cuotas adicionales. Además, en una misma liquidación pueden concurrir contingencias comunes, contingencias profesionales, mecanismo de equidad intergeneracional, desempleo, Fondo de Garantía Salarial, formación profesional y otros conceptos de recaudación conjunta.</w:t>
      </w:r>
    </w:p>
    <w:p>
      <w:pPr>
        <w:jc w:val="both"/>
      </w:pPr>
      <w:r>
        <w:rPr>
          <w:rFonts w:ascii="Arial" w:hAnsi="Arial" w:cs="Arial"/>
          <w:sz w:val="22"/>
        </w:rPr>
        <w:t>El artículo 18 TRLGSS declara obligatoria la cotización a los regímenes general y especiales y exige que las bases y tipos se establezcan con arreglo a la ley. Constituyen el núcleo normativo:</w:t>
      </w:r>
    </w:p>
    <w:p>
      <w:pPr>
        <w:spacing w:after="40"/>
        <w:ind w:left="369" w:hanging="227"/>
      </w:pPr>
      <w:r>
        <w:rPr>
          <w:rFonts w:ascii="Arial" w:hAnsi="Arial" w:cs="Arial"/>
          <w:sz w:val="22"/>
        </w:rPr>
        <w:t>1. Los artículos 18 a 20 y 22 a 29 TRLGSS, sobre cotización, liquidación e ingreso.</w:t>
      </w:r>
    </w:p>
    <w:p>
      <w:pPr>
        <w:spacing w:after="40"/>
        <w:ind w:left="369" w:hanging="227"/>
      </w:pPr>
      <w:r>
        <w:rPr>
          <w:rFonts w:ascii="Arial" w:hAnsi="Arial" w:cs="Arial"/>
          <w:sz w:val="22"/>
        </w:rPr>
        <w:t>2. Los artículos 141 a 153 TRLGSS, dedicados a la cotización en el Régimen General.</w:t>
      </w:r>
    </w:p>
    <w:p>
      <w:pPr>
        <w:spacing w:after="40"/>
        <w:ind w:left="369" w:hanging="227"/>
      </w:pPr>
      <w:r>
        <w:rPr>
          <w:rFonts w:ascii="Arial" w:hAnsi="Arial" w:cs="Arial"/>
          <w:sz w:val="22"/>
        </w:rPr>
        <w:t>3. El Real Decreto 2064/1995, que desarrolla las reglas comunes y las particularidades de regímenes y colectivos.</w:t>
      </w:r>
    </w:p>
    <w:p>
      <w:pPr>
        <w:spacing w:after="40"/>
        <w:ind w:left="369" w:hanging="227"/>
      </w:pPr>
      <w:r>
        <w:rPr>
          <w:rFonts w:ascii="Arial" w:hAnsi="Arial" w:cs="Arial"/>
          <w:sz w:val="22"/>
        </w:rPr>
        <w:t>4. La ley presupuestaria y, en 2026, las normas con rango de ley dictadas durante la prórroga presupuestaria.</w:t>
      </w:r>
    </w:p>
    <w:p>
      <w:pPr>
        <w:spacing w:after="40"/>
        <w:ind w:left="369" w:hanging="227"/>
      </w:pPr>
      <w:r>
        <w:rPr>
          <w:rFonts w:ascii="Arial" w:hAnsi="Arial" w:cs="Arial"/>
          <w:sz w:val="22"/>
        </w:rPr>
        <w:t>5. La orden anual de cotización, que concreta topes, bases, tipos, coeficientes y supuestos especiales.</w:t>
      </w:r>
    </w:p>
    <w:p>
      <w:pPr>
        <w:jc w:val="both"/>
      </w:pPr>
      <w:r>
        <w:rPr>
          <w:rFonts w:ascii="Arial" w:hAnsi="Arial" w:cs="Arial"/>
          <w:sz w:val="22"/>
        </w:rPr>
        <w:t>El Estado tiene competencia exclusiva sobre el régimen económico de la Seguridad Social, conforme al artículo 149.1.17.ª CE. La Tesorería General de la Seguridad Social —TGSS— administra los recursos, aplica la caja única y gestiona la liquidación y recaudación, sin perjuicio de las funciones inspectoras y de las competencias de otras entidades.</w:t>
      </w:r>
    </w:p>
    <w:p>
      <w:pPr>
        <w:pStyle w:val="Heading2"/>
        <w:keepNext/>
      </w:pPr>
      <w:r>
        <w:rPr>
          <w:rFonts w:ascii="Arial" w:hAnsi="Arial" w:cs="Arial"/>
          <w:sz w:val="25"/>
        </w:rPr>
        <w:t>1.1. Principios relevantes</w:t>
      </w:r>
    </w:p>
    <w:p>
      <w:pPr>
        <w:jc w:val="both"/>
      </w:pPr>
      <w:r>
        <w:rPr>
          <w:rFonts w:ascii="Arial" w:hAnsi="Arial" w:cs="Arial"/>
          <w:sz w:val="22"/>
        </w:rPr>
        <w:t>La obligación de cotizar es:</w:t>
      </w:r>
    </w:p>
    <w:p>
      <w:pPr>
        <w:pStyle w:val="ListBullet"/>
      </w:pPr>
      <w:r>
        <w:rPr>
          <w:rFonts w:ascii="Arial" w:hAnsi="Arial" w:cs="Arial"/>
          <w:b/>
          <w:sz w:val="22"/>
        </w:rPr>
        <w:t>legal</w:t>
      </w:r>
      <w:r>
        <w:rPr>
          <w:rFonts w:ascii="Arial" w:hAnsi="Arial" w:cs="Arial"/>
          <w:sz w:val="22"/>
        </w:rPr>
        <w:t>, porque nace, se mantiene y termina en los supuestos fijados por la norma;</w:t>
      </w:r>
    </w:p>
    <w:p>
      <w:pPr>
        <w:pStyle w:val="ListBullet"/>
      </w:pPr>
      <w:r>
        <w:rPr>
          <w:rFonts w:ascii="Arial" w:hAnsi="Arial" w:cs="Arial"/>
          <w:b/>
          <w:sz w:val="22"/>
        </w:rPr>
        <w:t>indisponible</w:t>
      </w:r>
      <w:r>
        <w:rPr>
          <w:rFonts w:ascii="Arial" w:hAnsi="Arial" w:cs="Arial"/>
          <w:sz w:val="22"/>
        </w:rPr>
        <w:t>, de modo que empresario y persona trabajadora no pueden trasladarse válidamente sus respectivas cargas;</w:t>
      </w:r>
    </w:p>
    <w:p>
      <w:pPr>
        <w:pStyle w:val="ListBullet"/>
      </w:pPr>
      <w:r>
        <w:rPr>
          <w:rFonts w:ascii="Arial" w:hAnsi="Arial" w:cs="Arial"/>
          <w:b/>
          <w:sz w:val="22"/>
        </w:rPr>
        <w:t>contributiva y solidaria</w:t>
      </w:r>
      <w:r>
        <w:rPr>
          <w:rFonts w:ascii="Arial" w:hAnsi="Arial" w:cs="Arial"/>
          <w:sz w:val="22"/>
        </w:rPr>
        <w:t>, pues contribuye a derechos individuales pero financia conjuntamente el sistema;</w:t>
      </w:r>
    </w:p>
    <w:p>
      <w:pPr>
        <w:pStyle w:val="ListBullet"/>
      </w:pPr>
      <w:r>
        <w:rPr>
          <w:rFonts w:ascii="Arial" w:hAnsi="Arial" w:cs="Arial"/>
          <w:b/>
          <w:sz w:val="22"/>
        </w:rPr>
        <w:t>periódica</w:t>
      </w:r>
      <w:r>
        <w:rPr>
          <w:rFonts w:ascii="Arial" w:hAnsi="Arial" w:cs="Arial"/>
          <w:sz w:val="22"/>
        </w:rPr>
        <w:t>, aunque existan cuotas únicas o adicionales;</w:t>
      </w:r>
    </w:p>
    <w:p>
      <w:pPr>
        <w:pStyle w:val="ListBullet"/>
      </w:pPr>
      <w:r>
        <w:rPr>
          <w:rFonts w:ascii="Arial" w:hAnsi="Arial" w:cs="Arial"/>
          <w:b/>
          <w:sz w:val="22"/>
        </w:rPr>
        <w:t>controlable administrativamente</w:t>
      </w:r>
      <w:r>
        <w:rPr>
          <w:rFonts w:ascii="Arial" w:hAnsi="Arial" w:cs="Arial"/>
          <w:sz w:val="22"/>
        </w:rPr>
        <w:t>, mediante los datos de afiliación, nómina y liquidación que recibe la TGSS.</w:t>
      </w:r>
    </w:p>
    <w:p>
      <w:pPr>
        <w:jc w:val="both"/>
      </w:pPr>
      <w:r>
        <w:rPr>
          <w:rFonts w:ascii="Arial" w:hAnsi="Arial" w:cs="Arial"/>
          <w:sz w:val="22"/>
        </w:rPr>
        <w:t>Son nulos los pactos por los que el trabajador asuma la parte empresarial o el empresario la parte del trabajador. También es nulo el pacto por el que el empresario se obligue a soportar íntegramente una cuota cuya distribución venga fijada imperativamente, salvo que la ley permita una mejora o asunción concreta.</w:t>
      </w:r>
    </w:p>
    <w:p>
      <w:pPr>
        <w:spacing w:after="100"/>
        <w:ind w:left="340" w:right="227"/>
        <w:shd w:fill="EAF2F8"/>
      </w:pPr>
      <w:r>
        <w:rPr>
          <w:rFonts w:ascii="Arial" w:hAnsi="Arial" w:cs="Arial"/>
          <w:b/>
          <w:sz w:val="20"/>
        </w:rPr>
        <w:t>Distinción esencial:</w:t>
      </w:r>
      <w:r>
        <w:rPr>
          <w:rFonts w:ascii="Arial" w:hAnsi="Arial" w:cs="Arial"/>
          <w:sz w:val="20"/>
        </w:rPr>
        <w:t xml:space="preserve"> la base de cotización cuantifica la materia sometida a gravamen social; la base reguladora sirve para calcular una prestación. Pueden relacionarse, pero no son conceptos intercambiables.</w:t>
      </w:r>
    </w:p>
    <w:p>
      <w:pPr>
        <w:pStyle w:val="Heading1"/>
        <w:keepNext/>
      </w:pPr>
      <w:r>
        <w:rPr>
          <w:rFonts w:ascii="Arial" w:hAnsi="Arial" w:cs="Arial"/>
          <w:sz w:val="30"/>
        </w:rPr>
        <w:t>2. Nacimiento, duración y extinción de la obligación</w:t>
      </w:r>
    </w:p>
    <w:p>
      <w:pPr>
        <w:jc w:val="both"/>
      </w:pPr>
      <w:r>
        <w:rPr>
          <w:rFonts w:ascii="Arial" w:hAnsi="Arial" w:cs="Arial"/>
          <w:sz w:val="22"/>
        </w:rPr>
        <w:t>En el Régimen General, la obligación nace desde el comienzo de la prestación de trabajo, incluido el período de prueba. La mera solicitud de afiliación o alta produce presunción de inicio respecto de la fecha indicada; pero la falta de solicitud no elimina la obligación si el trabajo comenzó realmente.</w:t>
      </w:r>
    </w:p>
    <w:p>
      <w:pPr>
        <w:jc w:val="both"/>
      </w:pPr>
      <w:r>
        <w:rPr>
          <w:rFonts w:ascii="Arial" w:hAnsi="Arial" w:cs="Arial"/>
          <w:sz w:val="22"/>
        </w:rPr>
        <w:t>La obligación se mantiene durante todo el período en que la persona trabajadora presta servicios o permanece en alta o situación asimilada en la que la ley conserve el deber de cotizar. Comprende, entre otros:</w:t>
      </w:r>
    </w:p>
    <w:p>
      <w:pPr>
        <w:pStyle w:val="ListBullet"/>
      </w:pPr>
      <w:r>
        <w:rPr>
          <w:rFonts w:ascii="Arial" w:hAnsi="Arial" w:cs="Arial"/>
          <w:sz w:val="22"/>
        </w:rPr>
        <w:t>trabajo efectivo;</w:t>
      </w:r>
    </w:p>
    <w:p>
      <w:pPr>
        <w:pStyle w:val="ListBullet"/>
      </w:pPr>
      <w:r>
        <w:rPr>
          <w:rFonts w:ascii="Arial" w:hAnsi="Arial" w:cs="Arial"/>
          <w:sz w:val="22"/>
        </w:rPr>
        <w:t>vacaciones retribuidas;</w:t>
      </w:r>
    </w:p>
    <w:p>
      <w:pPr>
        <w:pStyle w:val="ListBullet"/>
      </w:pPr>
      <w:r>
        <w:rPr>
          <w:rFonts w:ascii="Arial" w:hAnsi="Arial" w:cs="Arial"/>
          <w:sz w:val="22"/>
        </w:rPr>
        <w:t>incapacidad temporal;</w:t>
      </w:r>
    </w:p>
    <w:p>
      <w:pPr>
        <w:pStyle w:val="ListBullet"/>
      </w:pPr>
      <w:r>
        <w:rPr>
          <w:rFonts w:ascii="Arial" w:hAnsi="Arial" w:cs="Arial"/>
          <w:sz w:val="22"/>
        </w:rPr>
        <w:t>riesgo durante el embarazo y durante la lactancia natural;</w:t>
      </w:r>
    </w:p>
    <w:p>
      <w:pPr>
        <w:pStyle w:val="ListBullet"/>
      </w:pPr>
      <w:r>
        <w:rPr>
          <w:rFonts w:ascii="Arial" w:hAnsi="Arial" w:cs="Arial"/>
          <w:sz w:val="22"/>
        </w:rPr>
        <w:t>nacimiento y cuidado de menor;</w:t>
      </w:r>
    </w:p>
    <w:p>
      <w:pPr>
        <w:pStyle w:val="ListBullet"/>
      </w:pPr>
      <w:r>
        <w:rPr>
          <w:rFonts w:ascii="Arial" w:hAnsi="Arial" w:cs="Arial"/>
          <w:sz w:val="22"/>
        </w:rPr>
        <w:t>ejercicio corresponsable del cuidado del lactante;</w:t>
      </w:r>
    </w:p>
    <w:p>
      <w:pPr>
        <w:pStyle w:val="ListBullet"/>
      </w:pPr>
      <w:r>
        <w:rPr>
          <w:rFonts w:ascii="Arial" w:hAnsi="Arial" w:cs="Arial"/>
          <w:sz w:val="22"/>
        </w:rPr>
        <w:t>cumplimiento de deberes públicos o desempeño sindical cuando subsista alta y cotización;</w:t>
      </w:r>
    </w:p>
    <w:p>
      <w:pPr>
        <w:pStyle w:val="ListBullet"/>
      </w:pPr>
      <w:r>
        <w:rPr>
          <w:rFonts w:ascii="Arial" w:hAnsi="Arial" w:cs="Arial"/>
          <w:sz w:val="22"/>
        </w:rPr>
        <w:t>alta sin percibo de remuneración en los casos reglamentarios;</w:t>
      </w:r>
    </w:p>
    <w:p>
      <w:pPr>
        <w:pStyle w:val="ListBullet"/>
      </w:pPr>
      <w:r>
        <w:rPr>
          <w:rFonts w:ascii="Arial" w:hAnsi="Arial" w:cs="Arial"/>
          <w:sz w:val="22"/>
        </w:rPr>
        <w:t>convenio especial, con las reglas propias.</w:t>
      </w:r>
    </w:p>
    <w:p>
      <w:pPr>
        <w:jc w:val="both"/>
      </w:pPr>
      <w:r>
        <w:rPr>
          <w:rFonts w:ascii="Arial" w:hAnsi="Arial" w:cs="Arial"/>
          <w:sz w:val="22"/>
        </w:rPr>
        <w:t>La obligación se extingue con el cese en el trabajo si la baja se comunica en tiempo y forma. Si no se solicita o se presenta fuera de plazo, continúa hasta que la TGSS conozca el cese por actuación inspectora, por datos suficientes o por comunicación eficaz, sin perjuicio de que el interesado pruebe mediante un procedimiento contradictorio que la actividad terminó antes.</w:t>
      </w:r>
    </w:p>
    <w:p>
      <w:pPr>
        <w:jc w:val="both"/>
      </w:pPr>
      <w:r>
        <w:rPr>
          <w:rFonts w:ascii="Arial" w:hAnsi="Arial" w:cs="Arial"/>
          <w:sz w:val="22"/>
        </w:rPr>
        <w:t>La suspensión de la relación laboral no equivale siempre a extinción de la obligación. Hay suspensiones con cotización y otras sin ella. Tampoco la huelga o el cierre patronal deben confundirse con una baja ordinaria: producen reglas específicas de alta especial y cotización.</w:t>
      </w:r>
    </w:p>
    <w:p>
      <w:pPr>
        <w:pStyle w:val="Heading2"/>
        <w:keepNext/>
      </w:pPr>
      <w:r>
        <w:rPr>
          <w:rFonts w:ascii="Arial" w:hAnsi="Arial" w:cs="Arial"/>
          <w:sz w:val="25"/>
        </w:rPr>
        <w:t>2.1. Sujetos obligados y responsable del ingreso</w:t>
      </w:r>
    </w:p>
    <w:p>
      <w:pPr>
        <w:jc w:val="both"/>
      </w:pPr>
      <w:r>
        <w:rPr>
          <w:rFonts w:ascii="Arial" w:hAnsi="Arial" w:cs="Arial"/>
          <w:sz w:val="22"/>
        </w:rPr>
        <w:t xml:space="preserve">En el trabajo por cuenta ajena están obligados a cotizar empresario y trabajador cuando la norma distribuya la cuota. El empresario es, no obstante, </w:t>
      </w:r>
      <w:r>
        <w:rPr>
          <w:rFonts w:ascii="Arial" w:hAnsi="Arial" w:cs="Arial"/>
          <w:b/>
          <w:sz w:val="22"/>
        </w:rPr>
        <w:t>sujeto responsable del cumplimiento de la obligación e ingreso de la totalidad</w:t>
      </w:r>
      <w:r>
        <w:rPr>
          <w:rFonts w:ascii="Arial" w:hAnsi="Arial" w:cs="Arial"/>
          <w:sz w:val="22"/>
        </w:rPr>
        <w:t>, tanto de su aportación como de la aportación de sus trabajadores.</w:t>
      </w:r>
    </w:p>
    <w:p>
      <w:pPr>
        <w:jc w:val="both"/>
      </w:pPr>
      <w:r>
        <w:rPr>
          <w:rFonts w:ascii="Arial" w:hAnsi="Arial" w:cs="Arial"/>
          <w:sz w:val="22"/>
        </w:rPr>
        <w:t>El empresario descuenta la parte del trabajador al hacer efectivas las retribuciones. Si no efectúa el descuento en ese momento, no puede realizarlo después y queda obligado a ingresar la totalidad a su exclusivo cargo. Si descuenta una cuota y no la ingresa, incurre en responsabilidad sin que el descuento libere frente a la TGSS.</w:t>
      </w:r>
    </w:p>
    <w:p>
      <w:pPr>
        <w:jc w:val="both"/>
      </w:pPr>
      <w:r>
        <w:rPr>
          <w:rFonts w:ascii="Arial" w:hAnsi="Arial" w:cs="Arial"/>
          <w:sz w:val="22"/>
        </w:rPr>
        <w:t>En contingencias de accidentes de trabajo y enfermedades profesionales, la prima corre exclusivamente a cargo de la empresa. En el Régimen Especial de Trabajadores Autónomos —RETA—, el propio trabajador es, con carácter general, obligado y responsable.</w:t>
      </w:r>
    </w:p>
    <w:p>
      <w:pPr>
        <w:jc w:val="both"/>
      </w:pPr>
      <w:r>
        <w:rPr>
          <w:rFonts w:ascii="Arial" w:hAnsi="Arial" w:cs="Arial"/>
          <w:sz w:val="22"/>
        </w:rPr>
        <w:t>Puede haber responsables solidarios, subsidiarios o sucesores por aplicación de las reglas de recaudación: sucesión de empresa, contratas y subcontratas, grupos patológicos, administradores en los casos legalmente previstos o adquirentes mortis causa. Esa responsabilidad recaudatoria no modifica la estructura ordinaria de la cuota; permite exigir una deuda ya nacida a sujetos distintos del principal.</w:t>
      </w:r>
    </w:p>
    <w:p>
      <w:pPr>
        <w:pStyle w:val="Heading1"/>
        <w:keepNext/>
      </w:pPr>
      <w:r>
        <w:rPr>
          <w:rFonts w:ascii="Arial" w:hAnsi="Arial" w:cs="Arial"/>
          <w:sz w:val="30"/>
        </w:rPr>
        <w:t>3. Elementos de la cotización</w:t>
      </w:r>
    </w:p>
    <w:p>
      <w:pPr>
        <w:pStyle w:val="Heading2"/>
        <w:keepNext/>
      </w:pPr>
      <w:r>
        <w:rPr>
          <w:rFonts w:ascii="Arial" w:hAnsi="Arial" w:cs="Arial"/>
          <w:sz w:val="25"/>
        </w:rPr>
        <w:t>3.1. Base, tipo, cuota y período</w:t>
      </w:r>
    </w:p>
    <w:p>
      <w:pPr>
        <w:jc w:val="both"/>
      </w:pPr>
      <w:r>
        <w:rPr>
          <w:rFonts w:ascii="Arial" w:hAnsi="Arial" w:cs="Arial"/>
          <w:sz w:val="22"/>
        </w:rPr>
        <w:t xml:space="preserve">La </w:t>
      </w:r>
      <w:r>
        <w:rPr>
          <w:rFonts w:ascii="Arial" w:hAnsi="Arial" w:cs="Arial"/>
          <w:b/>
          <w:sz w:val="22"/>
        </w:rPr>
        <w:t>base</w:t>
      </w:r>
      <w:r>
        <w:rPr>
          <w:rFonts w:ascii="Arial" w:hAnsi="Arial" w:cs="Arial"/>
          <w:sz w:val="22"/>
        </w:rPr>
        <w:t xml:space="preserve"> es la cantidad económica sobre la que se aplica el tipo. El </w:t>
      </w:r>
      <w:r>
        <w:rPr>
          <w:rFonts w:ascii="Arial" w:hAnsi="Arial" w:cs="Arial"/>
          <w:b/>
          <w:sz w:val="22"/>
        </w:rPr>
        <w:t>tipo</w:t>
      </w:r>
      <w:r>
        <w:rPr>
          <w:rFonts w:ascii="Arial" w:hAnsi="Arial" w:cs="Arial"/>
          <w:sz w:val="22"/>
        </w:rPr>
        <w:t xml:space="preserve"> es el porcentaje legal correspondiente a una contingencia o concepto. La </w:t>
      </w:r>
      <w:r>
        <w:rPr>
          <w:rFonts w:ascii="Arial" w:hAnsi="Arial" w:cs="Arial"/>
          <w:b/>
          <w:sz w:val="22"/>
        </w:rPr>
        <w:t>cuota</w:t>
      </w:r>
      <w:r>
        <w:rPr>
          <w:rFonts w:ascii="Arial" w:hAnsi="Arial" w:cs="Arial"/>
          <w:sz w:val="22"/>
        </w:rPr>
        <w:t xml:space="preserve"> es el resultado, con las correcciones legales. El </w:t>
      </w:r>
      <w:r>
        <w:rPr>
          <w:rFonts w:ascii="Arial" w:hAnsi="Arial" w:cs="Arial"/>
          <w:b/>
          <w:sz w:val="22"/>
        </w:rPr>
        <w:t>período de liquidación</w:t>
      </w:r>
      <w:r>
        <w:rPr>
          <w:rFonts w:ascii="Arial" w:hAnsi="Arial" w:cs="Arial"/>
          <w:sz w:val="22"/>
        </w:rPr>
        <w:t xml:space="preserve"> es la unidad temporal a la que se refiere el cálculo, normalmente el mes natural.</w:t>
      </w:r>
    </w:p>
    <w:p>
      <w:pPr>
        <w:jc w:val="both"/>
      </w:pPr>
      <w:r>
        <w:rPr>
          <w:rFonts w:ascii="Arial" w:hAnsi="Arial" w:cs="Arial"/>
          <w:sz w:val="22"/>
        </w:rPr>
        <w:t>Debe distinguirse:</w:t>
      </w:r>
    </w:p>
    <w:tbl>
      <w:tblPr>
        <w:tblStyle w:val="TableGrid"/>
        <w:tblW w:type="dxa" w:w="9026"/>
        <w:jc w:val="left"/>
        <w:tblLayout w:type="fixed"/>
        <w:tblLook w:firstColumn="1" w:firstRow="1" w:lastColumn="0" w:lastRow="0" w:noHBand="0" w:noVBand="1" w:val="04A0"/>
        <w:tblInd w:w="120" w:type="dxa"/>
      </w:tblPr>
      <w:tblGrid>
        <w:gridCol w:w="1993"/>
        <w:gridCol w:w="7033"/>
      </w:tblGrid>
      <w:tr>
        <w:trPr>
          <w:tblHeader w:val="true"/>
        </w:trPr>
        <w:tc>
          <w:tcPr>
            <w:tcW w:type="dxa" w:w="199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Concepto</w:t>
            </w:r>
          </w:p>
        </w:tc>
        <w:tc>
          <w:tcPr>
            <w:tcW w:type="dxa" w:w="703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Función</w:t>
            </w:r>
          </w:p>
        </w:tc>
      </w:tr>
      <w:tr>
        <w:tc>
          <w:tcPr>
            <w:tcW w:type="dxa" w:w="1993"/>
            <w:tcMar>
              <w:top w:w="80" w:type="dxa"/>
              <w:start w:w="120" w:type="dxa"/>
              <w:bottom w:w="80" w:type="dxa"/>
              <w:end w:w="120" w:type="dxa"/>
            </w:tcMar>
            <w:vAlign w:val="center"/>
          </w:tcPr>
          <w:p>
            <w:pPr>
              <w:spacing w:before="0" w:after="0" w:line="240" w:lineRule="auto"/>
              <w:jc w:val="left"/>
            </w:pPr>
            <w:r/>
            <w:r>
              <w:rPr>
                <w:rFonts w:ascii="Arial" w:hAnsi="Arial" w:cs="Arial"/>
                <w:sz w:val="18"/>
              </w:rPr>
              <w:t>Base de cotización</w:t>
            </w:r>
          </w:p>
        </w:tc>
        <w:tc>
          <w:tcPr>
            <w:tcW w:type="dxa" w:w="7033"/>
            <w:tcMar>
              <w:top w:w="80" w:type="dxa"/>
              <w:start w:w="120" w:type="dxa"/>
              <w:bottom w:w="80" w:type="dxa"/>
              <w:end w:w="120" w:type="dxa"/>
            </w:tcMar>
            <w:vAlign w:val="center"/>
          </w:tcPr>
          <w:p>
            <w:pPr>
              <w:spacing w:before="0" w:after="0" w:line="240" w:lineRule="auto"/>
              <w:jc w:val="left"/>
            </w:pPr>
            <w:r/>
            <w:r>
              <w:rPr>
                <w:rFonts w:ascii="Arial" w:hAnsi="Arial" w:cs="Arial"/>
                <w:sz w:val="18"/>
              </w:rPr>
              <w:t>Expresa la magnitud económica sometida a cotización</w:t>
            </w:r>
          </w:p>
        </w:tc>
      </w:tr>
      <w:tr>
        <w:tc>
          <w:tcPr>
            <w:tcW w:type="dxa" w:w="1993"/>
            <w:tcMar>
              <w:top w:w="80" w:type="dxa"/>
              <w:start w:w="120" w:type="dxa"/>
              <w:bottom w:w="80" w:type="dxa"/>
              <w:end w:w="120" w:type="dxa"/>
            </w:tcMar>
            <w:vAlign w:val="center"/>
          </w:tcPr>
          <w:p>
            <w:pPr>
              <w:spacing w:before="0" w:after="0" w:line="240" w:lineRule="auto"/>
              <w:jc w:val="left"/>
            </w:pPr>
            <w:r/>
            <w:r>
              <w:rPr>
                <w:rFonts w:ascii="Arial" w:hAnsi="Arial" w:cs="Arial"/>
                <w:sz w:val="18"/>
              </w:rPr>
              <w:t>Tipo</w:t>
            </w:r>
          </w:p>
        </w:tc>
        <w:tc>
          <w:tcPr>
            <w:tcW w:type="dxa" w:w="7033"/>
            <w:tcMar>
              <w:top w:w="80" w:type="dxa"/>
              <w:start w:w="120" w:type="dxa"/>
              <w:bottom w:w="80" w:type="dxa"/>
              <w:end w:w="120" w:type="dxa"/>
            </w:tcMar>
            <w:vAlign w:val="center"/>
          </w:tcPr>
          <w:p>
            <w:pPr>
              <w:spacing w:before="0" w:after="0" w:line="240" w:lineRule="auto"/>
              <w:jc w:val="left"/>
            </w:pPr>
            <w:r/>
            <w:r>
              <w:rPr>
                <w:rFonts w:ascii="Arial" w:hAnsi="Arial" w:cs="Arial"/>
                <w:sz w:val="18"/>
              </w:rPr>
              <w:t>Porcentaje aplicable a cada contingencia o concepto</w:t>
            </w:r>
          </w:p>
        </w:tc>
      </w:tr>
      <w:tr>
        <w:tc>
          <w:tcPr>
            <w:tcW w:type="dxa" w:w="1993"/>
            <w:tcMar>
              <w:top w:w="80" w:type="dxa"/>
              <w:start w:w="120" w:type="dxa"/>
              <w:bottom w:w="80" w:type="dxa"/>
              <w:end w:w="120" w:type="dxa"/>
            </w:tcMar>
            <w:vAlign w:val="center"/>
          </w:tcPr>
          <w:p>
            <w:pPr>
              <w:spacing w:before="0" w:after="0" w:line="240" w:lineRule="auto"/>
              <w:jc w:val="left"/>
            </w:pPr>
            <w:r/>
            <w:r>
              <w:rPr>
                <w:rFonts w:ascii="Arial" w:hAnsi="Arial" w:cs="Arial"/>
                <w:sz w:val="18"/>
              </w:rPr>
              <w:t>Cuota íntegra</w:t>
            </w:r>
          </w:p>
        </w:tc>
        <w:tc>
          <w:tcPr>
            <w:tcW w:type="dxa" w:w="7033"/>
            <w:tcMar>
              <w:top w:w="80" w:type="dxa"/>
              <w:start w:w="120" w:type="dxa"/>
              <w:bottom w:w="80" w:type="dxa"/>
              <w:end w:w="120" w:type="dxa"/>
            </w:tcMar>
            <w:vAlign w:val="center"/>
          </w:tcPr>
          <w:p>
            <w:pPr>
              <w:spacing w:before="0" w:after="0" w:line="240" w:lineRule="auto"/>
              <w:jc w:val="left"/>
            </w:pPr>
            <w:r/>
            <w:r>
              <w:rPr>
                <w:rFonts w:ascii="Arial" w:hAnsi="Arial" w:cs="Arial"/>
                <w:sz w:val="18"/>
              </w:rPr>
              <w:t>Resultado de aplicar el tipo a la base</w:t>
            </w:r>
          </w:p>
        </w:tc>
      </w:tr>
      <w:tr>
        <w:tc>
          <w:tcPr>
            <w:tcW w:type="dxa" w:w="1993"/>
            <w:tcMar>
              <w:top w:w="80" w:type="dxa"/>
              <w:start w:w="120" w:type="dxa"/>
              <w:bottom w:w="80" w:type="dxa"/>
              <w:end w:w="120" w:type="dxa"/>
            </w:tcMar>
            <w:vAlign w:val="center"/>
          </w:tcPr>
          <w:p>
            <w:pPr>
              <w:spacing w:before="0" w:after="0" w:line="240" w:lineRule="auto"/>
              <w:jc w:val="left"/>
            </w:pPr>
            <w:r/>
            <w:r>
              <w:rPr>
                <w:rFonts w:ascii="Arial" w:hAnsi="Arial" w:cs="Arial"/>
                <w:sz w:val="18"/>
              </w:rPr>
              <w:t>Cuota líquida</w:t>
            </w:r>
          </w:p>
        </w:tc>
        <w:tc>
          <w:tcPr>
            <w:tcW w:type="dxa" w:w="7033"/>
            <w:tcMar>
              <w:top w:w="80" w:type="dxa"/>
              <w:start w:w="120" w:type="dxa"/>
              <w:bottom w:w="80" w:type="dxa"/>
              <w:end w:w="120" w:type="dxa"/>
            </w:tcMar>
            <w:vAlign w:val="center"/>
          </w:tcPr>
          <w:p>
            <w:pPr>
              <w:spacing w:before="0" w:after="0" w:line="240" w:lineRule="auto"/>
              <w:jc w:val="left"/>
            </w:pPr>
            <w:r/>
            <w:r>
              <w:rPr>
                <w:rFonts w:ascii="Arial" w:hAnsi="Arial" w:cs="Arial"/>
                <w:sz w:val="18"/>
              </w:rPr>
              <w:t>Cuota tras reducciones, bonificaciones, compensaciones o deducciones procedentes</w:t>
            </w:r>
          </w:p>
        </w:tc>
      </w:tr>
      <w:tr>
        <w:tc>
          <w:tcPr>
            <w:tcW w:type="dxa" w:w="1993"/>
            <w:tcMar>
              <w:top w:w="80" w:type="dxa"/>
              <w:start w:w="120" w:type="dxa"/>
              <w:bottom w:w="80" w:type="dxa"/>
              <w:end w:w="120" w:type="dxa"/>
            </w:tcMar>
            <w:vAlign w:val="center"/>
          </w:tcPr>
          <w:p>
            <w:pPr>
              <w:spacing w:before="0" w:after="0" w:line="240" w:lineRule="auto"/>
              <w:jc w:val="left"/>
            </w:pPr>
            <w:r/>
            <w:r>
              <w:rPr>
                <w:rFonts w:ascii="Arial" w:hAnsi="Arial" w:cs="Arial"/>
                <w:sz w:val="18"/>
              </w:rPr>
              <w:t>Tope</w:t>
            </w:r>
          </w:p>
        </w:tc>
        <w:tc>
          <w:tcPr>
            <w:tcW w:type="dxa" w:w="7033"/>
            <w:tcMar>
              <w:top w:w="80" w:type="dxa"/>
              <w:start w:w="120" w:type="dxa"/>
              <w:bottom w:w="80" w:type="dxa"/>
              <w:end w:w="120" w:type="dxa"/>
            </w:tcMar>
            <w:vAlign w:val="center"/>
          </w:tcPr>
          <w:p>
            <w:pPr>
              <w:spacing w:before="0" w:after="0" w:line="240" w:lineRule="auto"/>
              <w:jc w:val="left"/>
            </w:pPr>
            <w:r/>
            <w:r>
              <w:rPr>
                <w:rFonts w:ascii="Arial" w:hAnsi="Arial" w:cs="Arial"/>
                <w:sz w:val="18"/>
              </w:rPr>
              <w:t>Límite general de la base, especialmente para contingencias profesionales</w:t>
            </w:r>
          </w:p>
        </w:tc>
      </w:tr>
      <w:tr>
        <w:tc>
          <w:tcPr>
            <w:tcW w:type="dxa" w:w="1993"/>
            <w:tcMar>
              <w:top w:w="80" w:type="dxa"/>
              <w:start w:w="120" w:type="dxa"/>
              <w:bottom w:w="80" w:type="dxa"/>
              <w:end w:w="120" w:type="dxa"/>
            </w:tcMar>
            <w:vAlign w:val="center"/>
          </w:tcPr>
          <w:p>
            <w:pPr>
              <w:spacing w:before="0" w:after="0" w:line="240" w:lineRule="auto"/>
              <w:jc w:val="left"/>
            </w:pPr>
            <w:r/>
            <w:r>
              <w:rPr>
                <w:rFonts w:ascii="Arial" w:hAnsi="Arial" w:cs="Arial"/>
                <w:sz w:val="18"/>
              </w:rPr>
              <w:t>Base mínima o máxima</w:t>
            </w:r>
          </w:p>
        </w:tc>
        <w:tc>
          <w:tcPr>
            <w:tcW w:type="dxa" w:w="7033"/>
            <w:tcMar>
              <w:top w:w="80" w:type="dxa"/>
              <w:start w:w="120" w:type="dxa"/>
              <w:bottom w:w="80" w:type="dxa"/>
              <w:end w:w="120" w:type="dxa"/>
            </w:tcMar>
            <w:vAlign w:val="center"/>
          </w:tcPr>
          <w:p>
            <w:pPr>
              <w:spacing w:before="0" w:after="0" w:line="240" w:lineRule="auto"/>
              <w:jc w:val="left"/>
            </w:pPr>
            <w:r/>
            <w:r>
              <w:rPr>
                <w:rFonts w:ascii="Arial" w:hAnsi="Arial" w:cs="Arial"/>
                <w:sz w:val="18"/>
              </w:rPr>
              <w:t>Límite aplicable según régimen, grupo o tramo</w:t>
            </w:r>
          </w:p>
        </w:tc>
      </w:tr>
    </w:tbl>
    <w:p>
      <w:pPr>
        <w:spacing w:after="40"/>
      </w:pPr>
    </w:p>
    <w:p>
      <w:pPr>
        <w:jc w:val="both"/>
      </w:pPr>
      <w:r>
        <w:rPr>
          <w:rFonts w:ascii="Arial" w:hAnsi="Arial" w:cs="Arial"/>
          <w:sz w:val="22"/>
        </w:rPr>
        <w:t>Las bases y tipos tienen reserva legal en sus elementos esenciales. La norma reglamentaria y la orden anual desarrollan los criterios y actualizan las cuantías dentro de la habilitación legal.</w:t>
      </w:r>
    </w:p>
    <w:p>
      <w:pPr>
        <w:pStyle w:val="Heading2"/>
        <w:keepNext/>
      </w:pPr>
      <w:r>
        <w:rPr>
          <w:rFonts w:ascii="Arial" w:hAnsi="Arial" w:cs="Arial"/>
          <w:sz w:val="25"/>
        </w:rPr>
        <w:t>3.2. Contingencias y conceptos</w:t>
      </w:r>
    </w:p>
    <w:p>
      <w:pPr>
        <w:jc w:val="both"/>
      </w:pPr>
      <w:r>
        <w:rPr>
          <w:rFonts w:ascii="Arial" w:hAnsi="Arial" w:cs="Arial"/>
          <w:sz w:val="22"/>
        </w:rPr>
        <w:t>En una nómina ordinaria pueden coexistir:</w:t>
      </w:r>
    </w:p>
    <w:p>
      <w:pPr>
        <w:pStyle w:val="ListBullet"/>
      </w:pPr>
      <w:r>
        <w:rPr>
          <w:rFonts w:ascii="Arial" w:hAnsi="Arial" w:cs="Arial"/>
          <w:sz w:val="22"/>
        </w:rPr>
        <w:t>contingencias comunes;</w:t>
      </w:r>
    </w:p>
    <w:p>
      <w:pPr>
        <w:pStyle w:val="ListBullet"/>
      </w:pPr>
      <w:r>
        <w:rPr>
          <w:rFonts w:ascii="Arial" w:hAnsi="Arial" w:cs="Arial"/>
          <w:sz w:val="22"/>
        </w:rPr>
        <w:t>accidentes de trabajo y enfermedades profesionales —AT/EP—;</w:t>
      </w:r>
    </w:p>
    <w:p>
      <w:pPr>
        <w:pStyle w:val="ListBullet"/>
      </w:pPr>
      <w:r>
        <w:rPr>
          <w:rFonts w:ascii="Arial" w:hAnsi="Arial" w:cs="Arial"/>
          <w:sz w:val="22"/>
        </w:rPr>
        <w:t>horas extraordinarias mediante cotización adicional;</w:t>
      </w:r>
    </w:p>
    <w:p>
      <w:pPr>
        <w:pStyle w:val="ListBullet"/>
      </w:pPr>
      <w:r>
        <w:rPr>
          <w:rFonts w:ascii="Arial" w:hAnsi="Arial" w:cs="Arial"/>
          <w:sz w:val="22"/>
        </w:rPr>
        <w:t>mecanismo de equidad intergeneracional —MEI—;</w:t>
      </w:r>
    </w:p>
    <w:p>
      <w:pPr>
        <w:pStyle w:val="ListBullet"/>
      </w:pPr>
      <w:r>
        <w:rPr>
          <w:rFonts w:ascii="Arial" w:hAnsi="Arial" w:cs="Arial"/>
          <w:sz w:val="22"/>
        </w:rPr>
        <w:t>cotización adicional de solidaridad cuando la remuneración supera la base máxima;</w:t>
      </w:r>
    </w:p>
    <w:p>
      <w:pPr>
        <w:pStyle w:val="ListBullet"/>
      </w:pPr>
      <w:r>
        <w:rPr>
          <w:rFonts w:ascii="Arial" w:hAnsi="Arial" w:cs="Arial"/>
          <w:sz w:val="22"/>
        </w:rPr>
        <w:t>desempleo;</w:t>
      </w:r>
    </w:p>
    <w:p>
      <w:pPr>
        <w:pStyle w:val="ListBullet"/>
      </w:pPr>
      <w:r>
        <w:rPr>
          <w:rFonts w:ascii="Arial" w:hAnsi="Arial" w:cs="Arial"/>
          <w:sz w:val="22"/>
        </w:rPr>
        <w:t>Fondo de Garantía Salarial —FOGASA—;</w:t>
      </w:r>
    </w:p>
    <w:p>
      <w:pPr>
        <w:pStyle w:val="ListBullet"/>
      </w:pPr>
      <w:r>
        <w:rPr>
          <w:rFonts w:ascii="Arial" w:hAnsi="Arial" w:cs="Arial"/>
          <w:sz w:val="22"/>
        </w:rPr>
        <w:t>formación profesional.</w:t>
      </w:r>
    </w:p>
    <w:p>
      <w:pPr>
        <w:jc w:val="both"/>
      </w:pPr>
      <w:r>
        <w:rPr>
          <w:rFonts w:ascii="Arial" w:hAnsi="Arial" w:cs="Arial"/>
          <w:sz w:val="22"/>
        </w:rPr>
        <w:t xml:space="preserve">Los tres últimos son </w:t>
      </w:r>
      <w:r>
        <w:rPr>
          <w:rFonts w:ascii="Arial" w:hAnsi="Arial" w:cs="Arial"/>
          <w:b/>
          <w:sz w:val="22"/>
        </w:rPr>
        <w:t>conceptos de recaudación conjunta</w:t>
      </w:r>
      <w:r>
        <w:rPr>
          <w:rFonts w:ascii="Arial" w:hAnsi="Arial" w:cs="Arial"/>
          <w:sz w:val="22"/>
        </w:rPr>
        <w:t>. Se recaudan junto a las cuotas de Seguridad Social, pero conservan destino y regulación propios. El hecho de que compartan base o documento de liquidación no los convierte en contingencias comunes.</w:t>
      </w:r>
    </w:p>
    <w:p>
      <w:pPr>
        <w:pStyle w:val="Heading1"/>
        <w:keepNext/>
      </w:pPr>
      <w:r>
        <w:rPr>
          <w:rFonts w:ascii="Arial" w:hAnsi="Arial" w:cs="Arial"/>
          <w:sz w:val="30"/>
        </w:rPr>
        <w:t>4. Base de cotización en el Régimen General</w:t>
      </w:r>
    </w:p>
    <w:p>
      <w:pPr>
        <w:pStyle w:val="Heading2"/>
        <w:keepNext/>
      </w:pPr>
      <w:r>
        <w:rPr>
          <w:rFonts w:ascii="Arial" w:hAnsi="Arial" w:cs="Arial"/>
          <w:sz w:val="25"/>
        </w:rPr>
        <w:t>4.1. Regla general del artículo 147 TRLGSS</w:t>
      </w:r>
    </w:p>
    <w:p>
      <w:pPr>
        <w:jc w:val="both"/>
      </w:pPr>
      <w:r>
        <w:rPr>
          <w:rFonts w:ascii="Arial" w:hAnsi="Arial" w:cs="Arial"/>
          <w:sz w:val="22"/>
        </w:rPr>
        <w:t xml:space="preserve">La base de cotización para todas las contingencias y situaciones amparadas por la acción protectora del Régimen General está constituida por la </w:t>
      </w:r>
      <w:r>
        <w:rPr>
          <w:rFonts w:ascii="Arial" w:hAnsi="Arial" w:cs="Arial"/>
          <w:b/>
          <w:sz w:val="22"/>
        </w:rPr>
        <w:t>remuneración total</w:t>
      </w:r>
      <w:r>
        <w:rPr>
          <w:rFonts w:ascii="Arial" w:hAnsi="Arial" w:cs="Arial"/>
          <w:sz w:val="22"/>
        </w:rPr>
        <w:t>, cualquiera que sea su forma o denominación, tanto en metálico como en especie, que con carácter mensual tenga derecho a percibir el trabajador o la que efectivamente perciba si es superior, por razón del trabajo por cuenta ajena.</w:t>
      </w:r>
    </w:p>
    <w:p>
      <w:pPr>
        <w:jc w:val="both"/>
      </w:pPr>
      <w:r>
        <w:rPr>
          <w:rFonts w:ascii="Arial" w:hAnsi="Arial" w:cs="Arial"/>
          <w:sz w:val="22"/>
        </w:rPr>
        <w:t>La amplitud de la regla impide excluir una percepción solo porque se denomine «gratificación», «plus», «ayuda» o «compensación». Importan su causa, realidad y encaje legal. El salario en especie se valora conforme a las reglas reglamentarias y fiscales a las que remite la normativa de cotización.</w:t>
      </w:r>
    </w:p>
    <w:p>
      <w:pPr>
        <w:jc w:val="both"/>
      </w:pPr>
      <w:r>
        <w:rPr>
          <w:rFonts w:ascii="Arial" w:hAnsi="Arial" w:cs="Arial"/>
          <w:sz w:val="22"/>
        </w:rPr>
        <w:t>Se suma la parte proporcional de:</w:t>
      </w:r>
    </w:p>
    <w:p>
      <w:pPr>
        <w:pStyle w:val="ListBullet"/>
      </w:pPr>
      <w:r>
        <w:rPr>
          <w:rFonts w:ascii="Arial" w:hAnsi="Arial" w:cs="Arial"/>
          <w:sz w:val="22"/>
        </w:rPr>
        <w:t>pagas extraordinarias;</w:t>
      </w:r>
    </w:p>
    <w:p>
      <w:pPr>
        <w:pStyle w:val="ListBullet"/>
      </w:pPr>
      <w:r>
        <w:rPr>
          <w:rFonts w:ascii="Arial" w:hAnsi="Arial" w:cs="Arial"/>
          <w:sz w:val="22"/>
        </w:rPr>
        <w:t>conceptos de devengo superior al mensual;</w:t>
      </w:r>
    </w:p>
    <w:p>
      <w:pPr>
        <w:pStyle w:val="ListBullet"/>
      </w:pPr>
      <w:r>
        <w:rPr>
          <w:rFonts w:ascii="Arial" w:hAnsi="Arial" w:cs="Arial"/>
          <w:sz w:val="22"/>
        </w:rPr>
        <w:t>percepciones no periódicas satisfechas dentro del ejercicio.</w:t>
      </w:r>
    </w:p>
    <w:p>
      <w:pPr>
        <w:jc w:val="both"/>
      </w:pPr>
      <w:r>
        <w:rPr>
          <w:rFonts w:ascii="Arial" w:hAnsi="Arial" w:cs="Arial"/>
          <w:sz w:val="22"/>
        </w:rPr>
        <w:t>La Orden PJC/297/2026 concreta que, si la remuneración es diaria, el importe anual estimado se divide por 365 y se multiplica por los días del período; si es mensual, se divide por 12. Después se comparará el resultado con la base mínima y máxima aplicables.</w:t>
      </w:r>
    </w:p>
    <w:p>
      <w:pPr>
        <w:jc w:val="both"/>
      </w:pPr>
      <w:r>
        <w:rPr>
          <w:rFonts w:ascii="Arial" w:hAnsi="Arial" w:cs="Arial"/>
          <w:b/>
          <w:sz w:val="22"/>
        </w:rPr>
        <w:t>Ejemplo:</w:t>
      </w:r>
      <w:r>
        <w:rPr>
          <w:rFonts w:ascii="Arial" w:hAnsi="Arial" w:cs="Arial"/>
          <w:sz w:val="22"/>
        </w:rPr>
        <w:t xml:space="preserve"> un trabajador mensual percibe 1.600 euros de salario y dos pagas extraordinarias de 1.600 euros. Aunque las pagas se abonen en junio y diciembre, la base mensual ordinaria incorpora 3.200/12 = 266,67 euros. Antes de otros conceptos, la base será 1.866,67 euros.</w:t>
      </w:r>
    </w:p>
    <w:p>
      <w:pPr>
        <w:pStyle w:val="Heading2"/>
        <w:keepNext/>
      </w:pPr>
      <w:r>
        <w:rPr>
          <w:rFonts w:ascii="Arial" w:hAnsi="Arial" w:cs="Arial"/>
          <w:sz w:val="25"/>
        </w:rPr>
        <w:t>4.2. Conceptos excluidos</w:t>
      </w:r>
    </w:p>
    <w:p>
      <w:pPr>
        <w:jc w:val="both"/>
      </w:pPr>
      <w:r>
        <w:rPr>
          <w:rFonts w:ascii="Arial" w:hAnsi="Arial" w:cs="Arial"/>
          <w:sz w:val="22"/>
        </w:rPr>
        <w:t>Solo quedan fuera los conceptos que la ley excluye expresamente, dentro de sus límites y con prueba de su naturaleza. Entre ellos:</w:t>
      </w:r>
    </w:p>
    <w:p>
      <w:pPr>
        <w:spacing w:after="40"/>
        <w:ind w:left="369" w:hanging="227"/>
      </w:pPr>
      <w:r>
        <w:rPr>
          <w:rFonts w:ascii="Arial" w:hAnsi="Arial" w:cs="Arial"/>
          <w:sz w:val="22"/>
        </w:rPr>
        <w:t>1. Gastos de locomoción por desplazamiento fuera del centro habitual para trabajar en lugar distinto, en los términos y cuantías fiscales aplicables.</w:t>
      </w:r>
    </w:p>
    <w:p>
      <w:pPr>
        <w:spacing w:after="40"/>
        <w:ind w:left="369" w:hanging="227"/>
      </w:pPr>
      <w:r>
        <w:rPr>
          <w:rFonts w:ascii="Arial" w:hAnsi="Arial" w:cs="Arial"/>
          <w:sz w:val="22"/>
        </w:rPr>
        <w:t>2. Dietas de manutención y estancia por desplazamientos a municipio distinto del lugar de trabajo habitual y residencia, dentro de límites.</w:t>
      </w:r>
    </w:p>
    <w:p>
      <w:pPr>
        <w:spacing w:after="40"/>
        <w:ind w:left="369" w:hanging="227"/>
      </w:pPr>
      <w:r>
        <w:rPr>
          <w:rFonts w:ascii="Arial" w:hAnsi="Arial" w:cs="Arial"/>
          <w:sz w:val="22"/>
        </w:rPr>
        <w:t>3. Indemnizaciones por fallecimiento y por traslados, suspensiones y despidos, hasta la cuantía obligatoria legal o convencional en los términos del artículo 147.</w:t>
      </w:r>
    </w:p>
    <w:p>
      <w:pPr>
        <w:spacing w:after="40"/>
        <w:ind w:left="369" w:hanging="227"/>
      </w:pPr>
      <w:r>
        <w:rPr>
          <w:rFonts w:ascii="Arial" w:hAnsi="Arial" w:cs="Arial"/>
          <w:sz w:val="22"/>
        </w:rPr>
        <w:t>4. Prestaciones de la Seguridad Social, mejoras de incapacidad temporal concedidas por la empresa y asignaciones para determinados estudios exigidos por el trabajo.</w:t>
      </w:r>
    </w:p>
    <w:p>
      <w:pPr>
        <w:spacing w:after="40"/>
        <w:ind w:left="369" w:hanging="227"/>
      </w:pPr>
      <w:r>
        <w:rPr>
          <w:rFonts w:ascii="Arial" w:hAnsi="Arial" w:cs="Arial"/>
          <w:sz w:val="22"/>
        </w:rPr>
        <w:t xml:space="preserve">5. Horas extraordinarias respecto de la </w:t>
      </w:r>
      <w:r>
        <w:rPr>
          <w:rFonts w:ascii="Arial" w:hAnsi="Arial" w:cs="Arial"/>
          <w:b/>
          <w:sz w:val="22"/>
        </w:rPr>
        <w:t>base de contingencias comunes</w:t>
      </w:r>
      <w:r>
        <w:rPr>
          <w:rFonts w:ascii="Arial" w:hAnsi="Arial" w:cs="Arial"/>
          <w:sz w:val="22"/>
        </w:rPr>
        <w:t>, sin perjuicio de su inclusión en la base profesional y de su cotización adicional.</w:t>
      </w:r>
    </w:p>
    <w:p>
      <w:pPr>
        <w:jc w:val="both"/>
      </w:pPr>
      <w:r>
        <w:rPr>
          <w:rFonts w:ascii="Arial" w:hAnsi="Arial" w:cs="Arial"/>
          <w:sz w:val="22"/>
        </w:rPr>
        <w:t>El exceso sobre un límite exento sí se integra. Una dieta que en realidad remunera trabajo ordinario tampoco se excluye. Las mejoras voluntarias distintas de las legalmente exceptuadas y los productos en especie forman parte de la base.</w:t>
      </w:r>
    </w:p>
    <w:p>
      <w:pPr>
        <w:spacing w:after="100"/>
        <w:ind w:left="340" w:right="227"/>
        <w:shd w:fill="EAF2F8"/>
      </w:pPr>
      <w:r>
        <w:rPr>
          <w:rFonts w:ascii="Arial" w:hAnsi="Arial" w:cs="Arial"/>
          <w:b/>
          <w:sz w:val="20"/>
        </w:rPr>
        <w:t>Trampa frecuente:</w:t>
      </w:r>
      <w:r>
        <w:rPr>
          <w:rFonts w:ascii="Arial" w:hAnsi="Arial" w:cs="Arial"/>
          <w:sz w:val="20"/>
        </w:rPr>
        <w:t xml:space="preserve"> las horas extraordinarias no desaparecen de toda cotización. Se excluyen de la base de contingencias comunes, se incluyen en la base de AT/EP y conceptos vinculados y soportan una cotización adicional.</w:t>
      </w:r>
    </w:p>
    <w:p>
      <w:pPr>
        <w:pStyle w:val="Heading2"/>
        <w:keepNext/>
      </w:pPr>
      <w:r>
        <w:rPr>
          <w:rFonts w:ascii="Arial" w:hAnsi="Arial" w:cs="Arial"/>
          <w:sz w:val="25"/>
        </w:rPr>
        <w:t>4.3. Bases comunes y profesionales</w:t>
      </w:r>
    </w:p>
    <w:p>
      <w:pPr>
        <w:jc w:val="both"/>
      </w:pPr>
      <w:r>
        <w:rPr>
          <w:rFonts w:ascii="Arial" w:hAnsi="Arial" w:cs="Arial"/>
          <w:sz w:val="22"/>
        </w:rPr>
        <w:t>Para contingencias comunes se toma la remuneración computable, sin horas extraordinarias, más prorratas, y se aplican las bases mínima y máxima del grupo.</w:t>
      </w:r>
    </w:p>
    <w:p>
      <w:pPr>
        <w:jc w:val="both"/>
      </w:pPr>
      <w:r>
        <w:rPr>
          <w:rFonts w:ascii="Arial" w:hAnsi="Arial" w:cs="Arial"/>
          <w:sz w:val="22"/>
        </w:rPr>
        <w:t>Para AT/EP se aplican las mismas reglas, pero se computan las horas extraordinarias y operan el tope mínimo y máximo general. Esta base sirve también, con las particularidades legales, para desempleo, FOGASA y formación profesional.</w:t>
      </w:r>
    </w:p>
    <w:p>
      <w:pPr>
        <w:jc w:val="both"/>
      </w:pPr>
      <w:r>
        <w:rPr>
          <w:rFonts w:ascii="Arial" w:hAnsi="Arial" w:cs="Arial"/>
          <w:sz w:val="22"/>
        </w:rPr>
        <w:t>El grupo profesional conserva relevancia para los límites de contingencias comunes. En 2026 los grupos 1 a 7 tienen bases mensuales y los grupos 8 a 11 bases diarias, sin perjuicio de modalidades mensuales legalmente previstas.</w:t>
      </w:r>
    </w:p>
    <w:p>
      <w:pPr>
        <w:pStyle w:val="Heading1"/>
        <w:keepNext/>
      </w:pPr>
      <w:r>
        <w:rPr>
          <w:rFonts w:ascii="Arial" w:hAnsi="Arial" w:cs="Arial"/>
          <w:sz w:val="30"/>
        </w:rPr>
        <w:t>5. Parámetros de 2026: relación entre el RDL 3/2026 y la Orden PJC/297/2026</w:t>
      </w:r>
    </w:p>
    <w:p>
      <w:pPr>
        <w:jc w:val="both"/>
      </w:pPr>
      <w:r>
        <w:rPr>
          <w:rFonts w:ascii="Arial" w:hAnsi="Arial" w:cs="Arial"/>
          <w:sz w:val="22"/>
        </w:rPr>
        <w:t>El artículo 3 del Real Decreto-ley 3/2026 estableció, durante la prórroga presupuestaria y hasta la aprobación de la correspondiente Ley de Presupuestos, las referencias legales que permiten actualizar:</w:t>
      </w:r>
    </w:p>
    <w:p>
      <w:pPr>
        <w:pStyle w:val="ListBullet"/>
      </w:pPr>
      <w:r>
        <w:rPr>
          <w:rFonts w:ascii="Arial" w:hAnsi="Arial" w:cs="Arial"/>
          <w:sz w:val="22"/>
        </w:rPr>
        <w:t>bases mínimas según el salario mínimo interprofesional, incrementado en un sexto;</w:t>
      </w:r>
    </w:p>
    <w:p>
      <w:pPr>
        <w:pStyle w:val="ListBullet"/>
      </w:pPr>
      <w:r>
        <w:rPr>
          <w:rFonts w:ascii="Arial" w:hAnsi="Arial" w:cs="Arial"/>
          <w:sz w:val="22"/>
        </w:rPr>
        <w:t>bases máximas y tope máximo;</w:t>
      </w:r>
    </w:p>
    <w:p>
      <w:pPr>
        <w:pStyle w:val="ListBullet"/>
      </w:pPr>
      <w:r>
        <w:rPr>
          <w:rFonts w:ascii="Arial" w:hAnsi="Arial" w:cs="Arial"/>
          <w:sz w:val="22"/>
        </w:rPr>
        <w:t>MEI;</w:t>
      </w:r>
    </w:p>
    <w:p>
      <w:pPr>
        <w:pStyle w:val="ListBullet"/>
      </w:pPr>
      <w:r>
        <w:rPr>
          <w:rFonts w:ascii="Arial" w:hAnsi="Arial" w:cs="Arial"/>
          <w:sz w:val="22"/>
        </w:rPr>
        <w:t>cotización adicional de solidaridad;</w:t>
      </w:r>
    </w:p>
    <w:p>
      <w:pPr>
        <w:pStyle w:val="ListBullet"/>
      </w:pPr>
      <w:r>
        <w:rPr>
          <w:rFonts w:ascii="Arial" w:hAnsi="Arial" w:cs="Arial"/>
          <w:sz w:val="22"/>
        </w:rPr>
        <w:t>bases del RETA por rendimientos netos;</w:t>
      </w:r>
    </w:p>
    <w:p>
      <w:pPr>
        <w:pStyle w:val="ListBullet"/>
      </w:pPr>
      <w:r>
        <w:rPr>
          <w:rFonts w:ascii="Arial" w:hAnsi="Arial" w:cs="Arial"/>
          <w:sz w:val="22"/>
        </w:rPr>
        <w:t>límite de reintegro por pluriactividad.</w:t>
      </w:r>
    </w:p>
    <w:p>
      <w:pPr>
        <w:jc w:val="both"/>
      </w:pPr>
      <w:r>
        <w:rPr>
          <w:rFonts w:ascii="Arial" w:hAnsi="Arial" w:cs="Arial"/>
          <w:sz w:val="22"/>
        </w:rPr>
        <w:t>La disposición adicional sexagésima primera TRLGSS, introducida por el mismo real decreto-ley, contiene la tarifa de primas por AT/EP. La Orden PJC/297/2026 desarrolla esos mandatos y los restantes parámetros del ejercicio.</w:t>
      </w:r>
    </w:p>
    <w:p>
      <w:pPr>
        <w:jc w:val="both"/>
      </w:pPr>
      <w:r>
        <w:rPr>
          <w:rFonts w:ascii="Arial" w:hAnsi="Arial" w:cs="Arial"/>
          <w:sz w:val="22"/>
        </w:rPr>
        <w:t xml:space="preserve">La orden se publicó el </w:t>
      </w:r>
      <w:r>
        <w:rPr>
          <w:rFonts w:ascii="Arial" w:hAnsi="Arial" w:cs="Arial"/>
          <w:b/>
          <w:sz w:val="22"/>
        </w:rPr>
        <w:t>31 de marzo de 2026</w:t>
      </w:r>
      <w:r>
        <w:rPr>
          <w:rFonts w:ascii="Arial" w:hAnsi="Arial" w:cs="Arial"/>
          <w:sz w:val="22"/>
        </w:rPr>
        <w:t xml:space="preserve">, entró en vigor el </w:t>
      </w:r>
      <w:r>
        <w:rPr>
          <w:rFonts w:ascii="Arial" w:hAnsi="Arial" w:cs="Arial"/>
          <w:b/>
          <w:sz w:val="22"/>
        </w:rPr>
        <w:t>1 de abril de 2026</w:t>
      </w:r>
      <w:r>
        <w:rPr>
          <w:rFonts w:ascii="Arial" w:hAnsi="Arial" w:cs="Arial"/>
          <w:sz w:val="22"/>
        </w:rPr>
        <w:t xml:space="preserve"> y sus cuantías y reglas anuales producen efectos, con carácter general, </w:t>
      </w:r>
      <w:r>
        <w:rPr>
          <w:rFonts w:ascii="Arial" w:hAnsi="Arial" w:cs="Arial"/>
          <w:b/>
          <w:sz w:val="22"/>
        </w:rPr>
        <w:t>desde el 1 de enero de 2026</w:t>
      </w:r>
      <w:r>
        <w:rPr>
          <w:rFonts w:ascii="Arial" w:hAnsi="Arial" w:cs="Arial"/>
          <w:sz w:val="22"/>
        </w:rPr>
        <w:t>. Esa diferencia exige regularizar, cuando proceda, liquidaciones anteriores a su publicación conforme a sus disposiciones transitorias. No debe confundirse la entrada en vigor formal con la fecha económica de efectos.</w:t>
      </w:r>
    </w:p>
    <w:p>
      <w:pPr>
        <w:pStyle w:val="Heading2"/>
        <w:keepNext/>
      </w:pPr>
      <w:r>
        <w:rPr>
          <w:rFonts w:ascii="Arial" w:hAnsi="Arial" w:cs="Arial"/>
          <w:sz w:val="25"/>
        </w:rPr>
        <w:t>5.1. Topes y bases del Régimen General</w:t>
      </w:r>
    </w:p>
    <w:p>
      <w:pPr>
        <w:jc w:val="both"/>
      </w:pPr>
      <w:r>
        <w:rPr>
          <w:rFonts w:ascii="Arial" w:hAnsi="Arial" w:cs="Arial"/>
          <w:sz w:val="22"/>
        </w:rPr>
        <w:t>Desde 1 de enero de 2026:</w:t>
      </w:r>
    </w:p>
    <w:p>
      <w:pPr>
        <w:pStyle w:val="ListBullet"/>
      </w:pPr>
      <w:r>
        <w:rPr>
          <w:rFonts w:ascii="Arial" w:hAnsi="Arial" w:cs="Arial"/>
          <w:sz w:val="22"/>
        </w:rPr>
        <w:t xml:space="preserve">tope máximo general: </w:t>
      </w:r>
      <w:r>
        <w:rPr>
          <w:rFonts w:ascii="Arial" w:hAnsi="Arial" w:cs="Arial"/>
          <w:b/>
          <w:sz w:val="22"/>
        </w:rPr>
        <w:t>5.101,20 euros mensuales</w:t>
      </w:r>
      <w:r>
        <w:rPr>
          <w:rFonts w:ascii="Arial" w:hAnsi="Arial" w:cs="Arial"/>
          <w:sz w:val="22"/>
        </w:rPr>
        <w:t>;</w:t>
      </w:r>
    </w:p>
    <w:p>
      <w:pPr>
        <w:pStyle w:val="ListBullet"/>
      </w:pPr>
      <w:r>
        <w:rPr>
          <w:rFonts w:ascii="Arial" w:hAnsi="Arial" w:cs="Arial"/>
          <w:sz w:val="22"/>
        </w:rPr>
        <w:t xml:space="preserve">tope mínimo para AT/EP: equivalente al SMI vigente incrementado en un sexto, sin poder ser inferior a </w:t>
      </w:r>
      <w:r>
        <w:rPr>
          <w:rFonts w:ascii="Arial" w:hAnsi="Arial" w:cs="Arial"/>
          <w:b/>
          <w:sz w:val="22"/>
        </w:rPr>
        <w:t>1.424,40 euros mensuales</w:t>
      </w:r>
      <w:r>
        <w:rPr>
          <w:rFonts w:ascii="Arial" w:hAnsi="Arial" w:cs="Arial"/>
          <w:sz w:val="22"/>
        </w:rPr>
        <w:t>, salvo regla expresa.</w:t>
      </w:r>
    </w:p>
    <w:tbl>
      <w:tblPr>
        <w:tblStyle w:val="TableGrid"/>
        <w:tblW w:type="dxa" w:w="9026"/>
        <w:jc w:val="left"/>
        <w:tblLayout w:type="fixed"/>
        <w:tblLook w:firstColumn="1" w:firstRow="1" w:lastColumn="0" w:lastRow="0" w:noHBand="0" w:noVBand="1" w:val="04A0"/>
        <w:tblInd w:w="120" w:type="dxa"/>
      </w:tblPr>
      <w:tblGrid>
        <w:gridCol w:w="900"/>
        <w:gridCol w:w="5641"/>
        <w:gridCol w:w="1316"/>
        <w:gridCol w:w="1169"/>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Grupo</w:t>
            </w:r>
          </w:p>
        </w:tc>
        <w:tc>
          <w:tcPr>
            <w:tcW w:type="dxa" w:w="564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Categorías resumidas</w:t>
            </w:r>
          </w:p>
        </w:tc>
        <w:tc>
          <w:tcPr>
            <w:tcW w:type="dxa" w:w="131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Base mínima 2026</w:t>
            </w:r>
          </w:p>
        </w:tc>
        <w:tc>
          <w:tcPr>
            <w:tcW w:type="dxa" w:w="116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Base máxima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1</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Ingenieros, licenciados y alta dirección incluida</w:t>
            </w:r>
          </w:p>
        </w:tc>
        <w:tc>
          <w:tcPr>
            <w:tcW w:type="dxa" w:w="1316"/>
            <w:tcMar>
              <w:top w:w="80" w:type="dxa"/>
              <w:start w:w="120" w:type="dxa"/>
              <w:bottom w:w="80" w:type="dxa"/>
              <w:end w:w="120" w:type="dxa"/>
            </w:tcMar>
            <w:vAlign w:val="center"/>
          </w:tcPr>
          <w:p>
            <w:pPr>
              <w:spacing w:before="0" w:after="0" w:line="240" w:lineRule="auto"/>
              <w:jc w:val="center"/>
            </w:pPr>
            <w:r/>
            <w:r>
              <w:rPr>
                <w:rFonts w:ascii="Arial" w:hAnsi="Arial" w:cs="Arial"/>
                <w:sz w:val="18"/>
              </w:rPr>
              <w:t>1.989,30 €/mes</w:t>
            </w:r>
          </w:p>
        </w:tc>
        <w:tc>
          <w:tcPr>
            <w:tcW w:type="dxa" w:w="1169"/>
            <w:tcMar>
              <w:top w:w="80" w:type="dxa"/>
              <w:start w:w="120" w:type="dxa"/>
              <w:bottom w:w="80" w:type="dxa"/>
              <w:end w:w="120" w:type="dxa"/>
            </w:tcMar>
            <w:vAlign w:val="center"/>
          </w:tcPr>
          <w:p>
            <w:pPr>
              <w:spacing w:before="0" w:after="0" w:line="240" w:lineRule="auto"/>
              <w:jc w:val="center"/>
            </w:pPr>
            <w:r/>
            <w:r>
              <w:rPr>
                <w:rFonts w:ascii="Arial" w:hAnsi="Arial" w:cs="Arial"/>
                <w:sz w:val="18"/>
              </w:rPr>
              <w:t>5.101,20 €/mes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Ingenieros técnicos, peritos y ayudantes titulados</w:t>
            </w:r>
          </w:p>
        </w:tc>
        <w:tc>
          <w:tcPr>
            <w:tcW w:type="dxa" w:w="1316"/>
            <w:tcMar>
              <w:top w:w="80" w:type="dxa"/>
              <w:start w:w="120" w:type="dxa"/>
              <w:bottom w:w="80" w:type="dxa"/>
              <w:end w:w="120" w:type="dxa"/>
            </w:tcMar>
            <w:vAlign w:val="center"/>
          </w:tcPr>
          <w:p>
            <w:pPr>
              <w:spacing w:before="0" w:after="0" w:line="240" w:lineRule="auto"/>
              <w:jc w:val="center"/>
            </w:pPr>
            <w:r/>
            <w:r>
              <w:rPr>
                <w:rFonts w:ascii="Arial" w:hAnsi="Arial" w:cs="Arial"/>
                <w:sz w:val="18"/>
              </w:rPr>
              <w:t>1.649,70 €/mes</w:t>
            </w:r>
          </w:p>
        </w:tc>
        <w:tc>
          <w:tcPr>
            <w:tcW w:type="dxa" w:w="1169"/>
            <w:tcMar>
              <w:top w:w="80" w:type="dxa"/>
              <w:start w:w="120" w:type="dxa"/>
              <w:bottom w:w="80" w:type="dxa"/>
              <w:end w:w="120" w:type="dxa"/>
            </w:tcMar>
            <w:vAlign w:val="center"/>
          </w:tcPr>
          <w:p>
            <w:pPr>
              <w:spacing w:before="0" w:after="0" w:line="240" w:lineRule="auto"/>
              <w:jc w:val="center"/>
            </w:pPr>
            <w:r/>
            <w:r>
              <w:rPr>
                <w:rFonts w:ascii="Arial" w:hAnsi="Arial" w:cs="Arial"/>
                <w:sz w:val="18"/>
              </w:rPr>
              <w:t>5.101,20 €/mes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3</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Jefes administrativos y de taller</w:t>
            </w:r>
          </w:p>
        </w:tc>
        <w:tc>
          <w:tcPr>
            <w:tcW w:type="dxa" w:w="1316"/>
            <w:tcMar>
              <w:top w:w="80" w:type="dxa"/>
              <w:start w:w="120" w:type="dxa"/>
              <w:bottom w:w="80" w:type="dxa"/>
              <w:end w:w="120" w:type="dxa"/>
            </w:tcMar>
            <w:vAlign w:val="center"/>
          </w:tcPr>
          <w:p>
            <w:pPr>
              <w:spacing w:before="0" w:after="0" w:line="240" w:lineRule="auto"/>
              <w:jc w:val="center"/>
            </w:pPr>
            <w:r/>
            <w:r>
              <w:rPr>
                <w:rFonts w:ascii="Arial" w:hAnsi="Arial" w:cs="Arial"/>
                <w:sz w:val="18"/>
              </w:rPr>
              <w:t>1.435,20 €/mes</w:t>
            </w:r>
          </w:p>
        </w:tc>
        <w:tc>
          <w:tcPr>
            <w:tcW w:type="dxa" w:w="1169"/>
            <w:tcMar>
              <w:top w:w="80" w:type="dxa"/>
              <w:start w:w="120" w:type="dxa"/>
              <w:bottom w:w="80" w:type="dxa"/>
              <w:end w:w="120" w:type="dxa"/>
            </w:tcMar>
            <w:vAlign w:val="center"/>
          </w:tcPr>
          <w:p>
            <w:pPr>
              <w:spacing w:before="0" w:after="0" w:line="240" w:lineRule="auto"/>
              <w:jc w:val="center"/>
            </w:pPr>
            <w:r/>
            <w:r>
              <w:rPr>
                <w:rFonts w:ascii="Arial" w:hAnsi="Arial" w:cs="Arial"/>
                <w:sz w:val="18"/>
              </w:rPr>
              <w:t>5.101,20 €/mes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4 a 7</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Ayudantes no titulados, oficiales administrativos, subalternos y auxiliares</w:t>
            </w:r>
          </w:p>
        </w:tc>
        <w:tc>
          <w:tcPr>
            <w:tcW w:type="dxa" w:w="1316"/>
            <w:tcMar>
              <w:top w:w="80" w:type="dxa"/>
              <w:start w:w="120" w:type="dxa"/>
              <w:bottom w:w="80" w:type="dxa"/>
              <w:end w:w="120" w:type="dxa"/>
            </w:tcMar>
            <w:vAlign w:val="center"/>
          </w:tcPr>
          <w:p>
            <w:pPr>
              <w:spacing w:before="0" w:after="0" w:line="240" w:lineRule="auto"/>
              <w:jc w:val="center"/>
            </w:pPr>
            <w:r/>
            <w:r>
              <w:rPr>
                <w:rFonts w:ascii="Arial" w:hAnsi="Arial" w:cs="Arial"/>
                <w:sz w:val="18"/>
              </w:rPr>
              <w:t>1.424,40 €/mes</w:t>
            </w:r>
          </w:p>
        </w:tc>
        <w:tc>
          <w:tcPr>
            <w:tcW w:type="dxa" w:w="1169"/>
            <w:tcMar>
              <w:top w:w="80" w:type="dxa"/>
              <w:start w:w="120" w:type="dxa"/>
              <w:bottom w:w="80" w:type="dxa"/>
              <w:end w:w="120" w:type="dxa"/>
            </w:tcMar>
            <w:vAlign w:val="center"/>
          </w:tcPr>
          <w:p>
            <w:pPr>
              <w:spacing w:before="0" w:after="0" w:line="240" w:lineRule="auto"/>
              <w:jc w:val="center"/>
            </w:pPr>
            <w:r/>
            <w:r>
              <w:rPr>
                <w:rFonts w:ascii="Arial" w:hAnsi="Arial" w:cs="Arial"/>
                <w:sz w:val="18"/>
              </w:rPr>
              <w:t>5.101,20 €/mes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8 a 11</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Categorías de cotización diaria</w:t>
            </w:r>
          </w:p>
        </w:tc>
        <w:tc>
          <w:tcPr>
            <w:tcW w:type="dxa" w:w="1316"/>
            <w:tcMar>
              <w:top w:w="80" w:type="dxa"/>
              <w:start w:w="120" w:type="dxa"/>
              <w:bottom w:w="80" w:type="dxa"/>
              <w:end w:w="120" w:type="dxa"/>
            </w:tcMar>
            <w:vAlign w:val="center"/>
          </w:tcPr>
          <w:p>
            <w:pPr>
              <w:spacing w:before="0" w:after="0" w:line="240" w:lineRule="auto"/>
              <w:jc w:val="center"/>
            </w:pPr>
            <w:r/>
            <w:r>
              <w:rPr>
                <w:rFonts w:ascii="Arial" w:hAnsi="Arial" w:cs="Arial"/>
                <w:sz w:val="18"/>
              </w:rPr>
              <w:t>47,48 €/día</w:t>
            </w:r>
          </w:p>
        </w:tc>
        <w:tc>
          <w:tcPr>
            <w:tcW w:type="dxa" w:w="1169"/>
            <w:tcMar>
              <w:top w:w="80" w:type="dxa"/>
              <w:start w:w="120" w:type="dxa"/>
              <w:bottom w:w="80" w:type="dxa"/>
              <w:end w:w="120" w:type="dxa"/>
            </w:tcMar>
            <w:vAlign w:val="center"/>
          </w:tcPr>
          <w:p>
            <w:pPr>
              <w:spacing w:before="0" w:after="0" w:line="240" w:lineRule="auto"/>
              <w:jc w:val="center"/>
            </w:pPr>
            <w:r/>
            <w:r>
              <w:rPr>
                <w:rFonts w:ascii="Arial" w:hAnsi="Arial" w:cs="Arial"/>
                <w:sz w:val="18"/>
              </w:rPr>
              <w:t>170,04 €/día</w:t>
            </w:r>
          </w:p>
        </w:tc>
      </w:tr>
    </w:tbl>
    <w:p>
      <w:pPr>
        <w:spacing w:after="40"/>
      </w:pPr>
    </w:p>
    <w:p>
      <w:pPr>
        <w:jc w:val="both"/>
      </w:pPr>
      <w:r>
        <w:rPr>
          <w:rFonts w:ascii="Arial" w:hAnsi="Arial" w:cs="Arial"/>
          <w:sz w:val="22"/>
        </w:rPr>
        <w:t>La base resultante no se sustituye automáticamente por la máxima: solo se eleva a la mínima si queda por debajo o se reduce a la máxima si la supera. En contingencias profesionales se emplean los topes comunes y se incluyen las horas extraordinarias.</w:t>
      </w:r>
    </w:p>
    <w:p>
      <w:pPr>
        <w:pStyle w:val="Heading2"/>
        <w:keepNext/>
      </w:pPr>
      <w:r>
        <w:rPr>
          <w:rFonts w:ascii="Arial" w:hAnsi="Arial" w:cs="Arial"/>
          <w:sz w:val="25"/>
        </w:rPr>
        <w:t>5.2. Tipos generales</w:t>
      </w:r>
    </w:p>
    <w:tbl>
      <w:tblPr>
        <w:tblStyle w:val="TableGrid"/>
        <w:tblW w:type="dxa" w:w="9026"/>
        <w:jc w:val="left"/>
        <w:tblLayout w:type="fixed"/>
        <w:tblLook w:firstColumn="1" w:firstRow="1" w:lastColumn="0" w:lastRow="0" w:noHBand="0" w:noVBand="1" w:val="04A0"/>
        <w:tblInd w:w="120" w:type="dxa"/>
      </w:tblPr>
      <w:tblGrid>
        <w:gridCol w:w="5395"/>
        <w:gridCol w:w="934"/>
        <w:gridCol w:w="900"/>
        <w:gridCol w:w="1797"/>
      </w:tblGrid>
      <w:tr>
        <w:trPr>
          <w:tblHeader w:val="true"/>
        </w:trPr>
        <w:tc>
          <w:tcPr>
            <w:tcW w:type="dxa" w:w="539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Concepto</w:t>
            </w:r>
          </w:p>
        </w:tc>
        <w:tc>
          <w:tcPr>
            <w:tcW w:type="dxa" w:w="93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Tipo total</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Empresa</w:t>
            </w:r>
          </w:p>
        </w:tc>
        <w:tc>
          <w:tcPr>
            <w:tcW w:type="dxa" w:w="179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Persona trabajadora</w:t>
            </w:r>
          </w:p>
        </w:tc>
      </w:tr>
      <w:tr>
        <w:tc>
          <w:tcPr>
            <w:tcW w:type="dxa" w:w="5395"/>
            <w:tcMar>
              <w:top w:w="80" w:type="dxa"/>
              <w:start w:w="120" w:type="dxa"/>
              <w:bottom w:w="80" w:type="dxa"/>
              <w:end w:w="120" w:type="dxa"/>
            </w:tcMar>
            <w:vAlign w:val="center"/>
          </w:tcPr>
          <w:p>
            <w:pPr>
              <w:spacing w:before="0" w:after="0" w:line="240" w:lineRule="auto"/>
              <w:jc w:val="left"/>
            </w:pPr>
            <w:r/>
            <w:r>
              <w:rPr>
                <w:rFonts w:ascii="Arial" w:hAnsi="Arial" w:cs="Arial"/>
                <w:sz w:val="18"/>
              </w:rPr>
              <w:t>Contingencias comunes</w:t>
            </w:r>
          </w:p>
        </w:tc>
        <w:tc>
          <w:tcPr>
            <w:tcW w:type="dxa" w:w="934"/>
            <w:tcMar>
              <w:top w:w="80" w:type="dxa"/>
              <w:start w:w="120" w:type="dxa"/>
              <w:bottom w:w="80" w:type="dxa"/>
              <w:end w:w="120" w:type="dxa"/>
            </w:tcMar>
            <w:vAlign w:val="center"/>
          </w:tcPr>
          <w:p>
            <w:pPr>
              <w:spacing w:before="0" w:after="0" w:line="240" w:lineRule="auto"/>
              <w:jc w:val="center"/>
            </w:pPr>
            <w:r/>
            <w:r>
              <w:rPr>
                <w:rFonts w:ascii="Arial" w:hAnsi="Arial" w:cs="Arial"/>
                <w:sz w:val="18"/>
              </w:rPr>
              <w:t>28,30 %</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23,60 %</w:t>
            </w:r>
          </w:p>
        </w:tc>
        <w:tc>
          <w:tcPr>
            <w:tcW w:type="dxa" w:w="1797"/>
            <w:tcMar>
              <w:top w:w="80" w:type="dxa"/>
              <w:start w:w="120" w:type="dxa"/>
              <w:bottom w:w="80" w:type="dxa"/>
              <w:end w:w="120" w:type="dxa"/>
            </w:tcMar>
            <w:vAlign w:val="center"/>
          </w:tcPr>
          <w:p>
            <w:pPr>
              <w:spacing w:before="0" w:after="0" w:line="240" w:lineRule="auto"/>
              <w:jc w:val="center"/>
            </w:pPr>
            <w:r/>
            <w:r>
              <w:rPr>
                <w:rFonts w:ascii="Arial" w:hAnsi="Arial" w:cs="Arial"/>
                <w:sz w:val="18"/>
              </w:rPr>
              <w:t>4,70 %</w:t>
            </w:r>
          </w:p>
        </w:tc>
      </w:tr>
      <w:tr>
        <w:tc>
          <w:tcPr>
            <w:tcW w:type="dxa" w:w="5395"/>
            <w:tcMar>
              <w:top w:w="80" w:type="dxa"/>
              <w:start w:w="120" w:type="dxa"/>
              <w:bottom w:w="80" w:type="dxa"/>
              <w:end w:w="120" w:type="dxa"/>
            </w:tcMar>
            <w:vAlign w:val="center"/>
          </w:tcPr>
          <w:p>
            <w:pPr>
              <w:spacing w:before="0" w:after="0" w:line="240" w:lineRule="auto"/>
              <w:jc w:val="left"/>
            </w:pPr>
            <w:r/>
            <w:r>
              <w:rPr>
                <w:rFonts w:ascii="Arial" w:hAnsi="Arial" w:cs="Arial"/>
                <w:sz w:val="18"/>
              </w:rPr>
              <w:t>Desempleo, contratación indefinida y temporales asimilados</w:t>
            </w:r>
          </w:p>
        </w:tc>
        <w:tc>
          <w:tcPr>
            <w:tcW w:type="dxa" w:w="934"/>
            <w:tcMar>
              <w:top w:w="80" w:type="dxa"/>
              <w:start w:w="120" w:type="dxa"/>
              <w:bottom w:w="80" w:type="dxa"/>
              <w:end w:w="120" w:type="dxa"/>
            </w:tcMar>
            <w:vAlign w:val="center"/>
          </w:tcPr>
          <w:p>
            <w:pPr>
              <w:spacing w:before="0" w:after="0" w:line="240" w:lineRule="auto"/>
              <w:jc w:val="center"/>
            </w:pPr>
            <w:r/>
            <w:r>
              <w:rPr>
                <w:rFonts w:ascii="Arial" w:hAnsi="Arial" w:cs="Arial"/>
                <w:sz w:val="18"/>
              </w:rPr>
              <w:t>7,05 %</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5,50 %</w:t>
            </w:r>
          </w:p>
        </w:tc>
        <w:tc>
          <w:tcPr>
            <w:tcW w:type="dxa" w:w="1797"/>
            <w:tcMar>
              <w:top w:w="80" w:type="dxa"/>
              <w:start w:w="120" w:type="dxa"/>
              <w:bottom w:w="80" w:type="dxa"/>
              <w:end w:w="120" w:type="dxa"/>
            </w:tcMar>
            <w:vAlign w:val="center"/>
          </w:tcPr>
          <w:p>
            <w:pPr>
              <w:spacing w:before="0" w:after="0" w:line="240" w:lineRule="auto"/>
              <w:jc w:val="center"/>
            </w:pPr>
            <w:r/>
            <w:r>
              <w:rPr>
                <w:rFonts w:ascii="Arial" w:hAnsi="Arial" w:cs="Arial"/>
                <w:sz w:val="18"/>
              </w:rPr>
              <w:t>1,55 %</w:t>
            </w:r>
          </w:p>
        </w:tc>
      </w:tr>
      <w:tr>
        <w:tc>
          <w:tcPr>
            <w:tcW w:type="dxa" w:w="5395"/>
            <w:tcMar>
              <w:top w:w="80" w:type="dxa"/>
              <w:start w:w="120" w:type="dxa"/>
              <w:bottom w:w="80" w:type="dxa"/>
              <w:end w:w="120" w:type="dxa"/>
            </w:tcMar>
            <w:vAlign w:val="center"/>
          </w:tcPr>
          <w:p>
            <w:pPr>
              <w:spacing w:before="0" w:after="0" w:line="240" w:lineRule="auto"/>
              <w:jc w:val="left"/>
            </w:pPr>
            <w:r/>
            <w:r>
              <w:rPr>
                <w:rFonts w:ascii="Arial" w:hAnsi="Arial" w:cs="Arial"/>
                <w:sz w:val="18"/>
              </w:rPr>
              <w:t>Desempleo, duración determinada ordinaria</w:t>
            </w:r>
          </w:p>
        </w:tc>
        <w:tc>
          <w:tcPr>
            <w:tcW w:type="dxa" w:w="934"/>
            <w:tcMar>
              <w:top w:w="80" w:type="dxa"/>
              <w:start w:w="120" w:type="dxa"/>
              <w:bottom w:w="80" w:type="dxa"/>
              <w:end w:w="120" w:type="dxa"/>
            </w:tcMar>
            <w:vAlign w:val="center"/>
          </w:tcPr>
          <w:p>
            <w:pPr>
              <w:spacing w:before="0" w:after="0" w:line="240" w:lineRule="auto"/>
              <w:jc w:val="center"/>
            </w:pPr>
            <w:r/>
            <w:r>
              <w:rPr>
                <w:rFonts w:ascii="Arial" w:hAnsi="Arial" w:cs="Arial"/>
                <w:sz w:val="18"/>
              </w:rPr>
              <w:t>8,30 %</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6,70 %</w:t>
            </w:r>
          </w:p>
        </w:tc>
        <w:tc>
          <w:tcPr>
            <w:tcW w:type="dxa" w:w="1797"/>
            <w:tcMar>
              <w:top w:w="80" w:type="dxa"/>
              <w:start w:w="120" w:type="dxa"/>
              <w:bottom w:w="80" w:type="dxa"/>
              <w:end w:w="120" w:type="dxa"/>
            </w:tcMar>
            <w:vAlign w:val="center"/>
          </w:tcPr>
          <w:p>
            <w:pPr>
              <w:spacing w:before="0" w:after="0" w:line="240" w:lineRule="auto"/>
              <w:jc w:val="center"/>
            </w:pPr>
            <w:r/>
            <w:r>
              <w:rPr>
                <w:rFonts w:ascii="Arial" w:hAnsi="Arial" w:cs="Arial"/>
                <w:sz w:val="18"/>
              </w:rPr>
              <w:t>1,60 %</w:t>
            </w:r>
          </w:p>
        </w:tc>
      </w:tr>
      <w:tr>
        <w:tc>
          <w:tcPr>
            <w:tcW w:type="dxa" w:w="5395"/>
            <w:tcMar>
              <w:top w:w="80" w:type="dxa"/>
              <w:start w:w="120" w:type="dxa"/>
              <w:bottom w:w="80" w:type="dxa"/>
              <w:end w:w="120" w:type="dxa"/>
            </w:tcMar>
            <w:vAlign w:val="center"/>
          </w:tcPr>
          <w:p>
            <w:pPr>
              <w:spacing w:before="0" w:after="0" w:line="240" w:lineRule="auto"/>
              <w:jc w:val="left"/>
            </w:pPr>
            <w:r/>
            <w:r>
              <w:rPr>
                <w:rFonts w:ascii="Arial" w:hAnsi="Arial" w:cs="Arial"/>
                <w:sz w:val="18"/>
              </w:rPr>
              <w:t>FOGASA</w:t>
            </w:r>
          </w:p>
        </w:tc>
        <w:tc>
          <w:tcPr>
            <w:tcW w:type="dxa" w:w="934"/>
            <w:tcMar>
              <w:top w:w="80" w:type="dxa"/>
              <w:start w:w="120" w:type="dxa"/>
              <w:bottom w:w="80" w:type="dxa"/>
              <w:end w:w="120" w:type="dxa"/>
            </w:tcMar>
            <w:vAlign w:val="center"/>
          </w:tcPr>
          <w:p>
            <w:pPr>
              <w:spacing w:before="0" w:after="0" w:line="240" w:lineRule="auto"/>
              <w:jc w:val="center"/>
            </w:pPr>
            <w:r/>
            <w:r>
              <w:rPr>
                <w:rFonts w:ascii="Arial" w:hAnsi="Arial" w:cs="Arial"/>
                <w:sz w:val="18"/>
              </w:rPr>
              <w:t>0,20 %</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0,20 %</w:t>
            </w:r>
          </w:p>
        </w:tc>
        <w:tc>
          <w:tcPr>
            <w:tcW w:type="dxa" w:w="1797"/>
            <w:tcMar>
              <w:top w:w="80" w:type="dxa"/>
              <w:start w:w="120" w:type="dxa"/>
              <w:bottom w:w="80" w:type="dxa"/>
              <w:end w:w="120" w:type="dxa"/>
            </w:tcMar>
            <w:vAlign w:val="center"/>
          </w:tcPr>
          <w:p>
            <w:pPr>
              <w:spacing w:before="0" w:after="0" w:line="240" w:lineRule="auto"/>
              <w:jc w:val="center"/>
            </w:pPr>
            <w:r/>
            <w:r>
              <w:rPr>
                <w:rFonts w:ascii="Arial" w:hAnsi="Arial" w:cs="Arial"/>
                <w:sz w:val="18"/>
              </w:rPr>
              <w:t>—</w:t>
            </w:r>
          </w:p>
        </w:tc>
      </w:tr>
      <w:tr>
        <w:tc>
          <w:tcPr>
            <w:tcW w:type="dxa" w:w="5395"/>
            <w:tcMar>
              <w:top w:w="80" w:type="dxa"/>
              <w:start w:w="120" w:type="dxa"/>
              <w:bottom w:w="80" w:type="dxa"/>
              <w:end w:w="120" w:type="dxa"/>
            </w:tcMar>
            <w:vAlign w:val="center"/>
          </w:tcPr>
          <w:p>
            <w:pPr>
              <w:spacing w:before="0" w:after="0" w:line="240" w:lineRule="auto"/>
              <w:jc w:val="left"/>
            </w:pPr>
            <w:r/>
            <w:r>
              <w:rPr>
                <w:rFonts w:ascii="Arial" w:hAnsi="Arial" w:cs="Arial"/>
                <w:sz w:val="18"/>
              </w:rPr>
              <w:t>Formación profesional</w:t>
            </w:r>
          </w:p>
        </w:tc>
        <w:tc>
          <w:tcPr>
            <w:tcW w:type="dxa" w:w="934"/>
            <w:tcMar>
              <w:top w:w="80" w:type="dxa"/>
              <w:start w:w="120" w:type="dxa"/>
              <w:bottom w:w="80" w:type="dxa"/>
              <w:end w:w="120" w:type="dxa"/>
            </w:tcMar>
            <w:vAlign w:val="center"/>
          </w:tcPr>
          <w:p>
            <w:pPr>
              <w:spacing w:before="0" w:after="0" w:line="240" w:lineRule="auto"/>
              <w:jc w:val="center"/>
            </w:pPr>
            <w:r/>
            <w:r>
              <w:rPr>
                <w:rFonts w:ascii="Arial" w:hAnsi="Arial" w:cs="Arial"/>
                <w:sz w:val="18"/>
              </w:rPr>
              <w:t>0,70 %</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0,60 %</w:t>
            </w:r>
          </w:p>
        </w:tc>
        <w:tc>
          <w:tcPr>
            <w:tcW w:type="dxa" w:w="1797"/>
            <w:tcMar>
              <w:top w:w="80" w:type="dxa"/>
              <w:start w:w="120" w:type="dxa"/>
              <w:bottom w:w="80" w:type="dxa"/>
              <w:end w:w="120" w:type="dxa"/>
            </w:tcMar>
            <w:vAlign w:val="center"/>
          </w:tcPr>
          <w:p>
            <w:pPr>
              <w:spacing w:before="0" w:after="0" w:line="240" w:lineRule="auto"/>
              <w:jc w:val="center"/>
            </w:pPr>
            <w:r/>
            <w:r>
              <w:rPr>
                <w:rFonts w:ascii="Arial" w:hAnsi="Arial" w:cs="Arial"/>
                <w:sz w:val="18"/>
              </w:rPr>
              <w:t>0,10 %</w:t>
            </w:r>
          </w:p>
        </w:tc>
      </w:tr>
      <w:tr>
        <w:tc>
          <w:tcPr>
            <w:tcW w:type="dxa" w:w="5395"/>
            <w:tcMar>
              <w:top w:w="80" w:type="dxa"/>
              <w:start w:w="120" w:type="dxa"/>
              <w:bottom w:w="80" w:type="dxa"/>
              <w:end w:w="120" w:type="dxa"/>
            </w:tcMar>
            <w:vAlign w:val="center"/>
          </w:tcPr>
          <w:p>
            <w:pPr>
              <w:spacing w:before="0" w:after="0" w:line="240" w:lineRule="auto"/>
              <w:jc w:val="left"/>
            </w:pPr>
            <w:r/>
            <w:r>
              <w:rPr>
                <w:rFonts w:ascii="Arial" w:hAnsi="Arial" w:cs="Arial"/>
                <w:sz w:val="18"/>
              </w:rPr>
              <w:t>MEI</w:t>
            </w:r>
          </w:p>
        </w:tc>
        <w:tc>
          <w:tcPr>
            <w:tcW w:type="dxa" w:w="934"/>
            <w:tcMar>
              <w:top w:w="80" w:type="dxa"/>
              <w:start w:w="120" w:type="dxa"/>
              <w:bottom w:w="80" w:type="dxa"/>
              <w:end w:w="120" w:type="dxa"/>
            </w:tcMar>
            <w:vAlign w:val="center"/>
          </w:tcPr>
          <w:p>
            <w:pPr>
              <w:spacing w:before="0" w:after="0" w:line="240" w:lineRule="auto"/>
              <w:jc w:val="center"/>
            </w:pPr>
            <w:r/>
            <w:r>
              <w:rPr>
                <w:rFonts w:ascii="Arial" w:hAnsi="Arial" w:cs="Arial"/>
                <w:sz w:val="18"/>
              </w:rPr>
              <w:t>0,90 %</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0,75 %</w:t>
            </w:r>
          </w:p>
        </w:tc>
        <w:tc>
          <w:tcPr>
            <w:tcW w:type="dxa" w:w="1797"/>
            <w:tcMar>
              <w:top w:w="80" w:type="dxa"/>
              <w:start w:w="120" w:type="dxa"/>
              <w:bottom w:w="80" w:type="dxa"/>
              <w:end w:w="120" w:type="dxa"/>
            </w:tcMar>
            <w:vAlign w:val="center"/>
          </w:tcPr>
          <w:p>
            <w:pPr>
              <w:spacing w:before="0" w:after="0" w:line="240" w:lineRule="auto"/>
              <w:jc w:val="center"/>
            </w:pPr>
            <w:r/>
            <w:r>
              <w:rPr>
                <w:rFonts w:ascii="Arial" w:hAnsi="Arial" w:cs="Arial"/>
                <w:sz w:val="18"/>
              </w:rPr>
              <w:t>0,15 %</w:t>
            </w:r>
          </w:p>
        </w:tc>
      </w:tr>
    </w:tbl>
    <w:p>
      <w:pPr>
        <w:spacing w:after="40"/>
      </w:pPr>
    </w:p>
    <w:p>
      <w:pPr>
        <w:jc w:val="both"/>
      </w:pPr>
      <w:r>
        <w:rPr>
          <w:rFonts w:ascii="Arial" w:hAnsi="Arial" w:cs="Arial"/>
          <w:sz w:val="22"/>
        </w:rPr>
        <w:t>Para AT/EP se aplica el tipo correspondiente de la tarifa de primas de la disposición adicional sexagésima primera TRLGSS y la prima es exclusivamente empresarial. La ocupación concreta puede determinar un tipo distinto del correspondiente a la actividad principal en los casos tasados por la tarifa.</w:t>
      </w:r>
    </w:p>
    <w:p>
      <w:pPr>
        <w:pStyle w:val="Heading2"/>
        <w:keepNext/>
      </w:pPr>
      <w:r>
        <w:rPr>
          <w:rFonts w:ascii="Arial" w:hAnsi="Arial" w:cs="Arial"/>
          <w:sz w:val="25"/>
        </w:rPr>
        <w:t>5.3. Horas extraordinarias</w:t>
      </w:r>
    </w:p>
    <w:p>
      <w:pPr>
        <w:jc w:val="both"/>
      </w:pPr>
      <w:r>
        <w:rPr>
          <w:rFonts w:ascii="Arial" w:hAnsi="Arial" w:cs="Arial"/>
          <w:sz w:val="22"/>
        </w:rPr>
        <w:t>La remuneración por horas extraordinarias queda sometida a cotización adicional:</w:t>
      </w:r>
    </w:p>
    <w:p>
      <w:pPr>
        <w:pStyle w:val="ListBullet"/>
      </w:pPr>
      <w:r>
        <w:rPr>
          <w:rFonts w:ascii="Arial" w:hAnsi="Arial" w:cs="Arial"/>
          <w:sz w:val="22"/>
        </w:rPr>
        <w:t xml:space="preserve">por fuerza mayor: </w:t>
      </w:r>
      <w:r>
        <w:rPr>
          <w:rFonts w:ascii="Arial" w:hAnsi="Arial" w:cs="Arial"/>
          <w:b/>
          <w:sz w:val="22"/>
        </w:rPr>
        <w:t>14,00 %</w:t>
      </w:r>
      <w:r>
        <w:rPr>
          <w:rFonts w:ascii="Arial" w:hAnsi="Arial" w:cs="Arial"/>
          <w:sz w:val="22"/>
        </w:rPr>
        <w:t>, del que 12,00 corresponde a la empresa y 2,00 al trabajador;</w:t>
      </w:r>
    </w:p>
    <w:p>
      <w:pPr>
        <w:pStyle w:val="ListBullet"/>
      </w:pPr>
      <w:r>
        <w:rPr>
          <w:rFonts w:ascii="Arial" w:hAnsi="Arial" w:cs="Arial"/>
          <w:sz w:val="22"/>
        </w:rPr>
        <w:t xml:space="preserve">restantes horas extraordinarias: </w:t>
      </w:r>
      <w:r>
        <w:rPr>
          <w:rFonts w:ascii="Arial" w:hAnsi="Arial" w:cs="Arial"/>
          <w:b/>
          <w:sz w:val="22"/>
        </w:rPr>
        <w:t>28,30 %</w:t>
      </w:r>
      <w:r>
        <w:rPr>
          <w:rFonts w:ascii="Arial" w:hAnsi="Arial" w:cs="Arial"/>
          <w:sz w:val="22"/>
        </w:rPr>
        <w:t>, distribuido 23,60 y 4,70.</w:t>
      </w:r>
    </w:p>
    <w:p>
      <w:pPr>
        <w:jc w:val="both"/>
      </w:pPr>
      <w:r>
        <w:rPr>
          <w:rFonts w:ascii="Arial" w:hAnsi="Arial" w:cs="Arial"/>
          <w:sz w:val="22"/>
        </w:rPr>
        <w:t>Esta cotización adicional no computa para determinar la base reguladora de las prestaciones. Ello no impide que la retribución por las horas se integre en la base profesional y, en su caso, en las bases de desempleo y conceptos conjuntos.</w:t>
      </w:r>
    </w:p>
    <w:p>
      <w:pPr>
        <w:pStyle w:val="Heading1"/>
        <w:keepNext/>
      </w:pPr>
      <w:r>
        <w:rPr>
          <w:rFonts w:ascii="Arial" w:hAnsi="Arial" w:cs="Arial"/>
          <w:sz w:val="30"/>
        </w:rPr>
        <w:t>6. Mecanismo de equidad intergeneracional y solidaridad</w:t>
      </w:r>
    </w:p>
    <w:p>
      <w:pPr>
        <w:pStyle w:val="Heading2"/>
        <w:keepNext/>
      </w:pPr>
      <w:r>
        <w:rPr>
          <w:rFonts w:ascii="Arial" w:hAnsi="Arial" w:cs="Arial"/>
          <w:sz w:val="25"/>
        </w:rPr>
        <w:t>6.1. MEI</w:t>
      </w:r>
    </w:p>
    <w:p>
      <w:pPr>
        <w:jc w:val="both"/>
      </w:pPr>
      <w:r>
        <w:rPr>
          <w:rFonts w:ascii="Arial" w:hAnsi="Arial" w:cs="Arial"/>
          <w:sz w:val="22"/>
        </w:rPr>
        <w:t xml:space="preserve">El artículo 127 bis y la disposición transitoria cuadragésima tercera TRLGSS articulan el MEI como cotización finalista para reforzar el Fondo de Reserva. En 2026 se aplica el </w:t>
      </w:r>
      <w:r>
        <w:rPr>
          <w:rFonts w:ascii="Arial" w:hAnsi="Arial" w:cs="Arial"/>
          <w:b/>
          <w:sz w:val="22"/>
        </w:rPr>
        <w:t>0,90 % sobre la base de contingencias comunes</w:t>
      </w:r>
      <w:r>
        <w:rPr>
          <w:rFonts w:ascii="Arial" w:hAnsi="Arial" w:cs="Arial"/>
          <w:sz w:val="22"/>
        </w:rPr>
        <w:t>. En el Régimen General se distribuye:</w:t>
      </w:r>
    </w:p>
    <w:p>
      <w:pPr>
        <w:pStyle w:val="ListBullet"/>
      </w:pPr>
      <w:r>
        <w:rPr>
          <w:rFonts w:ascii="Arial" w:hAnsi="Arial" w:cs="Arial"/>
          <w:sz w:val="22"/>
        </w:rPr>
        <w:t>0,75 % a cargo de la empresa;</w:t>
      </w:r>
    </w:p>
    <w:p>
      <w:pPr>
        <w:pStyle w:val="ListBullet"/>
      </w:pPr>
      <w:r>
        <w:rPr>
          <w:rFonts w:ascii="Arial" w:hAnsi="Arial" w:cs="Arial"/>
          <w:sz w:val="22"/>
        </w:rPr>
        <w:t>0,15 % a cargo del trabajador.</w:t>
      </w:r>
    </w:p>
    <w:p>
      <w:pPr>
        <w:jc w:val="both"/>
      </w:pPr>
      <w:r>
        <w:rPr>
          <w:rFonts w:ascii="Arial" w:hAnsi="Arial" w:cs="Arial"/>
          <w:sz w:val="22"/>
        </w:rPr>
        <w:t>No es una prestación ni una contingencia nueva; es una cotización adicional. No puede ser objeto de bonificación, reducción, exención o deducción salvo previsión legal expresa. En el RETA el 0,90 % corre a cargo de la persona trabajadora autónoma.</w:t>
      </w:r>
    </w:p>
    <w:p>
      <w:pPr>
        <w:pStyle w:val="Heading2"/>
        <w:keepNext/>
      </w:pPr>
      <w:r>
        <w:rPr>
          <w:rFonts w:ascii="Arial" w:hAnsi="Arial" w:cs="Arial"/>
          <w:sz w:val="25"/>
        </w:rPr>
        <w:t>6.2. Cotización adicional de solidaridad</w:t>
      </w:r>
    </w:p>
    <w:p>
      <w:pPr>
        <w:jc w:val="both"/>
      </w:pPr>
      <w:r>
        <w:rPr>
          <w:rFonts w:ascii="Arial" w:hAnsi="Arial" w:cs="Arial"/>
          <w:sz w:val="22"/>
        </w:rPr>
        <w:t>El artículo 19 bis TRLGSS somete a cotización parte de la remuneración que excede de la base máxima de quienes cotizan por cuenta ajena. No eleva la base ordinaria por encima de su máximo: grava separadamente el exceso mediante tres tramos progresivos.</w:t>
      </w:r>
    </w:p>
    <w:p>
      <w:pPr>
        <w:jc w:val="both"/>
      </w:pPr>
      <w:r>
        <w:rPr>
          <w:rFonts w:ascii="Arial" w:hAnsi="Arial" w:cs="Arial"/>
          <w:sz w:val="22"/>
        </w:rPr>
        <w:t>En 2026:</w:t>
      </w:r>
    </w:p>
    <w:tbl>
      <w:tblPr>
        <w:tblStyle w:val="TableGrid"/>
        <w:tblW w:type="dxa" w:w="9026"/>
        <w:jc w:val="left"/>
        <w:tblLayout w:type="fixed"/>
        <w:tblLook w:firstColumn="1" w:firstRow="1" w:lastColumn="0" w:lastRow="0" w:noHBand="0" w:noVBand="1" w:val="04A0"/>
        <w:tblInd w:w="120" w:type="dxa"/>
      </w:tblPr>
      <w:tblGrid>
        <w:gridCol w:w="5031"/>
        <w:gridCol w:w="1332"/>
        <w:gridCol w:w="1184"/>
        <w:gridCol w:w="1479"/>
      </w:tblGrid>
      <w:tr>
        <w:trPr>
          <w:tblHeader w:val="true"/>
        </w:trPr>
        <w:tc>
          <w:tcPr>
            <w:tcW w:type="dxa" w:w="503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Tramo mensual de retribución excedente</w:t>
            </w:r>
          </w:p>
        </w:tc>
        <w:tc>
          <w:tcPr>
            <w:tcW w:type="dxa" w:w="133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Tipo total</w:t>
            </w:r>
          </w:p>
        </w:tc>
        <w:tc>
          <w:tcPr>
            <w:tcW w:type="dxa" w:w="118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Empresa</w:t>
            </w:r>
          </w:p>
        </w:tc>
        <w:tc>
          <w:tcPr>
            <w:tcW w:type="dxa" w:w="147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Trabajador</w:t>
            </w:r>
          </w:p>
        </w:tc>
      </w:tr>
      <w:tr>
        <w:tc>
          <w:tcPr>
            <w:tcW w:type="dxa" w:w="5031"/>
            <w:tcMar>
              <w:top w:w="80" w:type="dxa"/>
              <w:start w:w="120" w:type="dxa"/>
              <w:bottom w:w="80" w:type="dxa"/>
              <w:end w:w="120" w:type="dxa"/>
            </w:tcMar>
            <w:vAlign w:val="center"/>
          </w:tcPr>
          <w:p>
            <w:pPr>
              <w:spacing w:before="0" w:after="0" w:line="240" w:lineRule="auto"/>
              <w:jc w:val="left"/>
            </w:pPr>
            <w:r/>
            <w:r>
              <w:rPr>
                <w:rFonts w:ascii="Arial" w:hAnsi="Arial" w:cs="Arial"/>
                <w:sz w:val="18"/>
              </w:rPr>
              <w:t>De 5.101,21 a 5.611,32 €</w:t>
            </w:r>
          </w:p>
        </w:tc>
        <w:tc>
          <w:tcPr>
            <w:tcW w:type="dxa" w:w="1332"/>
            <w:tcMar>
              <w:top w:w="80" w:type="dxa"/>
              <w:start w:w="120" w:type="dxa"/>
              <w:bottom w:w="80" w:type="dxa"/>
              <w:end w:w="120" w:type="dxa"/>
            </w:tcMar>
            <w:vAlign w:val="center"/>
          </w:tcPr>
          <w:p>
            <w:pPr>
              <w:spacing w:before="0" w:after="0" w:line="240" w:lineRule="auto"/>
              <w:jc w:val="center"/>
            </w:pPr>
            <w:r/>
            <w:r>
              <w:rPr>
                <w:rFonts w:ascii="Arial" w:hAnsi="Arial" w:cs="Arial"/>
                <w:sz w:val="18"/>
              </w:rPr>
              <w:t>1,15 %</w:t>
            </w:r>
          </w:p>
        </w:tc>
        <w:tc>
          <w:tcPr>
            <w:tcW w:type="dxa" w:w="1184"/>
            <w:tcMar>
              <w:top w:w="80" w:type="dxa"/>
              <w:start w:w="120" w:type="dxa"/>
              <w:bottom w:w="80" w:type="dxa"/>
              <w:end w:w="120" w:type="dxa"/>
            </w:tcMar>
            <w:vAlign w:val="center"/>
          </w:tcPr>
          <w:p>
            <w:pPr>
              <w:spacing w:before="0" w:after="0" w:line="240" w:lineRule="auto"/>
              <w:jc w:val="center"/>
            </w:pPr>
            <w:r/>
            <w:r>
              <w:rPr>
                <w:rFonts w:ascii="Arial" w:hAnsi="Arial" w:cs="Arial"/>
                <w:sz w:val="18"/>
              </w:rPr>
              <w:t>0,96 %</w:t>
            </w:r>
          </w:p>
        </w:tc>
        <w:tc>
          <w:tcPr>
            <w:tcW w:type="dxa" w:w="1479"/>
            <w:tcMar>
              <w:top w:w="80" w:type="dxa"/>
              <w:start w:w="120" w:type="dxa"/>
              <w:bottom w:w="80" w:type="dxa"/>
              <w:end w:w="120" w:type="dxa"/>
            </w:tcMar>
            <w:vAlign w:val="center"/>
          </w:tcPr>
          <w:p>
            <w:pPr>
              <w:spacing w:before="0" w:after="0" w:line="240" w:lineRule="auto"/>
              <w:jc w:val="center"/>
            </w:pPr>
            <w:r/>
            <w:r>
              <w:rPr>
                <w:rFonts w:ascii="Arial" w:hAnsi="Arial" w:cs="Arial"/>
                <w:sz w:val="18"/>
              </w:rPr>
              <w:t>0,19 %</w:t>
            </w:r>
          </w:p>
        </w:tc>
      </w:tr>
      <w:tr>
        <w:tc>
          <w:tcPr>
            <w:tcW w:type="dxa" w:w="5031"/>
            <w:tcMar>
              <w:top w:w="80" w:type="dxa"/>
              <w:start w:w="120" w:type="dxa"/>
              <w:bottom w:w="80" w:type="dxa"/>
              <w:end w:w="120" w:type="dxa"/>
            </w:tcMar>
            <w:vAlign w:val="center"/>
          </w:tcPr>
          <w:p>
            <w:pPr>
              <w:spacing w:before="0" w:after="0" w:line="240" w:lineRule="auto"/>
              <w:jc w:val="left"/>
            </w:pPr>
            <w:r/>
            <w:r>
              <w:rPr>
                <w:rFonts w:ascii="Arial" w:hAnsi="Arial" w:cs="Arial"/>
                <w:sz w:val="18"/>
              </w:rPr>
              <w:t>De 5.611,33 a 7.651,80 €</w:t>
            </w:r>
          </w:p>
        </w:tc>
        <w:tc>
          <w:tcPr>
            <w:tcW w:type="dxa" w:w="1332"/>
            <w:tcMar>
              <w:top w:w="80" w:type="dxa"/>
              <w:start w:w="120" w:type="dxa"/>
              <w:bottom w:w="80" w:type="dxa"/>
              <w:end w:w="120" w:type="dxa"/>
            </w:tcMar>
            <w:vAlign w:val="center"/>
          </w:tcPr>
          <w:p>
            <w:pPr>
              <w:spacing w:before="0" w:after="0" w:line="240" w:lineRule="auto"/>
              <w:jc w:val="center"/>
            </w:pPr>
            <w:r/>
            <w:r>
              <w:rPr>
                <w:rFonts w:ascii="Arial" w:hAnsi="Arial" w:cs="Arial"/>
                <w:sz w:val="18"/>
              </w:rPr>
              <w:t>1,25 %</w:t>
            </w:r>
          </w:p>
        </w:tc>
        <w:tc>
          <w:tcPr>
            <w:tcW w:type="dxa" w:w="1184"/>
            <w:tcMar>
              <w:top w:w="80" w:type="dxa"/>
              <w:start w:w="120" w:type="dxa"/>
              <w:bottom w:w="80" w:type="dxa"/>
              <w:end w:w="120" w:type="dxa"/>
            </w:tcMar>
            <w:vAlign w:val="center"/>
          </w:tcPr>
          <w:p>
            <w:pPr>
              <w:spacing w:before="0" w:after="0" w:line="240" w:lineRule="auto"/>
              <w:jc w:val="center"/>
            </w:pPr>
            <w:r/>
            <w:r>
              <w:rPr>
                <w:rFonts w:ascii="Arial" w:hAnsi="Arial" w:cs="Arial"/>
                <w:sz w:val="18"/>
              </w:rPr>
              <w:t>1,04 %</w:t>
            </w:r>
          </w:p>
        </w:tc>
        <w:tc>
          <w:tcPr>
            <w:tcW w:type="dxa" w:w="1479"/>
            <w:tcMar>
              <w:top w:w="80" w:type="dxa"/>
              <w:start w:w="120" w:type="dxa"/>
              <w:bottom w:w="80" w:type="dxa"/>
              <w:end w:w="120" w:type="dxa"/>
            </w:tcMar>
            <w:vAlign w:val="center"/>
          </w:tcPr>
          <w:p>
            <w:pPr>
              <w:spacing w:before="0" w:after="0" w:line="240" w:lineRule="auto"/>
              <w:jc w:val="center"/>
            </w:pPr>
            <w:r/>
            <w:r>
              <w:rPr>
                <w:rFonts w:ascii="Arial" w:hAnsi="Arial" w:cs="Arial"/>
                <w:sz w:val="18"/>
              </w:rPr>
              <w:t>0,21 %</w:t>
            </w:r>
          </w:p>
        </w:tc>
      </w:tr>
      <w:tr>
        <w:tc>
          <w:tcPr>
            <w:tcW w:type="dxa" w:w="5031"/>
            <w:tcMar>
              <w:top w:w="80" w:type="dxa"/>
              <w:start w:w="120" w:type="dxa"/>
              <w:bottom w:w="80" w:type="dxa"/>
              <w:end w:w="120" w:type="dxa"/>
            </w:tcMar>
            <w:vAlign w:val="center"/>
          </w:tcPr>
          <w:p>
            <w:pPr>
              <w:spacing w:before="0" w:after="0" w:line="240" w:lineRule="auto"/>
              <w:jc w:val="left"/>
            </w:pPr>
            <w:r/>
            <w:r>
              <w:rPr>
                <w:rFonts w:ascii="Arial" w:hAnsi="Arial" w:cs="Arial"/>
                <w:sz w:val="18"/>
              </w:rPr>
              <w:t>Lo que exceda de 7.651,80 €</w:t>
            </w:r>
          </w:p>
        </w:tc>
        <w:tc>
          <w:tcPr>
            <w:tcW w:type="dxa" w:w="1332"/>
            <w:tcMar>
              <w:top w:w="80" w:type="dxa"/>
              <w:start w:w="120" w:type="dxa"/>
              <w:bottom w:w="80" w:type="dxa"/>
              <w:end w:w="120" w:type="dxa"/>
            </w:tcMar>
            <w:vAlign w:val="center"/>
          </w:tcPr>
          <w:p>
            <w:pPr>
              <w:spacing w:before="0" w:after="0" w:line="240" w:lineRule="auto"/>
              <w:jc w:val="center"/>
            </w:pPr>
            <w:r/>
            <w:r>
              <w:rPr>
                <w:rFonts w:ascii="Arial" w:hAnsi="Arial" w:cs="Arial"/>
                <w:sz w:val="18"/>
              </w:rPr>
              <w:t>1,46 %</w:t>
            </w:r>
          </w:p>
        </w:tc>
        <w:tc>
          <w:tcPr>
            <w:tcW w:type="dxa" w:w="1184"/>
            <w:tcMar>
              <w:top w:w="80" w:type="dxa"/>
              <w:start w:w="120" w:type="dxa"/>
              <w:bottom w:w="80" w:type="dxa"/>
              <w:end w:w="120" w:type="dxa"/>
            </w:tcMar>
            <w:vAlign w:val="center"/>
          </w:tcPr>
          <w:p>
            <w:pPr>
              <w:spacing w:before="0" w:after="0" w:line="240" w:lineRule="auto"/>
              <w:jc w:val="center"/>
            </w:pPr>
            <w:r/>
            <w:r>
              <w:rPr>
                <w:rFonts w:ascii="Arial" w:hAnsi="Arial" w:cs="Arial"/>
                <w:sz w:val="18"/>
              </w:rPr>
              <w:t>1,22 %</w:t>
            </w:r>
          </w:p>
        </w:tc>
        <w:tc>
          <w:tcPr>
            <w:tcW w:type="dxa" w:w="1479"/>
            <w:tcMar>
              <w:top w:w="80" w:type="dxa"/>
              <w:start w:w="120" w:type="dxa"/>
              <w:bottom w:w="80" w:type="dxa"/>
              <w:end w:w="120" w:type="dxa"/>
            </w:tcMar>
            <w:vAlign w:val="center"/>
          </w:tcPr>
          <w:p>
            <w:pPr>
              <w:spacing w:before="0" w:after="0" w:line="240" w:lineRule="auto"/>
              <w:jc w:val="center"/>
            </w:pPr>
            <w:r/>
            <w:r>
              <w:rPr>
                <w:rFonts w:ascii="Arial" w:hAnsi="Arial" w:cs="Arial"/>
                <w:sz w:val="18"/>
              </w:rPr>
              <w:t>0,24 %</w:t>
            </w:r>
          </w:p>
        </w:tc>
      </w:tr>
    </w:tbl>
    <w:p>
      <w:pPr>
        <w:spacing w:after="40"/>
      </w:pPr>
    </w:p>
    <w:p>
      <w:pPr>
        <w:jc w:val="both"/>
      </w:pPr>
      <w:r>
        <w:rPr>
          <w:rFonts w:ascii="Arial" w:hAnsi="Arial" w:cs="Arial"/>
          <w:sz w:val="22"/>
        </w:rPr>
        <w:t xml:space="preserve">Los tipos se aplican </w:t>
      </w:r>
      <w:r>
        <w:rPr>
          <w:rFonts w:ascii="Arial" w:hAnsi="Arial" w:cs="Arial"/>
          <w:b/>
          <w:sz w:val="22"/>
        </w:rPr>
        <w:t>por tramos</w:t>
      </w:r>
      <w:r>
        <w:rPr>
          <w:rFonts w:ascii="Arial" w:hAnsi="Arial" w:cs="Arial"/>
          <w:sz w:val="22"/>
        </w:rPr>
        <w:t>, no uno solo a todo el exceso. En cotización diaria se compara la remuneración con el máximo diario multiplicado por los días en alta; en mensual, con el máximo mensual proporcional a los días con obligación.</w:t>
      </w:r>
    </w:p>
    <w:p>
      <w:pPr>
        <w:jc w:val="both"/>
      </w:pPr>
      <w:r>
        <w:rPr>
          <w:rFonts w:ascii="Arial" w:hAnsi="Arial" w:cs="Arial"/>
          <w:b/>
          <w:sz w:val="22"/>
        </w:rPr>
        <w:t>Ejemplo:</w:t>
      </w:r>
      <w:r>
        <w:rPr>
          <w:rFonts w:ascii="Arial" w:hAnsi="Arial" w:cs="Arial"/>
          <w:sz w:val="22"/>
        </w:rPr>
        <w:t xml:space="preserve"> con retribución mensual computable de 8.000 euros, la base ordinaria queda limitada a 5.101,20. La solidaridad se calcula sucesivamente sobre 510,12 euros del primer tramo, 2.040,48 del segundo y 348,20 del tercero. No se aplica el 1,46 % a los 2.898,80 euros completos.</w:t>
      </w:r>
    </w:p>
    <w:p>
      <w:pPr>
        <w:jc w:val="both"/>
      </w:pPr>
      <w:r>
        <w:rPr>
          <w:rFonts w:ascii="Arial" w:hAnsi="Arial" w:cs="Arial"/>
          <w:sz w:val="22"/>
        </w:rPr>
        <w:t>La cotización de solidaridad no se aplica a trabajadores autónomos, porque su presupuesto es el exceso de rendimientos del trabajo por cuenta ajena respecto de la base máxima en los regímenes afectados. Tampoco genera por sí sola una base superior para calcular pensiones.</w:t>
      </w:r>
    </w:p>
    <w:p>
      <w:pPr>
        <w:pStyle w:val="Heading1"/>
        <w:keepNext/>
      </w:pPr>
      <w:r>
        <w:rPr>
          <w:rFonts w:ascii="Arial" w:hAnsi="Arial" w:cs="Arial"/>
          <w:sz w:val="30"/>
        </w:rPr>
        <w:t>7. Liquidación de cuotas</w:t>
      </w:r>
    </w:p>
    <w:p>
      <w:pPr>
        <w:pStyle w:val="Heading2"/>
        <w:keepNext/>
      </w:pPr>
      <w:r>
        <w:rPr>
          <w:rFonts w:ascii="Arial" w:hAnsi="Arial" w:cs="Arial"/>
          <w:sz w:val="25"/>
        </w:rPr>
        <w:t>7.1. Concepto y sistemas</w:t>
      </w:r>
    </w:p>
    <w:p>
      <w:pPr>
        <w:jc w:val="both"/>
      </w:pPr>
      <w:r>
        <w:rPr>
          <w:rFonts w:ascii="Arial" w:hAnsi="Arial" w:cs="Arial"/>
          <w:sz w:val="22"/>
        </w:rPr>
        <w:t>Liquidar significa determinar la deuda correspondiente a un período, trabajador, contingencia y sujeto responsable. El artículo 22.1 TRLGSS distingue:</w:t>
      </w:r>
    </w:p>
    <w:p>
      <w:pPr>
        <w:spacing w:after="40"/>
        <w:ind w:left="369" w:hanging="227"/>
      </w:pPr>
      <w:r>
        <w:rPr>
          <w:rFonts w:ascii="Arial" w:hAnsi="Arial" w:cs="Arial"/>
          <w:sz w:val="22"/>
        </w:rPr>
        <w:t xml:space="preserve">1. </w:t>
      </w:r>
      <w:r>
        <w:rPr>
          <w:rFonts w:ascii="Arial" w:hAnsi="Arial" w:cs="Arial"/>
          <w:b/>
          <w:sz w:val="22"/>
        </w:rPr>
        <w:t>Sistema de autoliquidación.</w:t>
      </w:r>
      <w:r>
        <w:rPr>
          <w:rFonts w:ascii="Arial" w:hAnsi="Arial" w:cs="Arial"/>
          <w:sz w:val="22"/>
        </w:rPr>
        <w:t xml:space="preserve"> El sujeto responsable calcula e ingresa la cuota, aplicando bases, tipos y deducciones.</w:t>
      </w:r>
    </w:p>
    <w:p>
      <w:pPr>
        <w:spacing w:after="40"/>
        <w:ind w:left="369" w:hanging="227"/>
      </w:pPr>
      <w:r>
        <w:rPr>
          <w:rFonts w:ascii="Arial" w:hAnsi="Arial" w:cs="Arial"/>
          <w:sz w:val="22"/>
        </w:rPr>
        <w:t xml:space="preserve">2. </w:t>
      </w:r>
      <w:r>
        <w:rPr>
          <w:rFonts w:ascii="Arial" w:hAnsi="Arial" w:cs="Arial"/>
          <w:b/>
          <w:sz w:val="22"/>
        </w:rPr>
        <w:t>Sistema de liquidación directa.</w:t>
      </w:r>
      <w:r>
        <w:rPr>
          <w:rFonts w:ascii="Arial" w:hAnsi="Arial" w:cs="Arial"/>
          <w:sz w:val="22"/>
        </w:rPr>
        <w:t xml:space="preserve"> La TGSS calcula la cuota por cada trabajador a solicitud del sujeto responsable y con los datos que este y otras fuentes deben proporcionar.</w:t>
      </w:r>
    </w:p>
    <w:p>
      <w:pPr>
        <w:spacing w:after="40"/>
        <w:ind w:left="369" w:hanging="227"/>
      </w:pPr>
      <w:r>
        <w:rPr>
          <w:rFonts w:ascii="Arial" w:hAnsi="Arial" w:cs="Arial"/>
          <w:sz w:val="22"/>
        </w:rPr>
        <w:t xml:space="preserve">3. </w:t>
      </w:r>
      <w:r>
        <w:rPr>
          <w:rFonts w:ascii="Arial" w:hAnsi="Arial" w:cs="Arial"/>
          <w:b/>
          <w:sz w:val="22"/>
        </w:rPr>
        <w:t>Sistema de liquidación simplificada.</w:t>
      </w:r>
      <w:r>
        <w:rPr>
          <w:rFonts w:ascii="Arial" w:hAnsi="Arial" w:cs="Arial"/>
          <w:sz w:val="22"/>
        </w:rPr>
        <w:t xml:space="preserve"> La cuota se determina conforme a datos ya disponibles y a las reglas de los colectivos a los que se aplica.</w:t>
      </w:r>
    </w:p>
    <w:p>
      <w:pPr>
        <w:jc w:val="both"/>
      </w:pPr>
      <w:r>
        <w:rPr>
          <w:rFonts w:ascii="Arial" w:hAnsi="Arial" w:cs="Arial"/>
          <w:sz w:val="22"/>
        </w:rPr>
        <w:t>En liquidación directa la Administración calcula, pero la empresa conserva la obligación de comunicar datos correctos y en plazo. La TGSS solo liquida respecto de personas en alta durante el período, aunque después pueda reclamar cuotas por trabajadores omitidos o diferencias.</w:t>
      </w:r>
    </w:p>
    <w:p>
      <w:pPr>
        <w:jc w:val="both"/>
      </w:pPr>
      <w:r>
        <w:rPr>
          <w:rFonts w:ascii="Arial" w:hAnsi="Arial" w:cs="Arial"/>
          <w:sz w:val="22"/>
        </w:rPr>
        <w:t>El sistema simplificado se aplica, entre otros supuestos reglamentarios, a trabajadores del RETA y del Régimen del Mar por cuenta propia, cuotas fijas del Seguro Escolar, convenios especiales y determinados períodos de inactividad agraria. La inclusión concreta depende de la normativa y de la implantación técnica.</w:t>
      </w:r>
    </w:p>
    <w:p>
      <w:pPr>
        <w:pStyle w:val="Heading2"/>
        <w:keepNext/>
      </w:pPr>
      <w:r>
        <w:rPr>
          <w:rFonts w:ascii="Arial" w:hAnsi="Arial" w:cs="Arial"/>
          <w:sz w:val="25"/>
        </w:rPr>
        <w:t>7.2. Obligaciones del sujeto responsable</w:t>
      </w:r>
    </w:p>
    <w:p>
      <w:pPr>
        <w:jc w:val="both"/>
      </w:pPr>
      <w:r>
        <w:rPr>
          <w:rFonts w:ascii="Arial" w:hAnsi="Arial" w:cs="Arial"/>
          <w:sz w:val="22"/>
        </w:rPr>
        <w:t>El artículo 29 TRLGSS exige:</w:t>
      </w:r>
    </w:p>
    <w:p>
      <w:pPr>
        <w:pStyle w:val="ListBullet"/>
      </w:pPr>
      <w:r>
        <w:rPr>
          <w:rFonts w:ascii="Arial" w:hAnsi="Arial" w:cs="Arial"/>
          <w:sz w:val="22"/>
        </w:rPr>
        <w:t>transmitir por medios electrónicos las liquidaciones o los datos necesarios;</w:t>
      </w:r>
    </w:p>
    <w:p>
      <w:pPr>
        <w:pStyle w:val="ListBullet"/>
      </w:pPr>
      <w:r>
        <w:rPr>
          <w:rFonts w:ascii="Arial" w:hAnsi="Arial" w:cs="Arial"/>
          <w:sz w:val="22"/>
        </w:rPr>
        <w:t>comunicar las variaciones que afecten al cálculo;</w:t>
      </w:r>
    </w:p>
    <w:p>
      <w:pPr>
        <w:pStyle w:val="ListBullet"/>
      </w:pPr>
      <w:r>
        <w:rPr>
          <w:rFonts w:ascii="Arial" w:hAnsi="Arial" w:cs="Arial"/>
          <w:sz w:val="22"/>
        </w:rPr>
        <w:t>solicitar el cálculo en liquidación directa;</w:t>
      </w:r>
    </w:p>
    <w:p>
      <w:pPr>
        <w:pStyle w:val="ListBullet"/>
      </w:pPr>
      <w:r>
        <w:rPr>
          <w:rFonts w:ascii="Arial" w:hAnsi="Arial" w:cs="Arial"/>
          <w:sz w:val="22"/>
        </w:rPr>
        <w:t>ingresar dentro del plazo reglamentario;</w:t>
      </w:r>
    </w:p>
    <w:p>
      <w:pPr>
        <w:pStyle w:val="ListBullet"/>
      </w:pPr>
      <w:r>
        <w:rPr>
          <w:rFonts w:ascii="Arial" w:hAnsi="Arial" w:cs="Arial"/>
          <w:sz w:val="22"/>
        </w:rPr>
        <w:t>conservar justificantes y facilitar comprobación.</w:t>
      </w:r>
    </w:p>
    <w:p>
      <w:pPr>
        <w:jc w:val="both"/>
      </w:pPr>
      <w:r>
        <w:rPr>
          <w:rFonts w:ascii="Arial" w:hAnsi="Arial" w:cs="Arial"/>
          <w:sz w:val="22"/>
        </w:rPr>
        <w:t>Estas obligaciones subsisten aunque no se ingresen las cuotas. Presentar los datos en plazo puede modificar decisivamente los recargos aplicables si el pago es posterior. No presentar nada no evita la liquidación administrativa y agrava la respuesta recaudatoria.</w:t>
      </w:r>
    </w:p>
    <w:p>
      <w:pPr>
        <w:jc w:val="both"/>
      </w:pPr>
      <w:r>
        <w:rPr>
          <w:rFonts w:ascii="Arial" w:hAnsi="Arial" w:cs="Arial"/>
          <w:sz w:val="22"/>
        </w:rPr>
        <w:t>Las compensaciones por prestaciones abonadas en pago delegado y las deducciones por reducciones o bonificaciones solo se practican si concurren sus requisitos. Como regla, los beneficios de cotización exigen estar al corriente y cumplir las obligaciones de liquidación e ingreso; el incumplimiento puede producir pérdida automática respecto de los períodos afectados.</w:t>
      </w:r>
    </w:p>
    <w:p>
      <w:pPr>
        <w:pStyle w:val="Heading2"/>
        <w:keepNext/>
      </w:pPr>
      <w:r>
        <w:rPr>
          <w:rFonts w:ascii="Arial" w:hAnsi="Arial" w:cs="Arial"/>
          <w:sz w:val="25"/>
        </w:rPr>
        <w:t>7.3. Liquidaciones complementarias y rectificaciones</w:t>
      </w:r>
    </w:p>
    <w:p>
      <w:pPr>
        <w:jc w:val="both"/>
      </w:pPr>
      <w:r>
        <w:rPr>
          <w:rFonts w:ascii="Arial" w:hAnsi="Arial" w:cs="Arial"/>
          <w:sz w:val="22"/>
        </w:rPr>
        <w:t>Procede liquidación complementaria cuando, tras una liquidación ordinaria, aparecen salarios retroactivos, diferencias de convenio, errores, incrementos con efectos anteriores o conceptos que debieron cotizar. El período al que se imputan depende del devengo y de la norma que reconoce la retribución.</w:t>
      </w:r>
    </w:p>
    <w:p>
      <w:pPr>
        <w:jc w:val="both"/>
      </w:pPr>
      <w:r>
        <w:rPr>
          <w:rFonts w:ascii="Arial" w:hAnsi="Arial" w:cs="Arial"/>
          <w:sz w:val="22"/>
        </w:rPr>
        <w:t>Si la empresa detecta un error puede solicitar rectificación dentro del plazo aplicable. Si produjo ingreso superior, podrá instar devolución; si generó defecto, debe completar la deuda, con recargos si terminó el plazo. La rectificación no autoriza a alterar datos de afiliación ficticiamente para obtener un resultado más favorable.</w:t>
      </w:r>
    </w:p>
    <w:p>
      <w:pPr>
        <w:pStyle w:val="Heading1"/>
        <w:keepNext/>
      </w:pPr>
      <w:r>
        <w:rPr>
          <w:rFonts w:ascii="Arial" w:hAnsi="Arial" w:cs="Arial"/>
          <w:sz w:val="30"/>
        </w:rPr>
        <w:t>8. Supuestos especiales del Régimen General</w:t>
      </w:r>
    </w:p>
    <w:p>
      <w:pPr>
        <w:pStyle w:val="Heading2"/>
        <w:keepNext/>
      </w:pPr>
      <w:r>
        <w:rPr>
          <w:rFonts w:ascii="Arial" w:hAnsi="Arial" w:cs="Arial"/>
          <w:sz w:val="25"/>
        </w:rPr>
        <w:t>8.1. Incapacidad temporal y situaciones familiares protegidas</w:t>
      </w:r>
    </w:p>
    <w:p>
      <w:pPr>
        <w:jc w:val="both"/>
      </w:pPr>
      <w:r>
        <w:rPr>
          <w:rFonts w:ascii="Arial" w:hAnsi="Arial" w:cs="Arial"/>
          <w:sz w:val="22"/>
        </w:rPr>
        <w:t>La obligación continúa durante incapacidad temporal, riesgos durante embarazo y lactancia, nacimiento y cuidado de menor y ejercicio corresponsable del cuidado del lactante. La Orden PJC/297/2026 parte, según el caso, de la base del mes de referencia y la convierte en base diaria. Si el trabajador ingresó en la empresa en el mismo mes, se utilizan los datos de ese período.</w:t>
      </w:r>
    </w:p>
    <w:p>
      <w:pPr>
        <w:jc w:val="both"/>
      </w:pPr>
      <w:r>
        <w:rPr>
          <w:rFonts w:ascii="Arial" w:hAnsi="Arial" w:cs="Arial"/>
          <w:sz w:val="22"/>
        </w:rPr>
        <w:t>Para nacimiento y cuidado de menor, la orden atiende a la base del mes anterior al mes previo al hecho causante, conforme a la configuración vigente. En disfrute a tiempo parcial se suman:</w:t>
      </w:r>
    </w:p>
    <w:p>
      <w:pPr>
        <w:pStyle w:val="ListBullet"/>
      </w:pPr>
      <w:r>
        <w:rPr>
          <w:rFonts w:ascii="Arial" w:hAnsi="Arial" w:cs="Arial"/>
          <w:sz w:val="22"/>
        </w:rPr>
        <w:t>la base reguladora del subsidio en proporción al descanso;</w:t>
      </w:r>
    </w:p>
    <w:p>
      <w:pPr>
        <w:pStyle w:val="ListBullet"/>
      </w:pPr>
      <w:r>
        <w:rPr>
          <w:rFonts w:ascii="Arial" w:hAnsi="Arial" w:cs="Arial"/>
          <w:sz w:val="22"/>
        </w:rPr>
        <w:t>las remuneraciones sujetas por la jornada efectivamente trabajada.</w:t>
      </w:r>
    </w:p>
    <w:p>
      <w:pPr>
        <w:jc w:val="both"/>
      </w:pPr>
      <w:r>
        <w:rPr>
          <w:rFonts w:ascii="Arial" w:hAnsi="Arial" w:cs="Arial"/>
          <w:sz w:val="22"/>
        </w:rPr>
        <w:t>Salvo excepción legal, la base no puede quedar por debajo de la mínima aplicable. En AT/EP continúa el tipo correspondiente a la actividad u ocupación.</w:t>
      </w:r>
    </w:p>
    <w:p>
      <w:pPr>
        <w:pStyle w:val="Heading2"/>
        <w:keepNext/>
      </w:pPr>
      <w:r>
        <w:rPr>
          <w:rFonts w:ascii="Arial" w:hAnsi="Arial" w:cs="Arial"/>
          <w:sz w:val="25"/>
        </w:rPr>
        <w:t>8.2. Alta sin remuneración</w:t>
      </w:r>
    </w:p>
    <w:p>
      <w:pPr>
        <w:jc w:val="both"/>
      </w:pPr>
      <w:r>
        <w:rPr>
          <w:rFonts w:ascii="Arial" w:hAnsi="Arial" w:cs="Arial"/>
          <w:sz w:val="22"/>
        </w:rPr>
        <w:t>Cuando se mantiene el alta y la obligación sin remuneración computable se toma, para contingencias comunes, la base mínima del grupo profesional; para AT/EP, el tope mínimo. Se aplica proporcionalmente a los días en esa situación. No debe confundirse con una baja real ni extenderse a supuestos con una regla especial diferente.</w:t>
      </w:r>
    </w:p>
    <w:p>
      <w:pPr>
        <w:pStyle w:val="Heading2"/>
        <w:keepNext/>
      </w:pPr>
      <w:r>
        <w:rPr>
          <w:rFonts w:ascii="Arial" w:hAnsi="Arial" w:cs="Arial"/>
          <w:sz w:val="25"/>
        </w:rPr>
        <w:t>8.3. Pluriempleo y pluriactividad</w:t>
      </w:r>
    </w:p>
    <w:p>
      <w:pPr>
        <w:jc w:val="both"/>
      </w:pPr>
      <w:r>
        <w:rPr>
          <w:rFonts w:ascii="Arial" w:hAnsi="Arial" w:cs="Arial"/>
          <w:sz w:val="22"/>
        </w:rPr>
        <w:t xml:space="preserve">Existe </w:t>
      </w:r>
      <w:r>
        <w:rPr>
          <w:rFonts w:ascii="Arial" w:hAnsi="Arial" w:cs="Arial"/>
          <w:b/>
          <w:sz w:val="22"/>
        </w:rPr>
        <w:t>pluriempleo</w:t>
      </w:r>
      <w:r>
        <w:rPr>
          <w:rFonts w:ascii="Arial" w:hAnsi="Arial" w:cs="Arial"/>
          <w:sz w:val="22"/>
        </w:rPr>
        <w:t xml:space="preserve"> cuando se trabaja para dos o más empresas en actividades que originan inclusión en el mismo régimen. El máximo y, cuando corresponde, el mínimo se distribuyen entre empresas en proporción a las remuneraciones. La TGSS realiza o rectifica la distribución a instancia de parte o de oficio. Cada empresa cotiza por su parte, sin que el trabajador pueda elegir concentrar todo el máximo en una sola.</w:t>
      </w:r>
    </w:p>
    <w:p>
      <w:pPr>
        <w:jc w:val="both"/>
      </w:pPr>
      <w:r>
        <w:rPr>
          <w:rFonts w:ascii="Arial" w:hAnsi="Arial" w:cs="Arial"/>
          <w:sz w:val="22"/>
        </w:rPr>
        <w:t xml:space="preserve">La </w:t>
      </w:r>
      <w:r>
        <w:rPr>
          <w:rFonts w:ascii="Arial" w:hAnsi="Arial" w:cs="Arial"/>
          <w:b/>
          <w:sz w:val="22"/>
        </w:rPr>
        <w:t>pluriactividad</w:t>
      </w:r>
      <w:r>
        <w:rPr>
          <w:rFonts w:ascii="Arial" w:hAnsi="Arial" w:cs="Arial"/>
          <w:sz w:val="22"/>
        </w:rPr>
        <w:t xml:space="preserve"> supone alta obligatoria en dos o más regímenes distintos. No se distribuye sin más un único tope entre ellos. En RETA puede existir reintegro de parte del exceso de cotizaciones por contingencias comunes en los términos y límites anuales.</w:t>
      </w:r>
    </w:p>
    <w:p>
      <w:pPr>
        <w:pStyle w:val="Heading2"/>
        <w:keepNext/>
      </w:pPr>
      <w:r>
        <w:rPr>
          <w:rFonts w:ascii="Arial" w:hAnsi="Arial" w:cs="Arial"/>
          <w:sz w:val="25"/>
        </w:rPr>
        <w:t>8.4. Trabajo a tiempo parcial</w:t>
      </w:r>
    </w:p>
    <w:p>
      <w:pPr>
        <w:jc w:val="both"/>
      </w:pPr>
      <w:r>
        <w:rPr>
          <w:rFonts w:ascii="Arial" w:hAnsi="Arial" w:cs="Arial"/>
          <w:sz w:val="22"/>
        </w:rPr>
        <w:t>La base se determina por las retribuciones efectivamente percibidas por horas ordinarias y complementarias, más prorratas computables. En 2026 las bases mínimas por hora son:</w:t>
      </w:r>
    </w:p>
    <w:tbl>
      <w:tblPr>
        <w:tblStyle w:val="TableGrid"/>
        <w:tblW w:type="dxa" w:w="9026"/>
        <w:jc w:val="left"/>
        <w:tblLayout w:type="fixed"/>
        <w:tblLook w:firstColumn="1" w:firstRow="1" w:lastColumn="0" w:lastRow="0" w:noHBand="0" w:noVBand="1" w:val="04A0"/>
        <w:tblInd w:w="120" w:type="dxa"/>
      </w:tblPr>
      <w:tblGrid>
        <w:gridCol w:w="3438"/>
        <w:gridCol w:w="5588"/>
      </w:tblGrid>
      <w:tr>
        <w:trPr>
          <w:tblHeader w:val="true"/>
        </w:trPr>
        <w:tc>
          <w:tcPr>
            <w:tcW w:type="dxa" w:w="34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Grupo</w:t>
            </w:r>
          </w:p>
        </w:tc>
        <w:tc>
          <w:tcPr>
            <w:tcW w:type="dxa" w:w="558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Mínimo por hora</w:t>
            </w:r>
          </w:p>
        </w:tc>
      </w:tr>
      <w:tr>
        <w:tc>
          <w:tcPr>
            <w:tcW w:type="dxa" w:w="3438"/>
            <w:tcMar>
              <w:top w:w="80" w:type="dxa"/>
              <w:start w:w="120" w:type="dxa"/>
              <w:bottom w:w="80" w:type="dxa"/>
              <w:end w:w="120" w:type="dxa"/>
            </w:tcMar>
            <w:vAlign w:val="center"/>
          </w:tcPr>
          <w:p>
            <w:pPr>
              <w:spacing w:before="0" w:after="0" w:line="240" w:lineRule="auto"/>
              <w:jc w:val="left"/>
            </w:pPr>
            <w:r/>
            <w:r>
              <w:rPr>
                <w:rFonts w:ascii="Arial" w:hAnsi="Arial" w:cs="Arial"/>
                <w:sz w:val="18"/>
              </w:rPr>
              <w:t>1</w:t>
            </w:r>
          </w:p>
        </w:tc>
        <w:tc>
          <w:tcPr>
            <w:tcW w:type="dxa" w:w="5588"/>
            <w:tcMar>
              <w:top w:w="80" w:type="dxa"/>
              <w:start w:w="120" w:type="dxa"/>
              <w:bottom w:w="80" w:type="dxa"/>
              <w:end w:w="120" w:type="dxa"/>
            </w:tcMar>
            <w:vAlign w:val="center"/>
          </w:tcPr>
          <w:p>
            <w:pPr>
              <w:spacing w:before="0" w:after="0" w:line="240" w:lineRule="auto"/>
              <w:jc w:val="center"/>
            </w:pPr>
            <w:r/>
            <w:r>
              <w:rPr>
                <w:rFonts w:ascii="Arial" w:hAnsi="Arial" w:cs="Arial"/>
                <w:sz w:val="18"/>
              </w:rPr>
              <w:t>11,98 €</w:t>
            </w:r>
          </w:p>
        </w:tc>
      </w:tr>
      <w:tr>
        <w:tc>
          <w:tcPr>
            <w:tcW w:type="dxa" w:w="3438"/>
            <w:tcMar>
              <w:top w:w="80" w:type="dxa"/>
              <w:start w:w="120" w:type="dxa"/>
              <w:bottom w:w="80" w:type="dxa"/>
              <w:end w:w="120" w:type="dxa"/>
            </w:tcMar>
            <w:vAlign w:val="center"/>
          </w:tcPr>
          <w:p>
            <w:pPr>
              <w:spacing w:before="0" w:after="0" w:line="240" w:lineRule="auto"/>
              <w:jc w:val="left"/>
            </w:pPr>
            <w:r/>
            <w:r>
              <w:rPr>
                <w:rFonts w:ascii="Arial" w:hAnsi="Arial" w:cs="Arial"/>
                <w:sz w:val="18"/>
              </w:rPr>
              <w:t>2</w:t>
            </w:r>
          </w:p>
        </w:tc>
        <w:tc>
          <w:tcPr>
            <w:tcW w:type="dxa" w:w="5588"/>
            <w:tcMar>
              <w:top w:w="80" w:type="dxa"/>
              <w:start w:w="120" w:type="dxa"/>
              <w:bottom w:w="80" w:type="dxa"/>
              <w:end w:w="120" w:type="dxa"/>
            </w:tcMar>
            <w:vAlign w:val="center"/>
          </w:tcPr>
          <w:p>
            <w:pPr>
              <w:spacing w:before="0" w:after="0" w:line="240" w:lineRule="auto"/>
              <w:jc w:val="center"/>
            </w:pPr>
            <w:r/>
            <w:r>
              <w:rPr>
                <w:rFonts w:ascii="Arial" w:hAnsi="Arial" w:cs="Arial"/>
                <w:sz w:val="18"/>
              </w:rPr>
              <w:t>9,94 €</w:t>
            </w:r>
          </w:p>
        </w:tc>
      </w:tr>
      <w:tr>
        <w:tc>
          <w:tcPr>
            <w:tcW w:type="dxa" w:w="3438"/>
            <w:tcMar>
              <w:top w:w="80" w:type="dxa"/>
              <w:start w:w="120" w:type="dxa"/>
              <w:bottom w:w="80" w:type="dxa"/>
              <w:end w:w="120" w:type="dxa"/>
            </w:tcMar>
            <w:vAlign w:val="center"/>
          </w:tcPr>
          <w:p>
            <w:pPr>
              <w:spacing w:before="0" w:after="0" w:line="240" w:lineRule="auto"/>
              <w:jc w:val="left"/>
            </w:pPr>
            <w:r/>
            <w:r>
              <w:rPr>
                <w:rFonts w:ascii="Arial" w:hAnsi="Arial" w:cs="Arial"/>
                <w:sz w:val="18"/>
              </w:rPr>
              <w:t>3</w:t>
            </w:r>
          </w:p>
        </w:tc>
        <w:tc>
          <w:tcPr>
            <w:tcW w:type="dxa" w:w="5588"/>
            <w:tcMar>
              <w:top w:w="80" w:type="dxa"/>
              <w:start w:w="120" w:type="dxa"/>
              <w:bottom w:w="80" w:type="dxa"/>
              <w:end w:w="120" w:type="dxa"/>
            </w:tcMar>
            <w:vAlign w:val="center"/>
          </w:tcPr>
          <w:p>
            <w:pPr>
              <w:spacing w:before="0" w:after="0" w:line="240" w:lineRule="auto"/>
              <w:jc w:val="center"/>
            </w:pPr>
            <w:r/>
            <w:r>
              <w:rPr>
                <w:rFonts w:ascii="Arial" w:hAnsi="Arial" w:cs="Arial"/>
                <w:sz w:val="18"/>
              </w:rPr>
              <w:t>8,65 €</w:t>
            </w:r>
          </w:p>
        </w:tc>
      </w:tr>
      <w:tr>
        <w:tc>
          <w:tcPr>
            <w:tcW w:type="dxa" w:w="3438"/>
            <w:tcMar>
              <w:top w:w="80" w:type="dxa"/>
              <w:start w:w="120" w:type="dxa"/>
              <w:bottom w:w="80" w:type="dxa"/>
              <w:end w:w="120" w:type="dxa"/>
            </w:tcMar>
            <w:vAlign w:val="center"/>
          </w:tcPr>
          <w:p>
            <w:pPr>
              <w:spacing w:before="0" w:after="0" w:line="240" w:lineRule="auto"/>
              <w:jc w:val="left"/>
            </w:pPr>
            <w:r/>
            <w:r>
              <w:rPr>
                <w:rFonts w:ascii="Arial" w:hAnsi="Arial" w:cs="Arial"/>
                <w:sz w:val="18"/>
              </w:rPr>
              <w:t>4 a 11</w:t>
            </w:r>
          </w:p>
        </w:tc>
        <w:tc>
          <w:tcPr>
            <w:tcW w:type="dxa" w:w="5588"/>
            <w:tcMar>
              <w:top w:w="80" w:type="dxa"/>
              <w:start w:w="120" w:type="dxa"/>
              <w:bottom w:w="80" w:type="dxa"/>
              <w:end w:w="120" w:type="dxa"/>
            </w:tcMar>
            <w:vAlign w:val="center"/>
          </w:tcPr>
          <w:p>
            <w:pPr>
              <w:spacing w:before="0" w:after="0" w:line="240" w:lineRule="auto"/>
              <w:jc w:val="center"/>
            </w:pPr>
            <w:r/>
            <w:r>
              <w:rPr>
                <w:rFonts w:ascii="Arial" w:hAnsi="Arial" w:cs="Arial"/>
                <w:sz w:val="18"/>
              </w:rPr>
              <w:t>8,58 €</w:t>
            </w:r>
          </w:p>
        </w:tc>
      </w:tr>
    </w:tbl>
    <w:p>
      <w:pPr>
        <w:spacing w:after="40"/>
      </w:pPr>
    </w:p>
    <w:p>
      <w:pPr>
        <w:jc w:val="both"/>
      </w:pPr>
      <w:r>
        <w:rPr>
          <w:rFonts w:ascii="Arial" w:hAnsi="Arial" w:cs="Arial"/>
          <w:sz w:val="22"/>
        </w:rPr>
        <w:t>La base mínima mensual es el mínimo horario multiplicado por las horas realmente trabajadas. Para AT/EP y conceptos conjuntos, la base no puede ser inferior a 8,58 euros por hora, salvo regla especial. Las horas complementarias se integran ordinariamente; las extraordinarias solo pueden realizarse en los casos permitidos, como fuerza mayor, y siguen su cotización adicional.</w:t>
      </w:r>
    </w:p>
    <w:p>
      <w:pPr>
        <w:pStyle w:val="Heading2"/>
        <w:keepNext/>
      </w:pPr>
      <w:r>
        <w:rPr>
          <w:rFonts w:ascii="Arial" w:hAnsi="Arial" w:cs="Arial"/>
          <w:sz w:val="25"/>
        </w:rPr>
        <w:t>8.5. Contratos de duración determinada inferior a treinta días</w:t>
      </w:r>
    </w:p>
    <w:p>
      <w:pPr>
        <w:jc w:val="both"/>
      </w:pPr>
      <w:r>
        <w:rPr>
          <w:rFonts w:ascii="Arial" w:hAnsi="Arial" w:cs="Arial"/>
          <w:sz w:val="22"/>
        </w:rPr>
        <w:t xml:space="preserve">Al finalizar un contrato de duración determinada inferior a treinta días se devenga en 2026 una cotización adicional empresarial de </w:t>
      </w:r>
      <w:r>
        <w:rPr>
          <w:rFonts w:ascii="Arial" w:hAnsi="Arial" w:cs="Arial"/>
          <w:b/>
          <w:sz w:val="22"/>
        </w:rPr>
        <w:t>33,62 euros</w:t>
      </w:r>
      <w:r>
        <w:rPr>
          <w:rFonts w:ascii="Arial" w:hAnsi="Arial" w:cs="Arial"/>
          <w:sz w:val="22"/>
        </w:rPr>
        <w:t>. No se prorratea como un tipo ordinario y puede generarse cada vez que finaliza un contrato sujeto.</w:t>
      </w:r>
    </w:p>
    <w:p>
      <w:pPr>
        <w:jc w:val="both"/>
      </w:pPr>
      <w:r>
        <w:rPr>
          <w:rFonts w:ascii="Arial" w:hAnsi="Arial" w:cs="Arial"/>
          <w:sz w:val="22"/>
        </w:rPr>
        <w:t>No se aplica a los contratos excluidos legalmente, entre otros los celebrados en los sistemas especiales agrario y de empleados de hogar, el Régimen Especial de Minería del Carbón, la relación laboral especial de artistas y actividades técnicas o auxiliares asociadas, ni a los contratos por sustitución.</w:t>
      </w:r>
    </w:p>
    <w:p>
      <w:pPr>
        <w:pStyle w:val="Heading2"/>
        <w:keepNext/>
      </w:pPr>
      <w:r>
        <w:rPr>
          <w:rFonts w:ascii="Arial" w:hAnsi="Arial" w:cs="Arial"/>
          <w:sz w:val="25"/>
        </w:rPr>
        <w:t>8.6. Vacaciones devengadas y no disfrutadas</w:t>
      </w:r>
    </w:p>
    <w:p>
      <w:pPr>
        <w:jc w:val="both"/>
      </w:pPr>
      <w:r>
        <w:rPr>
          <w:rFonts w:ascii="Arial" w:hAnsi="Arial" w:cs="Arial"/>
          <w:sz w:val="22"/>
        </w:rPr>
        <w:t>Las percepciones correspondientes a vacaciones devengadas y no disfrutadas al finalizar la relación laboral son objeto de liquidación y cotización complementaria. La cotización comprende los días de duración de esas vacaciones, aunque la relación se haya extinguido, y puede proyectarse al mes siguiente con sus topes. Durante ese período no se crea una nueva relación laboral, pero sí se mantiene la cotización asociada a la remuneración.</w:t>
      </w:r>
    </w:p>
    <w:p>
      <w:pPr>
        <w:pStyle w:val="Heading1"/>
        <w:keepNext/>
      </w:pPr>
      <w:r>
        <w:rPr>
          <w:rFonts w:ascii="Arial" w:hAnsi="Arial" w:cs="Arial"/>
          <w:sz w:val="30"/>
        </w:rPr>
        <w:t>9. Sistemas especiales y colectivos con reglas propias</w:t>
      </w:r>
    </w:p>
    <w:p>
      <w:pPr>
        <w:pStyle w:val="Heading2"/>
        <w:keepNext/>
      </w:pPr>
      <w:r>
        <w:rPr>
          <w:rFonts w:ascii="Arial" w:hAnsi="Arial" w:cs="Arial"/>
          <w:sz w:val="25"/>
        </w:rPr>
        <w:t>9.1. Artistas y profesionales taurinos</w:t>
      </w:r>
    </w:p>
    <w:p>
      <w:pPr>
        <w:jc w:val="both"/>
      </w:pPr>
      <w:r>
        <w:rPr>
          <w:rFonts w:ascii="Arial" w:hAnsi="Arial" w:cs="Arial"/>
          <w:sz w:val="22"/>
        </w:rPr>
        <w:t>Para artistas, el tope anual deriva de elevar a cómputo anual el máximo mensual. En 2026 la base máxima mensual es 5.101,20 euros. Las bases diarias a cuenta, según retribución íntegra por actuación, son:</w:t>
      </w:r>
    </w:p>
    <w:tbl>
      <w:tblPr>
        <w:tblStyle w:val="TableGrid"/>
        <w:tblW w:type="dxa" w:w="9026"/>
        <w:jc w:val="left"/>
        <w:tblLayout w:type="fixed"/>
        <w:tblLook w:firstColumn="1" w:firstRow="1" w:lastColumn="0" w:lastRow="0" w:noHBand="0" w:noVBand="1" w:val="04A0"/>
        <w:tblInd w:w="120" w:type="dxa"/>
      </w:tblPr>
      <w:tblGrid>
        <w:gridCol w:w="4642"/>
        <w:gridCol w:w="4384"/>
      </w:tblGrid>
      <w:tr>
        <w:trPr>
          <w:tblHeader w:val="true"/>
        </w:trPr>
        <w:tc>
          <w:tcPr>
            <w:tcW w:type="dxa" w:w="464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Retribución íntegra</w:t>
            </w:r>
          </w:p>
        </w:tc>
        <w:tc>
          <w:tcPr>
            <w:tcW w:type="dxa" w:w="438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Base diaria a cuenta</w:t>
            </w:r>
          </w:p>
        </w:tc>
      </w:tr>
      <w:tr>
        <w:tc>
          <w:tcPr>
            <w:tcW w:type="dxa" w:w="4642"/>
            <w:tcMar>
              <w:top w:w="80" w:type="dxa"/>
              <w:start w:w="120" w:type="dxa"/>
              <w:bottom w:w="80" w:type="dxa"/>
              <w:end w:w="120" w:type="dxa"/>
            </w:tcMar>
            <w:vAlign w:val="center"/>
          </w:tcPr>
          <w:p>
            <w:pPr>
              <w:spacing w:before="0" w:after="0" w:line="240" w:lineRule="auto"/>
              <w:jc w:val="left"/>
            </w:pPr>
            <w:r/>
            <w:r>
              <w:rPr>
                <w:rFonts w:ascii="Arial" w:hAnsi="Arial" w:cs="Arial"/>
                <w:sz w:val="18"/>
              </w:rPr>
              <w:t>Hasta 577,00 €</w:t>
            </w:r>
          </w:p>
        </w:tc>
        <w:tc>
          <w:tcPr>
            <w:tcW w:type="dxa" w:w="4384"/>
            <w:tcMar>
              <w:top w:w="80" w:type="dxa"/>
              <w:start w:w="120" w:type="dxa"/>
              <w:bottom w:w="80" w:type="dxa"/>
              <w:end w:w="120" w:type="dxa"/>
            </w:tcMar>
            <w:vAlign w:val="center"/>
          </w:tcPr>
          <w:p>
            <w:pPr>
              <w:spacing w:before="0" w:after="0" w:line="240" w:lineRule="auto"/>
              <w:jc w:val="center"/>
            </w:pPr>
            <w:r/>
            <w:r>
              <w:rPr>
                <w:rFonts w:ascii="Arial" w:hAnsi="Arial" w:cs="Arial"/>
                <w:sz w:val="18"/>
              </w:rPr>
              <w:t>340,00 €</w:t>
            </w:r>
          </w:p>
        </w:tc>
      </w:tr>
      <w:tr>
        <w:tc>
          <w:tcPr>
            <w:tcW w:type="dxa" w:w="4642"/>
            <w:tcMar>
              <w:top w:w="80" w:type="dxa"/>
              <w:start w:w="120" w:type="dxa"/>
              <w:bottom w:w="80" w:type="dxa"/>
              <w:end w:w="120" w:type="dxa"/>
            </w:tcMar>
            <w:vAlign w:val="center"/>
          </w:tcPr>
          <w:p>
            <w:pPr>
              <w:spacing w:before="0" w:after="0" w:line="240" w:lineRule="auto"/>
              <w:jc w:val="left"/>
            </w:pPr>
            <w:r/>
            <w:r>
              <w:rPr>
                <w:rFonts w:ascii="Arial" w:hAnsi="Arial" w:cs="Arial"/>
                <w:sz w:val="18"/>
              </w:rPr>
              <w:t>577,01 a 1.038,00 €</w:t>
            </w:r>
          </w:p>
        </w:tc>
        <w:tc>
          <w:tcPr>
            <w:tcW w:type="dxa" w:w="4384"/>
            <w:tcMar>
              <w:top w:w="80" w:type="dxa"/>
              <w:start w:w="120" w:type="dxa"/>
              <w:bottom w:w="80" w:type="dxa"/>
              <w:end w:w="120" w:type="dxa"/>
            </w:tcMar>
            <w:vAlign w:val="center"/>
          </w:tcPr>
          <w:p>
            <w:pPr>
              <w:spacing w:before="0" w:after="0" w:line="240" w:lineRule="auto"/>
              <w:jc w:val="center"/>
            </w:pPr>
            <w:r/>
            <w:r>
              <w:rPr>
                <w:rFonts w:ascii="Arial" w:hAnsi="Arial" w:cs="Arial"/>
                <w:sz w:val="18"/>
              </w:rPr>
              <w:t>428,00 €</w:t>
            </w:r>
          </w:p>
        </w:tc>
      </w:tr>
      <w:tr>
        <w:tc>
          <w:tcPr>
            <w:tcW w:type="dxa" w:w="4642"/>
            <w:tcMar>
              <w:top w:w="80" w:type="dxa"/>
              <w:start w:w="120" w:type="dxa"/>
              <w:bottom w:w="80" w:type="dxa"/>
              <w:end w:w="120" w:type="dxa"/>
            </w:tcMar>
            <w:vAlign w:val="center"/>
          </w:tcPr>
          <w:p>
            <w:pPr>
              <w:spacing w:before="0" w:after="0" w:line="240" w:lineRule="auto"/>
              <w:jc w:val="left"/>
            </w:pPr>
            <w:r/>
            <w:r>
              <w:rPr>
                <w:rFonts w:ascii="Arial" w:hAnsi="Arial" w:cs="Arial"/>
                <w:sz w:val="18"/>
              </w:rPr>
              <w:t>1.038,01 a 1.737,00 €</w:t>
            </w:r>
          </w:p>
        </w:tc>
        <w:tc>
          <w:tcPr>
            <w:tcW w:type="dxa" w:w="4384"/>
            <w:tcMar>
              <w:top w:w="80" w:type="dxa"/>
              <w:start w:w="120" w:type="dxa"/>
              <w:bottom w:w="80" w:type="dxa"/>
              <w:end w:w="120" w:type="dxa"/>
            </w:tcMar>
            <w:vAlign w:val="center"/>
          </w:tcPr>
          <w:p>
            <w:pPr>
              <w:spacing w:before="0" w:after="0" w:line="240" w:lineRule="auto"/>
              <w:jc w:val="center"/>
            </w:pPr>
            <w:r/>
            <w:r>
              <w:rPr>
                <w:rFonts w:ascii="Arial" w:hAnsi="Arial" w:cs="Arial"/>
                <w:sz w:val="18"/>
              </w:rPr>
              <w:t>511,00 €</w:t>
            </w:r>
          </w:p>
        </w:tc>
      </w:tr>
      <w:tr>
        <w:tc>
          <w:tcPr>
            <w:tcW w:type="dxa" w:w="4642"/>
            <w:tcMar>
              <w:top w:w="80" w:type="dxa"/>
              <w:start w:w="120" w:type="dxa"/>
              <w:bottom w:w="80" w:type="dxa"/>
              <w:end w:w="120" w:type="dxa"/>
            </w:tcMar>
            <w:vAlign w:val="center"/>
          </w:tcPr>
          <w:p>
            <w:pPr>
              <w:spacing w:before="0" w:after="0" w:line="240" w:lineRule="auto"/>
              <w:jc w:val="left"/>
            </w:pPr>
            <w:r/>
            <w:r>
              <w:rPr>
                <w:rFonts w:ascii="Arial" w:hAnsi="Arial" w:cs="Arial"/>
                <w:sz w:val="18"/>
              </w:rPr>
              <w:t>Desde 1.737,01 €</w:t>
            </w:r>
          </w:p>
        </w:tc>
        <w:tc>
          <w:tcPr>
            <w:tcW w:type="dxa" w:w="4384"/>
            <w:tcMar>
              <w:top w:w="80" w:type="dxa"/>
              <w:start w:w="120" w:type="dxa"/>
              <w:bottom w:w="80" w:type="dxa"/>
              <w:end w:w="120" w:type="dxa"/>
            </w:tcMar>
            <w:vAlign w:val="center"/>
          </w:tcPr>
          <w:p>
            <w:pPr>
              <w:spacing w:before="0" w:after="0" w:line="240" w:lineRule="auto"/>
              <w:jc w:val="center"/>
            </w:pPr>
            <w:r/>
            <w:r>
              <w:rPr>
                <w:rFonts w:ascii="Arial" w:hAnsi="Arial" w:cs="Arial"/>
                <w:sz w:val="18"/>
              </w:rPr>
              <w:t>678,60 €</w:t>
            </w:r>
          </w:p>
        </w:tc>
      </w:tr>
    </w:tbl>
    <w:p>
      <w:pPr>
        <w:spacing w:after="40"/>
      </w:pPr>
    </w:p>
    <w:p>
      <w:pPr>
        <w:jc w:val="both"/>
      </w:pPr>
      <w:r>
        <w:rPr>
          <w:rFonts w:ascii="Arial" w:hAnsi="Arial" w:cs="Arial"/>
          <w:sz w:val="22"/>
        </w:rPr>
        <w:t>Después se practica regularización anual. Durante la inactividad con alta voluntaria se aplica la base mínima del grupo 7 y el tipo del 11,50 %. Los profesionales taurinos disponen igualmente de bases provisionales por grupo y regularización anual.</w:t>
      </w:r>
    </w:p>
    <w:p>
      <w:pPr>
        <w:jc w:val="both"/>
      </w:pPr>
      <w:r>
        <w:rPr>
          <w:rFonts w:ascii="Arial" w:hAnsi="Arial" w:cs="Arial"/>
          <w:sz w:val="22"/>
        </w:rPr>
        <w:t>La solidaridad presenta reglas adaptadas: para artistas puede ser definitiva para la empresa y provisional para el trabajador, regularizándose con las restantes cotizaciones; en taurinos se regulariza según su régimen específico.</w:t>
      </w:r>
    </w:p>
    <w:p>
      <w:pPr>
        <w:pStyle w:val="Heading2"/>
        <w:keepNext/>
      </w:pPr>
      <w:r>
        <w:rPr>
          <w:rFonts w:ascii="Arial" w:hAnsi="Arial" w:cs="Arial"/>
          <w:sz w:val="25"/>
        </w:rPr>
        <w:t>9.2. Sistema Especial Agrario por cuenta ajena</w:t>
      </w:r>
    </w:p>
    <w:p>
      <w:pPr>
        <w:jc w:val="both"/>
      </w:pPr>
      <w:r>
        <w:rPr>
          <w:rFonts w:ascii="Arial" w:hAnsi="Arial" w:cs="Arial"/>
          <w:sz w:val="22"/>
        </w:rPr>
        <w:t>Durante actividad puede cotizarse por bases mensuales o por jornadas reales según los supuestos. Para trabajadores indefinidos la modalidad mensual es obligatoria, salvo fijos discontinuos, para quienes puede ser opcional. En 2026 se aplican bases mínimas vinculadas a los grupos, máximo 5.101,20 y tipos específicos:</w:t>
      </w:r>
    </w:p>
    <w:p>
      <w:pPr>
        <w:pStyle w:val="ListBullet"/>
      </w:pPr>
      <w:r>
        <w:rPr>
          <w:rFonts w:ascii="Arial" w:hAnsi="Arial" w:cs="Arial"/>
          <w:sz w:val="22"/>
        </w:rPr>
        <w:t>grupo 1 por contingencias comunes: 28,30 %, distribuido 23,60 y 4,70;</w:t>
      </w:r>
    </w:p>
    <w:p>
      <w:pPr>
        <w:pStyle w:val="ListBullet"/>
      </w:pPr>
      <w:r>
        <w:rPr>
          <w:rFonts w:ascii="Arial" w:hAnsi="Arial" w:cs="Arial"/>
          <w:sz w:val="22"/>
        </w:rPr>
        <w:t>grupos 2 a 11: 25,90 %, distribuido 21,20 y 4,70;</w:t>
      </w:r>
    </w:p>
    <w:p>
      <w:pPr>
        <w:pStyle w:val="ListBullet"/>
      </w:pPr>
      <w:r>
        <w:rPr>
          <w:rFonts w:ascii="Arial" w:hAnsi="Arial" w:cs="Arial"/>
          <w:sz w:val="22"/>
        </w:rPr>
        <w:t>durante inactividad: 11,50 %, a cargo de la persona trabajadora.</w:t>
      </w:r>
    </w:p>
    <w:p>
      <w:pPr>
        <w:jc w:val="both"/>
      </w:pPr>
      <w:r>
        <w:rPr>
          <w:rFonts w:ascii="Arial" w:hAnsi="Arial" w:cs="Arial"/>
          <w:sz w:val="22"/>
        </w:rPr>
        <w:t>Las reducciones empresariales y las reglas de días de inactividad se aplican según la disposición transitoria decimoctava TRLGSS y la orden anual. No debe trasladarse mecánicamente el tipo común del Régimen General a todos los grupos agrarios.</w:t>
      </w:r>
    </w:p>
    <w:p>
      <w:pPr>
        <w:pStyle w:val="Heading2"/>
        <w:keepNext/>
      </w:pPr>
      <w:r>
        <w:rPr>
          <w:rFonts w:ascii="Arial" w:hAnsi="Arial" w:cs="Arial"/>
          <w:sz w:val="25"/>
        </w:rPr>
        <w:t>9.3. Sistema Especial de Empleados de Hogar</w:t>
      </w:r>
    </w:p>
    <w:p>
      <w:pPr>
        <w:jc w:val="both"/>
      </w:pPr>
      <w:r>
        <w:rPr>
          <w:rFonts w:ascii="Arial" w:hAnsi="Arial" w:cs="Arial"/>
          <w:sz w:val="22"/>
        </w:rPr>
        <w:t>La cotización se articula mediante tramos de retribución y bases fijadas para el ejercicio. Desde el tramo superior se atiende a la retribución mensual en los términos legales, con el límite máximo. El empleador es responsable del ingreso, aunque existan reglas de asunción de obligaciones administrativas en supuestos previstos.</w:t>
      </w:r>
    </w:p>
    <w:p>
      <w:pPr>
        <w:jc w:val="both"/>
      </w:pPr>
      <w:r>
        <w:rPr>
          <w:rFonts w:ascii="Arial" w:hAnsi="Arial" w:cs="Arial"/>
          <w:sz w:val="22"/>
        </w:rPr>
        <w:t>Se aplican contingencias comunes, profesionales, desempleo, FOGASA y MEI con las distribuciones específicas. Las reducciones y bonificaciones dependen de los requisitos vigentes. El sistema especial no convierte la relación en trabajo autónomo ni elimina la aportación empresarial.</w:t>
      </w:r>
    </w:p>
    <w:p>
      <w:pPr>
        <w:pStyle w:val="Heading2"/>
        <w:keepNext/>
      </w:pPr>
      <w:r>
        <w:rPr>
          <w:rFonts w:ascii="Arial" w:hAnsi="Arial" w:cs="Arial"/>
          <w:sz w:val="25"/>
        </w:rPr>
        <w:t>9.4. Otros supuestos</w:t>
      </w:r>
    </w:p>
    <w:p>
      <w:pPr>
        <w:jc w:val="both"/>
      </w:pPr>
      <w:r>
        <w:rPr>
          <w:rFonts w:ascii="Arial" w:hAnsi="Arial" w:cs="Arial"/>
          <w:sz w:val="22"/>
        </w:rPr>
        <w:t>Existen reglas propias para manipulado y empaquetado de tomate fresco, representantes de comercio, determinadas exclusiones de contingencias, convenios especiales, perceptores de desempleo, prácticas formativas, personas cuidadoras no profesionales, miembros de corporaciones y otros colectivos. La técnica habitual consiste en:</w:t>
      </w:r>
    </w:p>
    <w:p>
      <w:pPr>
        <w:spacing w:after="40"/>
        <w:ind w:left="369" w:hanging="227"/>
      </w:pPr>
      <w:r>
        <w:rPr>
          <w:rFonts w:ascii="Arial" w:hAnsi="Arial" w:cs="Arial"/>
          <w:sz w:val="22"/>
        </w:rPr>
        <w:t>1. identificar qué contingencias están cubiertas;</w:t>
      </w:r>
    </w:p>
    <w:p>
      <w:pPr>
        <w:spacing w:after="40"/>
        <w:ind w:left="369" w:hanging="227"/>
      </w:pPr>
      <w:r>
        <w:rPr>
          <w:rFonts w:ascii="Arial" w:hAnsi="Arial" w:cs="Arial"/>
          <w:sz w:val="22"/>
        </w:rPr>
        <w:t>2. fijar una base real, convencional o mínima;</w:t>
      </w:r>
    </w:p>
    <w:p>
      <w:pPr>
        <w:spacing w:after="40"/>
        <w:ind w:left="369" w:hanging="227"/>
      </w:pPr>
      <w:r>
        <w:rPr>
          <w:rFonts w:ascii="Arial" w:hAnsi="Arial" w:cs="Arial"/>
          <w:sz w:val="22"/>
        </w:rPr>
        <w:t>3. aplicar tipo íntegro o coeficiente reductor;</w:t>
      </w:r>
    </w:p>
    <w:p>
      <w:pPr>
        <w:spacing w:after="40"/>
        <w:ind w:left="369" w:hanging="227"/>
      </w:pPr>
      <w:r>
        <w:rPr>
          <w:rFonts w:ascii="Arial" w:hAnsi="Arial" w:cs="Arial"/>
          <w:sz w:val="22"/>
        </w:rPr>
        <w:t>4. determinar quién soporta e ingresa la cuota.</w:t>
      </w:r>
    </w:p>
    <w:p>
      <w:pPr>
        <w:jc w:val="both"/>
      </w:pPr>
      <w:r>
        <w:rPr>
          <w:rFonts w:ascii="Arial" w:hAnsi="Arial" w:cs="Arial"/>
          <w:sz w:val="22"/>
        </w:rPr>
        <w:t>Un coeficiente reductor por exclusión de una contingencia no equivale a una bonificación de política de empleo. El primero ajusta la cuota porque una cobertura no se incluye; la bonificación reduce una obligación existente por mandato legal.</w:t>
      </w:r>
    </w:p>
    <w:p>
      <w:pPr>
        <w:pStyle w:val="Heading1"/>
        <w:keepNext/>
      </w:pPr>
      <w:r>
        <w:rPr>
          <w:rFonts w:ascii="Arial" w:hAnsi="Arial" w:cs="Arial"/>
          <w:sz w:val="30"/>
        </w:rPr>
        <w:t>10. Cotización en el RETA y referencia a otros regímenes</w:t>
      </w:r>
    </w:p>
    <w:p>
      <w:pPr>
        <w:jc w:val="both"/>
      </w:pPr>
      <w:r>
        <w:rPr>
          <w:rFonts w:ascii="Arial" w:hAnsi="Arial" w:cs="Arial"/>
          <w:sz w:val="22"/>
        </w:rPr>
        <w:t>Aunque el epígrafe se centra en el Régimen General, las normas comunes exigen conocer la diferencia con el RETA. Desde 2023 la base del autónomo se relaciona con sus rendimientos netos anuales. La base elegida provisionalmente debe quedar dentro del tramo estimado; después, la TGSS regulariza con la información tributaria.</w:t>
      </w:r>
    </w:p>
    <w:p>
      <w:pPr>
        <w:jc w:val="both"/>
      </w:pPr>
      <w:r>
        <w:rPr>
          <w:rFonts w:ascii="Arial" w:hAnsi="Arial" w:cs="Arial"/>
          <w:sz w:val="22"/>
        </w:rPr>
        <w:t xml:space="preserve">Para 2026 la Orden PJC/297/2026 mantiene una tabla reducida y una general por rendimientos y fija </w:t>
      </w:r>
      <w:r>
        <w:rPr>
          <w:rFonts w:ascii="Arial" w:hAnsi="Arial" w:cs="Arial"/>
          <w:b/>
          <w:sz w:val="22"/>
        </w:rPr>
        <w:t>5.101,20 euros mensuales</w:t>
      </w:r>
      <w:r>
        <w:rPr>
          <w:rFonts w:ascii="Arial" w:hAnsi="Arial" w:cs="Arial"/>
          <w:sz w:val="22"/>
        </w:rPr>
        <w:t xml:space="preserve"> como base máxima cualquiera que sea el rendimiento. Los tipos principales son:</w:t>
      </w:r>
    </w:p>
    <w:p>
      <w:pPr>
        <w:pStyle w:val="ListBullet"/>
      </w:pPr>
      <w:r>
        <w:rPr>
          <w:rFonts w:ascii="Arial" w:hAnsi="Arial" w:cs="Arial"/>
          <w:sz w:val="22"/>
        </w:rPr>
        <w:t>contingencias comunes: 28,30 %;</w:t>
      </w:r>
    </w:p>
    <w:p>
      <w:pPr>
        <w:pStyle w:val="ListBullet"/>
      </w:pPr>
      <w:r>
        <w:rPr>
          <w:rFonts w:ascii="Arial" w:hAnsi="Arial" w:cs="Arial"/>
          <w:sz w:val="22"/>
        </w:rPr>
        <w:t>contingencias profesionales: 1,30 %, distribuido en 0,66 para incapacidad temporal y 0,64 para incapacidad permanente y muerte y supervivencia;</w:t>
      </w:r>
    </w:p>
    <w:p>
      <w:pPr>
        <w:pStyle w:val="ListBullet"/>
      </w:pPr>
      <w:r>
        <w:rPr>
          <w:rFonts w:ascii="Arial" w:hAnsi="Arial" w:cs="Arial"/>
          <w:sz w:val="22"/>
        </w:rPr>
        <w:t>MEI: 0,90 %;</w:t>
      </w:r>
    </w:p>
    <w:p>
      <w:pPr>
        <w:pStyle w:val="ListBullet"/>
      </w:pPr>
      <w:r>
        <w:rPr>
          <w:rFonts w:ascii="Arial" w:hAnsi="Arial" w:cs="Arial"/>
          <w:sz w:val="22"/>
        </w:rPr>
        <w:t>cese de actividad: 0,90 %;</w:t>
      </w:r>
    </w:p>
    <w:p>
      <w:pPr>
        <w:pStyle w:val="ListBullet"/>
      </w:pPr>
      <w:r>
        <w:rPr>
          <w:rFonts w:ascii="Arial" w:hAnsi="Arial" w:cs="Arial"/>
          <w:sz w:val="22"/>
        </w:rPr>
        <w:t>formación profesional: 0,10 %.</w:t>
      </w:r>
    </w:p>
    <w:p>
      <w:pPr>
        <w:jc w:val="both"/>
      </w:pPr>
      <w:r>
        <w:rPr>
          <w:rFonts w:ascii="Arial" w:hAnsi="Arial" w:cs="Arial"/>
          <w:sz w:val="22"/>
        </w:rPr>
        <w:t>La regularización puede originar ingreso adicional o devolución. Determinados colectivos conservan bases especiales, transitorias o mínimas, como familiares colaboradores, societarios, altas de oficio o quienes no presentaron declaración fiscal cuando era exigible.</w:t>
      </w:r>
    </w:p>
    <w:p>
      <w:pPr>
        <w:jc w:val="both"/>
      </w:pPr>
      <w:r>
        <w:rPr>
          <w:rFonts w:ascii="Arial" w:hAnsi="Arial" w:cs="Arial"/>
          <w:sz w:val="22"/>
        </w:rPr>
        <w:t>El Régimen del Mar diferencia cuenta ajena y propia y grupos de cotización; la Minería del Carbón utiliza bases normalizadas. No deben confundirse esas bases normalizadas con los límites por grupo del Régimen General.</w:t>
      </w:r>
    </w:p>
    <w:p>
      <w:pPr>
        <w:pStyle w:val="Heading1"/>
        <w:keepNext/>
      </w:pPr>
      <w:r>
        <w:rPr>
          <w:rFonts w:ascii="Arial" w:hAnsi="Arial" w:cs="Arial"/>
          <w:sz w:val="30"/>
        </w:rPr>
        <w:t>11. Bonificaciones, reducciones y compensaciones</w:t>
      </w:r>
    </w:p>
    <w:p>
      <w:pPr>
        <w:jc w:val="both"/>
      </w:pPr>
      <w:r>
        <w:rPr>
          <w:rFonts w:ascii="Arial" w:hAnsi="Arial" w:cs="Arial"/>
          <w:sz w:val="22"/>
        </w:rPr>
        <w:t xml:space="preserve">Una </w:t>
      </w:r>
      <w:r>
        <w:rPr>
          <w:rFonts w:ascii="Arial" w:hAnsi="Arial" w:cs="Arial"/>
          <w:b/>
          <w:sz w:val="22"/>
        </w:rPr>
        <w:t>reducción</w:t>
      </w:r>
      <w:r>
        <w:rPr>
          <w:rFonts w:ascii="Arial" w:hAnsi="Arial" w:cs="Arial"/>
          <w:sz w:val="22"/>
        </w:rPr>
        <w:t xml:space="preserve"> se financia normalmente con cargo al presupuesto de la Seguridad Social; una </w:t>
      </w:r>
      <w:r>
        <w:rPr>
          <w:rFonts w:ascii="Arial" w:hAnsi="Arial" w:cs="Arial"/>
          <w:b/>
          <w:sz w:val="22"/>
        </w:rPr>
        <w:t>bonificación</w:t>
      </w:r>
      <w:r>
        <w:rPr>
          <w:rFonts w:ascii="Arial" w:hAnsi="Arial" w:cs="Arial"/>
          <w:sz w:val="22"/>
        </w:rPr>
        <w:t>, con cargo al presupuesto del servicio público competente de empleo, aunque la normativa concreta determina su régimen. Ambas disminuyen la cuota empresarial o, en casos expresos, otra aportación.</w:t>
      </w:r>
    </w:p>
    <w:p>
      <w:pPr>
        <w:jc w:val="both"/>
      </w:pPr>
      <w:r>
        <w:rPr>
          <w:rFonts w:ascii="Arial" w:hAnsi="Arial" w:cs="Arial"/>
          <w:sz w:val="22"/>
        </w:rPr>
        <w:t>Requisitos habituales:</w:t>
      </w:r>
    </w:p>
    <w:p>
      <w:pPr>
        <w:pStyle w:val="ListBullet"/>
      </w:pPr>
      <w:r>
        <w:rPr>
          <w:rFonts w:ascii="Arial" w:hAnsi="Arial" w:cs="Arial"/>
          <w:sz w:val="22"/>
        </w:rPr>
        <w:t>hallarse al corriente en obligaciones tributarias y de Seguridad Social cuando lo exija la ley;</w:t>
      </w:r>
    </w:p>
    <w:p>
      <w:pPr>
        <w:pStyle w:val="ListBullet"/>
      </w:pPr>
      <w:r>
        <w:rPr>
          <w:rFonts w:ascii="Arial" w:hAnsi="Arial" w:cs="Arial"/>
          <w:sz w:val="22"/>
        </w:rPr>
        <w:t>no estar excluido del acceso a beneficios;</w:t>
      </w:r>
    </w:p>
    <w:p>
      <w:pPr>
        <w:pStyle w:val="ListBullet"/>
      </w:pPr>
      <w:r>
        <w:rPr>
          <w:rFonts w:ascii="Arial" w:hAnsi="Arial" w:cs="Arial"/>
          <w:sz w:val="22"/>
        </w:rPr>
        <w:t>mantener empleo o cumplir la finalidad del incentivo;</w:t>
      </w:r>
    </w:p>
    <w:p>
      <w:pPr>
        <w:pStyle w:val="ListBullet"/>
      </w:pPr>
      <w:r>
        <w:rPr>
          <w:rFonts w:ascii="Arial" w:hAnsi="Arial" w:cs="Arial"/>
          <w:sz w:val="22"/>
        </w:rPr>
        <w:t>comunicar datos y liquidaciones correctamente;</w:t>
      </w:r>
    </w:p>
    <w:p>
      <w:pPr>
        <w:pStyle w:val="ListBullet"/>
      </w:pPr>
      <w:r>
        <w:rPr>
          <w:rFonts w:ascii="Arial" w:hAnsi="Arial" w:cs="Arial"/>
          <w:sz w:val="22"/>
        </w:rPr>
        <w:t>aplicar el beneficio solo a trabajadores, contratos, contingencias y períodos comprendidos.</w:t>
      </w:r>
    </w:p>
    <w:p>
      <w:pPr>
        <w:jc w:val="both"/>
      </w:pPr>
      <w:r>
        <w:rPr>
          <w:rFonts w:ascii="Arial" w:hAnsi="Arial" w:cs="Arial"/>
          <w:sz w:val="22"/>
        </w:rPr>
        <w:t>El pago delegado de una prestación no es bonificación. La empresa anticipa una prestación a cargo de la entidad gestora o colaboradora y compensa su importe en la liquidación. La compensación indebida genera deuda y puede producir responsabilidades adicionales.</w:t>
      </w:r>
    </w:p>
    <w:p>
      <w:pPr>
        <w:pStyle w:val="Heading1"/>
        <w:keepNext/>
      </w:pPr>
      <w:r>
        <w:rPr>
          <w:rFonts w:ascii="Arial" w:hAnsi="Arial" w:cs="Arial"/>
          <w:sz w:val="30"/>
        </w:rPr>
        <w:t>12. Liquidación de otros derechos y deudas</w:t>
      </w:r>
    </w:p>
    <w:p>
      <w:pPr>
        <w:jc w:val="both"/>
      </w:pPr>
      <w:r>
        <w:rPr>
          <w:rFonts w:ascii="Arial" w:hAnsi="Arial" w:cs="Arial"/>
          <w:sz w:val="22"/>
        </w:rPr>
        <w:t>El RGCL no se limita a cuotas ordinarias. La Seguridad Social puede liquidar otros derechos económicos, entre ellos aportaciones o capitales coste cuando la norma atribuye responsabilidad, recargos sobre prestaciones por falta de medidas de seguridad, reintegros de prestaciones indebidamente percibidas, sanciones y otros recursos de derecho público.</w:t>
      </w:r>
    </w:p>
    <w:p>
      <w:pPr>
        <w:jc w:val="both"/>
      </w:pPr>
      <w:r>
        <w:rPr>
          <w:rFonts w:ascii="Arial" w:hAnsi="Arial" w:cs="Arial"/>
          <w:sz w:val="22"/>
        </w:rPr>
        <w:t>La técnica depende de la naturaleza de la deuda:</w:t>
      </w:r>
    </w:p>
    <w:p>
      <w:pPr>
        <w:pStyle w:val="ListBullet"/>
      </w:pPr>
      <w:r>
        <w:rPr>
          <w:rFonts w:ascii="Arial" w:hAnsi="Arial" w:cs="Arial"/>
          <w:sz w:val="22"/>
        </w:rPr>
        <w:t xml:space="preserve">las </w:t>
      </w:r>
      <w:r>
        <w:rPr>
          <w:rFonts w:ascii="Arial" w:hAnsi="Arial" w:cs="Arial"/>
          <w:b/>
          <w:sz w:val="22"/>
        </w:rPr>
        <w:t>cuotas</w:t>
      </w:r>
      <w:r>
        <w:rPr>
          <w:rFonts w:ascii="Arial" w:hAnsi="Arial" w:cs="Arial"/>
          <w:sz w:val="22"/>
        </w:rPr>
        <w:t xml:space="preserve"> se liquidan mediante los sistemas del artículo 22 TRLGSS;</w:t>
      </w:r>
    </w:p>
    <w:p>
      <w:pPr>
        <w:pStyle w:val="ListBullet"/>
      </w:pPr>
      <w:r>
        <w:rPr>
          <w:rFonts w:ascii="Arial" w:hAnsi="Arial" w:cs="Arial"/>
          <w:sz w:val="22"/>
        </w:rPr>
        <w:t xml:space="preserve">las </w:t>
      </w:r>
      <w:r>
        <w:rPr>
          <w:rFonts w:ascii="Arial" w:hAnsi="Arial" w:cs="Arial"/>
          <w:b/>
          <w:sz w:val="22"/>
        </w:rPr>
        <w:t>diferencias</w:t>
      </w:r>
      <w:r>
        <w:rPr>
          <w:rFonts w:ascii="Arial" w:hAnsi="Arial" w:cs="Arial"/>
          <w:sz w:val="22"/>
        </w:rPr>
        <w:t xml:space="preserve"> pueden reclamarse por la TGSS o resultar de acta de liquidación de la Inspección;</w:t>
      </w:r>
    </w:p>
    <w:p>
      <w:pPr>
        <w:pStyle w:val="ListBullet"/>
      </w:pPr>
      <w:r>
        <w:rPr>
          <w:rFonts w:ascii="Arial" w:hAnsi="Arial" w:cs="Arial"/>
          <w:sz w:val="22"/>
        </w:rPr>
        <w:t xml:space="preserve">los </w:t>
      </w:r>
      <w:r>
        <w:rPr>
          <w:rFonts w:ascii="Arial" w:hAnsi="Arial" w:cs="Arial"/>
          <w:b/>
          <w:sz w:val="22"/>
        </w:rPr>
        <w:t>capitales coste</w:t>
      </w:r>
      <w:r>
        <w:rPr>
          <w:rFonts w:ascii="Arial" w:hAnsi="Arial" w:cs="Arial"/>
          <w:sz w:val="22"/>
        </w:rPr>
        <w:t xml:space="preserve"> se calculan actuarialmente cuando una entidad, mutua o empresario resulta responsable;</w:t>
      </w:r>
    </w:p>
    <w:p>
      <w:pPr>
        <w:pStyle w:val="ListBullet"/>
      </w:pPr>
      <w:r>
        <w:rPr>
          <w:rFonts w:ascii="Arial" w:hAnsi="Arial" w:cs="Arial"/>
          <w:sz w:val="22"/>
        </w:rPr>
        <w:t xml:space="preserve">los </w:t>
      </w:r>
      <w:r>
        <w:rPr>
          <w:rFonts w:ascii="Arial" w:hAnsi="Arial" w:cs="Arial"/>
          <w:b/>
          <w:sz w:val="22"/>
        </w:rPr>
        <w:t>reintegros</w:t>
      </w:r>
      <w:r>
        <w:rPr>
          <w:rFonts w:ascii="Arial" w:hAnsi="Arial" w:cs="Arial"/>
          <w:sz w:val="22"/>
        </w:rPr>
        <w:t xml:space="preserve"> parten del acto que declara el cobro indebido;</w:t>
      </w:r>
    </w:p>
    <w:p>
      <w:pPr>
        <w:pStyle w:val="ListBullet"/>
      </w:pPr>
      <w:r>
        <w:rPr>
          <w:rFonts w:ascii="Arial" w:hAnsi="Arial" w:cs="Arial"/>
          <w:sz w:val="22"/>
        </w:rPr>
        <w:t xml:space="preserve">las </w:t>
      </w:r>
      <w:r>
        <w:rPr>
          <w:rFonts w:ascii="Arial" w:hAnsi="Arial" w:cs="Arial"/>
          <w:b/>
          <w:sz w:val="22"/>
        </w:rPr>
        <w:t>sanciones</w:t>
      </w:r>
      <w:r>
        <w:rPr>
          <w:rFonts w:ascii="Arial" w:hAnsi="Arial" w:cs="Arial"/>
          <w:sz w:val="22"/>
        </w:rPr>
        <w:t xml:space="preserve"> nacen de la resolución sancionadora;</w:t>
      </w:r>
    </w:p>
    <w:p>
      <w:pPr>
        <w:pStyle w:val="ListBullet"/>
      </w:pPr>
      <w:r>
        <w:rPr>
          <w:rFonts w:ascii="Arial" w:hAnsi="Arial" w:cs="Arial"/>
          <w:sz w:val="22"/>
        </w:rPr>
        <w:t xml:space="preserve">los </w:t>
      </w:r>
      <w:r>
        <w:rPr>
          <w:rFonts w:ascii="Arial" w:hAnsi="Arial" w:cs="Arial"/>
          <w:b/>
          <w:sz w:val="22"/>
        </w:rPr>
        <w:t>recargos de prestaciones</w:t>
      </w:r>
      <w:r>
        <w:rPr>
          <w:rFonts w:ascii="Arial" w:hAnsi="Arial" w:cs="Arial"/>
          <w:sz w:val="22"/>
        </w:rPr>
        <w:t xml:space="preserve"> derivan de la declaración de responsabilidad correspondiente.</w:t>
      </w:r>
    </w:p>
    <w:p>
      <w:pPr>
        <w:jc w:val="both"/>
      </w:pPr>
      <w:r>
        <w:rPr>
          <w:rFonts w:ascii="Arial" w:hAnsi="Arial" w:cs="Arial"/>
          <w:sz w:val="22"/>
        </w:rPr>
        <w:t>La TGSS recauda muchas de estas deudas, pero no siempre dicta el acto originario. Por ejemplo, una entidad gestora puede declarar una prestación indebida y la Tesorería ejecutar su cobro. Deben distinguirse competencia para reconocer o declarar, competencia para liquidar y competencia para recaudar.</w:t>
      </w:r>
    </w:p>
    <w:p>
      <w:pPr>
        <w:pStyle w:val="Heading2"/>
        <w:keepNext/>
      </w:pPr>
      <w:r>
        <w:rPr>
          <w:rFonts w:ascii="Arial" w:hAnsi="Arial" w:cs="Arial"/>
          <w:sz w:val="25"/>
        </w:rPr>
        <w:t>12.1. Determinación administrativa de cuotas</w:t>
      </w:r>
    </w:p>
    <w:p>
      <w:pPr>
        <w:jc w:val="both"/>
      </w:pPr>
      <w:r>
        <w:rPr>
          <w:rFonts w:ascii="Arial" w:hAnsi="Arial" w:cs="Arial"/>
          <w:sz w:val="22"/>
        </w:rPr>
        <w:t>Cuando los datos suministrados permiten apreciar directamente una diferencia, la TGSS puede formular reclamación de deuda. Si para determinarla es necesaria una actuación inspectora —por ejemplo, trabajadores sin alta, conceptos salariales ocultos o encuadramiento discutido— procede el acta de liquidación en los casos legalmente previstos.</w:t>
      </w:r>
    </w:p>
    <w:p>
      <w:pPr>
        <w:jc w:val="both"/>
      </w:pPr>
      <w:r>
        <w:rPr>
          <w:rFonts w:ascii="Arial" w:hAnsi="Arial" w:cs="Arial"/>
          <w:sz w:val="22"/>
        </w:rPr>
        <w:t>La liquidación administrativa debe expresar período, base, tipo, cuota, recargo y responsable, y ofrecer vías de impugnación. El derecho de la Administración para determinar las deudas por cuotas prescribe, con carácter general, a los cuatro años, sin perjuicio de interrupciones.</w:t>
      </w:r>
    </w:p>
    <w:p>
      <w:pPr>
        <w:pStyle w:val="Heading1"/>
        <w:keepNext/>
      </w:pPr>
      <w:r>
        <w:rPr>
          <w:rFonts w:ascii="Arial" w:hAnsi="Arial" w:cs="Arial"/>
          <w:sz w:val="30"/>
        </w:rPr>
        <w:t>13. Método práctico de resolución</w:t>
      </w:r>
    </w:p>
    <w:p>
      <w:pPr>
        <w:jc w:val="both"/>
      </w:pPr>
      <w:r>
        <w:rPr>
          <w:rFonts w:ascii="Arial" w:hAnsi="Arial" w:cs="Arial"/>
          <w:sz w:val="22"/>
        </w:rPr>
        <w:t>Ante un supuesto de cotización conviene seguir esta secuencia:</w:t>
      </w:r>
    </w:p>
    <w:p>
      <w:pPr>
        <w:spacing w:after="40"/>
        <w:ind w:left="369" w:hanging="227"/>
      </w:pPr>
      <w:r>
        <w:rPr>
          <w:rFonts w:ascii="Arial" w:hAnsi="Arial" w:cs="Arial"/>
          <w:sz w:val="22"/>
        </w:rPr>
        <w:t xml:space="preserve">1. </w:t>
      </w:r>
      <w:r>
        <w:rPr>
          <w:rFonts w:ascii="Arial" w:hAnsi="Arial" w:cs="Arial"/>
          <w:b/>
          <w:sz w:val="22"/>
        </w:rPr>
        <w:t>Encuadramiento:</w:t>
      </w:r>
      <w:r>
        <w:rPr>
          <w:rFonts w:ascii="Arial" w:hAnsi="Arial" w:cs="Arial"/>
          <w:sz w:val="22"/>
        </w:rPr>
        <w:t xml:space="preserve"> régimen, sistema especial, grupo y modalidad contractual.</w:t>
      </w:r>
    </w:p>
    <w:p>
      <w:pPr>
        <w:spacing w:after="40"/>
        <w:ind w:left="369" w:hanging="227"/>
      </w:pPr>
      <w:r>
        <w:rPr>
          <w:rFonts w:ascii="Arial" w:hAnsi="Arial" w:cs="Arial"/>
          <w:sz w:val="22"/>
        </w:rPr>
        <w:t xml:space="preserve">2. </w:t>
      </w:r>
      <w:r>
        <w:rPr>
          <w:rFonts w:ascii="Arial" w:hAnsi="Arial" w:cs="Arial"/>
          <w:b/>
          <w:sz w:val="22"/>
        </w:rPr>
        <w:t>Período:</w:t>
      </w:r>
      <w:r>
        <w:rPr>
          <w:rFonts w:ascii="Arial" w:hAnsi="Arial" w:cs="Arial"/>
          <w:sz w:val="22"/>
        </w:rPr>
        <w:t xml:space="preserve"> días en alta y situaciones con obligación.</w:t>
      </w:r>
    </w:p>
    <w:p>
      <w:pPr>
        <w:spacing w:after="40"/>
        <w:ind w:left="369" w:hanging="227"/>
      </w:pPr>
      <w:r>
        <w:rPr>
          <w:rFonts w:ascii="Arial" w:hAnsi="Arial" w:cs="Arial"/>
          <w:sz w:val="22"/>
        </w:rPr>
        <w:t xml:space="preserve">3. </w:t>
      </w:r>
      <w:r>
        <w:rPr>
          <w:rFonts w:ascii="Arial" w:hAnsi="Arial" w:cs="Arial"/>
          <w:b/>
          <w:sz w:val="22"/>
        </w:rPr>
        <w:t>Remuneración computable:</w:t>
      </w:r>
      <w:r>
        <w:rPr>
          <w:rFonts w:ascii="Arial" w:hAnsi="Arial" w:cs="Arial"/>
          <w:sz w:val="22"/>
        </w:rPr>
        <w:t xml:space="preserve"> metálico, especie, prorratas y exclusiones.</w:t>
      </w:r>
    </w:p>
    <w:p>
      <w:pPr>
        <w:spacing w:after="40"/>
        <w:ind w:left="369" w:hanging="227"/>
      </w:pPr>
      <w:r>
        <w:rPr>
          <w:rFonts w:ascii="Arial" w:hAnsi="Arial" w:cs="Arial"/>
          <w:sz w:val="22"/>
        </w:rPr>
        <w:t xml:space="preserve">4. </w:t>
      </w:r>
      <w:r>
        <w:rPr>
          <w:rFonts w:ascii="Arial" w:hAnsi="Arial" w:cs="Arial"/>
          <w:b/>
          <w:sz w:val="22"/>
        </w:rPr>
        <w:t>Bases:</w:t>
      </w:r>
      <w:r>
        <w:rPr>
          <w:rFonts w:ascii="Arial" w:hAnsi="Arial" w:cs="Arial"/>
          <w:sz w:val="22"/>
        </w:rPr>
        <w:t xml:space="preserve"> común y profesional; mínimos, máximos y proporcionalidad.</w:t>
      </w:r>
    </w:p>
    <w:p>
      <w:pPr>
        <w:spacing w:after="40"/>
        <w:ind w:left="369" w:hanging="227"/>
      </w:pPr>
      <w:r>
        <w:rPr>
          <w:rFonts w:ascii="Arial" w:hAnsi="Arial" w:cs="Arial"/>
          <w:sz w:val="22"/>
        </w:rPr>
        <w:t xml:space="preserve">5. </w:t>
      </w:r>
      <w:r>
        <w:rPr>
          <w:rFonts w:ascii="Arial" w:hAnsi="Arial" w:cs="Arial"/>
          <w:b/>
          <w:sz w:val="22"/>
        </w:rPr>
        <w:t>Tipos:</w:t>
      </w:r>
      <w:r>
        <w:rPr>
          <w:rFonts w:ascii="Arial" w:hAnsi="Arial" w:cs="Arial"/>
          <w:sz w:val="22"/>
        </w:rPr>
        <w:t xml:space="preserve"> comunes, profesionales y recaudación conjunta.</w:t>
      </w:r>
    </w:p>
    <w:p>
      <w:pPr>
        <w:spacing w:after="40"/>
        <w:ind w:left="369" w:hanging="227"/>
      </w:pPr>
      <w:r>
        <w:rPr>
          <w:rFonts w:ascii="Arial" w:hAnsi="Arial" w:cs="Arial"/>
          <w:sz w:val="22"/>
        </w:rPr>
        <w:t xml:space="preserve">6. </w:t>
      </w:r>
      <w:r>
        <w:rPr>
          <w:rFonts w:ascii="Arial" w:hAnsi="Arial" w:cs="Arial"/>
          <w:b/>
          <w:sz w:val="22"/>
        </w:rPr>
        <w:t>Adicionales:</w:t>
      </w:r>
      <w:r>
        <w:rPr>
          <w:rFonts w:ascii="Arial" w:hAnsi="Arial" w:cs="Arial"/>
          <w:sz w:val="22"/>
        </w:rPr>
        <w:t xml:space="preserve"> horas extra, MEI, solidaridad o contrato corto.</w:t>
      </w:r>
    </w:p>
    <w:p>
      <w:pPr>
        <w:spacing w:after="40"/>
        <w:ind w:left="369" w:hanging="227"/>
      </w:pPr>
      <w:r>
        <w:rPr>
          <w:rFonts w:ascii="Arial" w:hAnsi="Arial" w:cs="Arial"/>
          <w:sz w:val="22"/>
        </w:rPr>
        <w:t xml:space="preserve">7. </w:t>
      </w:r>
      <w:r>
        <w:rPr>
          <w:rFonts w:ascii="Arial" w:hAnsi="Arial" w:cs="Arial"/>
          <w:b/>
          <w:sz w:val="22"/>
        </w:rPr>
        <w:t>Beneficios y compensaciones:</w:t>
      </w:r>
      <w:r>
        <w:rPr>
          <w:rFonts w:ascii="Arial" w:hAnsi="Arial" w:cs="Arial"/>
          <w:sz w:val="22"/>
        </w:rPr>
        <w:t xml:space="preserve"> solo si reúnen requisitos.</w:t>
      </w:r>
    </w:p>
    <w:p>
      <w:pPr>
        <w:spacing w:after="40"/>
        <w:ind w:left="369" w:hanging="227"/>
      </w:pPr>
      <w:r>
        <w:rPr>
          <w:rFonts w:ascii="Arial" w:hAnsi="Arial" w:cs="Arial"/>
          <w:sz w:val="22"/>
        </w:rPr>
        <w:t xml:space="preserve">8. </w:t>
      </w:r>
      <w:r>
        <w:rPr>
          <w:rFonts w:ascii="Arial" w:hAnsi="Arial" w:cs="Arial"/>
          <w:b/>
          <w:sz w:val="22"/>
        </w:rPr>
        <w:t>Sistema de liquidación:</w:t>
      </w:r>
      <w:r>
        <w:rPr>
          <w:rFonts w:ascii="Arial" w:hAnsi="Arial" w:cs="Arial"/>
          <w:sz w:val="22"/>
        </w:rPr>
        <w:t xml:space="preserve"> autoliquidación, directa o simplificada.</w:t>
      </w:r>
    </w:p>
    <w:p>
      <w:pPr>
        <w:spacing w:after="40"/>
        <w:ind w:left="369" w:hanging="227"/>
      </w:pPr>
      <w:r>
        <w:rPr>
          <w:rFonts w:ascii="Arial" w:hAnsi="Arial" w:cs="Arial"/>
          <w:sz w:val="22"/>
        </w:rPr>
        <w:t xml:space="preserve">9. </w:t>
      </w:r>
      <w:r>
        <w:rPr>
          <w:rFonts w:ascii="Arial" w:hAnsi="Arial" w:cs="Arial"/>
          <w:b/>
          <w:sz w:val="22"/>
        </w:rPr>
        <w:t>Ingreso y eventual regularización:</w:t>
      </w:r>
      <w:r>
        <w:rPr>
          <w:rFonts w:ascii="Arial" w:hAnsi="Arial" w:cs="Arial"/>
          <w:sz w:val="22"/>
        </w:rPr>
        <w:t xml:space="preserve"> plazo, complementaria o rectificación.</w:t>
      </w:r>
    </w:p>
    <w:p>
      <w:pPr>
        <w:pStyle w:val="Heading2"/>
        <w:keepNext/>
      </w:pPr>
      <w:r>
        <w:rPr>
          <w:rFonts w:ascii="Arial" w:hAnsi="Arial" w:cs="Arial"/>
          <w:sz w:val="25"/>
        </w:rPr>
        <w:t>13.1. Ejemplo integrado</w:t>
      </w:r>
    </w:p>
    <w:p>
      <w:pPr>
        <w:jc w:val="both"/>
      </w:pPr>
      <w:r>
        <w:rPr>
          <w:rFonts w:ascii="Arial" w:hAnsi="Arial" w:cs="Arial"/>
          <w:sz w:val="22"/>
        </w:rPr>
        <w:t>Una persona del grupo 7, contrato indefinido, percibe 1.500 euros mensuales y dos pagas extraordinarias de 1.500, sin otros conceptos. La base común es 1.750 euros —1.500 + 3.000/12—, dentro de los límites 1.424,40 y 5.101,20. Sin horas extra, la base profesional coincide.</w:t>
      </w:r>
    </w:p>
    <w:p>
      <w:pPr>
        <w:jc w:val="both"/>
      </w:pPr>
      <w:r>
        <w:rPr>
          <w:rFonts w:ascii="Arial" w:hAnsi="Arial" w:cs="Arial"/>
          <w:sz w:val="22"/>
        </w:rPr>
        <w:t>Sobre la base común se aplican 28,30 % por contingencias comunes y 0,90 % de MEI. Sobre la base profesional se aplican la tarifa de AT/EP, 7,05 % de desempleo, 0,20 % de FOGASA y 0,70 % de formación profesional. Cada componente se distribuye según su norma; AT/EP y FOGASA son exclusivamente empresariales.</w:t>
      </w:r>
    </w:p>
    <w:p>
      <w:pPr>
        <w:jc w:val="both"/>
      </w:pPr>
      <w:r>
        <w:rPr>
          <w:rFonts w:ascii="Arial" w:hAnsi="Arial" w:cs="Arial"/>
          <w:sz w:val="22"/>
        </w:rPr>
        <w:t>Si la retribución fuera 6.000 euros, la base ordinaria quedaría limitada a 5.101,20 y se añadiría solidaridad por tramos sobre la parte comprendida de 5.101,21 a 5.611,32 y de 5.611,33 a 6.000.</w:t>
      </w:r>
    </w:p>
    <w:p>
      <w:pPr>
        <w:pStyle w:val="Heading1"/>
        <w:keepNext/>
      </w:pPr>
      <w:r>
        <w:rPr>
          <w:rFonts w:ascii="Arial" w:hAnsi="Arial" w:cs="Arial"/>
          <w:sz w:val="30"/>
        </w:rPr>
        <w:t>14. Errores frecuentes de examen</w:t>
      </w:r>
    </w:p>
    <w:p>
      <w:pPr>
        <w:spacing w:after="40"/>
        <w:ind w:left="369" w:hanging="227"/>
      </w:pPr>
      <w:r>
        <w:rPr>
          <w:rFonts w:ascii="Arial" w:hAnsi="Arial" w:cs="Arial"/>
          <w:sz w:val="22"/>
        </w:rPr>
        <w:t>1. Confundir base de cotización con base reguladora.</w:t>
      </w:r>
    </w:p>
    <w:p>
      <w:pPr>
        <w:spacing w:after="40"/>
        <w:ind w:left="369" w:hanging="227"/>
      </w:pPr>
      <w:r>
        <w:rPr>
          <w:rFonts w:ascii="Arial" w:hAnsi="Arial" w:cs="Arial"/>
          <w:sz w:val="22"/>
        </w:rPr>
        <w:t>2. Creer que todo lo llamado dieta está excluido; solo lo está si responde a gasto real y dentro del límite.</w:t>
      </w:r>
    </w:p>
    <w:p>
      <w:pPr>
        <w:spacing w:after="40"/>
        <w:ind w:left="369" w:hanging="227"/>
      </w:pPr>
      <w:r>
        <w:rPr>
          <w:rFonts w:ascii="Arial" w:hAnsi="Arial" w:cs="Arial"/>
          <w:sz w:val="22"/>
        </w:rPr>
        <w:t>3. Excluir las horas extraordinarias de todas las bases.</w:t>
      </w:r>
    </w:p>
    <w:p>
      <w:pPr>
        <w:spacing w:after="40"/>
        <w:ind w:left="369" w:hanging="227"/>
      </w:pPr>
      <w:r>
        <w:rPr>
          <w:rFonts w:ascii="Arial" w:hAnsi="Arial" w:cs="Arial"/>
          <w:sz w:val="22"/>
        </w:rPr>
        <w:t>4. Aplicar la base máxima aun cuando la remuneración computable es inferior.</w:t>
      </w:r>
    </w:p>
    <w:p>
      <w:pPr>
        <w:spacing w:after="40"/>
        <w:ind w:left="369" w:hanging="227"/>
      </w:pPr>
      <w:r>
        <w:rPr>
          <w:rFonts w:ascii="Arial" w:hAnsi="Arial" w:cs="Arial"/>
          <w:sz w:val="22"/>
        </w:rPr>
        <w:t>5. Repartir AT/EP entre empresario y trabajador: es exclusivamente empresarial.</w:t>
      </w:r>
    </w:p>
    <w:p>
      <w:pPr>
        <w:spacing w:after="40"/>
        <w:ind w:left="369" w:hanging="227"/>
      </w:pPr>
      <w:r>
        <w:rPr>
          <w:rFonts w:ascii="Arial" w:hAnsi="Arial" w:cs="Arial"/>
          <w:sz w:val="22"/>
        </w:rPr>
        <w:t>6. Pensar que la TGSS asume la veracidad de los datos en liquidación directa: el empresario debe suministrarlos correctamente.</w:t>
      </w:r>
    </w:p>
    <w:p>
      <w:pPr>
        <w:spacing w:after="40"/>
        <w:ind w:left="369" w:hanging="227"/>
      </w:pPr>
      <w:r>
        <w:rPr>
          <w:rFonts w:ascii="Arial" w:hAnsi="Arial" w:cs="Arial"/>
          <w:sz w:val="22"/>
        </w:rPr>
        <w:t>7. Confundir pluriempleo —mismo régimen— con pluriactividad —regímenes distintos—.</w:t>
      </w:r>
    </w:p>
    <w:p>
      <w:pPr>
        <w:spacing w:after="40"/>
        <w:ind w:left="369" w:hanging="227"/>
      </w:pPr>
      <w:r>
        <w:rPr>
          <w:rFonts w:ascii="Arial" w:hAnsi="Arial" w:cs="Arial"/>
          <w:sz w:val="22"/>
        </w:rPr>
        <w:t>8. Aplicar un único tipo de solidaridad a todo el exceso: es progresiva por tramos.</w:t>
      </w:r>
    </w:p>
    <w:p>
      <w:pPr>
        <w:spacing w:after="40"/>
        <w:ind w:left="369" w:hanging="227"/>
      </w:pPr>
      <w:r>
        <w:rPr>
          <w:rFonts w:ascii="Arial" w:hAnsi="Arial" w:cs="Arial"/>
          <w:sz w:val="22"/>
        </w:rPr>
        <w:t>9. Sumar solidaridad a la base ordinaria para generar una pensión mayor.</w:t>
      </w:r>
    </w:p>
    <w:p>
      <w:pPr>
        <w:spacing w:after="40"/>
        <w:ind w:left="369" w:hanging="227"/>
      </w:pPr>
      <w:r>
        <w:rPr>
          <w:rFonts w:ascii="Arial" w:hAnsi="Arial" w:cs="Arial"/>
          <w:sz w:val="22"/>
        </w:rPr>
        <w:t>10. Confundir MEI con una contingencia protectora individual.</w:t>
      </w:r>
    </w:p>
    <w:p>
      <w:pPr>
        <w:spacing w:after="40"/>
        <w:ind w:left="369" w:hanging="227"/>
      </w:pPr>
      <w:r>
        <w:rPr>
          <w:rFonts w:ascii="Arial" w:hAnsi="Arial" w:cs="Arial"/>
          <w:sz w:val="22"/>
        </w:rPr>
        <w:t>11. Olvidar que el deber de liquidar subsiste aunque no se pague.</w:t>
      </w:r>
    </w:p>
    <w:p>
      <w:pPr>
        <w:spacing w:after="40"/>
        <w:ind w:left="369" w:hanging="227"/>
      </w:pPr>
      <w:r>
        <w:rPr>
          <w:rFonts w:ascii="Arial" w:hAnsi="Arial" w:cs="Arial"/>
          <w:sz w:val="22"/>
        </w:rPr>
        <w:t>12. Identificar bonificación, reducción, compensación y exclusión de contingencia.</w:t>
      </w:r>
    </w:p>
    <w:p>
      <w:pPr>
        <w:spacing w:after="40"/>
        <w:ind w:left="369" w:hanging="227"/>
      </w:pPr>
      <w:r>
        <w:rPr>
          <w:rFonts w:ascii="Arial" w:hAnsi="Arial" w:cs="Arial"/>
          <w:sz w:val="22"/>
        </w:rPr>
        <w:t xml:space="preserve">13. Aplicar los 33,62 euros a contratos de exactamente treinta días: la norma exige duración </w:t>
      </w:r>
      <w:r>
        <w:rPr>
          <w:rFonts w:ascii="Arial" w:hAnsi="Arial" w:cs="Arial"/>
          <w:b/>
          <w:sz w:val="22"/>
        </w:rPr>
        <w:t>inferior</w:t>
      </w:r>
      <w:r>
        <w:rPr>
          <w:rFonts w:ascii="Arial" w:hAnsi="Arial" w:cs="Arial"/>
          <w:sz w:val="22"/>
        </w:rPr>
        <w:t xml:space="preserve"> a treinta.</w:t>
      </w:r>
    </w:p>
    <w:p>
      <w:pPr>
        <w:spacing w:after="40"/>
        <w:ind w:left="369" w:hanging="227"/>
      </w:pPr>
      <w:r>
        <w:rPr>
          <w:rFonts w:ascii="Arial" w:hAnsi="Arial" w:cs="Arial"/>
          <w:sz w:val="22"/>
        </w:rPr>
        <w:t>14. Olvidar las exclusiones de la cotización por contrato corto, incluida la sustitución.</w:t>
      </w:r>
    </w:p>
    <w:p>
      <w:pPr>
        <w:spacing w:after="40"/>
        <w:ind w:left="369" w:hanging="227"/>
      </w:pPr>
      <w:r>
        <w:rPr>
          <w:rFonts w:ascii="Arial" w:hAnsi="Arial" w:cs="Arial"/>
          <w:sz w:val="22"/>
        </w:rPr>
        <w:t>15. Trasladar bases y tipos generales a un sistema especial sin revisar su norma.</w:t>
      </w:r>
    </w:p>
    <w:p>
      <w:pPr>
        <w:spacing w:after="40"/>
        <w:ind w:left="369" w:hanging="227"/>
      </w:pPr>
      <w:r>
        <w:rPr>
          <w:rFonts w:ascii="Arial" w:hAnsi="Arial" w:cs="Arial"/>
          <w:sz w:val="22"/>
        </w:rPr>
        <w:t>16. Tomar el 1 de abril como fecha económica inicial de todos los parámetros de la Orden PJC/297/2026: producen efectos desde 1 de enero.</w:t>
      </w:r>
    </w:p>
    <w:p>
      <w:pPr>
        <w:pStyle w:val="Heading1"/>
        <w:keepNext/>
      </w:pPr>
      <w:r>
        <w:rPr>
          <w:rFonts w:ascii="Arial" w:hAnsi="Arial" w:cs="Arial"/>
          <w:sz w:val="30"/>
        </w:rPr>
        <w:t>15. Resumen de repaso</w:t>
      </w:r>
    </w:p>
    <w:p>
      <w:pPr>
        <w:jc w:val="both"/>
      </w:pPr>
      <w:r>
        <w:rPr>
          <w:rFonts w:ascii="Arial" w:hAnsi="Arial" w:cs="Arial"/>
          <w:sz w:val="22"/>
        </w:rPr>
        <w:t>La cotización es obligatoria, legal e indisponible. En el Régimen General cotizan empresa y trabajador, pero la empresa responde del ingreso total y descuenta la aportación obrera al pagar el salario. La obligación nace con el trabajo, subsiste durante el alta y las situaciones legalmente protegidas y termina con el cese comunicado eficazmente.</w:t>
      </w:r>
    </w:p>
    <w:p>
      <w:pPr>
        <w:jc w:val="both"/>
      </w:pPr>
      <w:r>
        <w:rPr>
          <w:rFonts w:ascii="Arial" w:hAnsi="Arial" w:cs="Arial"/>
          <w:sz w:val="22"/>
        </w:rPr>
        <w:t>La base general comprende toda remuneración en metálico o especie, más prorratas, salvo exclusiones tasadas. Las horas extraordinarias no forman parte de la base común, pero sí de la profesional y soportan cotización adicional. La cuota resulta de aplicar tipos, más adicionales y menos beneficios o compensaciones procedentes.</w:t>
      </w:r>
    </w:p>
    <w:p>
      <w:pPr>
        <w:jc w:val="both"/>
      </w:pPr>
      <w:r>
        <w:rPr>
          <w:rFonts w:ascii="Arial" w:hAnsi="Arial" w:cs="Arial"/>
          <w:sz w:val="22"/>
        </w:rPr>
        <w:t>En 2026 el máximo es 5.101,20 euros mensuales. Contingencias comunes: 28,30 %; MEI: 0,90 %. La solidaridad grava por tres tramos las remuneraciones superiores al máximo. La Orden PJC/297/2026 entró en vigor el 1 de abril, con efectos desde 1 de enero, y desarrolla el artículo 3 del RDL 3/2026.</w:t>
      </w:r>
    </w:p>
    <w:p>
      <w:pPr>
        <w:jc w:val="both"/>
      </w:pPr>
      <w:r>
        <w:rPr>
          <w:rFonts w:ascii="Arial" w:hAnsi="Arial" w:cs="Arial"/>
          <w:sz w:val="22"/>
        </w:rPr>
        <w:t>La liquidación puede ser por autoliquidación, liquidación directa o simplificada. El cálculo administrativo no exime de comunicar datos. Supuestos como IT, alta sin salario, tiempo parcial, pluriempleo, artistas, agrarios, hogar, RETA y contratos cortos poseen reglas específicas. Las demás deudas se liquidan según su naturaleza y pueden provenir de actos de la TGSS, la Inspección o entidades gestoras.</w:t>
      </w:r>
    </w:p>
    <w:p>
      <w:pPr>
        <w:pStyle w:val="Heading1"/>
        <w:keepNext/>
      </w:pPr>
      <w:r>
        <w:rPr>
          <w:rFonts w:ascii="Arial" w:hAnsi="Arial" w:cs="Arial"/>
          <w:sz w:val="30"/>
        </w:rPr>
        <w:t>16. Datos preguntables</w:t>
      </w:r>
    </w:p>
    <w:p>
      <w:pPr>
        <w:pStyle w:val="ListBullet"/>
      </w:pPr>
      <w:r>
        <w:rPr>
          <w:rFonts w:ascii="Arial" w:hAnsi="Arial" w:cs="Arial"/>
          <w:sz w:val="22"/>
        </w:rPr>
        <w:t xml:space="preserve">Artículo común de obligatoriedad: </w:t>
      </w:r>
      <w:r>
        <w:rPr>
          <w:rFonts w:ascii="Arial" w:hAnsi="Arial" w:cs="Arial"/>
          <w:b/>
          <w:sz w:val="22"/>
        </w:rPr>
        <w:t>18 TRLGSS</w:t>
      </w:r>
      <w:r>
        <w:rPr>
          <w:rFonts w:ascii="Arial" w:hAnsi="Arial" w:cs="Arial"/>
          <w:sz w:val="22"/>
        </w:rPr>
        <w:t>.</w:t>
      </w:r>
    </w:p>
    <w:p>
      <w:pPr>
        <w:pStyle w:val="ListBullet"/>
      </w:pPr>
      <w:r>
        <w:rPr>
          <w:rFonts w:ascii="Arial" w:hAnsi="Arial" w:cs="Arial"/>
          <w:sz w:val="22"/>
        </w:rPr>
        <w:t xml:space="preserve">Base del Régimen General: </w:t>
      </w:r>
      <w:r>
        <w:rPr>
          <w:rFonts w:ascii="Arial" w:hAnsi="Arial" w:cs="Arial"/>
          <w:b/>
          <w:sz w:val="22"/>
        </w:rPr>
        <w:t>artículo 147 TRLGSS</w:t>
      </w:r>
      <w:r>
        <w:rPr>
          <w:rFonts w:ascii="Arial" w:hAnsi="Arial" w:cs="Arial"/>
          <w:sz w:val="22"/>
        </w:rPr>
        <w:t>.</w:t>
      </w:r>
    </w:p>
    <w:p>
      <w:pPr>
        <w:pStyle w:val="ListBullet"/>
      </w:pPr>
      <w:r>
        <w:rPr>
          <w:rFonts w:ascii="Arial" w:hAnsi="Arial" w:cs="Arial"/>
          <w:sz w:val="22"/>
        </w:rPr>
        <w:t xml:space="preserve">Sistemas de liquidación: </w:t>
      </w:r>
      <w:r>
        <w:rPr>
          <w:rFonts w:ascii="Arial" w:hAnsi="Arial" w:cs="Arial"/>
          <w:b/>
          <w:sz w:val="22"/>
        </w:rPr>
        <w:t>artículo 22.1 TRLGSS</w:t>
      </w:r>
      <w:r>
        <w:rPr>
          <w:rFonts w:ascii="Arial" w:hAnsi="Arial" w:cs="Arial"/>
          <w:sz w:val="22"/>
        </w:rPr>
        <w:t>.</w:t>
      </w:r>
    </w:p>
    <w:p>
      <w:pPr>
        <w:pStyle w:val="ListBullet"/>
      </w:pPr>
      <w:r>
        <w:rPr>
          <w:rFonts w:ascii="Arial" w:hAnsi="Arial" w:cs="Arial"/>
          <w:sz w:val="22"/>
        </w:rPr>
        <w:t xml:space="preserve">Obligaciones de liquidación y transmisión: </w:t>
      </w:r>
      <w:r>
        <w:rPr>
          <w:rFonts w:ascii="Arial" w:hAnsi="Arial" w:cs="Arial"/>
          <w:b/>
          <w:sz w:val="22"/>
        </w:rPr>
        <w:t>artículo 29 TRLGSS</w:t>
      </w:r>
      <w:r>
        <w:rPr>
          <w:rFonts w:ascii="Arial" w:hAnsi="Arial" w:cs="Arial"/>
          <w:sz w:val="22"/>
        </w:rPr>
        <w:t>.</w:t>
      </w:r>
    </w:p>
    <w:p>
      <w:pPr>
        <w:pStyle w:val="ListBullet"/>
      </w:pPr>
      <w:r>
        <w:rPr>
          <w:rFonts w:ascii="Arial" w:hAnsi="Arial" w:cs="Arial"/>
          <w:sz w:val="22"/>
        </w:rPr>
        <w:t xml:space="preserve">Reglamento general: </w:t>
      </w:r>
      <w:r>
        <w:rPr>
          <w:rFonts w:ascii="Arial" w:hAnsi="Arial" w:cs="Arial"/>
          <w:b/>
          <w:sz w:val="22"/>
        </w:rPr>
        <w:t>Real Decreto 2064/1995</w:t>
      </w:r>
      <w:r>
        <w:rPr>
          <w:rFonts w:ascii="Arial" w:hAnsi="Arial" w:cs="Arial"/>
          <w:sz w:val="22"/>
        </w:rPr>
        <w:t>.</w:t>
      </w:r>
    </w:p>
    <w:p>
      <w:pPr>
        <w:pStyle w:val="ListBullet"/>
      </w:pPr>
      <w:r>
        <w:rPr>
          <w:rFonts w:ascii="Arial" w:hAnsi="Arial" w:cs="Arial"/>
          <w:sz w:val="22"/>
        </w:rPr>
        <w:t xml:space="preserve">Norma anual 2026: </w:t>
      </w:r>
      <w:r>
        <w:rPr>
          <w:rFonts w:ascii="Arial" w:hAnsi="Arial" w:cs="Arial"/>
          <w:b/>
          <w:sz w:val="22"/>
        </w:rPr>
        <w:t>Orden PJC/297/2026, de 30 de marzo</w:t>
      </w:r>
      <w:r>
        <w:rPr>
          <w:rFonts w:ascii="Arial" w:hAnsi="Arial" w:cs="Arial"/>
          <w:sz w:val="22"/>
        </w:rPr>
        <w:t>.</w:t>
      </w:r>
    </w:p>
    <w:p>
      <w:pPr>
        <w:pStyle w:val="ListBullet"/>
      </w:pPr>
      <w:r>
        <w:rPr>
          <w:rFonts w:ascii="Arial" w:hAnsi="Arial" w:cs="Arial"/>
          <w:sz w:val="22"/>
        </w:rPr>
        <w:t xml:space="preserve">Publicación de la orden: </w:t>
      </w:r>
      <w:r>
        <w:rPr>
          <w:rFonts w:ascii="Arial" w:hAnsi="Arial" w:cs="Arial"/>
          <w:b/>
          <w:sz w:val="22"/>
        </w:rPr>
        <w:t>31 de marzo de 2026</w:t>
      </w:r>
      <w:r>
        <w:rPr>
          <w:rFonts w:ascii="Arial" w:hAnsi="Arial" w:cs="Arial"/>
          <w:sz w:val="22"/>
        </w:rPr>
        <w:t>.</w:t>
      </w:r>
    </w:p>
    <w:p>
      <w:pPr>
        <w:pStyle w:val="ListBullet"/>
      </w:pPr>
      <w:r>
        <w:rPr>
          <w:rFonts w:ascii="Arial" w:hAnsi="Arial" w:cs="Arial"/>
          <w:sz w:val="22"/>
        </w:rPr>
        <w:t xml:space="preserve">Entrada en vigor: </w:t>
      </w:r>
      <w:r>
        <w:rPr>
          <w:rFonts w:ascii="Arial" w:hAnsi="Arial" w:cs="Arial"/>
          <w:b/>
          <w:sz w:val="22"/>
        </w:rPr>
        <w:t>1 de abril de 2026</w:t>
      </w:r>
      <w:r>
        <w:rPr>
          <w:rFonts w:ascii="Arial" w:hAnsi="Arial" w:cs="Arial"/>
          <w:sz w:val="22"/>
        </w:rPr>
        <w:t>.</w:t>
      </w:r>
    </w:p>
    <w:p>
      <w:pPr>
        <w:pStyle w:val="ListBullet"/>
      </w:pPr>
      <w:r>
        <w:rPr>
          <w:rFonts w:ascii="Arial" w:hAnsi="Arial" w:cs="Arial"/>
          <w:sz w:val="22"/>
        </w:rPr>
        <w:t xml:space="preserve">Efectos económicos generales: </w:t>
      </w:r>
      <w:r>
        <w:rPr>
          <w:rFonts w:ascii="Arial" w:hAnsi="Arial" w:cs="Arial"/>
          <w:b/>
          <w:sz w:val="22"/>
        </w:rPr>
        <w:t>1 de enero de 2026</w:t>
      </w:r>
      <w:r>
        <w:rPr>
          <w:rFonts w:ascii="Arial" w:hAnsi="Arial" w:cs="Arial"/>
          <w:sz w:val="22"/>
        </w:rPr>
        <w:t>.</w:t>
      </w:r>
    </w:p>
    <w:p>
      <w:pPr>
        <w:pStyle w:val="ListBullet"/>
      </w:pPr>
      <w:r>
        <w:rPr>
          <w:rFonts w:ascii="Arial" w:hAnsi="Arial" w:cs="Arial"/>
          <w:sz w:val="22"/>
        </w:rPr>
        <w:t xml:space="preserve">Tope máximo mensual 2026: </w:t>
      </w:r>
      <w:r>
        <w:rPr>
          <w:rFonts w:ascii="Arial" w:hAnsi="Arial" w:cs="Arial"/>
          <w:b/>
          <w:sz w:val="22"/>
        </w:rPr>
        <w:t>5.101,20 €</w:t>
      </w:r>
      <w:r>
        <w:rPr>
          <w:rFonts w:ascii="Arial" w:hAnsi="Arial" w:cs="Arial"/>
          <w:sz w:val="22"/>
        </w:rPr>
        <w:t>.</w:t>
      </w:r>
    </w:p>
    <w:p>
      <w:pPr>
        <w:pStyle w:val="ListBullet"/>
      </w:pPr>
      <w:r>
        <w:rPr>
          <w:rFonts w:ascii="Arial" w:hAnsi="Arial" w:cs="Arial"/>
          <w:sz w:val="22"/>
        </w:rPr>
        <w:t xml:space="preserve">Mínimo mensual AT/EP: </w:t>
      </w:r>
      <w:r>
        <w:rPr>
          <w:rFonts w:ascii="Arial" w:hAnsi="Arial" w:cs="Arial"/>
          <w:b/>
          <w:sz w:val="22"/>
        </w:rPr>
        <w:t>1.424,40 €</w:t>
      </w:r>
      <w:r>
        <w:rPr>
          <w:rFonts w:ascii="Arial" w:hAnsi="Arial" w:cs="Arial"/>
          <w:sz w:val="22"/>
        </w:rPr>
        <w:t>, salvo excepción.</w:t>
      </w:r>
    </w:p>
    <w:p>
      <w:pPr>
        <w:pStyle w:val="ListBullet"/>
      </w:pPr>
      <w:r>
        <w:rPr>
          <w:rFonts w:ascii="Arial" w:hAnsi="Arial" w:cs="Arial"/>
          <w:sz w:val="22"/>
        </w:rPr>
        <w:t xml:space="preserve">Contingencias comunes: </w:t>
      </w:r>
      <w:r>
        <w:rPr>
          <w:rFonts w:ascii="Arial" w:hAnsi="Arial" w:cs="Arial"/>
          <w:b/>
          <w:sz w:val="22"/>
        </w:rPr>
        <w:t>28,30 % = 23,60 + 4,70</w:t>
      </w:r>
      <w:r>
        <w:rPr>
          <w:rFonts w:ascii="Arial" w:hAnsi="Arial" w:cs="Arial"/>
          <w:sz w:val="22"/>
        </w:rPr>
        <w:t>.</w:t>
      </w:r>
    </w:p>
    <w:p>
      <w:pPr>
        <w:pStyle w:val="ListBullet"/>
      </w:pPr>
      <w:r>
        <w:rPr>
          <w:rFonts w:ascii="Arial" w:hAnsi="Arial" w:cs="Arial"/>
          <w:sz w:val="22"/>
        </w:rPr>
        <w:t xml:space="preserve">MEI 2026: </w:t>
      </w:r>
      <w:r>
        <w:rPr>
          <w:rFonts w:ascii="Arial" w:hAnsi="Arial" w:cs="Arial"/>
          <w:b/>
          <w:sz w:val="22"/>
        </w:rPr>
        <w:t>0,90 % = 0,75 + 0,15</w:t>
      </w:r>
      <w:r>
        <w:rPr>
          <w:rFonts w:ascii="Arial" w:hAnsi="Arial" w:cs="Arial"/>
          <w:sz w:val="22"/>
        </w:rPr>
        <w:t>.</w:t>
      </w:r>
    </w:p>
    <w:p>
      <w:pPr>
        <w:pStyle w:val="ListBullet"/>
      </w:pPr>
      <w:r>
        <w:rPr>
          <w:rFonts w:ascii="Arial" w:hAnsi="Arial" w:cs="Arial"/>
          <w:sz w:val="22"/>
        </w:rPr>
        <w:t xml:space="preserve">Horas extra de fuerza mayor: </w:t>
      </w:r>
      <w:r>
        <w:rPr>
          <w:rFonts w:ascii="Arial" w:hAnsi="Arial" w:cs="Arial"/>
          <w:b/>
          <w:sz w:val="22"/>
        </w:rPr>
        <w:t>14 % = 12 + 2</w:t>
      </w:r>
      <w:r>
        <w:rPr>
          <w:rFonts w:ascii="Arial" w:hAnsi="Arial" w:cs="Arial"/>
          <w:sz w:val="22"/>
        </w:rPr>
        <w:t>.</w:t>
      </w:r>
    </w:p>
    <w:p>
      <w:pPr>
        <w:pStyle w:val="ListBullet"/>
      </w:pPr>
      <w:r>
        <w:rPr>
          <w:rFonts w:ascii="Arial" w:hAnsi="Arial" w:cs="Arial"/>
          <w:sz w:val="22"/>
        </w:rPr>
        <w:t xml:space="preserve">Restantes horas extra: </w:t>
      </w:r>
      <w:r>
        <w:rPr>
          <w:rFonts w:ascii="Arial" w:hAnsi="Arial" w:cs="Arial"/>
          <w:b/>
          <w:sz w:val="22"/>
        </w:rPr>
        <w:t>28,30 % = 23,60 + 4,70</w:t>
      </w:r>
      <w:r>
        <w:rPr>
          <w:rFonts w:ascii="Arial" w:hAnsi="Arial" w:cs="Arial"/>
          <w:sz w:val="22"/>
        </w:rPr>
        <w:t>.</w:t>
      </w:r>
    </w:p>
    <w:p>
      <w:pPr>
        <w:pStyle w:val="ListBullet"/>
      </w:pPr>
      <w:r>
        <w:rPr>
          <w:rFonts w:ascii="Arial" w:hAnsi="Arial" w:cs="Arial"/>
          <w:sz w:val="22"/>
        </w:rPr>
        <w:t xml:space="preserve">Solidaridad: </w:t>
      </w:r>
      <w:r>
        <w:rPr>
          <w:rFonts w:ascii="Arial" w:hAnsi="Arial" w:cs="Arial"/>
          <w:b/>
          <w:sz w:val="22"/>
        </w:rPr>
        <w:t>1,15 %, 1,25 % y 1,46 %</w:t>
      </w:r>
      <w:r>
        <w:rPr>
          <w:rFonts w:ascii="Arial" w:hAnsi="Arial" w:cs="Arial"/>
          <w:sz w:val="22"/>
        </w:rPr>
        <w:t>, por tramos.</w:t>
      </w:r>
    </w:p>
    <w:p>
      <w:pPr>
        <w:pStyle w:val="ListBullet"/>
      </w:pPr>
      <w:r>
        <w:rPr>
          <w:rFonts w:ascii="Arial" w:hAnsi="Arial" w:cs="Arial"/>
          <w:sz w:val="22"/>
        </w:rPr>
        <w:t xml:space="preserve">Contrato temporal inferior a treinta días: </w:t>
      </w:r>
      <w:r>
        <w:rPr>
          <w:rFonts w:ascii="Arial" w:hAnsi="Arial" w:cs="Arial"/>
          <w:b/>
          <w:sz w:val="22"/>
        </w:rPr>
        <w:t>33,62 €</w:t>
      </w:r>
      <w:r>
        <w:rPr>
          <w:rFonts w:ascii="Arial" w:hAnsi="Arial" w:cs="Arial"/>
          <w:sz w:val="22"/>
        </w:rPr>
        <w:t xml:space="preserve"> al finalizar.</w:t>
      </w:r>
    </w:p>
    <w:p>
      <w:pPr>
        <w:pStyle w:val="ListBullet"/>
      </w:pPr>
      <w:r>
        <w:rPr>
          <w:rFonts w:ascii="Arial" w:hAnsi="Arial" w:cs="Arial"/>
          <w:sz w:val="22"/>
        </w:rPr>
        <w:t xml:space="preserve">Pluriempleo: varios empleos en </w:t>
      </w:r>
      <w:r>
        <w:rPr>
          <w:rFonts w:ascii="Arial" w:hAnsi="Arial" w:cs="Arial"/>
          <w:b/>
          <w:sz w:val="22"/>
        </w:rPr>
        <w:t>un mismo régimen</w:t>
      </w:r>
      <w:r>
        <w:rPr>
          <w:rFonts w:ascii="Arial" w:hAnsi="Arial" w:cs="Arial"/>
          <w:sz w:val="22"/>
        </w:rPr>
        <w:t>.</w:t>
      </w:r>
    </w:p>
    <w:p>
      <w:pPr>
        <w:pStyle w:val="ListBullet"/>
      </w:pPr>
      <w:r>
        <w:rPr>
          <w:rFonts w:ascii="Arial" w:hAnsi="Arial" w:cs="Arial"/>
          <w:sz w:val="22"/>
        </w:rPr>
        <w:t xml:space="preserve">Pluriactividad: altas en </w:t>
      </w:r>
      <w:r>
        <w:rPr>
          <w:rFonts w:ascii="Arial" w:hAnsi="Arial" w:cs="Arial"/>
          <w:b/>
          <w:sz w:val="22"/>
        </w:rPr>
        <w:t>regímenes distintos</w:t>
      </w:r>
      <w:r>
        <w:rPr>
          <w:rFonts w:ascii="Arial" w:hAnsi="Arial" w:cs="Arial"/>
          <w:sz w:val="22"/>
        </w:rPr>
        <w:t>.</w:t>
      </w:r>
    </w:p>
    <w:p>
      <w:pPr>
        <w:pStyle w:val="ListBullet"/>
      </w:pPr>
      <w:r>
        <w:rPr>
          <w:rFonts w:ascii="Arial" w:hAnsi="Arial" w:cs="Arial"/>
          <w:sz w:val="22"/>
        </w:rPr>
        <w:t xml:space="preserve">Base mínima horaria, grupos 4 a 11: </w:t>
      </w:r>
      <w:r>
        <w:rPr>
          <w:rFonts w:ascii="Arial" w:hAnsi="Arial" w:cs="Arial"/>
          <w:b/>
          <w:sz w:val="22"/>
        </w:rPr>
        <w:t>8,58 €</w:t>
      </w:r>
      <w:r>
        <w:rPr>
          <w:rFonts w:ascii="Arial" w:hAnsi="Arial" w:cs="Arial"/>
          <w:sz w:val="22"/>
        </w:rPr>
        <w:t>.</w:t>
      </w:r>
    </w:p>
    <w:p>
      <w:pPr>
        <w:pStyle w:val="ListBullet"/>
      </w:pPr>
      <w:r>
        <w:rPr>
          <w:rFonts w:ascii="Arial" w:hAnsi="Arial" w:cs="Arial"/>
          <w:sz w:val="22"/>
        </w:rPr>
        <w:t xml:space="preserve">Base máxima RETA 2026: </w:t>
      </w:r>
      <w:r>
        <w:rPr>
          <w:rFonts w:ascii="Arial" w:hAnsi="Arial" w:cs="Arial"/>
          <w:b/>
          <w:sz w:val="22"/>
        </w:rPr>
        <w:t>5.101,20 €</w:t>
      </w:r>
      <w:r>
        <w:rPr>
          <w:rFonts w:ascii="Arial" w:hAnsi="Arial" w:cs="Arial"/>
          <w:sz w:val="22"/>
        </w:rPr>
        <w:t>.</w:t>
      </w:r>
    </w:p>
    <w:p>
      <w:pPr>
        <w:pStyle w:val="Heading1"/>
        <w:keepNext/>
      </w:pPr>
      <w:r>
        <w:rPr>
          <w:rFonts w:ascii="Arial" w:hAnsi="Arial" w:cs="Arial"/>
          <w:sz w:val="30"/>
        </w:rPr>
        <w:t>17. Fuentes oficiales</w:t>
      </w:r>
    </w:p>
    <w:p>
      <w:pPr>
        <w:pStyle w:val="ListBullet"/>
      </w:pPr>
      <w:r>
        <w:rPr>
          <w:rFonts w:ascii="Arial" w:hAnsi="Arial" w:cs="Arial"/>
          <w:sz w:val="22"/>
        </w:rPr>
        <w:t>Texto refundido de la Ley General de la Seguridad Social (https://www.boe.es/buscar/act.php?id=BOE-A-2015-11724).</w:t>
      </w:r>
    </w:p>
    <w:p>
      <w:pPr>
        <w:pStyle w:val="ListBullet"/>
      </w:pPr>
      <w:r>
        <w:rPr>
          <w:rFonts w:ascii="Arial" w:hAnsi="Arial" w:cs="Arial"/>
          <w:sz w:val="22"/>
        </w:rPr>
        <w:t>Real Decreto 2064/1995, Reglamento General sobre Cotización y Liquidación de otros Derechos (https://www.boe.es/buscar/act.php?id=BOE-A-1996-1579).</w:t>
      </w:r>
    </w:p>
    <w:p>
      <w:pPr>
        <w:pStyle w:val="ListBullet"/>
      </w:pPr>
      <w:r>
        <w:rPr>
          <w:rFonts w:ascii="Arial" w:hAnsi="Arial" w:cs="Arial"/>
          <w:sz w:val="22"/>
        </w:rPr>
        <w:t>Real Decreto-ley 3/2026, de 3 de febrero (https://www.boe.es/eli/es/rdl/2026/02/03/3/con).</w:t>
      </w:r>
    </w:p>
    <w:p>
      <w:pPr>
        <w:pStyle w:val="ListBullet"/>
      </w:pPr>
      <w:r>
        <w:rPr>
          <w:rFonts w:ascii="Arial" w:hAnsi="Arial" w:cs="Arial"/>
          <w:sz w:val="22"/>
        </w:rPr>
        <w:t>Orden PJC/297/2026, de 30 de marzo (https://www.boe.es/eli/es/o/2026/03/30/pjc297/con).</w:t>
      </w:r>
    </w:p>
    <w:p>
      <w:pPr>
        <w:pStyle w:val="ListBullet"/>
      </w:pPr>
      <w:r>
        <w:rPr>
          <w:rFonts w:ascii="Arial" w:hAnsi="Arial" w:cs="Arial"/>
          <w:sz w:val="22"/>
        </w:rPr>
        <w:t>Real Decreto 126/2026, salario mínimo interprofesional para 2026 (https://www.boe.es/eli/es/rd/2026/02/18/126).</w:t>
      </w:r>
    </w:p>
    <w:p>
      <w:pPr>
        <w:pStyle w:val="ListBullet"/>
      </w:pPr>
      <w:r>
        <w:rPr>
          <w:rFonts w:ascii="Arial" w:hAnsi="Arial" w:cs="Arial"/>
          <w:sz w:val="22"/>
        </w:rPr>
        <w:t>Constitución Española (https://www.boe.es/buscar/act.php?id=BOE-A-1978-31229).</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S04</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7, 2025: 17, 2026: 6</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16 / 14</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Real Decreto 2064/1995 (6); texto refundido de la Ley General de la Seguridad Social (4); Texto Refundido de la Ley General de la Seguridad Social (2); Real Decreto Legislativo 8/2015 (1); Ley 42/2006 (1).</w:t>
      </w:r>
    </w:p>
    <w:p>
      <w:pPr>
        <w:jc w:val="both"/>
      </w:pPr>
      <w:r>
        <w:rPr>
          <w:rFonts w:ascii="Arial" w:hAnsi="Arial" w:cs="Arial"/>
          <w:b/>
          <w:sz w:val="22"/>
        </w:rPr>
        <w:t>Artículos o preceptos más repetidos:</w:t>
      </w:r>
      <w:r>
        <w:rPr>
          <w:rFonts w:ascii="Arial" w:hAnsi="Arial" w:cs="Arial"/>
          <w:sz w:val="22"/>
        </w:rPr>
        <w:t xml:space="preserve"> 18 (2); 7.1 (1); 255.3 (1); 152 (1); 57 (1); 60 (1); 34 (1); 45 (1).</w:t>
      </w:r>
    </w:p>
    <w:p>
      <w:pPr>
        <w:jc w:val="both"/>
      </w:pPr>
      <w:r>
        <w:rPr>
          <w:rFonts w:ascii="Arial" w:hAnsi="Arial" w:cs="Arial"/>
          <w:b/>
          <w:sz w:val="22"/>
        </w:rPr>
        <w:t>Formas de pregunta predominantes:</w:t>
      </w:r>
      <w:r>
        <w:rPr>
          <w:rFonts w:ascii="Arial" w:hAnsi="Arial" w:cs="Arial"/>
          <w:sz w:val="22"/>
        </w:rPr>
        <w:t xml:space="preserve"> Cotización (17); Plazos (7); Cálculos (4); Definiciones (1); Requisitos (1).</w:t>
      </w:r>
    </w:p>
    <w:p>
      <w:pPr>
        <w:pStyle w:val="Heading2"/>
        <w:keepNext/>
      </w:pPr>
      <w:r>
        <w:rPr>
          <w:rFonts w:ascii="Arial" w:hAnsi="Arial" w:cs="Arial"/>
          <w:sz w:val="25"/>
        </w:rPr>
        <w:t>Patrones observados</w:t>
      </w:r>
    </w:p>
    <w:p>
      <w:pPr>
        <w:pStyle w:val="ListBullet"/>
      </w:pPr>
      <w:r>
        <w:rPr>
          <w:rFonts w:ascii="Arial" w:hAnsi="Arial" w:cs="Arial"/>
          <w:b/>
          <w:sz w:val="22"/>
        </w:rPr>
        <w:t>2025, supuesto 17, reserva:</w:t>
      </w:r>
      <w:r>
        <w:rPr>
          <w:rFonts w:ascii="Arial" w:hAnsi="Arial" w:cs="Arial"/>
          <w:sz w:val="22"/>
        </w:rPr>
        <w:t xml:space="preserve"> Determine si los cheques restaurante entregados mensualmente a Dña. CONSTANZA DE CARRIAZO tiene que incluirse en la base de cotización:</w:t>
      </w:r>
    </w:p>
    <w:p>
      <w:pPr>
        <w:pStyle w:val="ListBullet"/>
      </w:pPr>
      <w:r>
        <w:rPr>
          <w:rFonts w:ascii="Arial" w:hAnsi="Arial" w:cs="Arial"/>
          <w:b/>
          <w:sz w:val="22"/>
        </w:rPr>
        <w:t>2025, supuesto 18, reserva:</w:t>
      </w:r>
      <w:r>
        <w:rPr>
          <w:rFonts w:ascii="Arial" w:hAnsi="Arial" w:cs="Arial"/>
          <w:sz w:val="22"/>
        </w:rPr>
        <w:t xml:space="preserve"> La empresa “El Licenciado Vidriera, S.L.” solicita el día 17 de julio de 2024 el cálculo de las liquidaciones de cuotas a la Seguridad Social y demás conceptos de recaudación conjunta de sus trabajadores, en…</w:t>
      </w:r>
    </w:p>
    <w:p>
      <w:pPr>
        <w:pStyle w:val="ListBullet"/>
      </w:pPr>
      <w:r>
        <w:rPr>
          <w:rFonts w:ascii="Arial" w:hAnsi="Arial" w:cs="Arial"/>
          <w:b/>
          <w:sz w:val="22"/>
        </w:rPr>
        <w:t>2024, supuesto 3:</w:t>
      </w:r>
      <w:r>
        <w:rPr>
          <w:rFonts w:ascii="Arial" w:hAnsi="Arial" w:cs="Arial"/>
          <w:sz w:val="22"/>
        </w:rPr>
        <w:t xml:space="preserve"> Según las retribuciones de Maximiliano Rubín, indique el importe de la base de cotización mensual, considerando que hubiera estado durante todo el año 2024 en la empresa:</w:t>
      </w:r>
    </w:p>
    <w:p>
      <w:pPr>
        <w:pStyle w:val="ListBullet"/>
      </w:pPr>
      <w:r>
        <w:rPr>
          <w:rFonts w:ascii="Arial" w:hAnsi="Arial" w:cs="Arial"/>
          <w:b/>
          <w:sz w:val="22"/>
        </w:rPr>
        <w:t>2024, supuesto 5:</w:t>
      </w:r>
      <w:r>
        <w:rPr>
          <w:rFonts w:ascii="Arial" w:hAnsi="Arial" w:cs="Arial"/>
          <w:sz w:val="22"/>
        </w:rPr>
        <w:t xml:space="preserve"> En relación con el cálculo de las cuotas del mes de septiembre de 2024, solicitada por la empresa "Señor de La Lage, S.L." eI día 20 de octubre de 2024 indique, según el art. 48 del Reglamento General sobre…</w:t>
      </w:r>
    </w:p>
    <w:p>
      <w:pPr>
        <w:pStyle w:val="ListBullet"/>
      </w:pPr>
      <w:r>
        <w:rPr>
          <w:rFonts w:ascii="Arial" w:hAnsi="Arial" w:cs="Arial"/>
          <w:b/>
          <w:sz w:val="22"/>
        </w:rPr>
        <w:t>2024, supuesto 7:</w:t>
      </w:r>
      <w:r>
        <w:rPr>
          <w:rFonts w:ascii="Arial" w:hAnsi="Arial" w:cs="Arial"/>
          <w:sz w:val="22"/>
        </w:rPr>
        <w:t xml:space="preserve"> Según eI art. 20.1 del texto refundido de la Ley General de la Seguridad Social, aprobado por Real Decreto Legislativo 8/2015, de 30 de octubre, al perfeccionarse eI contrato con Guillermina Pacheco el día 4…</w:t>
      </w:r>
    </w:p>
    <w:p>
      <w:pPr>
        <w:pStyle w:val="ListBullet"/>
      </w:pPr>
      <w:r>
        <w:rPr>
          <w:rFonts w:ascii="Arial" w:hAnsi="Arial" w:cs="Arial"/>
          <w:b/>
          <w:sz w:val="22"/>
        </w:rPr>
        <w:t>2025, supuesto 3:</w:t>
      </w:r>
      <w:r>
        <w:rPr>
          <w:rFonts w:ascii="Arial" w:hAnsi="Arial" w:cs="Arial"/>
          <w:sz w:val="22"/>
        </w:rPr>
        <w:t xml:space="preserve"> Ante ei error del departamento de recursos humanos de la empresa "Pleberio, S.L.", que no descontó eI importe de la cuota obrera del mes de enero de 2025 a Dña. Celestina, se pretende efectuar el descuento…</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S04 · Tema 4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4. La cotización a la Seguridad Social - normas comunes del sistema. La liquidación de cuotas. El régimen general de la Seguridad Social. Supues…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