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5</w:t>
      </w:r>
    </w:p>
    <w:p>
      <w:pPr>
        <w:keepNext/>
        <w:spacing w:before="0" w:after="280"/>
        <w:pBdr>
          <w:bottom w:val="single" w:sz="12" w:space="1" w:color="2F75B5"/>
        </w:pBdr>
      </w:pPr>
      <w:r>
        <w:rPr>
          <w:rFonts w:ascii="Arial" w:hAnsi="Arial" w:cs="Arial"/>
          <w:b/>
          <w:color w:val="17365D"/>
          <w:sz w:val="40"/>
        </w:rPr>
        <w:t>La gestión recaudatoria: concepto, competencia y objeto. Responsables del pago. Requisitos para el pago. Medios de pago. Control de recaudación. Revisión de los actos de gestión recaudatoria. La recaudación en periodo voluntario. Efectos de la falta de cotización en período reglamentario. Recaudación de otros recursos. Aplazamientos. Devolución de ingresos indebidos. Capital coste de pensiones.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gestión recaudatoria convierte los créditos de la Seguridad Social en ingresos efectivos. Comprende la identificación del responsable, la determinación de la deuda, su notificación, el cobro dentro del periodo voluntario y, si no se paga, la apertura de la vía ejecutiva. No se limita a las cuotas: alcanza recargos, intereses, capitales coste, reintegros, sanciones y conceptos recaudados para otros organismos. La exposición recoge la regulación vigente a </w:t>
      </w:r>
      <w:r>
        <w:rPr>
          <w:rFonts w:ascii="Arial" w:hAnsi="Arial" w:cs="Arial"/>
          <w:b/>
          <w:sz w:val="22"/>
        </w:rPr>
        <w:t>30 de julio de 2026</w:t>
      </w:r>
      <w:r>
        <w:rPr>
          <w:rFonts w:ascii="Arial" w:hAnsi="Arial" w:cs="Arial"/>
          <w:sz w:val="22"/>
        </w:rPr>
        <w:t xml:space="preserve"> y distingue una reforma publicada ese mismo día cuya entrada en vigor se produce el 1 de agosto de 2026.</w:t>
      </w:r>
    </w:p>
    <w:p>
      <w:pPr>
        <w:pStyle w:val="Heading1"/>
        <w:keepNext/>
      </w:pPr>
      <w:r>
        <w:rPr>
          <w:rFonts w:ascii="Arial" w:hAnsi="Arial" w:cs="Arial"/>
          <w:sz w:val="30"/>
        </w:rPr>
        <w:t>1. Normativa básica</w:t>
      </w:r>
    </w:p>
    <w:p>
      <w:pPr>
        <w:jc w:val="both"/>
      </w:pPr>
      <w:r>
        <w:rPr>
          <w:rFonts w:ascii="Arial" w:hAnsi="Arial" w:cs="Arial"/>
          <w:sz w:val="22"/>
        </w:rPr>
        <w:t>Las fuentes principales son:</w:t>
      </w:r>
    </w:p>
    <w:p>
      <w:pPr>
        <w:pStyle w:val="ListBullet"/>
      </w:pPr>
      <w:r>
        <w:rPr>
          <w:rFonts w:ascii="Arial" w:hAnsi="Arial" w:cs="Arial"/>
          <w:sz w:val="22"/>
        </w:rPr>
        <w:t>el texto refundido de la Ley General de la Seguridad Social —TRLGSS—, aprobado por Real Decreto Legislativo 8/2015;</w:t>
      </w:r>
    </w:p>
    <w:p>
      <w:pPr>
        <w:pStyle w:val="ListBullet"/>
      </w:pPr>
      <w:r>
        <w:rPr>
          <w:rFonts w:ascii="Arial" w:hAnsi="Arial" w:cs="Arial"/>
          <w:sz w:val="22"/>
        </w:rPr>
        <w:t>el Real Decreto 1415/2004, de 11 de junio, que aprueba el Reglamento General de Recaudación de la Seguridad Social —RGRSS—;</w:t>
      </w:r>
    </w:p>
    <w:p>
      <w:pPr>
        <w:pStyle w:val="ListBullet"/>
      </w:pPr>
      <w:r>
        <w:rPr>
          <w:rFonts w:ascii="Arial" w:hAnsi="Arial" w:cs="Arial"/>
          <w:sz w:val="22"/>
        </w:rPr>
        <w:t>la Orden TAS/1562/2005, de 25 de mayo, que desarrolla el Reglamento;</w:t>
      </w:r>
    </w:p>
    <w:p>
      <w:pPr>
        <w:pStyle w:val="ListBullet"/>
      </w:pPr>
      <w:r>
        <w:rPr>
          <w:rFonts w:ascii="Arial" w:hAnsi="Arial" w:cs="Arial"/>
          <w:sz w:val="22"/>
        </w:rPr>
        <w:t>el Reglamento general sobre cotización y liquidación de otros derechos, aprobado por Real Decreto 2064/1995;</w:t>
      </w:r>
    </w:p>
    <w:p>
      <w:pPr>
        <w:pStyle w:val="ListBullet"/>
      </w:pPr>
      <w:r>
        <w:rPr>
          <w:rFonts w:ascii="Arial" w:hAnsi="Arial" w:cs="Arial"/>
          <w:sz w:val="22"/>
        </w:rPr>
        <w:t>la Ley 39/2015 para cuestiones procedimentales supletorias;</w:t>
      </w:r>
    </w:p>
    <w:p>
      <w:pPr>
        <w:pStyle w:val="ListBullet"/>
      </w:pPr>
      <w:r>
        <w:rPr>
          <w:rFonts w:ascii="Arial" w:hAnsi="Arial" w:cs="Arial"/>
          <w:sz w:val="22"/>
        </w:rPr>
        <w:t>la Ley 36/2011, reguladora de la jurisdicción social, y la Ley 29/1998, reguladora de la jurisdicción contencioso-administrativa, según la naturaleza del acto;</w:t>
      </w:r>
    </w:p>
    <w:p>
      <w:pPr>
        <w:pStyle w:val="ListBullet"/>
      </w:pPr>
      <w:r>
        <w:rPr>
          <w:rFonts w:ascii="Arial" w:hAnsi="Arial" w:cs="Arial"/>
          <w:sz w:val="22"/>
        </w:rPr>
        <w:t>el Real Decreto 643/2026, de 29 de julio, publicado el 30 de julio y con entrada en vigor el 1 de agosto de 2026, para la reforma de determinados aspectos de los aplazamientos.</w:t>
      </w:r>
    </w:p>
    <w:p>
      <w:pPr>
        <w:jc w:val="both"/>
      </w:pPr>
      <w:r>
        <w:rPr>
          <w:rFonts w:ascii="Arial" w:hAnsi="Arial" w:cs="Arial"/>
          <w:sz w:val="22"/>
        </w:rPr>
        <w:t>La fecha de publicación no debe confundirse con la fecha de vigencia. El 30 de julio siguen aplicándose las reglas anteriores en los preceptos cuya nueva redacción entra en vigor el 1 de agosto.</w:t>
      </w:r>
    </w:p>
    <w:p>
      <w:pPr>
        <w:pStyle w:val="Heading1"/>
        <w:keepNext/>
      </w:pPr>
      <w:r>
        <w:rPr>
          <w:rFonts w:ascii="Arial" w:hAnsi="Arial" w:cs="Arial"/>
          <w:sz w:val="30"/>
        </w:rPr>
        <w:t>2. Concepto de gestión recaudatoria</w:t>
      </w:r>
    </w:p>
    <w:p>
      <w:pPr>
        <w:jc w:val="both"/>
      </w:pPr>
      <w:r>
        <w:rPr>
          <w:rFonts w:ascii="Arial" w:hAnsi="Arial" w:cs="Arial"/>
          <w:sz w:val="22"/>
        </w:rPr>
        <w:t>El artículo 1 RGRSS la define como el ejercicio de la actividad administrativa conducente a realizar los créditos y derechos de la Seguridad Social. «Realizar» significa obtener su pago o extinguirlos por otra causa admitida, no crear discrecionalmente la deuda.</w:t>
      </w:r>
    </w:p>
    <w:p>
      <w:pPr>
        <w:jc w:val="both"/>
      </w:pPr>
      <w:r>
        <w:rPr>
          <w:rFonts w:ascii="Arial" w:hAnsi="Arial" w:cs="Arial"/>
          <w:sz w:val="22"/>
        </w:rPr>
        <w:t>La gestión recaudatoria incorpora varias funciones:</w:t>
      </w:r>
    </w:p>
    <w:p>
      <w:pPr>
        <w:spacing w:after="40"/>
        <w:ind w:left="369" w:hanging="227"/>
      </w:pPr>
      <w:r>
        <w:rPr>
          <w:rFonts w:ascii="Arial" w:hAnsi="Arial" w:cs="Arial"/>
          <w:sz w:val="22"/>
        </w:rPr>
        <w:t>1. recibir liquidaciones y datos;</w:t>
      </w:r>
    </w:p>
    <w:p>
      <w:pPr>
        <w:spacing w:after="40"/>
        <w:ind w:left="369" w:hanging="227"/>
      </w:pPr>
      <w:r>
        <w:rPr>
          <w:rFonts w:ascii="Arial" w:hAnsi="Arial" w:cs="Arial"/>
          <w:sz w:val="22"/>
        </w:rPr>
        <w:t>2. comprobar el cumplimiento;</w:t>
      </w:r>
    </w:p>
    <w:p>
      <w:pPr>
        <w:spacing w:after="40"/>
        <w:ind w:left="369" w:hanging="227"/>
      </w:pPr>
      <w:r>
        <w:rPr>
          <w:rFonts w:ascii="Arial" w:hAnsi="Arial" w:cs="Arial"/>
          <w:sz w:val="22"/>
        </w:rPr>
        <w:t>3. determinar deudas cuando sea necesario;</w:t>
      </w:r>
    </w:p>
    <w:p>
      <w:pPr>
        <w:spacing w:after="40"/>
        <w:ind w:left="369" w:hanging="227"/>
      </w:pPr>
      <w:r>
        <w:rPr>
          <w:rFonts w:ascii="Arial" w:hAnsi="Arial" w:cs="Arial"/>
          <w:sz w:val="22"/>
        </w:rPr>
        <w:t>4. identificar responsables principales y derivados;</w:t>
      </w:r>
    </w:p>
    <w:p>
      <w:pPr>
        <w:spacing w:after="40"/>
        <w:ind w:left="369" w:hanging="227"/>
      </w:pPr>
      <w:r>
        <w:rPr>
          <w:rFonts w:ascii="Arial" w:hAnsi="Arial" w:cs="Arial"/>
          <w:sz w:val="22"/>
        </w:rPr>
        <w:t>5. recaudar en periodo voluntario;</w:t>
      </w:r>
    </w:p>
    <w:p>
      <w:pPr>
        <w:spacing w:after="40"/>
        <w:ind w:left="369" w:hanging="227"/>
      </w:pPr>
      <w:r>
        <w:rPr>
          <w:rFonts w:ascii="Arial" w:hAnsi="Arial" w:cs="Arial"/>
          <w:sz w:val="22"/>
        </w:rPr>
        <w:t>6. conceder aplazamientos cuando proceda;</w:t>
      </w:r>
    </w:p>
    <w:p>
      <w:pPr>
        <w:spacing w:after="40"/>
        <w:ind w:left="369" w:hanging="227"/>
      </w:pPr>
      <w:r>
        <w:rPr>
          <w:rFonts w:ascii="Arial" w:hAnsi="Arial" w:cs="Arial"/>
          <w:sz w:val="22"/>
        </w:rPr>
        <w:t>7. devolver ingresos indebidos;</w:t>
      </w:r>
    </w:p>
    <w:p>
      <w:pPr>
        <w:spacing w:after="40"/>
        <w:ind w:left="369" w:hanging="227"/>
      </w:pPr>
      <w:r>
        <w:rPr>
          <w:rFonts w:ascii="Arial" w:hAnsi="Arial" w:cs="Arial"/>
          <w:sz w:val="22"/>
        </w:rPr>
        <w:t>8. iniciar y tramitar apremio;</w:t>
      </w:r>
    </w:p>
    <w:p>
      <w:pPr>
        <w:spacing w:after="40"/>
        <w:ind w:left="369" w:hanging="227"/>
      </w:pPr>
      <w:r>
        <w:rPr>
          <w:rFonts w:ascii="Arial" w:hAnsi="Arial" w:cs="Arial"/>
          <w:sz w:val="22"/>
        </w:rPr>
        <w:t>9. declarar créditos incobrables y vigilar solvencia;</w:t>
      </w:r>
    </w:p>
    <w:p>
      <w:pPr>
        <w:spacing w:after="40"/>
        <w:ind w:left="369" w:hanging="227"/>
      </w:pPr>
      <w:r>
        <w:rPr>
          <w:rFonts w:ascii="Arial" w:hAnsi="Arial" w:cs="Arial"/>
          <w:sz w:val="22"/>
        </w:rPr>
        <w:t>10. emitir certificados y suministrar información dentro de los límites legales.</w:t>
      </w:r>
    </w:p>
    <w:p>
      <w:pPr>
        <w:jc w:val="both"/>
      </w:pPr>
      <w:r>
        <w:rPr>
          <w:rFonts w:ascii="Arial" w:hAnsi="Arial" w:cs="Arial"/>
          <w:sz w:val="22"/>
        </w:rPr>
        <w:t xml:space="preserve">No debe confundirse </w:t>
      </w:r>
      <w:r>
        <w:rPr>
          <w:rFonts w:ascii="Arial" w:hAnsi="Arial" w:cs="Arial"/>
          <w:b/>
          <w:sz w:val="22"/>
        </w:rPr>
        <w:t>liquidación</w:t>
      </w:r>
      <w:r>
        <w:rPr>
          <w:rFonts w:ascii="Arial" w:hAnsi="Arial" w:cs="Arial"/>
          <w:sz w:val="22"/>
        </w:rPr>
        <w:t xml:space="preserve"> con </w:t>
      </w:r>
      <w:r>
        <w:rPr>
          <w:rFonts w:ascii="Arial" w:hAnsi="Arial" w:cs="Arial"/>
          <w:b/>
          <w:sz w:val="22"/>
        </w:rPr>
        <w:t>recaudación</w:t>
      </w:r>
      <w:r>
        <w:rPr>
          <w:rFonts w:ascii="Arial" w:hAnsi="Arial" w:cs="Arial"/>
          <w:sz w:val="22"/>
        </w:rPr>
        <w:t>. Liquidar determina el importe; recaudar lo cobra. En el sistema de liquidación directa, la TGSS calcula a partir de datos comunicados, pero el sujeto responsable conserva obligaciones de transmisión, confirmación y pago.</w:t>
      </w:r>
    </w:p>
    <w:p>
      <w:pPr>
        <w:pStyle w:val="Heading1"/>
        <w:keepNext/>
      </w:pPr>
      <w:r>
        <w:rPr>
          <w:rFonts w:ascii="Arial" w:hAnsi="Arial" w:cs="Arial"/>
          <w:sz w:val="30"/>
        </w:rPr>
        <w:t>3. Competencia y órganos</w:t>
      </w:r>
    </w:p>
    <w:p>
      <w:pPr>
        <w:jc w:val="both"/>
      </w:pPr>
      <w:r>
        <w:rPr>
          <w:rFonts w:ascii="Arial" w:hAnsi="Arial" w:cs="Arial"/>
          <w:sz w:val="22"/>
        </w:rPr>
        <w:t xml:space="preserve">La competencia recaudatoria de los recursos del sistema corresponde de forma </w:t>
      </w:r>
      <w:r>
        <w:rPr>
          <w:rFonts w:ascii="Arial" w:hAnsi="Arial" w:cs="Arial"/>
          <w:b/>
          <w:sz w:val="22"/>
        </w:rPr>
        <w:t>exclusiva a la Tesorería General de la Seguridad Social —TGSS—</w:t>
      </w:r>
      <w:r>
        <w:rPr>
          <w:rFonts w:ascii="Arial" w:hAnsi="Arial" w:cs="Arial"/>
          <w:sz w:val="22"/>
        </w:rPr>
        <w:t>, bajo la dirección, vigilancia y tutela del ministerio competente. Se ejerce principalmente mediante:</w:t>
      </w:r>
    </w:p>
    <w:p>
      <w:pPr>
        <w:pStyle w:val="ListBullet"/>
      </w:pPr>
      <w:r>
        <w:rPr>
          <w:rFonts w:ascii="Arial" w:hAnsi="Arial" w:cs="Arial"/>
          <w:sz w:val="22"/>
        </w:rPr>
        <w:t>servicios centrales;</w:t>
      </w:r>
    </w:p>
    <w:p>
      <w:pPr>
        <w:pStyle w:val="ListBullet"/>
      </w:pPr>
      <w:r>
        <w:rPr>
          <w:rFonts w:ascii="Arial" w:hAnsi="Arial" w:cs="Arial"/>
          <w:sz w:val="22"/>
        </w:rPr>
        <w:t>direcciones provinciales;</w:t>
      </w:r>
    </w:p>
    <w:p>
      <w:pPr>
        <w:pStyle w:val="ListBullet"/>
      </w:pPr>
      <w:r>
        <w:rPr>
          <w:rFonts w:ascii="Arial" w:hAnsi="Arial" w:cs="Arial"/>
          <w:sz w:val="22"/>
        </w:rPr>
        <w:t>administraciones de la Seguridad Social;</w:t>
      </w:r>
    </w:p>
    <w:p>
      <w:pPr>
        <w:pStyle w:val="ListBullet"/>
      </w:pPr>
      <w:r>
        <w:rPr>
          <w:rFonts w:ascii="Arial" w:hAnsi="Arial" w:cs="Arial"/>
          <w:sz w:val="22"/>
        </w:rPr>
        <w:t>unidades de recaudación ejecutiva —URE—;</w:t>
      </w:r>
    </w:p>
    <w:p>
      <w:pPr>
        <w:pStyle w:val="ListBullet"/>
      </w:pPr>
      <w:r>
        <w:rPr>
          <w:rFonts w:ascii="Arial" w:hAnsi="Arial" w:cs="Arial"/>
          <w:sz w:val="22"/>
        </w:rPr>
        <w:t>órganos a los que se atribuya expresamente una función.</w:t>
      </w:r>
    </w:p>
    <w:p>
      <w:pPr>
        <w:jc w:val="both"/>
      </w:pPr>
      <w:r>
        <w:rPr>
          <w:rFonts w:ascii="Arial" w:hAnsi="Arial" w:cs="Arial"/>
          <w:sz w:val="22"/>
        </w:rPr>
        <w:t>Las URE ejecutan forzosamente el patrimonio del deudor y aseguran bienes. El recaudador ejecutivo y el personal adscrito actúan como agentes de la autoridad en los términos reglamentarios.</w:t>
      </w:r>
    </w:p>
    <w:p>
      <w:pPr>
        <w:jc w:val="both"/>
      </w:pPr>
      <w:r>
        <w:rPr>
          <w:rFonts w:ascii="Arial" w:hAnsi="Arial" w:cs="Arial"/>
          <w:sz w:val="22"/>
        </w:rPr>
        <w:t xml:space="preserve">Entidades financieras y otros autorizados </w:t>
      </w:r>
      <w:r>
        <w:rPr>
          <w:rFonts w:ascii="Arial" w:hAnsi="Arial" w:cs="Arial"/>
          <w:b/>
          <w:sz w:val="22"/>
        </w:rPr>
        <w:t>colaboran</w:t>
      </w:r>
      <w:r>
        <w:rPr>
          <w:rFonts w:ascii="Arial" w:hAnsi="Arial" w:cs="Arial"/>
          <w:sz w:val="22"/>
        </w:rPr>
        <w:t xml:space="preserve"> en el ingreso, pero no adquieren la titularidad del crédito ni competencia para condonar, aplazar o resolver recursos. Una mutua puede comunicar una deuda o ser responsable de un ingreso; la competencia recaudatoria sigue siendo de la TGSS.</w:t>
      </w:r>
    </w:p>
    <w:p>
      <w:pPr>
        <w:pStyle w:val="Heading1"/>
        <w:keepNext/>
      </w:pPr>
      <w:r>
        <w:rPr>
          <w:rFonts w:ascii="Arial" w:hAnsi="Arial" w:cs="Arial"/>
          <w:sz w:val="30"/>
        </w:rPr>
        <w:t>4. Objeto de la recaudación</w:t>
      </w:r>
    </w:p>
    <w:p>
      <w:pPr>
        <w:jc w:val="both"/>
      </w:pPr>
      <w:r>
        <w:rPr>
          <w:rFonts w:ascii="Arial" w:hAnsi="Arial" w:cs="Arial"/>
          <w:sz w:val="22"/>
        </w:rPr>
        <w:t>El artículo 1 RGRSS enumera, entre otros:</w:t>
      </w:r>
    </w:p>
    <w:p>
      <w:pPr>
        <w:pStyle w:val="ListBullet"/>
      </w:pPr>
      <w:r>
        <w:rPr>
          <w:rFonts w:ascii="Arial" w:hAnsi="Arial" w:cs="Arial"/>
          <w:sz w:val="22"/>
        </w:rPr>
        <w:t>cuotas de la Seguridad Social;</w:t>
      </w:r>
    </w:p>
    <w:p>
      <w:pPr>
        <w:pStyle w:val="ListBullet"/>
      </w:pPr>
      <w:r>
        <w:rPr>
          <w:rFonts w:ascii="Arial" w:hAnsi="Arial" w:cs="Arial"/>
          <w:sz w:val="22"/>
        </w:rPr>
        <w:t>aportaciones debidas por norma o concierto;</w:t>
      </w:r>
    </w:p>
    <w:p>
      <w:pPr>
        <w:pStyle w:val="ListBullet"/>
      </w:pPr>
      <w:r>
        <w:rPr>
          <w:rFonts w:ascii="Arial" w:hAnsi="Arial" w:cs="Arial"/>
          <w:sz w:val="22"/>
        </w:rPr>
        <w:t>aportaciones de mutuas y empresas colaboradoras para servicios comunes y gastos;</w:t>
      </w:r>
    </w:p>
    <w:p>
      <w:pPr>
        <w:pStyle w:val="ListBullet"/>
      </w:pPr>
      <w:r>
        <w:rPr>
          <w:rFonts w:ascii="Arial" w:hAnsi="Arial" w:cs="Arial"/>
          <w:sz w:val="22"/>
        </w:rPr>
        <w:t>capitales coste de pensiones, rentas temporales y otras prestaciones;</w:t>
      </w:r>
    </w:p>
    <w:p>
      <w:pPr>
        <w:pStyle w:val="ListBullet"/>
      </w:pPr>
      <w:r>
        <w:rPr>
          <w:rFonts w:ascii="Arial" w:hAnsi="Arial" w:cs="Arial"/>
          <w:sz w:val="22"/>
        </w:rPr>
        <w:t>aportaciones por reaseguro;</w:t>
      </w:r>
    </w:p>
    <w:p>
      <w:pPr>
        <w:pStyle w:val="ListBullet"/>
      </w:pPr>
      <w:r>
        <w:rPr>
          <w:rFonts w:ascii="Arial" w:hAnsi="Arial" w:cs="Arial"/>
          <w:sz w:val="22"/>
        </w:rPr>
        <w:t>sanciones por infracciones en materia de Seguridad Social;</w:t>
      </w:r>
    </w:p>
    <w:p>
      <w:pPr>
        <w:pStyle w:val="ListBullet"/>
      </w:pPr>
      <w:r>
        <w:rPr>
          <w:rFonts w:ascii="Arial" w:hAnsi="Arial" w:cs="Arial"/>
          <w:sz w:val="22"/>
        </w:rPr>
        <w:t>recargos de prestaciones por falta de medidas de seguridad;</w:t>
      </w:r>
    </w:p>
    <w:p>
      <w:pPr>
        <w:pStyle w:val="ListBullet"/>
      </w:pPr>
      <w:r>
        <w:rPr>
          <w:rFonts w:ascii="Arial" w:hAnsi="Arial" w:cs="Arial"/>
          <w:sz w:val="22"/>
        </w:rPr>
        <w:t>reintegros de préstamos de inversión social;</w:t>
      </w:r>
    </w:p>
    <w:p>
      <w:pPr>
        <w:pStyle w:val="ListBullet"/>
      </w:pPr>
      <w:r>
        <w:rPr>
          <w:rFonts w:ascii="Arial" w:hAnsi="Arial" w:cs="Arial"/>
          <w:sz w:val="22"/>
        </w:rPr>
        <w:t>contraprestaciones e indemnizaciones de contratos administrativos;</w:t>
      </w:r>
    </w:p>
    <w:p>
      <w:pPr>
        <w:pStyle w:val="ListBullet"/>
      </w:pPr>
      <w:r>
        <w:rPr>
          <w:rFonts w:ascii="Arial" w:hAnsi="Arial" w:cs="Arial"/>
          <w:sz w:val="22"/>
        </w:rPr>
        <w:t>aportaciones por ayudas previas o equivalentes a jubilaciones anticipadas;</w:t>
      </w:r>
    </w:p>
    <w:p>
      <w:pPr>
        <w:pStyle w:val="ListBullet"/>
      </w:pPr>
      <w:r>
        <w:rPr>
          <w:rFonts w:ascii="Arial" w:hAnsi="Arial" w:cs="Arial"/>
          <w:sz w:val="22"/>
        </w:rPr>
        <w:t>reintegros de prestaciones indebidamente percibidas;</w:t>
      </w:r>
    </w:p>
    <w:p>
      <w:pPr>
        <w:pStyle w:val="ListBullet"/>
      </w:pPr>
      <w:r>
        <w:rPr>
          <w:rFonts w:ascii="Arial" w:hAnsi="Arial" w:cs="Arial"/>
          <w:sz w:val="22"/>
        </w:rPr>
        <w:t>reintegros de prestaciones indebidamente compensadas y deducciones indebidamente aplicadas;</w:t>
      </w:r>
    </w:p>
    <w:p>
      <w:pPr>
        <w:pStyle w:val="ListBullet"/>
      </w:pPr>
      <w:r>
        <w:rPr>
          <w:rFonts w:ascii="Arial" w:hAnsi="Arial" w:cs="Arial"/>
          <w:sz w:val="22"/>
        </w:rPr>
        <w:t>costas procesales;</w:t>
      </w:r>
    </w:p>
    <w:p>
      <w:pPr>
        <w:pStyle w:val="ListBullet"/>
      </w:pPr>
      <w:r>
        <w:rPr>
          <w:rFonts w:ascii="Arial" w:hAnsi="Arial" w:cs="Arial"/>
          <w:sz w:val="22"/>
        </w:rPr>
        <w:t>otros ingresos de derecho público;</w:t>
      </w:r>
    </w:p>
    <w:p>
      <w:pPr>
        <w:pStyle w:val="ListBullet"/>
      </w:pPr>
      <w:r>
        <w:rPr>
          <w:rFonts w:ascii="Arial" w:hAnsi="Arial" w:cs="Arial"/>
          <w:sz w:val="22"/>
        </w:rPr>
        <w:t>recargos e intereses.</w:t>
      </w:r>
    </w:p>
    <w:p>
      <w:pPr>
        <w:jc w:val="both"/>
      </w:pPr>
      <w:r>
        <w:rPr>
          <w:rFonts w:ascii="Arial" w:hAnsi="Arial" w:cs="Arial"/>
          <w:sz w:val="22"/>
        </w:rPr>
        <w:t xml:space="preserve">La TGSS recauda además las cuotas de </w:t>
      </w:r>
      <w:r>
        <w:rPr>
          <w:rFonts w:ascii="Arial" w:hAnsi="Arial" w:cs="Arial"/>
          <w:b/>
          <w:sz w:val="22"/>
        </w:rPr>
        <w:t>desempleo, Fondo de Garantía Salarial y formación profesional</w:t>
      </w:r>
      <w:r>
        <w:rPr>
          <w:rFonts w:ascii="Arial" w:hAnsi="Arial" w:cs="Arial"/>
          <w:sz w:val="22"/>
        </w:rPr>
        <w:t>, aunque sus destinatarios o finalidades no sean idénticos a las cuotas propias del sistema.</w:t>
      </w:r>
    </w:p>
    <w:p>
      <w:pPr>
        <w:jc w:val="both"/>
      </w:pPr>
      <w:r>
        <w:rPr>
          <w:rFonts w:ascii="Arial" w:hAnsi="Arial" w:cs="Arial"/>
          <w:sz w:val="22"/>
        </w:rPr>
        <w:t>Quedan fuera de este procedimiento los frutos, rentas y productos de bienes muebles o inmuebles cuando se rijan por derecho privado. La naturaleza del ingreso determina el cauce.</w:t>
      </w:r>
    </w:p>
    <w:p>
      <w:pPr>
        <w:pStyle w:val="Heading1"/>
        <w:keepNext/>
      </w:pPr>
      <w:r>
        <w:rPr>
          <w:rFonts w:ascii="Arial" w:hAnsi="Arial" w:cs="Arial"/>
          <w:sz w:val="30"/>
        </w:rPr>
        <w:t>5. Sujetos responsables del pago</w:t>
      </w:r>
    </w:p>
    <w:p>
      <w:pPr>
        <w:pStyle w:val="Heading2"/>
        <w:keepNext/>
      </w:pPr>
      <w:r>
        <w:rPr>
          <w:rFonts w:ascii="Arial" w:hAnsi="Arial" w:cs="Arial"/>
          <w:sz w:val="25"/>
        </w:rPr>
        <w:t>5.1. Obligado principal</w:t>
      </w:r>
    </w:p>
    <w:p>
      <w:pPr>
        <w:jc w:val="both"/>
      </w:pPr>
      <w:r>
        <w:rPr>
          <w:rFonts w:ascii="Arial" w:hAnsi="Arial" w:cs="Arial"/>
          <w:sz w:val="22"/>
        </w:rPr>
        <w:t>Es sujeto responsable quien la norma designa para ingresar. En el Régimen General, el empresario ingresa su aportación y la de sus trabajadores. Debe descontar la aportación obrera en el momento de abonar la retribución; si no lo hace entonces, no puede cargarla después al trabajador, sin perjuicio de las reglas especiales.</w:t>
      </w:r>
    </w:p>
    <w:p>
      <w:pPr>
        <w:jc w:val="both"/>
      </w:pPr>
      <w:r>
        <w:rPr>
          <w:rFonts w:ascii="Arial" w:hAnsi="Arial" w:cs="Arial"/>
          <w:sz w:val="22"/>
        </w:rPr>
        <w:t>En regímenes de cuenta propia, el trabajador es responsable directo. En convenios especiales, la cuota corresponde al suscriptor. En otros recursos, la resolución o norma identifica al obligado: empresa responsable de una prestación, mutua, pensionista que reintegra o infractor sancionado.</w:t>
      </w:r>
    </w:p>
    <w:p>
      <w:pPr>
        <w:pStyle w:val="Heading2"/>
        <w:keepNext/>
      </w:pPr>
      <w:r>
        <w:rPr>
          <w:rFonts w:ascii="Arial" w:hAnsi="Arial" w:cs="Arial"/>
          <w:sz w:val="25"/>
        </w:rPr>
        <w:t>5.2. Responsables solidarios</w:t>
      </w:r>
    </w:p>
    <w:p>
      <w:pPr>
        <w:jc w:val="both"/>
      </w:pPr>
      <w:r>
        <w:rPr>
          <w:rFonts w:ascii="Arial" w:hAnsi="Arial" w:cs="Arial"/>
          <w:sz w:val="22"/>
        </w:rPr>
        <w:t>La responsabilidad solidaria permite exigir la totalidad a cualquiera de los responsables cuando concurre el presupuesto legal: sucesión empresarial, cesión ilegal, contratas en determinados límites, grupo patológico, actuación de administradores u otros supuestos. No se presume por mera relación económica.</w:t>
      </w:r>
    </w:p>
    <w:p>
      <w:pPr>
        <w:jc w:val="both"/>
      </w:pPr>
      <w:r>
        <w:rPr>
          <w:rFonts w:ascii="Arial" w:hAnsi="Arial" w:cs="Arial"/>
          <w:sz w:val="22"/>
        </w:rPr>
        <w:t>La TGSS dicta una reclamación por derivación que identifica:</w:t>
      </w:r>
    </w:p>
    <w:p>
      <w:pPr>
        <w:pStyle w:val="ListBullet"/>
      </w:pPr>
      <w:r>
        <w:rPr>
          <w:rFonts w:ascii="Arial" w:hAnsi="Arial" w:cs="Arial"/>
          <w:sz w:val="22"/>
        </w:rPr>
        <w:t>hechos;</w:t>
      </w:r>
    </w:p>
    <w:p>
      <w:pPr>
        <w:pStyle w:val="ListBullet"/>
      </w:pPr>
      <w:r>
        <w:rPr>
          <w:rFonts w:ascii="Arial" w:hAnsi="Arial" w:cs="Arial"/>
          <w:sz w:val="22"/>
        </w:rPr>
        <w:t>fundamento;</w:t>
      </w:r>
    </w:p>
    <w:p>
      <w:pPr>
        <w:pStyle w:val="ListBullet"/>
      </w:pPr>
      <w:r>
        <w:rPr>
          <w:rFonts w:ascii="Arial" w:hAnsi="Arial" w:cs="Arial"/>
          <w:sz w:val="22"/>
        </w:rPr>
        <w:t>periodo;</w:t>
      </w:r>
    </w:p>
    <w:p>
      <w:pPr>
        <w:pStyle w:val="ListBullet"/>
      </w:pPr>
      <w:r>
        <w:rPr>
          <w:rFonts w:ascii="Arial" w:hAnsi="Arial" w:cs="Arial"/>
          <w:sz w:val="22"/>
        </w:rPr>
        <w:t>deuda;</w:t>
      </w:r>
    </w:p>
    <w:p>
      <w:pPr>
        <w:pStyle w:val="ListBullet"/>
      </w:pPr>
      <w:r>
        <w:rPr>
          <w:rFonts w:ascii="Arial" w:hAnsi="Arial" w:cs="Arial"/>
          <w:sz w:val="22"/>
        </w:rPr>
        <w:t>responsable originario;</w:t>
      </w:r>
    </w:p>
    <w:p>
      <w:pPr>
        <w:pStyle w:val="ListBullet"/>
      </w:pPr>
      <w:r>
        <w:rPr>
          <w:rFonts w:ascii="Arial" w:hAnsi="Arial" w:cs="Arial"/>
          <w:sz w:val="22"/>
        </w:rPr>
        <w:t>alcance de solidaridad;</w:t>
      </w:r>
    </w:p>
    <w:p>
      <w:pPr>
        <w:pStyle w:val="ListBullet"/>
      </w:pPr>
      <w:r>
        <w:rPr>
          <w:rFonts w:ascii="Arial" w:hAnsi="Arial" w:cs="Arial"/>
          <w:sz w:val="22"/>
        </w:rPr>
        <w:t>vías de impugnación.</w:t>
      </w:r>
    </w:p>
    <w:p>
      <w:pPr>
        <w:jc w:val="both"/>
      </w:pPr>
      <w:r>
        <w:rPr>
          <w:rFonts w:ascii="Arial" w:hAnsi="Arial" w:cs="Arial"/>
          <w:sz w:val="22"/>
        </w:rPr>
        <w:t>El pago íntegro por uno extingue la deuda frente a la TGSS, sin perjuicio de repetición interna.</w:t>
      </w:r>
    </w:p>
    <w:p>
      <w:pPr>
        <w:pStyle w:val="Heading2"/>
        <w:keepNext/>
      </w:pPr>
      <w:r>
        <w:rPr>
          <w:rFonts w:ascii="Arial" w:hAnsi="Arial" w:cs="Arial"/>
          <w:sz w:val="25"/>
        </w:rPr>
        <w:t>5.3. Responsables subsidiarios</w:t>
      </w:r>
    </w:p>
    <w:p>
      <w:pPr>
        <w:jc w:val="both"/>
      </w:pPr>
      <w:r>
        <w:rPr>
          <w:rFonts w:ascii="Arial" w:hAnsi="Arial" w:cs="Arial"/>
          <w:sz w:val="22"/>
        </w:rPr>
        <w:t>Al subsidiario se le exige cuando se cumplen presupuesto y previa insuficiencia o declaración que la norma requiera respecto del principal. Solidaridad y subsidiariedad no son sinónimos: cambian el orden de exigencia y los hechos que deben motivarse.</w:t>
      </w:r>
    </w:p>
    <w:p>
      <w:pPr>
        <w:pStyle w:val="Heading2"/>
        <w:keepNext/>
      </w:pPr>
      <w:r>
        <w:rPr>
          <w:rFonts w:ascii="Arial" w:hAnsi="Arial" w:cs="Arial"/>
          <w:sz w:val="25"/>
        </w:rPr>
        <w:t>5.4. Sucesores mortis causa</w:t>
      </w:r>
    </w:p>
    <w:p>
      <w:pPr>
        <w:jc w:val="both"/>
      </w:pPr>
      <w:r>
        <w:rPr>
          <w:rFonts w:ascii="Arial" w:hAnsi="Arial" w:cs="Arial"/>
          <w:sz w:val="22"/>
        </w:rPr>
        <w:t>Las obligaciones transmisibles pasan a herederos dentro de los límites civiles. Las sanciones, por su naturaleza personal, no se transmiten como una deuda ordinaria. Deben diferenciarse principal, recargo, intereses y componentes sancionadores.</w:t>
      </w:r>
    </w:p>
    <w:p>
      <w:pPr>
        <w:pStyle w:val="Heading2"/>
        <w:keepNext/>
      </w:pPr>
      <w:r>
        <w:rPr>
          <w:rFonts w:ascii="Arial" w:hAnsi="Arial" w:cs="Arial"/>
          <w:sz w:val="25"/>
        </w:rPr>
        <w:t>5.5. Procedimiento de derivación</w:t>
      </w:r>
    </w:p>
    <w:p>
      <w:pPr>
        <w:jc w:val="both"/>
      </w:pPr>
      <w:r>
        <w:rPr>
          <w:rFonts w:ascii="Arial" w:hAnsi="Arial" w:cs="Arial"/>
          <w:sz w:val="22"/>
        </w:rPr>
        <w:t xml:space="preserve">Antes de declarar responsabilidad se concede audiencia cuando proceda. La resolución debe notificarse. Conforme al artículo 13 RGRSS, el plazo máximo para notificar la reclamación derivada, contado desde el día siguiente al acuerdo de iniciación, es </w:t>
      </w:r>
      <w:r>
        <w:rPr>
          <w:rFonts w:ascii="Arial" w:hAnsi="Arial" w:cs="Arial"/>
          <w:b/>
          <w:sz w:val="22"/>
        </w:rPr>
        <w:t>seis meses</w:t>
      </w:r>
      <w:r>
        <w:rPr>
          <w:rFonts w:ascii="Arial" w:hAnsi="Arial" w:cs="Arial"/>
          <w:sz w:val="22"/>
        </w:rPr>
        <w:t>. El dato ha sido objeto de examen y no debe sustituirse por los tres meses de otros procedimientos recaudatorios.</w:t>
      </w:r>
    </w:p>
    <w:p>
      <w:pPr>
        <w:pStyle w:val="Heading1"/>
        <w:keepNext/>
      </w:pPr>
      <w:r>
        <w:rPr>
          <w:rFonts w:ascii="Arial" w:hAnsi="Arial" w:cs="Arial"/>
          <w:sz w:val="30"/>
        </w:rPr>
        <w:t>6. Requisitos subjetivos y objetivos del pago</w:t>
      </w:r>
    </w:p>
    <w:p>
      <w:pPr>
        <w:pStyle w:val="Heading2"/>
        <w:keepNext/>
      </w:pPr>
      <w:r>
        <w:rPr>
          <w:rFonts w:ascii="Arial" w:hAnsi="Arial" w:cs="Arial"/>
          <w:sz w:val="25"/>
        </w:rPr>
        <w:t>6.1. Quién puede pagar</w:t>
      </w:r>
    </w:p>
    <w:p>
      <w:pPr>
        <w:jc w:val="both"/>
      </w:pPr>
      <w:r>
        <w:rPr>
          <w:rFonts w:ascii="Arial" w:hAnsi="Arial" w:cs="Arial"/>
          <w:sz w:val="22"/>
        </w:rPr>
        <w:t>Puede pagar el responsable o un tercero. El pago por tercero extingue el crédito en la cuantía ingresada, pero no le legitima por sí solo para ejercer derechos del obligado ni le subroga automáticamente frente a la TGSS.</w:t>
      </w:r>
    </w:p>
    <w:p>
      <w:pPr>
        <w:jc w:val="both"/>
      </w:pPr>
      <w:r>
        <w:rPr>
          <w:rFonts w:ascii="Arial" w:hAnsi="Arial" w:cs="Arial"/>
          <w:sz w:val="22"/>
        </w:rPr>
        <w:t>El órgano debe comprobar que el pago se refiere a deuda correcta. Una transferencia sin datos suficientes puede quedar pendiente de aplicación y no evita consecuencias si no se identifica dentro de plazo.</w:t>
      </w:r>
    </w:p>
    <w:p>
      <w:pPr>
        <w:pStyle w:val="Heading2"/>
        <w:keepNext/>
      </w:pPr>
      <w:r>
        <w:rPr>
          <w:rFonts w:ascii="Arial" w:hAnsi="Arial" w:cs="Arial"/>
          <w:sz w:val="25"/>
        </w:rPr>
        <w:t>6.2. Integridad</w:t>
      </w:r>
    </w:p>
    <w:p>
      <w:pPr>
        <w:jc w:val="both"/>
      </w:pPr>
      <w:r>
        <w:rPr>
          <w:rFonts w:ascii="Arial" w:hAnsi="Arial" w:cs="Arial"/>
          <w:sz w:val="22"/>
        </w:rPr>
        <w:t>Para extinguir completamente una deuda debe ingresarse principal, recargo, intereses y costas exigibles. El pago parcial se aplica según las reglas de imputación y no paraliza necesariamente el procedimiento por el resto.</w:t>
      </w:r>
    </w:p>
    <w:p>
      <w:pPr>
        <w:jc w:val="both"/>
      </w:pPr>
      <w:r>
        <w:rPr>
          <w:rFonts w:ascii="Arial" w:hAnsi="Arial" w:cs="Arial"/>
          <w:sz w:val="22"/>
        </w:rPr>
        <w:t>El obligado no puede imponer unilateralmente que una cantidad se aplique a una deuda distinta cuando existe una regla legal de imputación. En apremio se atiende al expediente y a la antigüedad o prelación aplicable.</w:t>
      </w:r>
    </w:p>
    <w:p>
      <w:pPr>
        <w:pStyle w:val="Heading2"/>
        <w:keepNext/>
      </w:pPr>
      <w:r>
        <w:rPr>
          <w:rFonts w:ascii="Arial" w:hAnsi="Arial" w:cs="Arial"/>
          <w:sz w:val="25"/>
        </w:rPr>
        <w:t>6.3. Tiempo y lugar</w:t>
      </w:r>
    </w:p>
    <w:p>
      <w:pPr>
        <w:jc w:val="both"/>
      </w:pPr>
      <w:r>
        <w:rPr>
          <w:rFonts w:ascii="Arial" w:hAnsi="Arial" w:cs="Arial"/>
          <w:sz w:val="22"/>
        </w:rPr>
        <w:t>El ingreso debe realizarse dentro del plazo reglamentario, en órganos, entidades colaboradoras o canales autorizados. Pagar en una cuenta no habilitada puede no liberar hasta que los fondos lleguen efectivamente a la TGSS.</w:t>
      </w:r>
    </w:p>
    <w:p>
      <w:pPr>
        <w:jc w:val="both"/>
      </w:pPr>
      <w:r>
        <w:rPr>
          <w:rFonts w:ascii="Arial" w:hAnsi="Arial" w:cs="Arial"/>
          <w:sz w:val="22"/>
        </w:rPr>
        <w:t>Si el último día es inhábil, se aplica la regla específica sobre prórroga al primer día hábil siguiente cuando corresponda. Antes de usar la regla general de la Ley 39/2015 debe comprobarse el plazo recaudatorio especial.</w:t>
      </w:r>
    </w:p>
    <w:p>
      <w:pPr>
        <w:pStyle w:val="Heading2"/>
        <w:keepNext/>
      </w:pPr>
      <w:r>
        <w:rPr>
          <w:rFonts w:ascii="Arial" w:hAnsi="Arial" w:cs="Arial"/>
          <w:sz w:val="25"/>
        </w:rPr>
        <w:t>6.4. Justificante</w:t>
      </w:r>
    </w:p>
    <w:p>
      <w:pPr>
        <w:jc w:val="both"/>
      </w:pPr>
      <w:r>
        <w:rPr>
          <w:rFonts w:ascii="Arial" w:hAnsi="Arial" w:cs="Arial"/>
          <w:sz w:val="22"/>
        </w:rPr>
        <w:t>El recibo o justificante electrónico acredita fecha, importe, concepto, periodo, identificador y entidad. Un justificante de orden de transferencia no siempre acredita la recepción. Debe conservarse porque la fecha liberatoria varía según el medio.</w:t>
      </w:r>
    </w:p>
    <w:p>
      <w:pPr>
        <w:pStyle w:val="Heading1"/>
        <w:keepNext/>
      </w:pPr>
      <w:r>
        <w:rPr>
          <w:rFonts w:ascii="Arial" w:hAnsi="Arial" w:cs="Arial"/>
          <w:sz w:val="30"/>
        </w:rPr>
        <w:t>7. Medios de pago</w:t>
      </w:r>
    </w:p>
    <w:p>
      <w:pPr>
        <w:pStyle w:val="Heading2"/>
        <w:keepNext/>
      </w:pPr>
      <w:r>
        <w:rPr>
          <w:rFonts w:ascii="Arial" w:hAnsi="Arial" w:cs="Arial"/>
          <w:sz w:val="25"/>
        </w:rPr>
        <w:t>7.1. Dinero de curso legal</w:t>
      </w:r>
    </w:p>
    <w:p>
      <w:pPr>
        <w:jc w:val="both"/>
      </w:pPr>
      <w:r>
        <w:rPr>
          <w:rFonts w:ascii="Arial" w:hAnsi="Arial" w:cs="Arial"/>
          <w:sz w:val="22"/>
        </w:rPr>
        <w:t>El pago puede realizarse en efectivo por los canales que lo admitan. En la práctica ordinaria predominan medios electrónicos y entidades colaboradoras. Los límites generales sobre pagos en efectivo también deben respetarse cuando sean aplicables.</w:t>
      </w:r>
    </w:p>
    <w:p>
      <w:pPr>
        <w:pStyle w:val="Heading2"/>
        <w:keepNext/>
      </w:pPr>
      <w:r>
        <w:rPr>
          <w:rFonts w:ascii="Arial" w:hAnsi="Arial" w:cs="Arial"/>
          <w:sz w:val="25"/>
        </w:rPr>
        <w:t>7.2. Cheque</w:t>
      </w:r>
    </w:p>
    <w:p>
      <w:pPr>
        <w:jc w:val="both"/>
      </w:pPr>
      <w:r>
        <w:rPr>
          <w:rFonts w:ascii="Arial" w:hAnsi="Arial" w:cs="Arial"/>
          <w:sz w:val="22"/>
        </w:rPr>
        <w:t>El cheque debe reunir los requisitos reglamentarios, estar nominativo a favor de la TGSS, conformado o certificado cuando corresponda y emitido contra entidad autorizada. Su eficacia queda condicionada a que se haga efectivo. La entrega de un cheque defectuoso no equivale a pago definitivo.</w:t>
      </w:r>
    </w:p>
    <w:p>
      <w:pPr>
        <w:pStyle w:val="Heading2"/>
        <w:keepNext/>
      </w:pPr>
      <w:r>
        <w:rPr>
          <w:rFonts w:ascii="Arial" w:hAnsi="Arial" w:cs="Arial"/>
          <w:sz w:val="25"/>
        </w:rPr>
        <w:t>7.3. Transferencia bancaria</w:t>
      </w:r>
    </w:p>
    <w:p>
      <w:pPr>
        <w:jc w:val="both"/>
      </w:pPr>
      <w:r>
        <w:rPr>
          <w:rFonts w:ascii="Arial" w:hAnsi="Arial" w:cs="Arial"/>
          <w:sz w:val="22"/>
        </w:rPr>
        <w:t xml:space="preserve">En la transferencia se considera fecha de pago aquella en la que </w:t>
      </w:r>
      <w:r>
        <w:rPr>
          <w:rFonts w:ascii="Arial" w:hAnsi="Arial" w:cs="Arial"/>
          <w:b/>
          <w:sz w:val="22"/>
        </w:rPr>
        <w:t>los fondos tienen entrada en la cuenta de la TGSS</w:t>
      </w:r>
      <w:r>
        <w:rPr>
          <w:rFonts w:ascii="Arial" w:hAnsi="Arial" w:cs="Arial"/>
          <w:sz w:val="22"/>
        </w:rPr>
        <w:t>, no el día en que el deudor ordena la operación. Este detalle es clásico en supuestos prácticos.</w:t>
      </w:r>
    </w:p>
    <w:p>
      <w:pPr>
        <w:jc w:val="both"/>
      </w:pPr>
      <w:r>
        <w:rPr>
          <w:rFonts w:ascii="Arial" w:hAnsi="Arial" w:cs="Arial"/>
          <w:sz w:val="22"/>
        </w:rPr>
        <w:t>La orden debe incluir identificación completa. El riesgo de ordenar en el último momento recae sobre quien paga si los fondos llegan después del vencimiento.</w:t>
      </w:r>
    </w:p>
    <w:p>
      <w:pPr>
        <w:pStyle w:val="Heading2"/>
        <w:keepNext/>
      </w:pPr>
      <w:r>
        <w:rPr>
          <w:rFonts w:ascii="Arial" w:hAnsi="Arial" w:cs="Arial"/>
          <w:sz w:val="25"/>
        </w:rPr>
        <w:t>7.4. Domiciliación</w:t>
      </w:r>
    </w:p>
    <w:p>
      <w:pPr>
        <w:jc w:val="both"/>
      </w:pPr>
      <w:r>
        <w:rPr>
          <w:rFonts w:ascii="Arial" w:hAnsi="Arial" w:cs="Arial"/>
          <w:sz w:val="22"/>
        </w:rPr>
        <w:t>La domiciliación autoriza el cargo en cuenta. El obligado debe comunicarla en tiempo y mantener saldo suficiente. La devolución o falta de cargo deja la deuda impagada, salvo error imputable a la Administración o entidad en los términos legalmente acreditados.</w:t>
      </w:r>
    </w:p>
    <w:p>
      <w:pPr>
        <w:pStyle w:val="Heading2"/>
        <w:keepNext/>
      </w:pPr>
      <w:r>
        <w:rPr>
          <w:rFonts w:ascii="Arial" w:hAnsi="Arial" w:cs="Arial"/>
          <w:sz w:val="25"/>
        </w:rPr>
        <w:t>7.5. Pago electrónico</w:t>
      </w:r>
    </w:p>
    <w:p>
      <w:pPr>
        <w:jc w:val="both"/>
      </w:pPr>
      <w:r>
        <w:rPr>
          <w:rFonts w:ascii="Arial" w:hAnsi="Arial" w:cs="Arial"/>
          <w:sz w:val="22"/>
        </w:rPr>
        <w:t>La sede y los sistemas de la TGSS permiten pagos mediante los instrumentos habilitados. El justificante electrónico tiene validez si contiene código verificable. El uso de un canal electrónico no altera plazo, cuantía ni responsable.</w:t>
      </w:r>
    </w:p>
    <w:p>
      <w:pPr>
        <w:pStyle w:val="Heading2"/>
        <w:keepNext/>
      </w:pPr>
      <w:r>
        <w:rPr>
          <w:rFonts w:ascii="Arial" w:hAnsi="Arial" w:cs="Arial"/>
          <w:sz w:val="25"/>
        </w:rPr>
        <w:t>7.6. Consignación</w:t>
      </w:r>
    </w:p>
    <w:p>
      <w:pPr>
        <w:jc w:val="both"/>
      </w:pPr>
      <w:r>
        <w:rPr>
          <w:rFonts w:ascii="Arial" w:hAnsi="Arial" w:cs="Arial"/>
          <w:sz w:val="22"/>
        </w:rPr>
        <w:t>Cuando el acreedor no puede recibir por causa no imputable al deudor o existe controversia en los supuestos admitidos, puede procederse a depósito o consignación con los efectos reglamentarios. No debe utilizarse como sustituto libre de un recurso o aplazamiento.</w:t>
      </w:r>
    </w:p>
    <w:p>
      <w:pPr>
        <w:pStyle w:val="Heading1"/>
        <w:keepNext/>
      </w:pPr>
      <w:r>
        <w:rPr>
          <w:rFonts w:ascii="Arial" w:hAnsi="Arial" w:cs="Arial"/>
          <w:sz w:val="30"/>
        </w:rPr>
        <w:t>8. Periodo voluntario de recaudación</w:t>
      </w:r>
    </w:p>
    <w:p>
      <w:pPr>
        <w:pStyle w:val="Heading2"/>
        <w:keepNext/>
      </w:pPr>
      <w:r>
        <w:rPr>
          <w:rFonts w:ascii="Arial" w:hAnsi="Arial" w:cs="Arial"/>
          <w:sz w:val="25"/>
        </w:rPr>
        <w:t>8.1. Inicio y final</w:t>
      </w:r>
    </w:p>
    <w:p>
      <w:pPr>
        <w:jc w:val="both"/>
      </w:pPr>
      <w:r>
        <w:rPr>
          <w:rFonts w:ascii="Arial" w:hAnsi="Arial" w:cs="Arial"/>
          <w:sz w:val="22"/>
        </w:rPr>
        <w:t xml:space="preserve">El artículo 6 RGRSS establece que el periodo voluntario se inicia en la fecha de comienzo del plazo reglamentario de ingreso y se prolonga, si no hay pago u otra causa de extinción, hasta la </w:t>
      </w:r>
      <w:r>
        <w:rPr>
          <w:rFonts w:ascii="Arial" w:hAnsi="Arial" w:cs="Arial"/>
          <w:b/>
          <w:sz w:val="22"/>
        </w:rPr>
        <w:t>emisión de la providencia de apremio</w:t>
      </w:r>
      <w:r>
        <w:rPr>
          <w:rFonts w:ascii="Arial" w:hAnsi="Arial" w:cs="Arial"/>
          <w:sz w:val="22"/>
        </w:rPr>
        <w:t>, que inicia el periodo ejecutivo.</w:t>
      </w:r>
    </w:p>
    <w:p>
      <w:pPr>
        <w:jc w:val="both"/>
      </w:pPr>
      <w:r>
        <w:rPr>
          <w:rFonts w:ascii="Arial" w:hAnsi="Arial" w:cs="Arial"/>
          <w:sz w:val="22"/>
        </w:rPr>
        <w:t>Por ello no es correcto afirmar que el periodo voluntario termina siempre el último día del plazo reglamentario. Al vencer ese plazo nace mora, recargos e intereses en los términos legales, pero el Reglamento sitúa el cierre del periodo voluntario en la providencia.</w:t>
      </w:r>
    </w:p>
    <w:p>
      <w:pPr>
        <w:pStyle w:val="Heading2"/>
        <w:keepNext/>
      </w:pPr>
      <w:r>
        <w:rPr>
          <w:rFonts w:ascii="Arial" w:hAnsi="Arial" w:cs="Arial"/>
          <w:sz w:val="25"/>
        </w:rPr>
        <w:t>8.2. Plazo ordinario de cuotas</w:t>
      </w:r>
    </w:p>
    <w:p>
      <w:pPr>
        <w:jc w:val="both"/>
      </w:pPr>
      <w:r>
        <w:rPr>
          <w:rFonts w:ascii="Arial" w:hAnsi="Arial" w:cs="Arial"/>
          <w:sz w:val="22"/>
        </w:rPr>
        <w:t>Las cuotas del Régimen General se ingresan, con carácter general, dentro del mes siguiente al de su devengo. Existen plazos especiales:</w:t>
      </w:r>
    </w:p>
    <w:p>
      <w:pPr>
        <w:pStyle w:val="ListBullet"/>
      </w:pPr>
      <w:r>
        <w:rPr>
          <w:rFonts w:ascii="Arial" w:hAnsi="Arial" w:cs="Arial"/>
          <w:sz w:val="22"/>
        </w:rPr>
        <w:t>RETA: dentro del mismo mes al que corresponden;</w:t>
      </w:r>
    </w:p>
    <w:p>
      <w:pPr>
        <w:pStyle w:val="ListBullet"/>
      </w:pPr>
      <w:r>
        <w:rPr>
          <w:rFonts w:ascii="Arial" w:hAnsi="Arial" w:cs="Arial"/>
          <w:sz w:val="22"/>
        </w:rPr>
        <w:t>convenios especiales: según su modalidad;</w:t>
      </w:r>
    </w:p>
    <w:p>
      <w:pPr>
        <w:pStyle w:val="ListBullet"/>
      </w:pPr>
      <w:r>
        <w:rPr>
          <w:rFonts w:ascii="Arial" w:hAnsi="Arial" w:cs="Arial"/>
          <w:sz w:val="22"/>
        </w:rPr>
        <w:t>salarios retroactivos: plazo fijado por la norma desde el pago o exigibilidad;</w:t>
      </w:r>
    </w:p>
    <w:p>
      <w:pPr>
        <w:pStyle w:val="ListBullet"/>
      </w:pPr>
      <w:r>
        <w:rPr>
          <w:rFonts w:ascii="Arial" w:hAnsi="Arial" w:cs="Arial"/>
          <w:sz w:val="22"/>
        </w:rPr>
        <w:t>vacaciones devengadas y no disfrutadas: liquidación complementaria;</w:t>
      </w:r>
    </w:p>
    <w:p>
      <w:pPr>
        <w:pStyle w:val="ListBullet"/>
      </w:pPr>
      <w:r>
        <w:rPr>
          <w:rFonts w:ascii="Arial" w:hAnsi="Arial" w:cs="Arial"/>
          <w:sz w:val="22"/>
        </w:rPr>
        <w:t>sistemas especiales, artistas y taurinos: reglas propias;</w:t>
      </w:r>
    </w:p>
    <w:p>
      <w:pPr>
        <w:pStyle w:val="ListBullet"/>
      </w:pPr>
      <w:r>
        <w:rPr>
          <w:rFonts w:ascii="Arial" w:hAnsi="Arial" w:cs="Arial"/>
          <w:sz w:val="22"/>
        </w:rPr>
        <w:t>diferencias derivadas de norma, convenio, sentencia o acta: plazo específico.</w:t>
      </w:r>
    </w:p>
    <w:p>
      <w:pPr>
        <w:jc w:val="both"/>
      </w:pPr>
      <w:r>
        <w:rPr>
          <w:rFonts w:ascii="Arial" w:hAnsi="Arial" w:cs="Arial"/>
          <w:sz w:val="22"/>
        </w:rPr>
        <w:t>Memorizar la regla mensual no autoriza a aplicarla a todo recurso.</w:t>
      </w:r>
    </w:p>
    <w:p>
      <w:pPr>
        <w:pStyle w:val="Heading2"/>
        <w:keepNext/>
      </w:pPr>
      <w:r>
        <w:rPr>
          <w:rFonts w:ascii="Arial" w:hAnsi="Arial" w:cs="Arial"/>
          <w:sz w:val="25"/>
        </w:rPr>
        <w:t>8.3. Presentación de documentos y solicitud de cálculo</w:t>
      </w:r>
    </w:p>
    <w:p>
      <w:pPr>
        <w:jc w:val="both"/>
      </w:pPr>
      <w:r>
        <w:rPr>
          <w:rFonts w:ascii="Arial" w:hAnsi="Arial" w:cs="Arial"/>
          <w:sz w:val="22"/>
        </w:rPr>
        <w:t>Los sujetos deben transmitir los datos que permitan la liquidación dentro del plazo y con antelación suficiente. En liquidación directa, la TGSS calcula por trabajador con datos propios y comunicados. La empresa debe solicitar el cálculo, corregir discrepancias y confirmar cuando proceda.</w:t>
      </w:r>
    </w:p>
    <w:p>
      <w:pPr>
        <w:jc w:val="both"/>
      </w:pPr>
      <w:r>
        <w:rPr>
          <w:rFonts w:ascii="Arial" w:hAnsi="Arial" w:cs="Arial"/>
          <w:sz w:val="22"/>
        </w:rPr>
        <w:t>El pago no sustituye la obligación de transmitir datos, ni transmitirlos equivale a pagar. Esta diferencia determina el recargo aplicable.</w:t>
      </w:r>
    </w:p>
    <w:p>
      <w:pPr>
        <w:pStyle w:val="Heading2"/>
        <w:keepNext/>
      </w:pPr>
      <w:r>
        <w:rPr>
          <w:rFonts w:ascii="Arial" w:hAnsi="Arial" w:cs="Arial"/>
          <w:sz w:val="25"/>
        </w:rPr>
        <w:t>8.4. Reclamaciones de deuda y actas de liquidación</w:t>
      </w:r>
    </w:p>
    <w:p>
      <w:pPr>
        <w:jc w:val="both"/>
      </w:pPr>
      <w:r>
        <w:rPr>
          <w:rFonts w:ascii="Arial" w:hAnsi="Arial" w:cs="Arial"/>
          <w:sz w:val="22"/>
        </w:rPr>
        <w:t>Las deudas que necesitan determinación administrativa se exigen mediante reclamación de deuda o acta de liquidación, según el supuesto.</w:t>
      </w:r>
    </w:p>
    <w:p>
      <w:pPr>
        <w:jc w:val="both"/>
      </w:pPr>
      <w:r>
        <w:rPr>
          <w:rFonts w:ascii="Arial" w:hAnsi="Arial" w:cs="Arial"/>
          <w:sz w:val="22"/>
        </w:rPr>
        <w:t>Las cantidades reclamadas deben pagarse:</w:t>
      </w:r>
    </w:p>
    <w:p>
      <w:pPr>
        <w:pStyle w:val="ListBullet"/>
      </w:pPr>
      <w:r>
        <w:rPr>
          <w:rFonts w:ascii="Arial" w:hAnsi="Arial" w:cs="Arial"/>
          <w:sz w:val="22"/>
        </w:rPr>
        <w:t xml:space="preserve">si la notificación se practica entre los días </w:t>
      </w:r>
      <w:r>
        <w:rPr>
          <w:rFonts w:ascii="Arial" w:hAnsi="Arial" w:cs="Arial"/>
          <w:b/>
          <w:sz w:val="22"/>
        </w:rPr>
        <w:t>1 y 15</w:t>
      </w:r>
      <w:r>
        <w:rPr>
          <w:rFonts w:ascii="Arial" w:hAnsi="Arial" w:cs="Arial"/>
          <w:sz w:val="22"/>
        </w:rPr>
        <w:t xml:space="preserve">, hasta el día </w:t>
      </w:r>
      <w:r>
        <w:rPr>
          <w:rFonts w:ascii="Arial" w:hAnsi="Arial" w:cs="Arial"/>
          <w:b/>
          <w:sz w:val="22"/>
        </w:rPr>
        <w:t>5 del mes siguiente</w:t>
      </w:r>
      <w:r>
        <w:rPr>
          <w:rFonts w:ascii="Arial" w:hAnsi="Arial" w:cs="Arial"/>
          <w:sz w:val="22"/>
        </w:rPr>
        <w:t xml:space="preserve"> o inmediato hábil posterior;</w:t>
      </w:r>
    </w:p>
    <w:p>
      <w:pPr>
        <w:pStyle w:val="ListBullet"/>
      </w:pPr>
      <w:r>
        <w:rPr>
          <w:rFonts w:ascii="Arial" w:hAnsi="Arial" w:cs="Arial"/>
          <w:sz w:val="22"/>
        </w:rPr>
        <w:t xml:space="preserve">si se practica entre los días </w:t>
      </w:r>
      <w:r>
        <w:rPr>
          <w:rFonts w:ascii="Arial" w:hAnsi="Arial" w:cs="Arial"/>
          <w:b/>
          <w:sz w:val="22"/>
        </w:rPr>
        <w:t>16 y último</w:t>
      </w:r>
      <w:r>
        <w:rPr>
          <w:rFonts w:ascii="Arial" w:hAnsi="Arial" w:cs="Arial"/>
          <w:sz w:val="22"/>
        </w:rPr>
        <w:t xml:space="preserve">, hasta el día </w:t>
      </w:r>
      <w:r>
        <w:rPr>
          <w:rFonts w:ascii="Arial" w:hAnsi="Arial" w:cs="Arial"/>
          <w:b/>
          <w:sz w:val="22"/>
        </w:rPr>
        <w:t>20 del mes siguiente</w:t>
      </w:r>
      <w:r>
        <w:rPr>
          <w:rFonts w:ascii="Arial" w:hAnsi="Arial" w:cs="Arial"/>
          <w:sz w:val="22"/>
        </w:rPr>
        <w:t xml:space="preserve"> o inmediato hábil posterior.</w:t>
      </w:r>
    </w:p>
    <w:p>
      <w:pPr>
        <w:jc w:val="both"/>
      </w:pPr>
      <w:r>
        <w:rPr>
          <w:rFonts w:ascii="Arial" w:hAnsi="Arial" w:cs="Arial"/>
          <w:sz w:val="22"/>
        </w:rPr>
        <w:t>Estos plazos no son los de pago de una providencia de apremio.</w:t>
      </w:r>
    </w:p>
    <w:p>
      <w:pPr>
        <w:pStyle w:val="Heading1"/>
        <w:keepNext/>
      </w:pPr>
      <w:r>
        <w:rPr>
          <w:rFonts w:ascii="Arial" w:hAnsi="Arial" w:cs="Arial"/>
          <w:sz w:val="30"/>
        </w:rPr>
        <w:t>9. Determinación administrativa de la deuda</w:t>
      </w:r>
    </w:p>
    <w:p>
      <w:pPr>
        <w:pStyle w:val="Heading2"/>
        <w:keepNext/>
      </w:pPr>
      <w:r>
        <w:rPr>
          <w:rFonts w:ascii="Arial" w:hAnsi="Arial" w:cs="Arial"/>
          <w:sz w:val="25"/>
        </w:rPr>
        <w:t>9.1. Reclamación de deuda</w:t>
      </w:r>
    </w:p>
    <w:p>
      <w:pPr>
        <w:jc w:val="both"/>
      </w:pPr>
      <w:r>
        <w:rPr>
          <w:rFonts w:ascii="Arial" w:hAnsi="Arial" w:cs="Arial"/>
          <w:sz w:val="22"/>
        </w:rPr>
        <w:t>La TGSS emite reclamación, entre otros casos, por:</w:t>
      </w:r>
    </w:p>
    <w:p>
      <w:pPr>
        <w:pStyle w:val="ListBullet"/>
      </w:pPr>
      <w:r>
        <w:rPr>
          <w:rFonts w:ascii="Arial" w:hAnsi="Arial" w:cs="Arial"/>
          <w:sz w:val="22"/>
        </w:rPr>
        <w:t>falta total de cotización cuando se presentaron documentos o existen datos suficientes;</w:t>
      </w:r>
    </w:p>
    <w:p>
      <w:pPr>
        <w:pStyle w:val="ListBullet"/>
      </w:pPr>
      <w:r>
        <w:rPr>
          <w:rFonts w:ascii="Arial" w:hAnsi="Arial" w:cs="Arial"/>
          <w:sz w:val="22"/>
        </w:rPr>
        <w:t>diferencias aritméticas o de cálculo directamente comprobables;</w:t>
      </w:r>
    </w:p>
    <w:p>
      <w:pPr>
        <w:pStyle w:val="ListBullet"/>
      </w:pPr>
      <w:r>
        <w:rPr>
          <w:rFonts w:ascii="Arial" w:hAnsi="Arial" w:cs="Arial"/>
          <w:sz w:val="22"/>
        </w:rPr>
        <w:t>responsabilidad solidaria, subsidiaria o mortis causa;</w:t>
      </w:r>
    </w:p>
    <w:p>
      <w:pPr>
        <w:pStyle w:val="ListBullet"/>
      </w:pPr>
      <w:r>
        <w:rPr>
          <w:rFonts w:ascii="Arial" w:hAnsi="Arial" w:cs="Arial"/>
          <w:sz w:val="22"/>
        </w:rPr>
        <w:t>cuotas cuya liquidación no corresponde a acta inspectora;</w:t>
      </w:r>
    </w:p>
    <w:p>
      <w:pPr>
        <w:pStyle w:val="ListBullet"/>
      </w:pPr>
      <w:r>
        <w:rPr>
          <w:rFonts w:ascii="Arial" w:hAnsi="Arial" w:cs="Arial"/>
          <w:sz w:val="22"/>
        </w:rPr>
        <w:t>recursos distintos de cuotas cuando así se establece;</w:t>
      </w:r>
    </w:p>
    <w:p>
      <w:pPr>
        <w:pStyle w:val="ListBullet"/>
      </w:pPr>
      <w:r>
        <w:rPr>
          <w:rFonts w:ascii="Arial" w:hAnsi="Arial" w:cs="Arial"/>
          <w:sz w:val="22"/>
        </w:rPr>
        <w:t>capitales coste, recargos de prestaciones y reintegros comunicados por el órgano competente.</w:t>
      </w:r>
    </w:p>
    <w:p>
      <w:pPr>
        <w:jc w:val="both"/>
      </w:pPr>
      <w:r>
        <w:rPr>
          <w:rFonts w:ascii="Arial" w:hAnsi="Arial" w:cs="Arial"/>
          <w:sz w:val="22"/>
        </w:rPr>
        <w:t>Debe contener periodo, base, tipo, importe, recargo, responsable, plazo de pago y recursos.</w:t>
      </w:r>
    </w:p>
    <w:p>
      <w:pPr>
        <w:pStyle w:val="Heading2"/>
        <w:keepNext/>
      </w:pPr>
      <w:r>
        <w:rPr>
          <w:rFonts w:ascii="Arial" w:hAnsi="Arial" w:cs="Arial"/>
          <w:sz w:val="25"/>
        </w:rPr>
        <w:t>9.2. Acta de liquidación</w:t>
      </w:r>
    </w:p>
    <w:p>
      <w:pPr>
        <w:jc w:val="both"/>
      </w:pPr>
      <w:r>
        <w:rPr>
          <w:rFonts w:ascii="Arial" w:hAnsi="Arial" w:cs="Arial"/>
          <w:sz w:val="22"/>
        </w:rPr>
        <w:t>La Inspección de Trabajo y Seguridad Social formula acta cuando la deuda exige hechos obtenidos por comprobación inspectora, como falta de alta, diferencias que no resultan directamente de documentos o aplicación indebida de bonificaciones en los supuestos legales.</w:t>
      </w:r>
    </w:p>
    <w:p>
      <w:pPr>
        <w:jc w:val="both"/>
      </w:pPr>
      <w:r>
        <w:rPr>
          <w:rFonts w:ascii="Arial" w:hAnsi="Arial" w:cs="Arial"/>
          <w:sz w:val="22"/>
        </w:rPr>
        <w:t>El acta se tramita, eleva y notifica con garantías. Su carácter recaudatorio no elimina el derecho a alegar ni convierte toda diferencia en infracción.</w:t>
      </w:r>
    </w:p>
    <w:p>
      <w:pPr>
        <w:pStyle w:val="Heading2"/>
        <w:keepNext/>
      </w:pPr>
      <w:r>
        <w:rPr>
          <w:rFonts w:ascii="Arial" w:hAnsi="Arial" w:cs="Arial"/>
          <w:sz w:val="25"/>
        </w:rPr>
        <w:t>9.3. Liquidaciones complementarias</w:t>
      </w:r>
    </w:p>
    <w:p>
      <w:pPr>
        <w:jc w:val="both"/>
      </w:pPr>
      <w:r>
        <w:rPr>
          <w:rFonts w:ascii="Arial" w:hAnsi="Arial" w:cs="Arial"/>
          <w:sz w:val="22"/>
        </w:rPr>
        <w:t>Proceden por salarios retroactivos, errores, incrementos de bases, vacaciones no disfrutadas, diferencias de convenio o sentencia y otros supuestos. Se identifica periodo de devengo. No debe acumularse todo al mes del pago si la norma distribuye bases entre meses.</w:t>
      </w:r>
    </w:p>
    <w:p>
      <w:pPr>
        <w:pStyle w:val="Heading1"/>
        <w:keepNext/>
      </w:pPr>
      <w:r>
        <w:rPr>
          <w:rFonts w:ascii="Arial" w:hAnsi="Arial" w:cs="Arial"/>
          <w:sz w:val="30"/>
        </w:rPr>
        <w:t>10. Efectos de la falta de ingreso</w:t>
      </w:r>
    </w:p>
    <w:p>
      <w:pPr>
        <w:pStyle w:val="Heading2"/>
        <w:keepNext/>
      </w:pPr>
      <w:r>
        <w:rPr>
          <w:rFonts w:ascii="Arial" w:hAnsi="Arial" w:cs="Arial"/>
          <w:sz w:val="25"/>
        </w:rPr>
        <w:t>10.1. Recargos de cuotas</w:t>
      </w:r>
    </w:p>
    <w:p>
      <w:pPr>
        <w:jc w:val="both"/>
      </w:pPr>
      <w:r>
        <w:rPr>
          <w:rFonts w:ascii="Arial" w:hAnsi="Arial" w:cs="Arial"/>
          <w:sz w:val="22"/>
        </w:rPr>
        <w:t>Si se cumplen en plazo las obligaciones de liquidación:</w:t>
      </w:r>
    </w:p>
    <w:p>
      <w:pPr>
        <w:pStyle w:val="ListBullet"/>
      </w:pPr>
      <w:r>
        <w:rPr>
          <w:rFonts w:ascii="Arial" w:hAnsi="Arial" w:cs="Arial"/>
          <w:sz w:val="22"/>
        </w:rPr>
        <w:t xml:space="preserve">recargo del </w:t>
      </w:r>
      <w:r>
        <w:rPr>
          <w:rFonts w:ascii="Arial" w:hAnsi="Arial" w:cs="Arial"/>
          <w:b/>
          <w:sz w:val="22"/>
        </w:rPr>
        <w:t>10 %</w:t>
      </w:r>
      <w:r>
        <w:rPr>
          <w:rFonts w:ascii="Arial" w:hAnsi="Arial" w:cs="Arial"/>
          <w:sz w:val="22"/>
        </w:rPr>
        <w:t xml:space="preserve"> cuando se pagan las cuotas dentro del primer mes natural siguiente al vencimiento;</w:t>
      </w:r>
    </w:p>
    <w:p>
      <w:pPr>
        <w:pStyle w:val="ListBullet"/>
      </w:pPr>
      <w:r>
        <w:rPr>
          <w:rFonts w:ascii="Arial" w:hAnsi="Arial" w:cs="Arial"/>
          <w:sz w:val="22"/>
        </w:rPr>
        <w:t xml:space="preserve">recargo del </w:t>
      </w:r>
      <w:r>
        <w:rPr>
          <w:rFonts w:ascii="Arial" w:hAnsi="Arial" w:cs="Arial"/>
          <w:b/>
          <w:sz w:val="22"/>
        </w:rPr>
        <w:t>20 %</w:t>
      </w:r>
      <w:r>
        <w:rPr>
          <w:rFonts w:ascii="Arial" w:hAnsi="Arial" w:cs="Arial"/>
          <w:sz w:val="22"/>
        </w:rPr>
        <w:t xml:space="preserve"> cuando se pagan desde el segundo mes natural siguiente.</w:t>
      </w:r>
    </w:p>
    <w:p>
      <w:pPr>
        <w:jc w:val="both"/>
      </w:pPr>
      <w:r>
        <w:rPr>
          <w:rFonts w:ascii="Arial" w:hAnsi="Arial" w:cs="Arial"/>
          <w:sz w:val="22"/>
        </w:rPr>
        <w:t>Si no se cumplen en plazo las obligaciones de liquidación:</w:t>
      </w:r>
    </w:p>
    <w:p>
      <w:pPr>
        <w:pStyle w:val="ListBullet"/>
      </w:pPr>
      <w:r>
        <w:rPr>
          <w:rFonts w:ascii="Arial" w:hAnsi="Arial" w:cs="Arial"/>
          <w:sz w:val="22"/>
        </w:rPr>
        <w:t xml:space="preserve">recargo del </w:t>
      </w:r>
      <w:r>
        <w:rPr>
          <w:rFonts w:ascii="Arial" w:hAnsi="Arial" w:cs="Arial"/>
          <w:b/>
          <w:sz w:val="22"/>
        </w:rPr>
        <w:t>20 %</w:t>
      </w:r>
      <w:r>
        <w:rPr>
          <w:rFonts w:ascii="Arial" w:hAnsi="Arial" w:cs="Arial"/>
          <w:sz w:val="22"/>
        </w:rPr>
        <w:t xml:space="preserve"> si se paga antes de terminar el plazo de ingreso de la reclamación de deuda o acta;</w:t>
      </w:r>
    </w:p>
    <w:p>
      <w:pPr>
        <w:pStyle w:val="ListBullet"/>
      </w:pPr>
      <w:r>
        <w:rPr>
          <w:rFonts w:ascii="Arial" w:hAnsi="Arial" w:cs="Arial"/>
          <w:sz w:val="22"/>
        </w:rPr>
        <w:t xml:space="preserve">recargo del </w:t>
      </w:r>
      <w:r>
        <w:rPr>
          <w:rFonts w:ascii="Arial" w:hAnsi="Arial" w:cs="Arial"/>
          <w:b/>
          <w:sz w:val="22"/>
        </w:rPr>
        <w:t>35 %</w:t>
      </w:r>
      <w:r>
        <w:rPr>
          <w:rFonts w:ascii="Arial" w:hAnsi="Arial" w:cs="Arial"/>
          <w:sz w:val="22"/>
        </w:rPr>
        <w:t xml:space="preserve"> si se paga después.</w:t>
      </w:r>
    </w:p>
    <w:p>
      <w:pPr>
        <w:jc w:val="both"/>
      </w:pPr>
      <w:r>
        <w:rPr>
          <w:rFonts w:ascii="Arial" w:hAnsi="Arial" w:cs="Arial"/>
          <w:sz w:val="22"/>
        </w:rPr>
        <w:t>El criterio no es solo cuándo se paga: también si se liquidó o transmitió correctamente.</w:t>
      </w:r>
    </w:p>
    <w:p>
      <w:pPr>
        <w:pStyle w:val="Heading2"/>
        <w:keepNext/>
      </w:pPr>
      <w:r>
        <w:rPr>
          <w:rFonts w:ascii="Arial" w:hAnsi="Arial" w:cs="Arial"/>
          <w:sz w:val="25"/>
        </w:rPr>
        <w:t>10.2. Otras deudas</w:t>
      </w:r>
    </w:p>
    <w:p>
      <w:pPr>
        <w:jc w:val="both"/>
      </w:pPr>
      <w:r>
        <w:rPr>
          <w:rFonts w:ascii="Arial" w:hAnsi="Arial" w:cs="Arial"/>
          <w:sz w:val="22"/>
        </w:rPr>
        <w:t xml:space="preserve">Las deudas que no son cuotas, si no se ingresan en plazo, llevan el recargo establecido, con carácter general del </w:t>
      </w:r>
      <w:r>
        <w:rPr>
          <w:rFonts w:ascii="Arial" w:hAnsi="Arial" w:cs="Arial"/>
          <w:b/>
          <w:sz w:val="22"/>
        </w:rPr>
        <w:t>20 %</w:t>
      </w:r>
      <w:r>
        <w:rPr>
          <w:rFonts w:ascii="Arial" w:hAnsi="Arial" w:cs="Arial"/>
          <w:sz w:val="22"/>
        </w:rPr>
        <w:t>, además de intereses cuando procedan.</w:t>
      </w:r>
    </w:p>
    <w:p>
      <w:pPr>
        <w:pStyle w:val="Heading2"/>
        <w:keepNext/>
      </w:pPr>
      <w:r>
        <w:rPr>
          <w:rFonts w:ascii="Arial" w:hAnsi="Arial" w:cs="Arial"/>
          <w:sz w:val="25"/>
        </w:rPr>
        <w:t>10.3. Intereses de demora</w:t>
      </w:r>
    </w:p>
    <w:p>
      <w:pPr>
        <w:jc w:val="both"/>
      </w:pPr>
      <w:r>
        <w:rPr>
          <w:rFonts w:ascii="Arial" w:hAnsi="Arial" w:cs="Arial"/>
          <w:sz w:val="22"/>
        </w:rPr>
        <w:t xml:space="preserve">El interés se devenga desde el día siguiente al vencimiento reglamentario. Resulta exigible cuando se cumplen las condiciones legales, especialmente una vez transcurridos </w:t>
      </w:r>
      <w:r>
        <w:rPr>
          <w:rFonts w:ascii="Arial" w:hAnsi="Arial" w:cs="Arial"/>
          <w:b/>
          <w:sz w:val="22"/>
        </w:rPr>
        <w:t>quince días naturales</w:t>
      </w:r>
      <w:r>
        <w:rPr>
          <w:rFonts w:ascii="Arial" w:hAnsi="Arial" w:cs="Arial"/>
          <w:sz w:val="22"/>
        </w:rPr>
        <w:t xml:space="preserve"> desde la notificación de la providencia sin pago.</w:t>
      </w:r>
    </w:p>
    <w:p>
      <w:pPr>
        <w:jc w:val="both"/>
      </w:pPr>
      <w:r>
        <w:rPr>
          <w:rFonts w:ascii="Arial" w:hAnsi="Arial" w:cs="Arial"/>
          <w:sz w:val="22"/>
        </w:rPr>
        <w:t>Se calcula sobre el principal y, cuando la ley lo prevé, sobre el recargo y costas. El tipo es el interés legal incrementado en el porcentaje fijado legalmente como interés de demora de la Seguridad Social.</w:t>
      </w:r>
    </w:p>
    <w:p>
      <w:pPr>
        <w:pStyle w:val="Heading2"/>
        <w:keepNext/>
      </w:pPr>
      <w:r>
        <w:rPr>
          <w:rFonts w:ascii="Arial" w:hAnsi="Arial" w:cs="Arial"/>
          <w:sz w:val="25"/>
        </w:rPr>
        <w:t>10.4. Pérdida de beneficios y responsabilidad</w:t>
      </w:r>
    </w:p>
    <w:p>
      <w:pPr>
        <w:jc w:val="both"/>
      </w:pPr>
      <w:r>
        <w:rPr>
          <w:rFonts w:ascii="Arial" w:hAnsi="Arial" w:cs="Arial"/>
          <w:sz w:val="22"/>
        </w:rPr>
        <w:t>El incumplimiento puede impedir bonificaciones, reducciones, certificados de estar al corriente, contratación pública o subvenciones. También puede generar responsabilidad en prestaciones. No todo retraso produce automáticamente idénticas consecuencias: debe consultarse el requisito concreto del beneficio.</w:t>
      </w:r>
    </w:p>
    <w:p>
      <w:pPr>
        <w:pStyle w:val="Heading2"/>
        <w:keepNext/>
      </w:pPr>
      <w:r>
        <w:rPr>
          <w:rFonts w:ascii="Arial" w:hAnsi="Arial" w:cs="Arial"/>
          <w:sz w:val="25"/>
        </w:rPr>
        <w:t>10.5. Prescripción</w:t>
      </w:r>
    </w:p>
    <w:p>
      <w:pPr>
        <w:jc w:val="both"/>
      </w:pPr>
      <w:r>
        <w:rPr>
          <w:rFonts w:ascii="Arial" w:hAnsi="Arial" w:cs="Arial"/>
          <w:sz w:val="22"/>
        </w:rPr>
        <w:t xml:space="preserve">Prescriben a los </w:t>
      </w:r>
      <w:r>
        <w:rPr>
          <w:rFonts w:ascii="Arial" w:hAnsi="Arial" w:cs="Arial"/>
          <w:b/>
          <w:sz w:val="22"/>
        </w:rPr>
        <w:t>cuatro años</w:t>
      </w:r>
      <w:r>
        <w:rPr>
          <w:rFonts w:ascii="Arial" w:hAnsi="Arial" w:cs="Arial"/>
          <w:sz w:val="22"/>
        </w:rPr>
        <w:t>, con sus reglas de cómputo e interrupción, los derechos de la Administración para determinar y exigir cuotas y otros recursos. Interrumpen actuaciones recaudatorias conocidas por el responsable, recursos, reconocimiento o pago parcial y otras causas legales.</w:t>
      </w:r>
    </w:p>
    <w:p>
      <w:pPr>
        <w:pStyle w:val="Heading1"/>
        <w:keepNext/>
      </w:pPr>
      <w:r>
        <w:rPr>
          <w:rFonts w:ascii="Arial" w:hAnsi="Arial" w:cs="Arial"/>
          <w:sz w:val="30"/>
        </w:rPr>
        <w:t>11. Control de la recaudación</w:t>
      </w:r>
    </w:p>
    <w:p>
      <w:pPr>
        <w:jc w:val="both"/>
      </w:pPr>
      <w:r>
        <w:rPr>
          <w:rFonts w:ascii="Arial" w:hAnsi="Arial" w:cs="Arial"/>
          <w:sz w:val="22"/>
        </w:rPr>
        <w:t>El control es interno y externo:</w:t>
      </w:r>
    </w:p>
    <w:p>
      <w:pPr>
        <w:pStyle w:val="ListBullet"/>
      </w:pPr>
      <w:r>
        <w:rPr>
          <w:rFonts w:ascii="Arial" w:hAnsi="Arial" w:cs="Arial"/>
          <w:sz w:val="22"/>
        </w:rPr>
        <w:t>la TGSS concilia ingresos, identifica deudas y controla entidades colaboradoras;</w:t>
      </w:r>
    </w:p>
    <w:p>
      <w:pPr>
        <w:pStyle w:val="ListBullet"/>
      </w:pPr>
      <w:r>
        <w:rPr>
          <w:rFonts w:ascii="Arial" w:hAnsi="Arial" w:cs="Arial"/>
          <w:sz w:val="22"/>
        </w:rPr>
        <w:t>la Intervención General de la Seguridad Social ejerce control interno y auditoría;</w:t>
      </w:r>
    </w:p>
    <w:p>
      <w:pPr>
        <w:pStyle w:val="ListBullet"/>
      </w:pPr>
      <w:r>
        <w:rPr>
          <w:rFonts w:ascii="Arial" w:hAnsi="Arial" w:cs="Arial"/>
          <w:sz w:val="22"/>
        </w:rPr>
        <w:t>la Inspección de Trabajo comprueba obligaciones y propone liquidaciones o sanciones;</w:t>
      </w:r>
    </w:p>
    <w:p>
      <w:pPr>
        <w:pStyle w:val="ListBullet"/>
      </w:pPr>
      <w:r>
        <w:rPr>
          <w:rFonts w:ascii="Arial" w:hAnsi="Arial" w:cs="Arial"/>
          <w:sz w:val="22"/>
        </w:rPr>
        <w:t>el Tribunal de Cuentas fiscaliza la actividad económico-financiera;</w:t>
      </w:r>
    </w:p>
    <w:p>
      <w:pPr>
        <w:pStyle w:val="ListBullet"/>
      </w:pPr>
      <w:r>
        <w:rPr>
          <w:rFonts w:ascii="Arial" w:hAnsi="Arial" w:cs="Arial"/>
          <w:sz w:val="22"/>
        </w:rPr>
        <w:t>los órganos judiciales revisan actos en el orden competente;</w:t>
      </w:r>
    </w:p>
    <w:p>
      <w:pPr>
        <w:pStyle w:val="ListBullet"/>
      </w:pPr>
      <w:r>
        <w:rPr>
          <w:rFonts w:ascii="Arial" w:hAnsi="Arial" w:cs="Arial"/>
          <w:sz w:val="22"/>
        </w:rPr>
        <w:t>los sistemas informáticos aplican controles de integridad, trazabilidad y seguridad.</w:t>
      </w:r>
    </w:p>
    <w:p>
      <w:pPr>
        <w:jc w:val="both"/>
      </w:pPr>
      <w:r>
        <w:rPr>
          <w:rFonts w:ascii="Arial" w:hAnsi="Arial" w:cs="Arial"/>
          <w:sz w:val="22"/>
        </w:rPr>
        <w:t>Las entidades colaboradoras deben ingresar fondos, remitir información y conservar justificantes. El retraso o incumplimiento puede determinar responsabilidad y pérdida de autorización.</w:t>
      </w:r>
    </w:p>
    <w:p>
      <w:pPr>
        <w:jc w:val="both"/>
      </w:pPr>
      <w:r>
        <w:rPr>
          <w:rFonts w:ascii="Arial" w:hAnsi="Arial" w:cs="Arial"/>
          <w:sz w:val="22"/>
        </w:rPr>
        <w:t>El control no autoriza acceso indiscriminado a datos. Se respetan finalidad, secreto y protección de datos.</w:t>
      </w:r>
    </w:p>
    <w:p>
      <w:pPr>
        <w:pStyle w:val="Heading1"/>
        <w:keepNext/>
      </w:pPr>
      <w:r>
        <w:rPr>
          <w:rFonts w:ascii="Arial" w:hAnsi="Arial" w:cs="Arial"/>
          <w:sz w:val="30"/>
        </w:rPr>
        <w:t>12. Revisión de actos recaudatorios</w:t>
      </w:r>
    </w:p>
    <w:p>
      <w:pPr>
        <w:pStyle w:val="Heading2"/>
        <w:keepNext/>
      </w:pPr>
      <w:r>
        <w:rPr>
          <w:rFonts w:ascii="Arial" w:hAnsi="Arial" w:cs="Arial"/>
          <w:sz w:val="25"/>
        </w:rPr>
        <w:t>12.1. Rectificación y revisión de oficio</w:t>
      </w:r>
    </w:p>
    <w:p>
      <w:pPr>
        <w:jc w:val="both"/>
      </w:pPr>
      <w:r>
        <w:rPr>
          <w:rFonts w:ascii="Arial" w:hAnsi="Arial" w:cs="Arial"/>
          <w:sz w:val="22"/>
        </w:rPr>
        <w:t>La TGSS puede corregir errores materiales, de hecho o aritméticos y revisar actos conforme a la Ley 39/2015 y reglas especiales. Un error jurídico no se presenta artificialmente como aritmético para evitar garantías.</w:t>
      </w:r>
    </w:p>
    <w:p>
      <w:pPr>
        <w:pStyle w:val="Heading2"/>
        <w:keepNext/>
      </w:pPr>
      <w:r>
        <w:rPr>
          <w:rFonts w:ascii="Arial" w:hAnsi="Arial" w:cs="Arial"/>
          <w:sz w:val="25"/>
        </w:rPr>
        <w:t>12.2. Recursos</w:t>
      </w:r>
    </w:p>
    <w:p>
      <w:pPr>
        <w:jc w:val="both"/>
      </w:pPr>
      <w:r>
        <w:rPr>
          <w:rFonts w:ascii="Arial" w:hAnsi="Arial" w:cs="Arial"/>
          <w:sz w:val="22"/>
        </w:rPr>
        <w:t>Los actos recaudatorios indican recurso, plazo y órgano. La impugnación no suspende por sí sola la recaudación, salvo que una norma lo disponga o se aporte la garantía, consignación o medida exigida.</w:t>
      </w:r>
    </w:p>
    <w:p>
      <w:pPr>
        <w:jc w:val="both"/>
      </w:pPr>
      <w:r>
        <w:rPr>
          <w:rFonts w:ascii="Arial" w:hAnsi="Arial" w:cs="Arial"/>
          <w:sz w:val="22"/>
        </w:rPr>
        <w:t>Debe distinguirse:</w:t>
      </w:r>
    </w:p>
    <w:p>
      <w:pPr>
        <w:pStyle w:val="ListBullet"/>
      </w:pPr>
      <w:r>
        <w:rPr>
          <w:rFonts w:ascii="Arial" w:hAnsi="Arial" w:cs="Arial"/>
          <w:sz w:val="22"/>
        </w:rPr>
        <w:t>recurso contra liquidación o reclamación;</w:t>
      </w:r>
    </w:p>
    <w:p>
      <w:pPr>
        <w:pStyle w:val="ListBullet"/>
      </w:pPr>
      <w:r>
        <w:rPr>
          <w:rFonts w:ascii="Arial" w:hAnsi="Arial" w:cs="Arial"/>
          <w:sz w:val="22"/>
        </w:rPr>
        <w:t>oposición tasada a la providencia de apremio;</w:t>
      </w:r>
    </w:p>
    <w:p>
      <w:pPr>
        <w:pStyle w:val="ListBullet"/>
      </w:pPr>
      <w:r>
        <w:rPr>
          <w:rFonts w:ascii="Arial" w:hAnsi="Arial" w:cs="Arial"/>
          <w:sz w:val="22"/>
        </w:rPr>
        <w:t>revisión de sanción;</w:t>
      </w:r>
    </w:p>
    <w:p>
      <w:pPr>
        <w:pStyle w:val="ListBullet"/>
      </w:pPr>
      <w:r>
        <w:rPr>
          <w:rFonts w:ascii="Arial" w:hAnsi="Arial" w:cs="Arial"/>
          <w:sz w:val="22"/>
        </w:rPr>
        <w:t>reclamación de devolución;</w:t>
      </w:r>
    </w:p>
    <w:p>
      <w:pPr>
        <w:pStyle w:val="ListBullet"/>
      </w:pPr>
      <w:r>
        <w:rPr>
          <w:rFonts w:ascii="Arial" w:hAnsi="Arial" w:cs="Arial"/>
          <w:sz w:val="22"/>
        </w:rPr>
        <w:t>impugnación de derivación de responsabilidad.</w:t>
      </w:r>
    </w:p>
    <w:p>
      <w:pPr>
        <w:pStyle w:val="Heading2"/>
        <w:keepNext/>
      </w:pPr>
      <w:r>
        <w:rPr>
          <w:rFonts w:ascii="Arial" w:hAnsi="Arial" w:cs="Arial"/>
          <w:sz w:val="25"/>
        </w:rPr>
        <w:t>12.3. Jurisdicción</w:t>
      </w:r>
    </w:p>
    <w:p>
      <w:pPr>
        <w:jc w:val="both"/>
      </w:pPr>
      <w:r>
        <w:rPr>
          <w:rFonts w:ascii="Arial" w:hAnsi="Arial" w:cs="Arial"/>
          <w:sz w:val="22"/>
        </w:rPr>
        <w:t>La jurisdicción competente depende del acto. Muchas materias de cotización, afiliación y Seguridad Social corresponden al orden social; determinados actos de gestión recaudatoria y cuestiones patrimoniales siguen las reglas específicas. Nunca debe elegirse orden solo por el nombre del organismo.</w:t>
      </w:r>
    </w:p>
    <w:p>
      <w:pPr>
        <w:pStyle w:val="Heading2"/>
        <w:keepNext/>
      </w:pPr>
      <w:r>
        <w:rPr>
          <w:rFonts w:ascii="Arial" w:hAnsi="Arial" w:cs="Arial"/>
          <w:sz w:val="25"/>
        </w:rPr>
        <w:t>12.4. Reembolso del coste de garantías</w:t>
      </w:r>
    </w:p>
    <w:p>
      <w:pPr>
        <w:jc w:val="both"/>
      </w:pPr>
      <w:r>
        <w:rPr>
          <w:rFonts w:ascii="Arial" w:hAnsi="Arial" w:cs="Arial"/>
          <w:sz w:val="22"/>
        </w:rPr>
        <w:t>Si una deuda suspendida mediante garantía se declara improcedente por resolución o sentencia firme, la TGSS reembolsa el coste acreditado y, en su caso, el interés legal de cantidades depositadas o consignadas. Si la improcedencia es parcial, el reembolso también lo es.</w:t>
      </w:r>
    </w:p>
    <w:p>
      <w:pPr>
        <w:pStyle w:val="Heading1"/>
        <w:keepNext/>
      </w:pPr>
      <w:r>
        <w:rPr>
          <w:rFonts w:ascii="Arial" w:hAnsi="Arial" w:cs="Arial"/>
          <w:sz w:val="30"/>
        </w:rPr>
        <w:t>13. Aplazamientos</w:t>
      </w:r>
    </w:p>
    <w:p>
      <w:pPr>
        <w:pStyle w:val="Heading2"/>
        <w:keepNext/>
      </w:pPr>
      <w:r>
        <w:rPr>
          <w:rFonts w:ascii="Arial" w:hAnsi="Arial" w:cs="Arial"/>
          <w:sz w:val="25"/>
        </w:rPr>
        <w:t>13.1. Concepto y presupuesto</w:t>
      </w:r>
    </w:p>
    <w:p>
      <w:pPr>
        <w:jc w:val="both"/>
      </w:pPr>
      <w:r>
        <w:rPr>
          <w:rFonts w:ascii="Arial" w:hAnsi="Arial" w:cs="Arial"/>
          <w:sz w:val="22"/>
        </w:rPr>
        <w:t>La TGSS puede conceder, a solicitud del responsable, el pago diferido cuando su situación económico-financiera le impide ingresar en los plazos generales. Es una potestad reglada en elementos y valorativa en la apreciación de solvencia; no existe derecho automático.</w:t>
      </w:r>
    </w:p>
    <w:p>
      <w:pPr>
        <w:jc w:val="both"/>
      </w:pPr>
      <w:r>
        <w:rPr>
          <w:rFonts w:ascii="Arial" w:hAnsi="Arial" w:cs="Arial"/>
          <w:sz w:val="22"/>
        </w:rPr>
        <w:t xml:space="preserve">La mera solicitud </w:t>
      </w:r>
      <w:r>
        <w:rPr>
          <w:rFonts w:ascii="Arial" w:hAnsi="Arial" w:cs="Arial"/>
          <w:b/>
          <w:sz w:val="22"/>
        </w:rPr>
        <w:t>no suspende</w:t>
      </w:r>
      <w:r>
        <w:rPr>
          <w:rFonts w:ascii="Arial" w:hAnsi="Arial" w:cs="Arial"/>
          <w:sz w:val="22"/>
        </w:rPr>
        <w:t xml:space="preserve"> el procedimiento. La concesión sí suspende la recaudación de la deuda aplazada mientras se cumplan condiciones y permite considerar al deudor al corriente para los efectos previstos.</w:t>
      </w:r>
    </w:p>
    <w:p>
      <w:pPr>
        <w:jc w:val="both"/>
      </w:pPr>
      <w:r>
        <w:rPr>
          <w:rFonts w:ascii="Arial" w:hAnsi="Arial" w:cs="Arial"/>
          <w:sz w:val="22"/>
        </w:rPr>
        <w:t xml:space="preserve">La duración total no puede exceder de </w:t>
      </w:r>
      <w:r>
        <w:rPr>
          <w:rFonts w:ascii="Arial" w:hAnsi="Arial" w:cs="Arial"/>
          <w:b/>
          <w:sz w:val="22"/>
        </w:rPr>
        <w:t>cinco años</w:t>
      </w:r>
      <w:r>
        <w:rPr>
          <w:rFonts w:ascii="Arial" w:hAnsi="Arial" w:cs="Arial"/>
          <w:sz w:val="22"/>
        </w:rPr>
        <w:t>, salvo causa extraordinaria y resolución del Director General a propuesta del órgano competente.</w:t>
      </w:r>
    </w:p>
    <w:p>
      <w:pPr>
        <w:pStyle w:val="Heading2"/>
        <w:keepNext/>
      </w:pPr>
      <w:r>
        <w:rPr>
          <w:rFonts w:ascii="Arial" w:hAnsi="Arial" w:cs="Arial"/>
          <w:sz w:val="25"/>
        </w:rPr>
        <w:t>13.2. Deudas inaplazables vigentes el 30 de julio</w:t>
      </w:r>
    </w:p>
    <w:p>
      <w:pPr>
        <w:jc w:val="both"/>
      </w:pPr>
      <w:r>
        <w:rPr>
          <w:rFonts w:ascii="Arial" w:hAnsi="Arial" w:cs="Arial"/>
          <w:sz w:val="22"/>
        </w:rPr>
        <w:t>No pueden aplazarse:</w:t>
      </w:r>
    </w:p>
    <w:p>
      <w:pPr>
        <w:pStyle w:val="ListBullet"/>
      </w:pPr>
      <w:r>
        <w:rPr>
          <w:rFonts w:ascii="Arial" w:hAnsi="Arial" w:cs="Arial"/>
          <w:sz w:val="22"/>
        </w:rPr>
        <w:t>cuotas por accidentes de trabajo y enfermedades profesionales;</w:t>
      </w:r>
    </w:p>
    <w:p>
      <w:pPr>
        <w:pStyle w:val="ListBullet"/>
      </w:pPr>
      <w:r>
        <w:rPr>
          <w:rFonts w:ascii="Arial" w:hAnsi="Arial" w:cs="Arial"/>
          <w:sz w:val="22"/>
        </w:rPr>
        <w:t>aportación de los trabajadores correspondiente a cuotas aplazadas.</w:t>
      </w:r>
    </w:p>
    <w:p>
      <w:pPr>
        <w:jc w:val="both"/>
      </w:pPr>
      <w:r>
        <w:rPr>
          <w:rFonts w:ascii="Arial" w:hAnsi="Arial" w:cs="Arial"/>
          <w:sz w:val="22"/>
        </w:rPr>
        <w:t xml:space="preserve">Si no se habían pagado, deben ingresarse dentro de </w:t>
      </w:r>
      <w:r>
        <w:rPr>
          <w:rFonts w:ascii="Arial" w:hAnsi="Arial" w:cs="Arial"/>
          <w:b/>
          <w:sz w:val="22"/>
        </w:rPr>
        <w:t>un mes</w:t>
      </w:r>
      <w:r>
        <w:rPr>
          <w:rFonts w:ascii="Arial" w:hAnsi="Arial" w:cs="Arial"/>
          <w:sz w:val="22"/>
        </w:rPr>
        <w:t xml:space="preserve"> desde la notificación de la concesión.</w:t>
      </w:r>
    </w:p>
    <w:p>
      <w:pPr>
        <w:jc w:val="both"/>
      </w:pPr>
      <w:r>
        <w:rPr>
          <w:rFonts w:ascii="Arial" w:hAnsi="Arial" w:cs="Arial"/>
          <w:sz w:val="22"/>
        </w:rPr>
        <w:t>El recargo de prestaciones por falta de medidas de seguridad solo puede aplazarse si se garantiza íntegramente con aval. Este requisito ha aparecido en examen.</w:t>
      </w:r>
    </w:p>
    <w:p>
      <w:pPr>
        <w:pStyle w:val="Heading2"/>
        <w:keepNext/>
      </w:pPr>
      <w:r>
        <w:rPr>
          <w:rFonts w:ascii="Arial" w:hAnsi="Arial" w:cs="Arial"/>
          <w:sz w:val="25"/>
        </w:rPr>
        <w:t>13.3. Totalidad de la deuda</w:t>
      </w:r>
    </w:p>
    <w:p>
      <w:pPr>
        <w:jc w:val="both"/>
      </w:pPr>
      <w:r>
        <w:rPr>
          <w:rFonts w:ascii="Arial" w:hAnsi="Arial" w:cs="Arial"/>
          <w:sz w:val="22"/>
        </w:rPr>
        <w:t>La solicitud incluye la totalidad de deudas aplazables existentes, con recargos, intereses y costas exigibles. No se seleccionan solo periodos favorables. Tras la concesión no se generan nuevos recargos sobre la deuda aplazada mientras se cumple, sin perjuicio del interés y del incumplimiento.</w:t>
      </w:r>
    </w:p>
    <w:p>
      <w:pPr>
        <w:pStyle w:val="Heading2"/>
        <w:keepNext/>
      </w:pPr>
      <w:r>
        <w:rPr>
          <w:rFonts w:ascii="Arial" w:hAnsi="Arial" w:cs="Arial"/>
          <w:sz w:val="25"/>
        </w:rPr>
        <w:t>13.4. Garantías</w:t>
      </w:r>
    </w:p>
    <w:p>
      <w:pPr>
        <w:jc w:val="both"/>
      </w:pPr>
      <w:r>
        <w:rPr>
          <w:rFonts w:ascii="Arial" w:hAnsi="Arial" w:cs="Arial"/>
          <w:sz w:val="22"/>
        </w:rPr>
        <w:t>La regla es garantía suficiente de principal, recargos, intereses y costas. Puede consistir en aval solidario y, cuando proceda, hipoteca, prenda, seguro de caución u otra admitida.</w:t>
      </w:r>
    </w:p>
    <w:p>
      <w:pPr>
        <w:jc w:val="both"/>
      </w:pPr>
      <w:r>
        <w:rPr>
          <w:rFonts w:ascii="Arial" w:hAnsi="Arial" w:cs="Arial"/>
          <w:sz w:val="22"/>
        </w:rPr>
        <w:t>A 30 de julio de 2026 no es necesaria garantía, entre otros casos:</w:t>
      </w:r>
    </w:p>
    <w:p>
      <w:pPr>
        <w:pStyle w:val="ListBullet"/>
      </w:pPr>
      <w:r>
        <w:rPr>
          <w:rFonts w:ascii="Arial" w:hAnsi="Arial" w:cs="Arial"/>
          <w:sz w:val="22"/>
        </w:rPr>
        <w:t>Administraciones y determinadas entidades públicas que no actúan como sociedad mercantil;</w:t>
      </w:r>
    </w:p>
    <w:p>
      <w:pPr>
        <w:pStyle w:val="ListBullet"/>
      </w:pPr>
      <w:r>
        <w:rPr>
          <w:rFonts w:ascii="Arial" w:hAnsi="Arial" w:cs="Arial"/>
          <w:sz w:val="22"/>
        </w:rPr>
        <w:t xml:space="preserve">deuda aplazable igual o inferior a </w:t>
      </w:r>
      <w:r>
        <w:rPr>
          <w:rFonts w:ascii="Arial" w:hAnsi="Arial" w:cs="Arial"/>
          <w:b/>
          <w:sz w:val="22"/>
        </w:rPr>
        <w:t>150.000 euros</w:t>
      </w:r>
      <w:r>
        <w:rPr>
          <w:rFonts w:ascii="Arial" w:hAnsi="Arial" w:cs="Arial"/>
          <w:sz w:val="22"/>
        </w:rPr>
        <w:t>;</w:t>
      </w:r>
    </w:p>
    <w:p>
      <w:pPr>
        <w:pStyle w:val="ListBullet"/>
      </w:pPr>
      <w:r>
        <w:rPr>
          <w:rFonts w:ascii="Arial" w:hAnsi="Arial" w:cs="Arial"/>
          <w:sz w:val="22"/>
        </w:rPr>
        <w:t xml:space="preserve">deuda inferior a </w:t>
      </w:r>
      <w:r>
        <w:rPr>
          <w:rFonts w:ascii="Arial" w:hAnsi="Arial" w:cs="Arial"/>
          <w:b/>
          <w:sz w:val="22"/>
        </w:rPr>
        <w:t>250.000 euros</w:t>
      </w:r>
      <w:r>
        <w:rPr>
          <w:rFonts w:ascii="Arial" w:hAnsi="Arial" w:cs="Arial"/>
          <w:sz w:val="22"/>
        </w:rPr>
        <w:t xml:space="preserve"> si se ingresa al menos un tercio dentro de diez días desde la concesión y el resto en dos años;</w:t>
      </w:r>
    </w:p>
    <w:p>
      <w:pPr>
        <w:pStyle w:val="ListBullet"/>
      </w:pPr>
      <w:r>
        <w:rPr>
          <w:rFonts w:ascii="Arial" w:hAnsi="Arial" w:cs="Arial"/>
          <w:sz w:val="22"/>
        </w:rPr>
        <w:t>reintegro de prestaciones indebidas por quien mantiene condición de pensionista;</w:t>
      </w:r>
    </w:p>
    <w:p>
      <w:pPr>
        <w:pStyle w:val="ListBullet"/>
      </w:pPr>
      <w:r>
        <w:rPr>
          <w:rFonts w:ascii="Arial" w:hAnsi="Arial" w:cs="Arial"/>
          <w:sz w:val="22"/>
        </w:rPr>
        <w:t>exención extraordinaria expresamente autorizada.</w:t>
      </w:r>
    </w:p>
    <w:p>
      <w:pPr>
        <w:jc w:val="both"/>
      </w:pPr>
      <w:r>
        <w:rPr>
          <w:rFonts w:ascii="Arial" w:hAnsi="Arial" w:cs="Arial"/>
          <w:sz w:val="22"/>
        </w:rPr>
        <w:t>Los importes de 150.000 y 250.000 euros ya resultaban aplicables desde la Resolución de 6 de abril de 2020 y quedan incorporados al texto reglamentario por la reforma que entra en vigor el 1 de agosto.</w:t>
      </w:r>
    </w:p>
    <w:p>
      <w:pPr>
        <w:jc w:val="both"/>
      </w:pPr>
      <w:r>
        <w:rPr>
          <w:rFonts w:ascii="Arial" w:hAnsi="Arial" w:cs="Arial"/>
          <w:sz w:val="22"/>
        </w:rPr>
        <w:t xml:space="preserve">La garantía se constituye normalmente dentro de </w:t>
      </w:r>
      <w:r>
        <w:rPr>
          <w:rFonts w:ascii="Arial" w:hAnsi="Arial" w:cs="Arial"/>
          <w:b/>
          <w:sz w:val="22"/>
        </w:rPr>
        <w:t>treinta días naturales</w:t>
      </w:r>
      <w:r>
        <w:rPr>
          <w:rFonts w:ascii="Arial" w:hAnsi="Arial" w:cs="Arial"/>
          <w:sz w:val="22"/>
        </w:rPr>
        <w:t xml:space="preserve"> desde la notificación, salvo plazo superior fijado, que no puede exceder de seis meses.</w:t>
      </w:r>
    </w:p>
    <w:p>
      <w:pPr>
        <w:pStyle w:val="Heading2"/>
        <w:keepNext/>
      </w:pPr>
      <w:r>
        <w:rPr>
          <w:rFonts w:ascii="Arial" w:hAnsi="Arial" w:cs="Arial"/>
          <w:sz w:val="25"/>
        </w:rPr>
        <w:t>13.5. Interés: regla del 30 de julio y reforma futura</w:t>
      </w:r>
    </w:p>
    <w:p>
      <w:pPr>
        <w:jc w:val="both"/>
      </w:pPr>
      <w:r>
        <w:rPr>
          <w:rFonts w:ascii="Arial" w:hAnsi="Arial" w:cs="Arial"/>
          <w:sz w:val="22"/>
        </w:rPr>
        <w:t xml:space="preserve">El </w:t>
      </w:r>
      <w:r>
        <w:rPr>
          <w:rFonts w:ascii="Arial" w:hAnsi="Arial" w:cs="Arial"/>
          <w:b/>
          <w:sz w:val="22"/>
        </w:rPr>
        <w:t>30 de julio de 2026</w:t>
      </w:r>
      <w:r>
        <w:rPr>
          <w:rFonts w:ascii="Arial" w:hAnsi="Arial" w:cs="Arial"/>
          <w:sz w:val="22"/>
        </w:rPr>
        <w:t>, la regla vigente del artículo 34 es:</w:t>
      </w:r>
    </w:p>
    <w:p>
      <w:pPr>
        <w:pStyle w:val="ListBullet"/>
      </w:pPr>
      <w:r>
        <w:rPr>
          <w:rFonts w:ascii="Arial" w:hAnsi="Arial" w:cs="Arial"/>
          <w:sz w:val="22"/>
        </w:rPr>
        <w:t>interés legal del dinero durante el aplazamiento;</w:t>
      </w:r>
    </w:p>
    <w:p>
      <w:pPr>
        <w:pStyle w:val="ListBullet"/>
      </w:pPr>
      <w:r>
        <w:rPr>
          <w:rFonts w:ascii="Arial" w:hAnsi="Arial" w:cs="Arial"/>
          <w:sz w:val="22"/>
        </w:rPr>
        <w:t>interés de demora cuando se eximió de garantías por causa extraordinaria.</w:t>
      </w:r>
    </w:p>
    <w:p>
      <w:pPr>
        <w:jc w:val="both"/>
      </w:pPr>
      <w:r>
        <w:rPr>
          <w:rFonts w:ascii="Arial" w:hAnsi="Arial" w:cs="Arial"/>
          <w:sz w:val="22"/>
        </w:rPr>
        <w:t xml:space="preserve">El Real Decreto 643/2026 publica una regla distinta con vigencia desde el </w:t>
      </w:r>
      <w:r>
        <w:rPr>
          <w:rFonts w:ascii="Arial" w:hAnsi="Arial" w:cs="Arial"/>
          <w:b/>
          <w:sz w:val="22"/>
        </w:rPr>
        <w:t>1 de agosto de 2026</w:t>
      </w:r>
      <w:r>
        <w:rPr>
          <w:rFonts w:ascii="Arial" w:hAnsi="Arial" w:cs="Arial"/>
          <w:sz w:val="22"/>
        </w:rPr>
        <w:t>:</w:t>
      </w:r>
    </w:p>
    <w:p>
      <w:pPr>
        <w:pStyle w:val="ListBullet"/>
      </w:pPr>
      <w:r>
        <w:rPr>
          <w:rFonts w:ascii="Arial" w:hAnsi="Arial" w:cs="Arial"/>
          <w:sz w:val="22"/>
        </w:rPr>
        <w:t>interés de demora para todo aplazamiento;</w:t>
      </w:r>
    </w:p>
    <w:p>
      <w:pPr>
        <w:pStyle w:val="ListBullet"/>
      </w:pPr>
      <w:r>
        <w:rPr>
          <w:rFonts w:ascii="Arial" w:hAnsi="Arial" w:cs="Arial"/>
          <w:sz w:val="22"/>
        </w:rPr>
        <w:t>incremento de dos puntos si existe exención extraordinaria de garantías.</w:t>
      </w:r>
    </w:p>
    <w:p>
      <w:pPr>
        <w:jc w:val="both"/>
      </w:pPr>
      <w:r>
        <w:rPr>
          <w:rFonts w:ascii="Arial" w:hAnsi="Arial" w:cs="Arial"/>
          <w:sz w:val="22"/>
        </w:rPr>
        <w:t>Una pregunta fechada el 30 de julio debe responderse con la primera regla; para periodos desde el 1 de agosto se aplicará la segunda. La publicación de la reforma originó la necesidad de separar ambos momentos.</w:t>
      </w:r>
    </w:p>
    <w:p>
      <w:pPr>
        <w:pStyle w:val="Heading2"/>
        <w:keepNext/>
      </w:pPr>
      <w:r>
        <w:rPr>
          <w:rFonts w:ascii="Arial" w:hAnsi="Arial" w:cs="Arial"/>
          <w:sz w:val="25"/>
        </w:rPr>
        <w:t>13.6. Solicitud, subsanación y resolución</w:t>
      </w:r>
    </w:p>
    <w:p>
      <w:pPr>
        <w:jc w:val="both"/>
      </w:pPr>
      <w:r>
        <w:rPr>
          <w:rFonts w:ascii="Arial" w:hAnsi="Arial" w:cs="Arial"/>
          <w:sz w:val="22"/>
        </w:rPr>
        <w:t>La solicitud identifica deudor, deuda, motivos, plazo, vencimientos, medio de notificación y garantías. La TGSS puede pedir información económico-financiera.</w:t>
      </w:r>
    </w:p>
    <w:p>
      <w:pPr>
        <w:jc w:val="both"/>
      </w:pPr>
      <w:r>
        <w:rPr>
          <w:rFonts w:ascii="Arial" w:hAnsi="Arial" w:cs="Arial"/>
          <w:sz w:val="22"/>
        </w:rPr>
        <w:t xml:space="preserve">Si falta documentación se concede </w:t>
      </w:r>
      <w:r>
        <w:rPr>
          <w:rFonts w:ascii="Arial" w:hAnsi="Arial" w:cs="Arial"/>
          <w:b/>
          <w:sz w:val="22"/>
        </w:rPr>
        <w:t>diez días</w:t>
      </w:r>
      <w:r>
        <w:rPr>
          <w:rFonts w:ascii="Arial" w:hAnsi="Arial" w:cs="Arial"/>
          <w:sz w:val="22"/>
        </w:rPr>
        <w:t xml:space="preserve"> para subsanar. La resolución se dicta en </w:t>
      </w:r>
      <w:r>
        <w:rPr>
          <w:rFonts w:ascii="Arial" w:hAnsi="Arial" w:cs="Arial"/>
          <w:b/>
          <w:sz w:val="22"/>
        </w:rPr>
        <w:t>tres meses</w:t>
      </w:r>
      <w:r>
        <w:rPr>
          <w:rFonts w:ascii="Arial" w:hAnsi="Arial" w:cs="Arial"/>
          <w:sz w:val="22"/>
        </w:rPr>
        <w:t>; el silencio permite entender desestimada la solicitud. La resolución puede fijar condiciones distintas a las pedidas.</w:t>
      </w:r>
    </w:p>
    <w:p>
      <w:pPr>
        <w:jc w:val="both"/>
      </w:pPr>
      <w:r>
        <w:rPr>
          <w:rFonts w:ascii="Arial" w:hAnsi="Arial" w:cs="Arial"/>
          <w:sz w:val="22"/>
        </w:rPr>
        <w:t xml:space="preserve">A 30 de julio, una causa general de denegación es que la deuda no supere el </w:t>
      </w:r>
      <w:r>
        <w:rPr>
          <w:rFonts w:ascii="Arial" w:hAnsi="Arial" w:cs="Arial"/>
          <w:b/>
          <w:sz w:val="22"/>
        </w:rPr>
        <w:t>doble del SMI mensual</w:t>
      </w:r>
      <w:r>
        <w:rPr>
          <w:rFonts w:ascii="Arial" w:hAnsi="Arial" w:cs="Arial"/>
          <w:sz w:val="22"/>
        </w:rPr>
        <w:t>, además de incumplimientos reiterados o enajenación ya autorizada. Desde el 1 de agosto la reforma reduce el umbral al SMI mensual y exceptúa ciertos aplazamientos automatizados.</w:t>
      </w:r>
    </w:p>
    <w:p>
      <w:pPr>
        <w:pStyle w:val="Heading2"/>
        <w:keepNext/>
      </w:pPr>
      <w:r>
        <w:rPr>
          <w:rFonts w:ascii="Arial" w:hAnsi="Arial" w:cs="Arial"/>
          <w:sz w:val="25"/>
        </w:rPr>
        <w:t>13.7. Incumplimiento</w:t>
      </w:r>
    </w:p>
    <w:p>
      <w:pPr>
        <w:jc w:val="both"/>
      </w:pPr>
      <w:r>
        <w:rPr>
          <w:rFonts w:ascii="Arial" w:hAnsi="Arial" w:cs="Arial"/>
          <w:sz w:val="22"/>
        </w:rPr>
        <w:t>Si se incumple un pago o condición:</w:t>
      </w:r>
    </w:p>
    <w:p>
      <w:pPr>
        <w:pStyle w:val="ListBullet"/>
      </w:pPr>
      <w:r>
        <w:rPr>
          <w:rFonts w:ascii="Arial" w:hAnsi="Arial" w:cs="Arial"/>
          <w:sz w:val="22"/>
        </w:rPr>
        <w:t>continúa el apremio ya iniciado;</w:t>
      </w:r>
    </w:p>
    <w:p>
      <w:pPr>
        <w:pStyle w:val="ListBullet"/>
      </w:pPr>
      <w:r>
        <w:rPr>
          <w:rFonts w:ascii="Arial" w:hAnsi="Arial" w:cs="Arial"/>
          <w:sz w:val="22"/>
        </w:rPr>
        <w:t>se dicta providencia por la deuda no apremiada;</w:t>
      </w:r>
    </w:p>
    <w:p>
      <w:pPr>
        <w:pStyle w:val="ListBullet"/>
      </w:pPr>
      <w:r>
        <w:rPr>
          <w:rFonts w:ascii="Arial" w:hAnsi="Arial" w:cs="Arial"/>
          <w:sz w:val="22"/>
        </w:rPr>
        <w:t>se ejecutan primero las garantías;</w:t>
      </w:r>
    </w:p>
    <w:p>
      <w:pPr>
        <w:pStyle w:val="ListBullet"/>
      </w:pPr>
      <w:r>
        <w:rPr>
          <w:rFonts w:ascii="Arial" w:hAnsi="Arial" w:cs="Arial"/>
          <w:sz w:val="22"/>
        </w:rPr>
        <w:t>se aplican recargos del 20 o 35 % según cumplimiento de liquidación;</w:t>
      </w:r>
    </w:p>
    <w:p>
      <w:pPr>
        <w:pStyle w:val="ListBullet"/>
      </w:pPr>
      <w:r>
        <w:rPr>
          <w:rFonts w:ascii="Arial" w:hAnsi="Arial" w:cs="Arial"/>
          <w:sz w:val="22"/>
        </w:rPr>
        <w:t>se exigen intereses desde vencimientos originales;</w:t>
      </w:r>
    </w:p>
    <w:p>
      <w:pPr>
        <w:pStyle w:val="ListBullet"/>
      </w:pPr>
      <w:r>
        <w:rPr>
          <w:rFonts w:ascii="Arial" w:hAnsi="Arial" w:cs="Arial"/>
          <w:sz w:val="22"/>
        </w:rPr>
        <w:t>también hay incumplimiento si el beneficiario deja de estar al corriente de nuevas obligaciones.</w:t>
      </w:r>
    </w:p>
    <w:p>
      <w:pPr>
        <w:pStyle w:val="Heading1"/>
        <w:keepNext/>
      </w:pPr>
      <w:r>
        <w:rPr>
          <w:rFonts w:ascii="Arial" w:hAnsi="Arial" w:cs="Arial"/>
          <w:sz w:val="30"/>
        </w:rPr>
        <w:t>14. Devolución de ingresos indebidos</w:t>
      </w:r>
    </w:p>
    <w:p>
      <w:pPr>
        <w:pStyle w:val="Heading2"/>
        <w:keepNext/>
      </w:pPr>
      <w:r>
        <w:rPr>
          <w:rFonts w:ascii="Arial" w:hAnsi="Arial" w:cs="Arial"/>
          <w:sz w:val="25"/>
        </w:rPr>
        <w:t>14.1. Derecho</w:t>
      </w:r>
    </w:p>
    <w:p>
      <w:pPr>
        <w:jc w:val="both"/>
      </w:pPr>
      <w:r>
        <w:rPr>
          <w:rFonts w:ascii="Arial" w:hAnsi="Arial" w:cs="Arial"/>
          <w:sz w:val="22"/>
        </w:rPr>
        <w:t>Quien ingresa una cantidad sin deberla tiene derecho a su devolución, con el interés de demora desde la fecha del ingreso hasta la propuesta de pago, sin necesidad de pedir expresamente el interés. No procede devolver una cantidad correspondiente a una deuda válida por el mero hecho de que el pago se hiciera con reserva.</w:t>
      </w:r>
    </w:p>
    <w:p>
      <w:pPr>
        <w:pStyle w:val="Heading2"/>
        <w:keepNext/>
      </w:pPr>
      <w:r>
        <w:rPr>
          <w:rFonts w:ascii="Arial" w:hAnsi="Arial" w:cs="Arial"/>
          <w:sz w:val="25"/>
        </w:rPr>
        <w:t>14.2. Supuestos</w:t>
      </w:r>
    </w:p>
    <w:p>
      <w:pPr>
        <w:jc w:val="both"/>
      </w:pPr>
      <w:r>
        <w:rPr>
          <w:rFonts w:ascii="Arial" w:hAnsi="Arial" w:cs="Arial"/>
          <w:sz w:val="22"/>
        </w:rPr>
        <w:t>Puede existir ingreso indebido por:</w:t>
      </w:r>
    </w:p>
    <w:p>
      <w:pPr>
        <w:pStyle w:val="ListBullet"/>
      </w:pPr>
      <w:r>
        <w:rPr>
          <w:rFonts w:ascii="Arial" w:hAnsi="Arial" w:cs="Arial"/>
          <w:sz w:val="22"/>
        </w:rPr>
        <w:t>duplicidad;</w:t>
      </w:r>
    </w:p>
    <w:p>
      <w:pPr>
        <w:pStyle w:val="ListBullet"/>
      </w:pPr>
      <w:r>
        <w:rPr>
          <w:rFonts w:ascii="Arial" w:hAnsi="Arial" w:cs="Arial"/>
          <w:sz w:val="22"/>
        </w:rPr>
        <w:t>error en base, tipo o sujeto;</w:t>
      </w:r>
    </w:p>
    <w:p>
      <w:pPr>
        <w:pStyle w:val="ListBullet"/>
      </w:pPr>
      <w:r>
        <w:rPr>
          <w:rFonts w:ascii="Arial" w:hAnsi="Arial" w:cs="Arial"/>
          <w:sz w:val="22"/>
        </w:rPr>
        <w:t>pago de periodo sin obligación;</w:t>
      </w:r>
    </w:p>
    <w:p>
      <w:pPr>
        <w:pStyle w:val="ListBullet"/>
      </w:pPr>
      <w:r>
        <w:rPr>
          <w:rFonts w:ascii="Arial" w:hAnsi="Arial" w:cs="Arial"/>
          <w:sz w:val="22"/>
        </w:rPr>
        <w:t>resolución o sentencia que anula total o parcialmente la deuda;</w:t>
      </w:r>
    </w:p>
    <w:p>
      <w:pPr>
        <w:pStyle w:val="ListBullet"/>
      </w:pPr>
      <w:r>
        <w:rPr>
          <w:rFonts w:ascii="Arial" w:hAnsi="Arial" w:cs="Arial"/>
          <w:sz w:val="22"/>
        </w:rPr>
        <w:t>recargo o interés calculado incorrectamente;</w:t>
      </w:r>
    </w:p>
    <w:p>
      <w:pPr>
        <w:pStyle w:val="ListBullet"/>
      </w:pPr>
      <w:r>
        <w:rPr>
          <w:rFonts w:ascii="Arial" w:hAnsi="Arial" w:cs="Arial"/>
          <w:sz w:val="22"/>
        </w:rPr>
        <w:t>pago después de una compensación válida;</w:t>
      </w:r>
    </w:p>
    <w:p>
      <w:pPr>
        <w:pStyle w:val="ListBullet"/>
      </w:pPr>
      <w:r>
        <w:rPr>
          <w:rFonts w:ascii="Arial" w:hAnsi="Arial" w:cs="Arial"/>
          <w:sz w:val="22"/>
        </w:rPr>
        <w:t>cuota ingresada por encima del límite aplicable.</w:t>
      </w:r>
    </w:p>
    <w:p>
      <w:pPr>
        <w:jc w:val="both"/>
      </w:pPr>
      <w:r>
        <w:rPr>
          <w:rFonts w:ascii="Arial" w:hAnsi="Arial" w:cs="Arial"/>
          <w:sz w:val="22"/>
        </w:rPr>
        <w:t>No debe confundirse con devolución de cuotas correctamente ingresadas por un beneficio reconocido después, que puede tener procedimiento específico.</w:t>
      </w:r>
    </w:p>
    <w:p>
      <w:pPr>
        <w:pStyle w:val="Heading2"/>
        <w:keepNext/>
      </w:pPr>
      <w:r>
        <w:rPr>
          <w:rFonts w:ascii="Arial" w:hAnsi="Arial" w:cs="Arial"/>
          <w:sz w:val="25"/>
        </w:rPr>
        <w:t>14.3. Prescripción</w:t>
      </w:r>
    </w:p>
    <w:p>
      <w:pPr>
        <w:jc w:val="both"/>
      </w:pPr>
      <w:r>
        <w:rPr>
          <w:rFonts w:ascii="Arial" w:hAnsi="Arial" w:cs="Arial"/>
          <w:sz w:val="22"/>
        </w:rPr>
        <w:t xml:space="preserve">El derecho prescribe a los </w:t>
      </w:r>
      <w:r>
        <w:rPr>
          <w:rFonts w:ascii="Arial" w:hAnsi="Arial" w:cs="Arial"/>
          <w:b/>
          <w:sz w:val="22"/>
        </w:rPr>
        <w:t>cuatro años</w:t>
      </w:r>
      <w:r>
        <w:rPr>
          <w:rFonts w:ascii="Arial" w:hAnsi="Arial" w:cs="Arial"/>
          <w:sz w:val="22"/>
        </w:rPr>
        <w:t>, computados desde el día siguiente al ingreso o desde que pudo ejercitarse si la causa se conoció después en los términos legales. Una solicitud interrumpe la prescripción.</w:t>
      </w:r>
    </w:p>
    <w:p>
      <w:pPr>
        <w:pStyle w:val="Heading2"/>
        <w:keepNext/>
      </w:pPr>
      <w:r>
        <w:rPr>
          <w:rFonts w:ascii="Arial" w:hAnsi="Arial" w:cs="Arial"/>
          <w:sz w:val="25"/>
        </w:rPr>
        <w:t>14.4. Procedimiento</w:t>
      </w:r>
    </w:p>
    <w:p>
      <w:pPr>
        <w:jc w:val="both"/>
      </w:pPr>
      <w:r>
        <w:rPr>
          <w:rFonts w:ascii="Arial" w:hAnsi="Arial" w:cs="Arial"/>
          <w:sz w:val="22"/>
        </w:rPr>
        <w:t>La solicitud identifica ingreso, cuenta, periodo, causa y prueba. La TGSS es competente y puede compensar la devolución con deudas del beneficiario cuando proceda.</w:t>
      </w:r>
    </w:p>
    <w:p>
      <w:pPr>
        <w:jc w:val="both"/>
      </w:pPr>
      <w:r>
        <w:rPr>
          <w:rFonts w:ascii="Arial" w:hAnsi="Arial" w:cs="Arial"/>
          <w:sz w:val="22"/>
        </w:rPr>
        <w:t xml:space="preserve">El artículo 45 RGRSS fija un plazo máximo de </w:t>
      </w:r>
      <w:r>
        <w:rPr>
          <w:rFonts w:ascii="Arial" w:hAnsi="Arial" w:cs="Arial"/>
          <w:b/>
          <w:sz w:val="22"/>
        </w:rPr>
        <w:t>seis meses</w:t>
      </w:r>
      <w:r>
        <w:rPr>
          <w:rFonts w:ascii="Arial" w:hAnsi="Arial" w:cs="Arial"/>
          <w:sz w:val="22"/>
        </w:rPr>
        <w:t xml:space="preserve"> para adoptar y notificar resolución. Transcurrido sin resolución, la solicitud puede entenderse desestimada a efectos de recurso.</w:t>
      </w:r>
    </w:p>
    <w:p>
      <w:pPr>
        <w:pStyle w:val="Heading2"/>
        <w:keepNext/>
      </w:pPr>
      <w:r>
        <w:rPr>
          <w:rFonts w:ascii="Arial" w:hAnsi="Arial" w:cs="Arial"/>
          <w:sz w:val="25"/>
        </w:rPr>
        <w:t>14.5. Beneficiario</w:t>
      </w:r>
    </w:p>
    <w:p>
      <w:pPr>
        <w:jc w:val="both"/>
      </w:pPr>
      <w:r>
        <w:rPr>
          <w:rFonts w:ascii="Arial" w:hAnsi="Arial" w:cs="Arial"/>
          <w:sz w:val="22"/>
        </w:rPr>
        <w:t>La devolución se hace a quien realizó el ingreso, salvo reglas sobre quien soportó efectivamente la cuota. En cuotas de Régimen General debe evitarse entregar al empresario cantidades correspondientes a aportaciones obreras que deban reintegrarse a trabajadores.</w:t>
      </w:r>
    </w:p>
    <w:p>
      <w:pPr>
        <w:pStyle w:val="Heading2"/>
        <w:keepNext/>
      </w:pPr>
      <w:r>
        <w:rPr>
          <w:rFonts w:ascii="Arial" w:hAnsi="Arial" w:cs="Arial"/>
          <w:sz w:val="25"/>
        </w:rPr>
        <w:t>14.6. Ingresos maliciosos</w:t>
      </w:r>
    </w:p>
    <w:p>
      <w:pPr>
        <w:jc w:val="both"/>
      </w:pPr>
      <w:r>
        <w:rPr>
          <w:rFonts w:ascii="Arial" w:hAnsi="Arial" w:cs="Arial"/>
          <w:sz w:val="22"/>
        </w:rPr>
        <w:t>No se protege a quien provoca deliberadamente un ingreso indebido para obtener ventaja. Fraude y mala fe pueden excluir efectos favorables y generar responsabilidad.</w:t>
      </w:r>
    </w:p>
    <w:p>
      <w:pPr>
        <w:pStyle w:val="Heading1"/>
        <w:keepNext/>
      </w:pPr>
      <w:r>
        <w:rPr>
          <w:rFonts w:ascii="Arial" w:hAnsi="Arial" w:cs="Arial"/>
          <w:sz w:val="30"/>
        </w:rPr>
        <w:t>15. Recaudación de otros recursos</w:t>
      </w:r>
    </w:p>
    <w:p>
      <w:pPr>
        <w:pStyle w:val="Heading2"/>
        <w:keepNext/>
      </w:pPr>
      <w:r>
        <w:rPr>
          <w:rFonts w:ascii="Arial" w:hAnsi="Arial" w:cs="Arial"/>
          <w:sz w:val="25"/>
        </w:rPr>
        <w:t>15.1. Sanciones</w:t>
      </w:r>
    </w:p>
    <w:p>
      <w:pPr>
        <w:jc w:val="both"/>
      </w:pPr>
      <w:r>
        <w:rPr>
          <w:rFonts w:ascii="Arial" w:hAnsi="Arial" w:cs="Arial"/>
          <w:sz w:val="22"/>
        </w:rPr>
        <w:t>La sanción firme se comunica a la TGSS para cobro. La recaudación no reabre el fondo sancionador. Si se impugna o suspende la sanción por el órgano competente, la TGSS aplica esa situación.</w:t>
      </w:r>
    </w:p>
    <w:p>
      <w:pPr>
        <w:pStyle w:val="Heading2"/>
        <w:keepNext/>
      </w:pPr>
      <w:r>
        <w:rPr>
          <w:rFonts w:ascii="Arial" w:hAnsi="Arial" w:cs="Arial"/>
          <w:sz w:val="25"/>
        </w:rPr>
        <w:t>15.2. Recargo de prestaciones</w:t>
      </w:r>
    </w:p>
    <w:p>
      <w:pPr>
        <w:jc w:val="both"/>
      </w:pPr>
      <w:r>
        <w:rPr>
          <w:rFonts w:ascii="Arial" w:hAnsi="Arial" w:cs="Arial"/>
          <w:sz w:val="22"/>
        </w:rPr>
        <w:t>El INSS declara procedencia, porcentaje y responsable del recargo por falta de medidas. Cuando la resolución es firme en vía administrativa, se comunica a la TGSS. El recargo es responsabilidad directa del empresario infractor y no puede asegurarse.</w:t>
      </w:r>
    </w:p>
    <w:p>
      <w:pPr>
        <w:pStyle w:val="Heading2"/>
        <w:keepNext/>
      </w:pPr>
      <w:r>
        <w:rPr>
          <w:rFonts w:ascii="Arial" w:hAnsi="Arial" w:cs="Arial"/>
          <w:sz w:val="25"/>
        </w:rPr>
        <w:t>15.3. Reintegro de prestaciones</w:t>
      </w:r>
    </w:p>
    <w:p>
      <w:pPr>
        <w:jc w:val="both"/>
      </w:pPr>
      <w:r>
        <w:rPr>
          <w:rFonts w:ascii="Arial" w:hAnsi="Arial" w:cs="Arial"/>
          <w:sz w:val="22"/>
        </w:rPr>
        <w:t>La entidad gestora declara el cobro indebido y la TGSS recauda cuando proceda. Existen reglas de descuento sobre prestaciones y plazos fraccionados. No debe confundirse devolución de ingreso indebido a la TGSS con reintegro de prestación cobrada indebidamente por una persona.</w:t>
      </w:r>
    </w:p>
    <w:p>
      <w:pPr>
        <w:pStyle w:val="Heading2"/>
        <w:keepNext/>
      </w:pPr>
      <w:r>
        <w:rPr>
          <w:rFonts w:ascii="Arial" w:hAnsi="Arial" w:cs="Arial"/>
          <w:sz w:val="25"/>
        </w:rPr>
        <w:t>15.4. Conceptos conjuntos</w:t>
      </w:r>
    </w:p>
    <w:p>
      <w:pPr>
        <w:jc w:val="both"/>
      </w:pPr>
      <w:r>
        <w:rPr>
          <w:rFonts w:ascii="Arial" w:hAnsi="Arial" w:cs="Arial"/>
          <w:sz w:val="22"/>
        </w:rPr>
        <w:t>Desempleo, formación profesional y FOGASA se liquidan y recaudan junto con cuotas. Su recaudación conjunta no los convierte en contingencias comunes.</w:t>
      </w:r>
    </w:p>
    <w:p>
      <w:pPr>
        <w:pStyle w:val="Heading2"/>
        <w:keepNext/>
      </w:pPr>
      <w:r>
        <w:rPr>
          <w:rFonts w:ascii="Arial" w:hAnsi="Arial" w:cs="Arial"/>
          <w:sz w:val="25"/>
        </w:rPr>
        <w:t>15.5. Otros</w:t>
      </w:r>
    </w:p>
    <w:p>
      <w:pPr>
        <w:jc w:val="both"/>
      </w:pPr>
      <w:r>
        <w:rPr>
          <w:rFonts w:ascii="Arial" w:hAnsi="Arial" w:cs="Arial"/>
          <w:sz w:val="22"/>
        </w:rPr>
        <w:t>También se recaudan reaseguro, aportaciones de mutuas, ayudas previas, préstamos sociales, costas y demás ingresos públicos. Cada recurso conserva su acto de origen y plazo específico.</w:t>
      </w:r>
    </w:p>
    <w:p>
      <w:pPr>
        <w:pStyle w:val="Heading2"/>
        <w:keepNext/>
      </w:pPr>
      <w:r>
        <w:rPr>
          <w:rFonts w:ascii="Arial" w:hAnsi="Arial" w:cs="Arial"/>
          <w:sz w:val="25"/>
        </w:rPr>
        <w:t>15.6. Compensación, deducción y otras formas de extinción</w:t>
      </w:r>
    </w:p>
    <w:p>
      <w:pPr>
        <w:jc w:val="both"/>
      </w:pPr>
      <w:r>
        <w:rPr>
          <w:rFonts w:ascii="Arial" w:hAnsi="Arial" w:cs="Arial"/>
          <w:sz w:val="22"/>
        </w:rPr>
        <w:t>El pago es la forma ordinaria, pero la deuda también puede extinguirse por compensación, prescripción, condonación autorizada por ley, insolvencia definitiva una vez prescrita la acción u otra causa legal. Ningún órgano puede condonar por mera equidad: hace falta habilitación con rango suficiente.</w:t>
      </w:r>
    </w:p>
    <w:p>
      <w:pPr>
        <w:jc w:val="both"/>
      </w:pPr>
      <w:r>
        <w:rPr>
          <w:rFonts w:ascii="Arial" w:hAnsi="Arial" w:cs="Arial"/>
          <w:sz w:val="22"/>
        </w:rPr>
        <w:t>La compensación exige créditos recíprocos, líquidos, vencidos y exigibles en los términos reglamentarios. No debe confundirse con la aplicación de bonificaciones en una liquidación. Si el sujeto tiene reconocido un crédito frente a la Seguridad Social, la TGSS comprueba titularidad, importe y disponibilidad antes de compensar. Hasta que el acuerdo produzca efectos, no resulta prudente considerar extinguida la deuda.</w:t>
      </w:r>
    </w:p>
    <w:p>
      <w:pPr>
        <w:jc w:val="both"/>
      </w:pPr>
      <w:r>
        <w:rPr>
          <w:rFonts w:ascii="Arial" w:hAnsi="Arial" w:cs="Arial"/>
          <w:sz w:val="22"/>
        </w:rPr>
        <w:t>El procedimiento de deducción opera respecto de determinadas Administraciones, entidades u organismos públicos cuando la norma permite detraer la deuda de transferencias que deban recibir. La naturaleza pública del deudor no significa inmunidad recaudatoria, aunque sus bienes demaniales estén protegidos y el cauce ejecutivo presente especialidades.</w:t>
      </w:r>
    </w:p>
    <w:p>
      <w:pPr>
        <w:jc w:val="both"/>
      </w:pPr>
      <w:r>
        <w:rPr>
          <w:rFonts w:ascii="Arial" w:hAnsi="Arial" w:cs="Arial"/>
          <w:sz w:val="22"/>
        </w:rPr>
        <w:t>La moratoria se diferencia del aplazamiento individual. El Gobierno puede autorizarla con carácter general cuando circunstancias excepcionales afectan a un sector o territorio. Sus destinatarios, cuotas, periodos y condiciones vienen determinados por la norma que la aprueba. No puede pedirse como si fuera un aplazamiento ordinario si no existe esa disposición.</w:t>
      </w:r>
    </w:p>
    <w:p>
      <w:pPr>
        <w:pStyle w:val="Heading2"/>
        <w:keepNext/>
      </w:pPr>
      <w:r>
        <w:rPr>
          <w:rFonts w:ascii="Arial" w:hAnsi="Arial" w:cs="Arial"/>
          <w:sz w:val="25"/>
        </w:rPr>
        <w:t>15.7. Imputación de pagos</w:t>
      </w:r>
    </w:p>
    <w:p>
      <w:pPr>
        <w:jc w:val="both"/>
      </w:pPr>
      <w:r>
        <w:rPr>
          <w:rFonts w:ascii="Arial" w:hAnsi="Arial" w:cs="Arial"/>
          <w:sz w:val="22"/>
        </w:rPr>
        <w:t>Cuando existen varias deudas, la imputación sigue el artículo 52 RGRSS. Los pagos voluntarios se aplican a la deuda en periodo voluntario a la que se refieran y, si son insuficientes, se distribuyen proporcionalmente entre principal y recargos. Los ingresos que no deban imputarse así se aplican primero a aplazamientos o convenios concursales con espera y, en su defecto, a la deuda ejecutiva: primero a las costas y después a los títulos vigentes más antiguos. El deudor no puede alterar esas reglas escribiendo una referencia unilateral.</w:t>
      </w:r>
    </w:p>
    <w:p>
      <w:pPr>
        <w:jc w:val="both"/>
      </w:pPr>
      <w:r>
        <w:rPr>
          <w:rFonts w:ascii="Arial" w:hAnsi="Arial" w:cs="Arial"/>
          <w:sz w:val="22"/>
        </w:rPr>
        <w:t>Si el ingreso supera la deuda, el exceso se devuelve o aplica según proceda. Si es inferior, subsiste el saldo y continúa la recaudación. Un pago parcial puede reducir intereses futuros, pero no convierte al responsable en corriente de pago salvo norma o acuerdo válido.</w:t>
      </w:r>
    </w:p>
    <w:p>
      <w:pPr>
        <w:pStyle w:val="Heading2"/>
        <w:keepNext/>
      </w:pPr>
      <w:r>
        <w:rPr>
          <w:rFonts w:ascii="Arial" w:hAnsi="Arial" w:cs="Arial"/>
          <w:sz w:val="25"/>
        </w:rPr>
        <w:t>15.8. Certificado de estar al corriente</w:t>
      </w:r>
    </w:p>
    <w:p>
      <w:pPr>
        <w:jc w:val="both"/>
      </w:pPr>
      <w:r>
        <w:rPr>
          <w:rFonts w:ascii="Arial" w:hAnsi="Arial" w:cs="Arial"/>
          <w:sz w:val="22"/>
        </w:rPr>
        <w:t>El certificado refleja la situación que consta en la TGSS y tiene vigencia para el fin y periodo establecidos. Un aplazamiento concedido y cumplido permite considerar al deudor al corriente respecto de las deudas aplazadas. La simple solicitud no produce ese efecto. Tampoco un recurso sin suspensión elimina la deuda certificable.</w:t>
      </w:r>
    </w:p>
    <w:p>
      <w:pPr>
        <w:pStyle w:val="Heading1"/>
        <w:keepNext/>
      </w:pPr>
      <w:r>
        <w:rPr>
          <w:rFonts w:ascii="Arial" w:hAnsi="Arial" w:cs="Arial"/>
          <w:sz w:val="30"/>
        </w:rPr>
        <w:t>16. Capital coste de pensiones</w:t>
      </w:r>
    </w:p>
    <w:p>
      <w:pPr>
        <w:pStyle w:val="Heading2"/>
        <w:keepNext/>
      </w:pPr>
      <w:r>
        <w:rPr>
          <w:rFonts w:ascii="Arial" w:hAnsi="Arial" w:cs="Arial"/>
          <w:sz w:val="25"/>
        </w:rPr>
        <w:t>16.1. Concepto</w:t>
      </w:r>
    </w:p>
    <w:p>
      <w:pPr>
        <w:jc w:val="both"/>
      </w:pPr>
      <w:r>
        <w:rPr>
          <w:rFonts w:ascii="Arial" w:hAnsi="Arial" w:cs="Arial"/>
          <w:sz w:val="22"/>
        </w:rPr>
        <w:t>El capital coste es el valor actual actuarial de una pensión o renta futura que debe ingresar quien ha sido declarado responsable. Permite que la TGSS reciba hoy el importe necesario para financiar pagos periódicos.</w:t>
      </w:r>
    </w:p>
    <w:p>
      <w:pPr>
        <w:jc w:val="both"/>
      </w:pPr>
      <w:r>
        <w:rPr>
          <w:rFonts w:ascii="Arial" w:hAnsi="Arial" w:cs="Arial"/>
          <w:sz w:val="22"/>
        </w:rPr>
        <w:t>No equivale a sumar nominalmente todas las mensualidades futuras. Se calcula con tablas, interés técnico, edad, supervivencia, revalorización y demás elementos normativos.</w:t>
      </w:r>
    </w:p>
    <w:p>
      <w:pPr>
        <w:pStyle w:val="Heading2"/>
        <w:keepNext/>
      </w:pPr>
      <w:r>
        <w:rPr>
          <w:rFonts w:ascii="Arial" w:hAnsi="Arial" w:cs="Arial"/>
          <w:sz w:val="25"/>
        </w:rPr>
        <w:t>16.2. Sujetos</w:t>
      </w:r>
    </w:p>
    <w:p>
      <w:pPr>
        <w:jc w:val="both"/>
      </w:pPr>
      <w:r>
        <w:rPr>
          <w:rFonts w:ascii="Arial" w:hAnsi="Arial" w:cs="Arial"/>
          <w:sz w:val="22"/>
        </w:rPr>
        <w:t>Pueden estar obligados mutuas colaboradoras, empresas responsables y otros sujetos determinados por resolución. El INSS u órgano gestor declara responsabilidad prestacional; la TGSS calcula y recauda el capital.</w:t>
      </w:r>
    </w:p>
    <w:p>
      <w:pPr>
        <w:pStyle w:val="Heading2"/>
        <w:keepNext/>
      </w:pPr>
      <w:r>
        <w:rPr>
          <w:rFonts w:ascii="Arial" w:hAnsi="Arial" w:cs="Arial"/>
          <w:sz w:val="25"/>
        </w:rPr>
        <w:t>16.3. Procedimiento</w:t>
      </w:r>
    </w:p>
    <w:p>
      <w:pPr>
        <w:jc w:val="both"/>
      </w:pPr>
      <w:r>
        <w:rPr>
          <w:rFonts w:ascii="Arial" w:hAnsi="Arial" w:cs="Arial"/>
          <w:sz w:val="22"/>
        </w:rPr>
        <w:t>La resolución prestacional firme se comunica a la TGSS. Esta determina capital, intereses o recargos aplicables y formula reclamación. El responsable paga en plazo; en otro caso se sigue apremio.</w:t>
      </w:r>
    </w:p>
    <w:p>
      <w:pPr>
        <w:pStyle w:val="Heading2"/>
        <w:keepNext/>
      </w:pPr>
      <w:r>
        <w:rPr>
          <w:rFonts w:ascii="Arial" w:hAnsi="Arial" w:cs="Arial"/>
          <w:sz w:val="25"/>
        </w:rPr>
        <w:t>16.4. Rentas temporales y prestaciones</w:t>
      </w:r>
    </w:p>
    <w:p>
      <w:pPr>
        <w:jc w:val="both"/>
      </w:pPr>
      <w:r>
        <w:rPr>
          <w:rFonts w:ascii="Arial" w:hAnsi="Arial" w:cs="Arial"/>
          <w:sz w:val="22"/>
        </w:rPr>
        <w:t>El sistema se aplica también a rentas ciertas temporales y otras prestaciones capitalizables. La muerte, revisión o modificación de la prestación puede producir regularización en los términos legales, sin devolución automática de todo saldo teórico.</w:t>
      </w:r>
    </w:p>
    <w:p>
      <w:pPr>
        <w:pStyle w:val="Heading1"/>
        <w:keepNext/>
      </w:pPr>
      <w:r>
        <w:rPr>
          <w:rFonts w:ascii="Arial" w:hAnsi="Arial" w:cs="Arial"/>
          <w:sz w:val="30"/>
        </w:rPr>
        <w:t>17. Cuadro de cifras y plazos</w:t>
      </w:r>
    </w:p>
    <w:tbl>
      <w:tblPr>
        <w:tblStyle w:val="TableGrid"/>
        <w:tblW w:type="dxa" w:w="9026"/>
        <w:jc w:val="left"/>
        <w:tblLayout w:type="fixed"/>
        <w:tblLook w:firstColumn="1" w:firstRow="1" w:lastColumn="0" w:lastRow="0" w:noHBand="0" w:noVBand="1" w:val="04A0"/>
        <w:tblInd w:w="120" w:type="dxa"/>
      </w:tblPr>
      <w:tblGrid>
        <w:gridCol w:w="5027"/>
        <w:gridCol w:w="3999"/>
      </w:tblGrid>
      <w:tr>
        <w:trPr>
          <w:tblHeader w:val="true"/>
        </w:trPr>
        <w:tc>
          <w:tcPr>
            <w:tcW w:type="dxa" w:w="50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w:t>
            </w:r>
          </w:p>
        </w:tc>
        <w:tc>
          <w:tcPr>
            <w:tcW w:type="dxa" w:w="399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 vigente a 30-07-2026</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Derivación de responsabilidad</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6 meses para notificar</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Reclamación notificada 1–15</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Pago hasta día 5 del mes siguiente</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Reclamación notificada 16–último</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Pago hasta día 20 del mes siguiente</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Recargo con liquidación cumplida, primer mes</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10 %</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Recargo con liquidación cumplida, después</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20 %</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Recargo sin liquidación, antes de fin de reclamación</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20 %</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Recargo sin liquidación, después</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35 %</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 general</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4 años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Duración ordinaria máxima aplazamiento</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5 años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Subsanación de aplazamiento</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de aplazamiento</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Ingreso de cuotas inaplazables</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1 mes desde concesión</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Garantía ordinaria tras concesión</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30 días naturales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Exención por cuantía</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≤150.000 €</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Exención condicionada</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&lt;250.000 €, un tercio en 10 días y resto en 2 años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Umbral general de denegación a 30-07</w:t>
            </w:r>
          </w:p>
        </w:tc>
        <w:tc>
          <w:tcPr>
            <w:tcW w:type="dxa" w:w="3999"/>
            <w:tcMar>
              <w:top w:w="80" w:type="dxa"/>
              <w:start w:w="120" w:type="dxa"/>
              <w:bottom w:w="80" w:type="dxa"/>
              <w:end w:w="120" w:type="dxa"/>
            </w:tcMar>
            <w:vAlign w:val="center"/>
          </w:tcPr>
          <w:p>
            <w:pPr>
              <w:spacing w:before="0" w:after="0" w:line="240" w:lineRule="auto"/>
              <w:jc w:val="left"/>
            </w:pPr>
            <w:r/>
            <w:r>
              <w:rPr>
                <w:rFonts w:ascii="Arial" w:hAnsi="Arial" w:cs="Arial"/>
                <w:sz w:val="18"/>
              </w:rPr>
              <w:t>No superar 2 SMI mensuales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de devolución</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5027"/>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 de devolución</w:t>
            </w:r>
          </w:p>
        </w:tc>
        <w:tc>
          <w:tcPr>
            <w:tcW w:type="dxa" w:w="3999"/>
            <w:tcMar>
              <w:top w:w="80" w:type="dxa"/>
              <w:start w:w="120" w:type="dxa"/>
              <w:bottom w:w="80" w:type="dxa"/>
              <w:end w:w="120" w:type="dxa"/>
            </w:tcMar>
            <w:vAlign w:val="center"/>
          </w:tcPr>
          <w:p>
            <w:pPr>
              <w:spacing w:before="0" w:after="0" w:line="240" w:lineRule="auto"/>
              <w:jc w:val="center"/>
            </w:pPr>
            <w:r/>
            <w:r>
              <w:rPr>
                <w:rFonts w:ascii="Arial" w:hAnsi="Arial" w:cs="Arial"/>
                <w:sz w:val="18"/>
              </w:rPr>
              <w:t>4 años</w:t>
            </w:r>
          </w:p>
        </w:tc>
      </w:tr>
    </w:tbl>
    <w:p>
      <w:pPr>
        <w:spacing w:after="40"/>
      </w:pPr>
    </w:p>
    <w:p>
      <w:pPr>
        <w:pStyle w:val="Heading1"/>
        <w:keepNext/>
      </w:pPr>
      <w:r>
        <w:rPr>
          <w:rFonts w:ascii="Arial" w:hAnsi="Arial" w:cs="Arial"/>
          <w:sz w:val="30"/>
        </w:rPr>
        <w:t>18. Método práctico</w:t>
      </w:r>
    </w:p>
    <w:p>
      <w:pPr>
        <w:jc w:val="both"/>
      </w:pPr>
      <w:r>
        <w:rPr>
          <w:rFonts w:ascii="Arial" w:hAnsi="Arial" w:cs="Arial"/>
          <w:sz w:val="22"/>
        </w:rPr>
        <w:t>Para resolver una deuda:</w:t>
      </w:r>
    </w:p>
    <w:p>
      <w:pPr>
        <w:spacing w:after="40"/>
        <w:ind w:left="369" w:hanging="227"/>
      </w:pPr>
      <w:r>
        <w:rPr>
          <w:rFonts w:ascii="Arial" w:hAnsi="Arial" w:cs="Arial"/>
          <w:sz w:val="22"/>
        </w:rPr>
        <w:t>1. identificar recurso;</w:t>
      </w:r>
    </w:p>
    <w:p>
      <w:pPr>
        <w:spacing w:after="40"/>
        <w:ind w:left="369" w:hanging="227"/>
      </w:pPr>
      <w:r>
        <w:rPr>
          <w:rFonts w:ascii="Arial" w:hAnsi="Arial" w:cs="Arial"/>
          <w:sz w:val="22"/>
        </w:rPr>
        <w:t>2. fijar obligado y posibles responsables;</w:t>
      </w:r>
    </w:p>
    <w:p>
      <w:pPr>
        <w:spacing w:after="40"/>
        <w:ind w:left="369" w:hanging="227"/>
      </w:pPr>
      <w:r>
        <w:rPr>
          <w:rFonts w:ascii="Arial" w:hAnsi="Arial" w:cs="Arial"/>
          <w:sz w:val="22"/>
        </w:rPr>
        <w:t>3. determinar periodo reglamentario;</w:t>
      </w:r>
    </w:p>
    <w:p>
      <w:pPr>
        <w:spacing w:after="40"/>
        <w:ind w:left="369" w:hanging="227"/>
      </w:pPr>
      <w:r>
        <w:rPr>
          <w:rFonts w:ascii="Arial" w:hAnsi="Arial" w:cs="Arial"/>
          <w:sz w:val="22"/>
        </w:rPr>
        <w:t>4. comprobar obligaciones de liquidación;</w:t>
      </w:r>
    </w:p>
    <w:p>
      <w:pPr>
        <w:spacing w:after="40"/>
        <w:ind w:left="369" w:hanging="227"/>
      </w:pPr>
      <w:r>
        <w:rPr>
          <w:rFonts w:ascii="Arial" w:hAnsi="Arial" w:cs="Arial"/>
          <w:sz w:val="22"/>
        </w:rPr>
        <w:t>5. fijar fecha efectiva del pago;</w:t>
      </w:r>
    </w:p>
    <w:p>
      <w:pPr>
        <w:spacing w:after="40"/>
        <w:ind w:left="369" w:hanging="227"/>
      </w:pPr>
      <w:r>
        <w:rPr>
          <w:rFonts w:ascii="Arial" w:hAnsi="Arial" w:cs="Arial"/>
          <w:sz w:val="22"/>
        </w:rPr>
        <w:t>6. elegir recargo;</w:t>
      </w:r>
    </w:p>
    <w:p>
      <w:pPr>
        <w:spacing w:after="40"/>
        <w:ind w:left="369" w:hanging="227"/>
      </w:pPr>
      <w:r>
        <w:rPr>
          <w:rFonts w:ascii="Arial" w:hAnsi="Arial" w:cs="Arial"/>
          <w:sz w:val="22"/>
        </w:rPr>
        <w:t>7. calcular interés;</w:t>
      </w:r>
    </w:p>
    <w:p>
      <w:pPr>
        <w:spacing w:after="40"/>
        <w:ind w:left="369" w:hanging="227"/>
      </w:pPr>
      <w:r>
        <w:rPr>
          <w:rFonts w:ascii="Arial" w:hAnsi="Arial" w:cs="Arial"/>
          <w:sz w:val="22"/>
        </w:rPr>
        <w:t>8. comprobar reclamación o acta;</w:t>
      </w:r>
    </w:p>
    <w:p>
      <w:pPr>
        <w:spacing w:after="40"/>
        <w:ind w:left="369" w:hanging="227"/>
      </w:pPr>
      <w:r>
        <w:rPr>
          <w:rFonts w:ascii="Arial" w:hAnsi="Arial" w:cs="Arial"/>
          <w:sz w:val="22"/>
        </w:rPr>
        <w:t>9. valorar aplazamiento y deudas inaplazables;</w:t>
      </w:r>
    </w:p>
    <w:p>
      <w:pPr>
        <w:spacing w:after="40"/>
        <w:ind w:left="369" w:hanging="227"/>
      </w:pPr>
      <w:r>
        <w:rPr>
          <w:rFonts w:ascii="Arial" w:hAnsi="Arial" w:cs="Arial"/>
          <w:sz w:val="22"/>
        </w:rPr>
        <w:t>10. separar periodo voluntario y apremio.</w:t>
      </w:r>
    </w:p>
    <w:p>
      <w:pPr>
        <w:pStyle w:val="Heading2"/>
        <w:keepNext/>
      </w:pPr>
      <w:r>
        <w:rPr>
          <w:rFonts w:ascii="Arial" w:hAnsi="Arial" w:cs="Arial"/>
          <w:sz w:val="25"/>
        </w:rPr>
        <w:t>18.1. Transferencia</w:t>
      </w:r>
    </w:p>
    <w:p>
      <w:pPr>
        <w:jc w:val="both"/>
      </w:pPr>
      <w:r>
        <w:rPr>
          <w:rFonts w:ascii="Arial" w:hAnsi="Arial" w:cs="Arial"/>
          <w:sz w:val="22"/>
        </w:rPr>
        <w:t>Una empresa ordena transferencia el último día, pero los fondos llegan al día siguiente. La fecha de pago es la recepción por TGSS. Existe ingreso fuera de plazo y se aplica el recargo correspondiente.</w:t>
      </w:r>
    </w:p>
    <w:p>
      <w:pPr>
        <w:pStyle w:val="Heading2"/>
        <w:keepNext/>
      </w:pPr>
      <w:r>
        <w:rPr>
          <w:rFonts w:ascii="Arial" w:hAnsi="Arial" w:cs="Arial"/>
          <w:sz w:val="25"/>
        </w:rPr>
        <w:t>18.2. Reclamación</w:t>
      </w:r>
    </w:p>
    <w:p>
      <w:pPr>
        <w:jc w:val="both"/>
      </w:pPr>
      <w:r>
        <w:rPr>
          <w:rFonts w:ascii="Arial" w:hAnsi="Arial" w:cs="Arial"/>
          <w:sz w:val="22"/>
        </w:rPr>
        <w:t>Una reclamación se notifica el 12 de octubre: se paga hasta el 5 de noviembre o inmediato hábil. Si se notifica el 22, el plazo llega al 20 de noviembre.</w:t>
      </w:r>
    </w:p>
    <w:p>
      <w:pPr>
        <w:pStyle w:val="Heading2"/>
        <w:keepNext/>
      </w:pPr>
      <w:r>
        <w:rPr>
          <w:rFonts w:ascii="Arial" w:hAnsi="Arial" w:cs="Arial"/>
          <w:sz w:val="25"/>
        </w:rPr>
        <w:t>18.3. Aplazamiento</w:t>
      </w:r>
    </w:p>
    <w:p>
      <w:pPr>
        <w:jc w:val="both"/>
      </w:pPr>
      <w:r>
        <w:rPr>
          <w:rFonts w:ascii="Arial" w:hAnsi="Arial" w:cs="Arial"/>
          <w:sz w:val="22"/>
        </w:rPr>
        <w:t>Una deuda incluye cuota obrera y contingencias profesionales. Esas partidas son inaplazables y deben ingresarse en un mes desde la concesión. La solicitud no suspende por sí sola.</w:t>
      </w:r>
    </w:p>
    <w:p>
      <w:pPr>
        <w:pStyle w:val="Heading1"/>
        <w:keepNext/>
      </w:pPr>
      <w:r>
        <w:rPr>
          <w:rFonts w:ascii="Arial" w:hAnsi="Arial" w:cs="Arial"/>
          <w:sz w:val="30"/>
        </w:rPr>
        <w:t>19. Errores frecuentes</w:t>
      </w:r>
    </w:p>
    <w:p>
      <w:pPr>
        <w:spacing w:after="40"/>
        <w:ind w:left="369" w:hanging="227"/>
      </w:pPr>
      <w:r>
        <w:rPr>
          <w:rFonts w:ascii="Arial" w:hAnsi="Arial" w:cs="Arial"/>
          <w:sz w:val="22"/>
        </w:rPr>
        <w:t>1. Atribuir recaudación al INSS.</w:t>
      </w:r>
    </w:p>
    <w:p>
      <w:pPr>
        <w:spacing w:after="40"/>
        <w:ind w:left="369" w:hanging="227"/>
      </w:pPr>
      <w:r>
        <w:rPr>
          <w:rFonts w:ascii="Arial" w:hAnsi="Arial" w:cs="Arial"/>
          <w:sz w:val="22"/>
        </w:rPr>
        <w:t>2. Confundir entidad colaboradora con órgano competente.</w:t>
      </w:r>
    </w:p>
    <w:p>
      <w:pPr>
        <w:spacing w:after="40"/>
        <w:ind w:left="369" w:hanging="227"/>
      </w:pPr>
      <w:r>
        <w:rPr>
          <w:rFonts w:ascii="Arial" w:hAnsi="Arial" w:cs="Arial"/>
          <w:sz w:val="22"/>
        </w:rPr>
        <w:t>3. Limitar el objeto a cuotas.</w:t>
      </w:r>
    </w:p>
    <w:p>
      <w:pPr>
        <w:spacing w:after="40"/>
        <w:ind w:left="369" w:hanging="227"/>
      </w:pPr>
      <w:r>
        <w:rPr>
          <w:rFonts w:ascii="Arial" w:hAnsi="Arial" w:cs="Arial"/>
          <w:sz w:val="22"/>
        </w:rPr>
        <w:t>4. Confundir obligado principal y responsable solidario.</w:t>
      </w:r>
    </w:p>
    <w:p>
      <w:pPr>
        <w:spacing w:after="40"/>
        <w:ind w:left="369" w:hanging="227"/>
      </w:pPr>
      <w:r>
        <w:rPr>
          <w:rFonts w:ascii="Arial" w:hAnsi="Arial" w:cs="Arial"/>
          <w:sz w:val="22"/>
        </w:rPr>
        <w:t>5. Derivar sin resolución motivada.</w:t>
      </w:r>
    </w:p>
    <w:p>
      <w:pPr>
        <w:spacing w:after="40"/>
        <w:ind w:left="369" w:hanging="227"/>
      </w:pPr>
      <w:r>
        <w:rPr>
          <w:rFonts w:ascii="Arial" w:hAnsi="Arial" w:cs="Arial"/>
          <w:sz w:val="22"/>
        </w:rPr>
        <w:t>6. Usar como fecha de transferencia la orden y no la recepción.</w:t>
      </w:r>
    </w:p>
    <w:p>
      <w:pPr>
        <w:spacing w:after="40"/>
        <w:ind w:left="369" w:hanging="227"/>
      </w:pPr>
      <w:r>
        <w:rPr>
          <w:rFonts w:ascii="Arial" w:hAnsi="Arial" w:cs="Arial"/>
          <w:sz w:val="22"/>
        </w:rPr>
        <w:t>7. Creer que pago parcial extingue todo.</w:t>
      </w:r>
    </w:p>
    <w:p>
      <w:pPr>
        <w:spacing w:after="40"/>
        <w:ind w:left="369" w:hanging="227"/>
      </w:pPr>
      <w:r>
        <w:rPr>
          <w:rFonts w:ascii="Arial" w:hAnsi="Arial" w:cs="Arial"/>
          <w:sz w:val="22"/>
        </w:rPr>
        <w:t>8. Confundir fin del plazo reglamentario con fin del periodo voluntario del artículo 6.</w:t>
      </w:r>
    </w:p>
    <w:p>
      <w:pPr>
        <w:spacing w:after="40"/>
        <w:ind w:left="369" w:hanging="227"/>
      </w:pPr>
      <w:r>
        <w:rPr>
          <w:rFonts w:ascii="Arial" w:hAnsi="Arial" w:cs="Arial"/>
          <w:sz w:val="22"/>
        </w:rPr>
        <w:t>9. Aplicar a toda deuda el plazo mensual.</w:t>
      </w:r>
    </w:p>
    <w:p>
      <w:pPr>
        <w:spacing w:after="40"/>
        <w:ind w:left="369" w:hanging="227"/>
      </w:pPr>
      <w:r>
        <w:rPr>
          <w:rFonts w:ascii="Arial" w:hAnsi="Arial" w:cs="Arial"/>
          <w:sz w:val="22"/>
        </w:rPr>
        <w:t>10. Intercambiar plazos de reclamación y providencia.</w:t>
      </w:r>
    </w:p>
    <w:p>
      <w:pPr>
        <w:spacing w:after="40"/>
        <w:ind w:left="369" w:hanging="227"/>
      </w:pPr>
      <w:r>
        <w:rPr>
          <w:rFonts w:ascii="Arial" w:hAnsi="Arial" w:cs="Arial"/>
          <w:sz w:val="22"/>
        </w:rPr>
        <w:t>11. Elegir recargo solo por retraso, sin mirar liquidación.</w:t>
      </w:r>
    </w:p>
    <w:p>
      <w:pPr>
        <w:spacing w:after="40"/>
        <w:ind w:left="369" w:hanging="227"/>
      </w:pPr>
      <w:r>
        <w:rPr>
          <w:rFonts w:ascii="Arial" w:hAnsi="Arial" w:cs="Arial"/>
          <w:sz w:val="22"/>
        </w:rPr>
        <w:t>12. Aplicar 35 % cuando se liquidó correctamente.</w:t>
      </w:r>
    </w:p>
    <w:p>
      <w:pPr>
        <w:spacing w:after="40"/>
        <w:ind w:left="369" w:hanging="227"/>
      </w:pPr>
      <w:r>
        <w:rPr>
          <w:rFonts w:ascii="Arial" w:hAnsi="Arial" w:cs="Arial"/>
          <w:sz w:val="22"/>
        </w:rPr>
        <w:t>13. Olvidar intereses.</w:t>
      </w:r>
    </w:p>
    <w:p>
      <w:pPr>
        <w:spacing w:after="40"/>
        <w:ind w:left="369" w:hanging="227"/>
      </w:pPr>
      <w:r>
        <w:rPr>
          <w:rFonts w:ascii="Arial" w:hAnsi="Arial" w:cs="Arial"/>
          <w:sz w:val="22"/>
        </w:rPr>
        <w:t>14. Creer que un recurso suspende siempre.</w:t>
      </w:r>
    </w:p>
    <w:p>
      <w:pPr>
        <w:spacing w:after="40"/>
        <w:ind w:left="369" w:hanging="227"/>
      </w:pPr>
      <w:r>
        <w:rPr>
          <w:rFonts w:ascii="Arial" w:hAnsi="Arial" w:cs="Arial"/>
          <w:sz w:val="22"/>
        </w:rPr>
        <w:t>15. Confundir devolución de ingreso con reintegro de prestación.</w:t>
      </w:r>
    </w:p>
    <w:p>
      <w:pPr>
        <w:spacing w:after="40"/>
        <w:ind w:left="369" w:hanging="227"/>
      </w:pPr>
      <w:r>
        <w:rPr>
          <w:rFonts w:ascii="Arial" w:hAnsi="Arial" w:cs="Arial"/>
          <w:sz w:val="22"/>
        </w:rPr>
        <w:t>16. Aplicar tres meses a devolución; son seis.</w:t>
      </w:r>
    </w:p>
    <w:p>
      <w:pPr>
        <w:spacing w:after="40"/>
        <w:ind w:left="369" w:hanging="227"/>
      </w:pPr>
      <w:r>
        <w:rPr>
          <w:rFonts w:ascii="Arial" w:hAnsi="Arial" w:cs="Arial"/>
          <w:sz w:val="22"/>
        </w:rPr>
        <w:t>17. Olvidar prescripción de cuatro años.</w:t>
      </w:r>
    </w:p>
    <w:p>
      <w:pPr>
        <w:spacing w:after="40"/>
        <w:ind w:left="369" w:hanging="227"/>
      </w:pPr>
      <w:r>
        <w:rPr>
          <w:rFonts w:ascii="Arial" w:hAnsi="Arial" w:cs="Arial"/>
          <w:sz w:val="22"/>
        </w:rPr>
        <w:t>18. Aplazar cuota obrera o contingencias profesionales.</w:t>
      </w:r>
    </w:p>
    <w:p>
      <w:pPr>
        <w:spacing w:after="40"/>
        <w:ind w:left="369" w:hanging="227"/>
      </w:pPr>
      <w:r>
        <w:rPr>
          <w:rFonts w:ascii="Arial" w:hAnsi="Arial" w:cs="Arial"/>
          <w:sz w:val="22"/>
        </w:rPr>
        <w:t>19. Creer que solicitar aplazamiento suspende.</w:t>
      </w:r>
    </w:p>
    <w:p>
      <w:pPr>
        <w:spacing w:after="40"/>
        <w:ind w:left="369" w:hanging="227"/>
      </w:pPr>
      <w:r>
        <w:rPr>
          <w:rFonts w:ascii="Arial" w:hAnsi="Arial" w:cs="Arial"/>
          <w:sz w:val="22"/>
        </w:rPr>
        <w:t>20. Omitir totalidad de deudas aplazables.</w:t>
      </w:r>
    </w:p>
    <w:p>
      <w:pPr>
        <w:spacing w:after="40"/>
        <w:ind w:left="369" w:hanging="227"/>
      </w:pPr>
      <w:r>
        <w:rPr>
          <w:rFonts w:ascii="Arial" w:hAnsi="Arial" w:cs="Arial"/>
          <w:sz w:val="22"/>
        </w:rPr>
        <w:t>21. Usar todavía 30.000/90.000 como umbrales efectivos, pese a la resolución de 2020.</w:t>
      </w:r>
    </w:p>
    <w:p>
      <w:pPr>
        <w:spacing w:after="40"/>
        <w:ind w:left="369" w:hanging="227"/>
      </w:pPr>
      <w:r>
        <w:rPr>
          <w:rFonts w:ascii="Arial" w:hAnsi="Arial" w:cs="Arial"/>
          <w:sz w:val="22"/>
        </w:rPr>
        <w:t>22. Aplicar el 30 de julio la reforma de interés que entra en vigor el 1 de agosto.</w:t>
      </w:r>
    </w:p>
    <w:p>
      <w:pPr>
        <w:spacing w:after="40"/>
        <w:ind w:left="369" w:hanging="227"/>
      </w:pPr>
      <w:r>
        <w:rPr>
          <w:rFonts w:ascii="Arial" w:hAnsi="Arial" w:cs="Arial"/>
          <w:sz w:val="22"/>
        </w:rPr>
        <w:t>23. Confundir capital coste con suma nominal.</w:t>
      </w:r>
    </w:p>
    <w:p>
      <w:pPr>
        <w:spacing w:after="40"/>
        <w:ind w:left="369" w:hanging="227"/>
      </w:pPr>
      <w:r>
        <w:rPr>
          <w:rFonts w:ascii="Arial" w:hAnsi="Arial" w:cs="Arial"/>
          <w:sz w:val="22"/>
        </w:rPr>
        <w:t>24. Atribuir a TGSS la declaración originaria del recargo de prestaciones.</w:t>
      </w:r>
    </w:p>
    <w:p>
      <w:pPr>
        <w:pStyle w:val="Heading1"/>
        <w:keepNext/>
      </w:pPr>
      <w:r>
        <w:rPr>
          <w:rFonts w:ascii="Arial" w:hAnsi="Arial" w:cs="Arial"/>
          <w:sz w:val="30"/>
        </w:rPr>
        <w:t>20. Resumen</w:t>
      </w:r>
    </w:p>
    <w:p>
      <w:pPr>
        <w:jc w:val="both"/>
      </w:pPr>
      <w:r>
        <w:rPr>
          <w:rFonts w:ascii="Arial" w:hAnsi="Arial" w:cs="Arial"/>
          <w:sz w:val="22"/>
        </w:rPr>
        <w:t>La TGSS ejerce en exclusiva la gestión recaudatoria. Recauda cuotas y una amplia lista de recursos. El pago exige sujeto legitimado, deuda identificada, integridad, plazo y medio válido. En transferencia manda la entrada de fondos.</w:t>
      </w:r>
    </w:p>
    <w:p>
      <w:pPr>
        <w:jc w:val="both"/>
      </w:pPr>
      <w:r>
        <w:rPr>
          <w:rFonts w:ascii="Arial" w:hAnsi="Arial" w:cs="Arial"/>
          <w:sz w:val="22"/>
        </w:rPr>
        <w:t>El periodo voluntario empieza con el plazo reglamentario y termina con la providencia. El retraso genera recargos del 10, 20 o 35 % según momento y cumplimiento de liquidación, además de intereses. Las reclamaciones notificadas del 1 al 15 vencen el 5 del mes siguiente; las del 16 al final, el 20.</w:t>
      </w:r>
    </w:p>
    <w:p>
      <w:pPr>
        <w:jc w:val="both"/>
      </w:pPr>
      <w:r>
        <w:rPr>
          <w:rFonts w:ascii="Arial" w:hAnsi="Arial" w:cs="Arial"/>
          <w:sz w:val="22"/>
        </w:rPr>
        <w:t>El aplazamiento puede durar cinco años, no suspende por mera solicitud y excluye cuota obrera y contingencias profesionales. La devolución prescribe a cuatro años y se resuelve en seis meses. El capital coste financia actuarialmente prestaciones futuras.</w:t>
      </w:r>
    </w:p>
    <w:p>
      <w:pPr>
        <w:pStyle w:val="Heading1"/>
        <w:keepNext/>
      </w:pPr>
      <w:r>
        <w:rPr>
          <w:rFonts w:ascii="Arial" w:hAnsi="Arial" w:cs="Arial"/>
          <w:sz w:val="30"/>
        </w:rPr>
        <w:t>21. Datos especialmente preguntables</w:t>
      </w:r>
    </w:p>
    <w:p>
      <w:pPr>
        <w:pStyle w:val="ListBullet"/>
      </w:pPr>
      <w:r>
        <w:rPr>
          <w:rFonts w:ascii="Arial" w:hAnsi="Arial" w:cs="Arial"/>
          <w:sz w:val="22"/>
        </w:rPr>
        <w:t xml:space="preserve">Competencia exclusiva: </w:t>
      </w:r>
      <w:r>
        <w:rPr>
          <w:rFonts w:ascii="Arial" w:hAnsi="Arial" w:cs="Arial"/>
          <w:b/>
          <w:sz w:val="22"/>
        </w:rPr>
        <w:t>TGSS</w:t>
      </w:r>
      <w:r>
        <w:rPr>
          <w:rFonts w:ascii="Arial" w:hAnsi="Arial" w:cs="Arial"/>
          <w:sz w:val="22"/>
        </w:rPr>
        <w:t>.</w:t>
      </w:r>
    </w:p>
    <w:p>
      <w:pPr>
        <w:pStyle w:val="ListBullet"/>
      </w:pPr>
      <w:r>
        <w:rPr>
          <w:rFonts w:ascii="Arial" w:hAnsi="Arial" w:cs="Arial"/>
          <w:sz w:val="22"/>
        </w:rPr>
        <w:t xml:space="preserve">Periodo voluntario: desde inicio del plazo hasta </w:t>
      </w:r>
      <w:r>
        <w:rPr>
          <w:rFonts w:ascii="Arial" w:hAnsi="Arial" w:cs="Arial"/>
          <w:b/>
          <w:sz w:val="22"/>
        </w:rPr>
        <w:t>emisión de providencia</w:t>
      </w:r>
      <w:r>
        <w:rPr>
          <w:rFonts w:ascii="Arial" w:hAnsi="Arial" w:cs="Arial"/>
          <w:sz w:val="22"/>
        </w:rPr>
        <w:t>.</w:t>
      </w:r>
    </w:p>
    <w:p>
      <w:pPr>
        <w:pStyle w:val="ListBullet"/>
      </w:pPr>
      <w:r>
        <w:rPr>
          <w:rFonts w:ascii="Arial" w:hAnsi="Arial" w:cs="Arial"/>
          <w:sz w:val="22"/>
        </w:rPr>
        <w:t xml:space="preserve">Transferencia: fecha de </w:t>
      </w:r>
      <w:r>
        <w:rPr>
          <w:rFonts w:ascii="Arial" w:hAnsi="Arial" w:cs="Arial"/>
          <w:b/>
          <w:sz w:val="22"/>
        </w:rPr>
        <w:t>entrada de fondos</w:t>
      </w:r>
      <w:r>
        <w:rPr>
          <w:rFonts w:ascii="Arial" w:hAnsi="Arial" w:cs="Arial"/>
          <w:sz w:val="22"/>
        </w:rPr>
        <w:t>.</w:t>
      </w:r>
    </w:p>
    <w:p>
      <w:pPr>
        <w:pStyle w:val="ListBullet"/>
      </w:pPr>
      <w:r>
        <w:rPr>
          <w:rFonts w:ascii="Arial" w:hAnsi="Arial" w:cs="Arial"/>
          <w:sz w:val="22"/>
        </w:rPr>
        <w:t xml:space="preserve">Derivación: </w:t>
      </w:r>
      <w:r>
        <w:rPr>
          <w:rFonts w:ascii="Arial" w:hAnsi="Arial" w:cs="Arial"/>
          <w:b/>
          <w:sz w:val="22"/>
        </w:rPr>
        <w:t>6 meses</w:t>
      </w:r>
      <w:r>
        <w:rPr>
          <w:rFonts w:ascii="Arial" w:hAnsi="Arial" w:cs="Arial"/>
          <w:sz w:val="22"/>
        </w:rPr>
        <w:t>.</w:t>
      </w:r>
    </w:p>
    <w:p>
      <w:pPr>
        <w:pStyle w:val="ListBullet"/>
      </w:pPr>
      <w:r>
        <w:rPr>
          <w:rFonts w:ascii="Arial" w:hAnsi="Arial" w:cs="Arial"/>
          <w:sz w:val="22"/>
        </w:rPr>
        <w:t xml:space="preserve">Reclamación 1–15: hasta </w:t>
      </w:r>
      <w:r>
        <w:rPr>
          <w:rFonts w:ascii="Arial" w:hAnsi="Arial" w:cs="Arial"/>
          <w:b/>
          <w:sz w:val="22"/>
        </w:rPr>
        <w:t>día 5</w:t>
      </w:r>
      <w:r>
        <w:rPr>
          <w:rFonts w:ascii="Arial" w:hAnsi="Arial" w:cs="Arial"/>
          <w:sz w:val="22"/>
        </w:rPr>
        <w:t xml:space="preserve"> siguiente.</w:t>
      </w:r>
    </w:p>
    <w:p>
      <w:pPr>
        <w:pStyle w:val="ListBullet"/>
      </w:pPr>
      <w:r>
        <w:rPr>
          <w:rFonts w:ascii="Arial" w:hAnsi="Arial" w:cs="Arial"/>
          <w:sz w:val="22"/>
        </w:rPr>
        <w:t xml:space="preserve">Reclamación 16–fin: hasta </w:t>
      </w:r>
      <w:r>
        <w:rPr>
          <w:rFonts w:ascii="Arial" w:hAnsi="Arial" w:cs="Arial"/>
          <w:b/>
          <w:sz w:val="22"/>
        </w:rPr>
        <w:t>día 20</w:t>
      </w:r>
      <w:r>
        <w:rPr>
          <w:rFonts w:ascii="Arial" w:hAnsi="Arial" w:cs="Arial"/>
          <w:sz w:val="22"/>
        </w:rPr>
        <w:t xml:space="preserve"> siguiente.</w:t>
      </w:r>
    </w:p>
    <w:p>
      <w:pPr>
        <w:pStyle w:val="ListBullet"/>
      </w:pPr>
      <w:r>
        <w:rPr>
          <w:rFonts w:ascii="Arial" w:hAnsi="Arial" w:cs="Arial"/>
          <w:sz w:val="22"/>
        </w:rPr>
        <w:t xml:space="preserve">Recargos de cuotas: </w:t>
      </w:r>
      <w:r>
        <w:rPr>
          <w:rFonts w:ascii="Arial" w:hAnsi="Arial" w:cs="Arial"/>
          <w:b/>
          <w:sz w:val="22"/>
        </w:rPr>
        <w:t>10 %, 20 % y 35 %</w:t>
      </w:r>
      <w:r>
        <w:rPr>
          <w:rFonts w:ascii="Arial" w:hAnsi="Arial" w:cs="Arial"/>
          <w:sz w:val="22"/>
        </w:rPr>
        <w:t>.</w:t>
      </w:r>
    </w:p>
    <w:p>
      <w:pPr>
        <w:pStyle w:val="ListBullet"/>
      </w:pPr>
      <w:r>
        <w:rPr>
          <w:rFonts w:ascii="Arial" w:hAnsi="Arial" w:cs="Arial"/>
          <w:sz w:val="22"/>
        </w:rPr>
        <w:t xml:space="preserve">Intereses exigibles tras </w:t>
      </w:r>
      <w:r>
        <w:rPr>
          <w:rFonts w:ascii="Arial" w:hAnsi="Arial" w:cs="Arial"/>
          <w:b/>
          <w:sz w:val="22"/>
        </w:rPr>
        <w:t>15 días naturales</w:t>
      </w:r>
      <w:r>
        <w:rPr>
          <w:rFonts w:ascii="Arial" w:hAnsi="Arial" w:cs="Arial"/>
          <w:sz w:val="22"/>
        </w:rPr>
        <w:t xml:space="preserve"> desde providencia sin pago.</w:t>
      </w:r>
    </w:p>
    <w:p>
      <w:pPr>
        <w:pStyle w:val="ListBullet"/>
      </w:pPr>
      <w:r>
        <w:rPr>
          <w:rFonts w:ascii="Arial" w:hAnsi="Arial" w:cs="Arial"/>
          <w:sz w:val="22"/>
        </w:rPr>
        <w:t xml:space="preserve">Prescripción: </w:t>
      </w:r>
      <w:r>
        <w:rPr>
          <w:rFonts w:ascii="Arial" w:hAnsi="Arial" w:cs="Arial"/>
          <w:b/>
          <w:sz w:val="22"/>
        </w:rPr>
        <w:t>4 años</w:t>
      </w:r>
      <w:r>
        <w:rPr>
          <w:rFonts w:ascii="Arial" w:hAnsi="Arial" w:cs="Arial"/>
          <w:sz w:val="22"/>
        </w:rPr>
        <w:t>.</w:t>
      </w:r>
    </w:p>
    <w:p>
      <w:pPr>
        <w:pStyle w:val="ListBullet"/>
      </w:pPr>
      <w:r>
        <w:rPr>
          <w:rFonts w:ascii="Arial" w:hAnsi="Arial" w:cs="Arial"/>
          <w:sz w:val="22"/>
        </w:rPr>
        <w:t xml:space="preserve">Aplazamiento ordinario máximo: </w:t>
      </w:r>
      <w:r>
        <w:rPr>
          <w:rFonts w:ascii="Arial" w:hAnsi="Arial" w:cs="Arial"/>
          <w:b/>
          <w:sz w:val="22"/>
        </w:rPr>
        <w:t>5 años</w:t>
      </w:r>
      <w:r>
        <w:rPr>
          <w:rFonts w:ascii="Arial" w:hAnsi="Arial" w:cs="Arial"/>
          <w:sz w:val="22"/>
        </w:rPr>
        <w:t>.</w:t>
      </w:r>
    </w:p>
    <w:p>
      <w:pPr>
        <w:pStyle w:val="ListBullet"/>
      </w:pPr>
      <w:r>
        <w:rPr>
          <w:rFonts w:ascii="Arial" w:hAnsi="Arial" w:cs="Arial"/>
          <w:sz w:val="22"/>
        </w:rPr>
        <w:t xml:space="preserve">Resolución aplazamiento: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Subsanación: </w:t>
      </w:r>
      <w:r>
        <w:rPr>
          <w:rFonts w:ascii="Arial" w:hAnsi="Arial" w:cs="Arial"/>
          <w:b/>
          <w:sz w:val="22"/>
        </w:rPr>
        <w:t>10 días</w:t>
      </w:r>
      <w:r>
        <w:rPr>
          <w:rFonts w:ascii="Arial" w:hAnsi="Arial" w:cs="Arial"/>
          <w:sz w:val="22"/>
        </w:rPr>
        <w:t>.</w:t>
      </w:r>
    </w:p>
    <w:p>
      <w:pPr>
        <w:pStyle w:val="ListBullet"/>
      </w:pPr>
      <w:r>
        <w:rPr>
          <w:rFonts w:ascii="Arial" w:hAnsi="Arial" w:cs="Arial"/>
          <w:sz w:val="22"/>
        </w:rPr>
        <w:t>Cuotas inaplazables: aportación obrera y AT/EP.</w:t>
      </w:r>
    </w:p>
    <w:p>
      <w:pPr>
        <w:pStyle w:val="ListBullet"/>
      </w:pPr>
      <w:r>
        <w:rPr>
          <w:rFonts w:ascii="Arial" w:hAnsi="Arial" w:cs="Arial"/>
          <w:sz w:val="22"/>
        </w:rPr>
        <w:t xml:space="preserve">Pago de inaplazables: </w:t>
      </w:r>
      <w:r>
        <w:rPr>
          <w:rFonts w:ascii="Arial" w:hAnsi="Arial" w:cs="Arial"/>
          <w:b/>
          <w:sz w:val="22"/>
        </w:rPr>
        <w:t>1 mes</w:t>
      </w:r>
      <w:r>
        <w:rPr>
          <w:rFonts w:ascii="Arial" w:hAnsi="Arial" w:cs="Arial"/>
          <w:sz w:val="22"/>
        </w:rPr>
        <w:t xml:space="preserve"> desde concesión.</w:t>
      </w:r>
    </w:p>
    <w:p>
      <w:pPr>
        <w:pStyle w:val="ListBullet"/>
      </w:pPr>
      <w:r>
        <w:rPr>
          <w:rFonts w:ascii="Arial" w:hAnsi="Arial" w:cs="Arial"/>
          <w:sz w:val="22"/>
        </w:rPr>
        <w:t xml:space="preserve">Garantía: </w:t>
      </w:r>
      <w:r>
        <w:rPr>
          <w:rFonts w:ascii="Arial" w:hAnsi="Arial" w:cs="Arial"/>
          <w:b/>
          <w:sz w:val="22"/>
        </w:rPr>
        <w:t>30 días naturales</w:t>
      </w:r>
      <w:r>
        <w:rPr>
          <w:rFonts w:ascii="Arial" w:hAnsi="Arial" w:cs="Arial"/>
          <w:sz w:val="22"/>
        </w:rPr>
        <w:t>, ampliable hasta 6 meses.</w:t>
      </w:r>
    </w:p>
    <w:p>
      <w:pPr>
        <w:pStyle w:val="ListBullet"/>
      </w:pPr>
      <w:r>
        <w:rPr>
          <w:rFonts w:ascii="Arial" w:hAnsi="Arial" w:cs="Arial"/>
          <w:sz w:val="22"/>
        </w:rPr>
        <w:t xml:space="preserve">Sin garantía: </w:t>
      </w:r>
      <w:r>
        <w:rPr>
          <w:rFonts w:ascii="Arial" w:hAnsi="Arial" w:cs="Arial"/>
          <w:b/>
          <w:sz w:val="22"/>
        </w:rPr>
        <w:t>150.000 €</w:t>
      </w:r>
      <w:r>
        <w:rPr>
          <w:rFonts w:ascii="Arial" w:hAnsi="Arial" w:cs="Arial"/>
          <w:sz w:val="22"/>
        </w:rPr>
        <w:t xml:space="preserve">, o menos de </w:t>
      </w:r>
      <w:r>
        <w:rPr>
          <w:rFonts w:ascii="Arial" w:hAnsi="Arial" w:cs="Arial"/>
          <w:b/>
          <w:sz w:val="22"/>
        </w:rPr>
        <w:t>250.000 €</w:t>
      </w:r>
      <w:r>
        <w:rPr>
          <w:rFonts w:ascii="Arial" w:hAnsi="Arial" w:cs="Arial"/>
          <w:sz w:val="22"/>
        </w:rPr>
        <w:t xml:space="preserve"> con un tercio en 10 días y resto en 2 años.</w:t>
      </w:r>
    </w:p>
    <w:p>
      <w:pPr>
        <w:pStyle w:val="ListBullet"/>
      </w:pPr>
      <w:r>
        <w:rPr>
          <w:rFonts w:ascii="Arial" w:hAnsi="Arial" w:cs="Arial"/>
          <w:sz w:val="22"/>
        </w:rPr>
        <w:t xml:space="preserve">Devolución: resolución </w:t>
      </w:r>
      <w:r>
        <w:rPr>
          <w:rFonts w:ascii="Arial" w:hAnsi="Arial" w:cs="Arial"/>
          <w:b/>
          <w:sz w:val="22"/>
        </w:rPr>
        <w:t>6 meses</w:t>
      </w:r>
      <w:r>
        <w:rPr>
          <w:rFonts w:ascii="Arial" w:hAnsi="Arial" w:cs="Arial"/>
          <w:sz w:val="22"/>
        </w:rPr>
        <w:t xml:space="preserve">, prescripción </w:t>
      </w:r>
      <w:r>
        <w:rPr>
          <w:rFonts w:ascii="Arial" w:hAnsi="Arial" w:cs="Arial"/>
          <w:b/>
          <w:sz w:val="22"/>
        </w:rPr>
        <w:t>4 años</w:t>
      </w:r>
      <w:r>
        <w:rPr>
          <w:rFonts w:ascii="Arial" w:hAnsi="Arial" w:cs="Arial"/>
          <w:sz w:val="22"/>
        </w:rPr>
        <w:t>.</w:t>
      </w:r>
    </w:p>
    <w:p>
      <w:pPr>
        <w:pStyle w:val="ListBullet"/>
      </w:pPr>
      <w:r>
        <w:rPr>
          <w:rFonts w:ascii="Arial" w:hAnsi="Arial" w:cs="Arial"/>
          <w:sz w:val="22"/>
        </w:rPr>
        <w:t xml:space="preserve">Regla de interés del aplazamiento cambia el </w:t>
      </w:r>
      <w:r>
        <w:rPr>
          <w:rFonts w:ascii="Arial" w:hAnsi="Arial" w:cs="Arial"/>
          <w:b/>
          <w:sz w:val="22"/>
        </w:rPr>
        <w:t>1 de agosto de 2026</w:t>
      </w:r>
      <w:r>
        <w:rPr>
          <w:rFonts w:ascii="Arial" w:hAnsi="Arial" w:cs="Arial"/>
          <w:sz w:val="22"/>
        </w:rPr>
        <w:t>.</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3, 2025: 21, 2026: 8</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21 / 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Real Decreto 1415/2004 (14); Texto Refundido de la Ley General de la Seguridad Social (1); texto refundido de la Ley General de la Seguridad Social (1).</w:t>
      </w:r>
    </w:p>
    <w:p>
      <w:pPr>
        <w:jc w:val="both"/>
      </w:pPr>
      <w:r>
        <w:rPr>
          <w:rFonts w:ascii="Arial" w:hAnsi="Arial" w:cs="Arial"/>
          <w:b/>
          <w:sz w:val="22"/>
        </w:rPr>
        <w:t>Artículos o preceptos más repetidos:</w:t>
      </w:r>
      <w:r>
        <w:rPr>
          <w:rFonts w:ascii="Arial" w:hAnsi="Arial" w:cs="Arial"/>
          <w:sz w:val="22"/>
        </w:rPr>
        <w:t xml:space="preserve"> 8 (2); 6 (1); 19 (1); 31 (1); 2 (1); 44 (1); 32 (1); 65 (1).</w:t>
      </w:r>
    </w:p>
    <w:p>
      <w:pPr>
        <w:jc w:val="both"/>
      </w:pPr>
      <w:r>
        <w:rPr>
          <w:rFonts w:ascii="Arial" w:hAnsi="Arial" w:cs="Arial"/>
          <w:b/>
          <w:sz w:val="22"/>
        </w:rPr>
        <w:t>Formas de pregunta predominantes:</w:t>
      </w:r>
      <w:r>
        <w:rPr>
          <w:rFonts w:ascii="Arial" w:hAnsi="Arial" w:cs="Arial"/>
          <w:sz w:val="22"/>
        </w:rPr>
        <w:t xml:space="preserve"> Recaudación (14); Plazos (10); Cálculos (4); Definiciones (3); Causas de suspensión (1).</w:t>
      </w:r>
    </w:p>
    <w:p>
      <w:pPr>
        <w:pStyle w:val="Heading2"/>
        <w:keepNext/>
      </w:pPr>
      <w:r>
        <w:rPr>
          <w:rFonts w:ascii="Arial" w:hAnsi="Arial" w:cs="Arial"/>
          <w:sz w:val="25"/>
        </w:rPr>
        <w:t>Patrones observados</w:t>
      </w:r>
    </w:p>
    <w:p>
      <w:pPr>
        <w:pStyle w:val="ListBullet"/>
      </w:pPr>
      <w:r>
        <w:rPr>
          <w:rFonts w:ascii="Arial" w:hAnsi="Arial" w:cs="Arial"/>
          <w:b/>
          <w:sz w:val="22"/>
        </w:rPr>
        <w:t>2024, supuesto 16, reserva:</w:t>
      </w:r>
      <w:r>
        <w:rPr>
          <w:rFonts w:ascii="Arial" w:hAnsi="Arial" w:cs="Arial"/>
          <w:sz w:val="22"/>
        </w:rPr>
        <w:t xml:space="preserve"> En relación con la reclamación de deuda por diferencias en la cotización del mes marzo de 2024, recibida el día 10 de octubre de 2024, indique hasta que día deberá de hacerse efectivo el pago:</w:t>
      </w:r>
    </w:p>
    <w:p>
      <w:pPr>
        <w:pStyle w:val="ListBullet"/>
      </w:pPr>
      <w:r>
        <w:rPr>
          <w:rFonts w:ascii="Arial" w:hAnsi="Arial" w:cs="Arial"/>
          <w:b/>
          <w:sz w:val="22"/>
        </w:rPr>
        <w:t>2025, supuesto 3:</w:t>
      </w:r>
      <w:r>
        <w:rPr>
          <w:rFonts w:ascii="Arial" w:hAnsi="Arial" w:cs="Arial"/>
          <w:sz w:val="22"/>
        </w:rPr>
        <w:t xml:space="preserve"> Las cuotas a la Seguridad Social y demás conceptos de Seguridad Social del mes de febrero de 2024 correspondiente a D. TOMAS RODAJA se reclamarán mediante:</w:t>
      </w:r>
    </w:p>
    <w:p>
      <w:pPr>
        <w:pStyle w:val="ListBullet"/>
      </w:pPr>
      <w:r>
        <w:rPr>
          <w:rFonts w:ascii="Arial" w:hAnsi="Arial" w:cs="Arial"/>
          <w:b/>
          <w:sz w:val="22"/>
        </w:rPr>
        <w:t>2025, supuesto 4:</w:t>
      </w:r>
      <w:r>
        <w:rPr>
          <w:rFonts w:ascii="Arial" w:hAnsi="Arial" w:cs="Arial"/>
          <w:sz w:val="22"/>
        </w:rPr>
        <w:t xml:space="preserve"> Señale qué día se considera liquidada o pagada la deuda que la empresa “El Licenciado Vidriera, S.L.” mantenía con la Seguridad Social:</w:t>
      </w:r>
    </w:p>
    <w:p>
      <w:pPr>
        <w:pStyle w:val="ListBullet"/>
      </w:pPr>
      <w:r>
        <w:rPr>
          <w:rFonts w:ascii="Arial" w:hAnsi="Arial" w:cs="Arial"/>
          <w:b/>
          <w:sz w:val="22"/>
        </w:rPr>
        <w:t>2025, supuesto 5:</w:t>
      </w:r>
      <w:r>
        <w:rPr>
          <w:rFonts w:ascii="Arial" w:hAnsi="Arial" w:cs="Arial"/>
          <w:sz w:val="22"/>
        </w:rPr>
        <w:t xml:space="preserve"> Establezca cuál es el plazo reglamentario de ingreso de la reclamación de deuda recibida por D. Max Estrella el día 21 de noviembre de 2024.</w:t>
      </w:r>
    </w:p>
    <w:p>
      <w:pPr>
        <w:pStyle w:val="ListBullet"/>
      </w:pPr>
      <w:r>
        <w:rPr>
          <w:rFonts w:ascii="Arial" w:hAnsi="Arial" w:cs="Arial"/>
          <w:b/>
          <w:sz w:val="22"/>
        </w:rPr>
        <w:t>2025, supuesto 6:</w:t>
      </w:r>
      <w:r>
        <w:rPr>
          <w:rFonts w:ascii="Arial" w:hAnsi="Arial" w:cs="Arial"/>
          <w:sz w:val="22"/>
        </w:rPr>
        <w:t xml:space="preserve"> Indique cuándo finaliza el plazo reglamentario de ingreso de la reclamación de deuda del importe del subsidio de la incapacidad temporal, consecuencia de la declaración de responsabilidad empresarial a la…</w:t>
      </w:r>
    </w:p>
    <w:p>
      <w:pPr>
        <w:pStyle w:val="ListBullet"/>
      </w:pPr>
      <w:r>
        <w:rPr>
          <w:rFonts w:ascii="Arial" w:hAnsi="Arial" w:cs="Arial"/>
          <w:b/>
          <w:sz w:val="22"/>
        </w:rPr>
        <w:t>2025, supuesto 6:</w:t>
      </w:r>
      <w:r>
        <w:rPr>
          <w:rFonts w:ascii="Arial" w:hAnsi="Arial" w:cs="Arial"/>
          <w:sz w:val="22"/>
        </w:rPr>
        <w:t xml:space="preserve"> Ante la falta de pago de la liquidación complementaria por eI abono retroactivo de los incrementos salariales, determine si procede o no la emisión de una reclamación de deuda: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23. Fuentes oficiales</w:t>
      </w:r>
    </w:p>
    <w:p>
      <w:pPr>
        <w:pStyle w:val="ListBullet"/>
      </w:pPr>
      <w:r>
        <w:rPr>
          <w:rFonts w:ascii="Arial" w:hAnsi="Arial" w:cs="Arial"/>
          <w:sz w:val="22"/>
        </w:rPr>
        <w:t>Real Decreto Legislativo 8/2015, texto refundido de la Ley General de la Seguridad Social (https://www.boe.es/buscar/act.php?id=BOE-A-2015-11724).</w:t>
      </w:r>
    </w:p>
    <w:p>
      <w:pPr>
        <w:pStyle w:val="ListBullet"/>
      </w:pPr>
      <w:r>
        <w:rPr>
          <w:rFonts w:ascii="Arial" w:hAnsi="Arial" w:cs="Arial"/>
          <w:sz w:val="22"/>
        </w:rPr>
        <w:t>Real Decreto 1415/2004, Reglamento General de Recaudación de la Seguridad Social (https://www.boe.es/buscar/act.php?id=BOE-A-2004-11836).</w:t>
      </w:r>
    </w:p>
    <w:p>
      <w:pPr>
        <w:pStyle w:val="ListBullet"/>
      </w:pPr>
      <w:r>
        <w:rPr>
          <w:rFonts w:ascii="Arial" w:hAnsi="Arial" w:cs="Arial"/>
          <w:sz w:val="22"/>
        </w:rPr>
        <w:t>Real Decreto 643/2026, de 29 de julio, reforma de aplazamientos (https://www.boe.es/buscar/doc.php?id=BOE-A-2026-16557).</w:t>
      </w:r>
    </w:p>
    <w:p>
      <w:pPr>
        <w:pStyle w:val="ListBullet"/>
      </w:pPr>
      <w:r>
        <w:rPr>
          <w:rFonts w:ascii="Arial" w:hAnsi="Arial" w:cs="Arial"/>
          <w:sz w:val="22"/>
        </w:rPr>
        <w:t>Orden TAS/1562/2005, de 25 de mayo, desarrollo del Reglamento General de Recaudación (https://www.boe.es/buscar/act.php?id=BOE-A-2005-8986).</w:t>
      </w:r>
    </w:p>
    <w:p>
      <w:pPr>
        <w:pStyle w:val="ListBullet"/>
      </w:pPr>
      <w:r>
        <w:rPr>
          <w:rFonts w:ascii="Arial" w:hAnsi="Arial" w:cs="Arial"/>
          <w:sz w:val="22"/>
        </w:rPr>
        <w:t>Real Decreto 2064/1995, Reglamento general sobre cotización y liquidación (https://www.boe.es/buscar/act.php?id=BOE-A-1996-1579).</w:t>
      </w:r>
    </w:p>
    <w:p>
      <w:pPr>
        <w:pStyle w:val="ListBullet"/>
      </w:pPr>
      <w:r>
        <w:rPr>
          <w:rFonts w:ascii="Arial" w:hAnsi="Arial" w:cs="Arial"/>
          <w:sz w:val="22"/>
        </w:rPr>
        <w:t>Real Decreto Legislativo 5/2000, Ley sobre Infracciones y Sanciones en el Orden Social (https://www.boe.es/buscar/act.php?id=BOE-A-2000-15060).</w:t>
      </w:r>
    </w:p>
    <w:p>
      <w:pPr>
        <w:pStyle w:val="ListBullet"/>
      </w:pPr>
      <w:r>
        <w:rPr>
          <w:rFonts w:ascii="Arial" w:hAnsi="Arial" w:cs="Arial"/>
          <w:sz w:val="22"/>
        </w:rPr>
        <w:t>Ley 36/2011, reguladora de la jurisdicción social (https://www.boe.es/buscar/act.php?id=BOE-A-2011-15936).</w:t>
      </w:r>
    </w:p>
    <w:p>
      <w:pPr>
        <w:pStyle w:val="ListBullet"/>
      </w:pPr>
      <w:r>
        <w:rPr>
          <w:rFonts w:ascii="Arial" w:hAnsi="Arial" w:cs="Arial"/>
          <w:sz w:val="22"/>
        </w:rPr>
        <w:t>Sede electrónica de la Seguridad Social: recaudación (https://sede.seg-social.gob.es/).</w:t>
      </w:r>
    </w:p>
    <w:p>
      <w:pPr>
        <w:pStyle w:val="ListBullet"/>
      </w:pPr>
      <w:r>
        <w:rPr>
          <w:rFonts w:ascii="Arial" w:hAnsi="Arial" w:cs="Arial"/>
          <w:sz w:val="22"/>
        </w:rPr>
        <w:t>Portal oficial de la Seguridad Social: recaudación (https://www.seg-social.es/wps/portal/wss/internet/Trabajadores/CotizacionRecaudacionTrabajadores).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S05 · Tema 5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5. La gestión recaudatoria - concepto, competencia y objeto. Responsables del pago. Requisitos para el pago. Medios de pago. Control de recaudac…</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