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ESPECÍFICO SEGURIDAD SOCIAL</w:t>
      </w:r>
    </w:p>
    <w:p>
      <w:pPr>
        <w:spacing w:before="0" w:after="160"/>
      </w:pPr>
      <w:r>
        <w:rPr>
          <w:rFonts w:ascii="Arial" w:hAnsi="Arial" w:cs="Arial"/>
          <w:b/>
          <w:color w:val="1F4E79"/>
          <w:sz w:val="26"/>
        </w:rPr>
        <w:t>TEMA 6</w:t>
      </w:r>
    </w:p>
    <w:p>
      <w:pPr>
        <w:keepNext/>
        <w:spacing w:before="0" w:after="280"/>
        <w:pBdr>
          <w:bottom w:val="single" w:sz="12" w:space="1" w:color="2F75B5"/>
        </w:pBdr>
      </w:pPr>
      <w:r>
        <w:rPr>
          <w:rFonts w:ascii="Arial" w:hAnsi="Arial" w:cs="Arial"/>
          <w:b/>
          <w:color w:val="17365D"/>
          <w:sz w:val="40"/>
        </w:rPr>
        <w:t>La recaudación en vía ejecutiva. Normas generales. Iniciación y título ejecutivo. La providencia de apremio. Oposición y efectos. El embargo de bienes. Enajenación de bienes: modalidades. Créditos incobrables. Tercerías.</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 xml:space="preserve">La vía ejecutiva permite a la Tesorería General de la Seguridad Social —TGSS— cobrar coactivamente una deuda de derecho público cuando no ha sido satisfecha. La Administración no necesita obtener previamente una sentencia: la providencia de apremio es título ejecutivo y habilita, cuando es firme, para ejecutar garantías, embargar, enajenar bienes y aplicar el producto al crédito. Esa autotutela está sometida a legalidad, proporcionalidad, notificación y motivos tasados de oposición. La exposición se ajusta a la normativa vigente a </w:t>
      </w:r>
      <w:r>
        <w:rPr>
          <w:rFonts w:ascii="Arial" w:hAnsi="Arial" w:cs="Arial"/>
          <w:b/>
          <w:sz w:val="22"/>
        </w:rPr>
        <w:t>30 de julio de 2026</w:t>
      </w:r>
      <w:r>
        <w:rPr>
          <w:rFonts w:ascii="Arial" w:hAnsi="Arial" w:cs="Arial"/>
          <w:sz w:val="22"/>
        </w:rPr>
        <w:t>.</w:t>
      </w:r>
    </w:p>
    <w:p>
      <w:pPr>
        <w:pStyle w:val="Heading1"/>
        <w:keepNext/>
      </w:pPr>
      <w:r>
        <w:rPr>
          <w:rFonts w:ascii="Arial" w:hAnsi="Arial" w:cs="Arial"/>
          <w:sz w:val="30"/>
        </w:rPr>
        <w:t>1. Normativa y órganos</w:t>
      </w:r>
    </w:p>
    <w:p>
      <w:pPr>
        <w:jc w:val="both"/>
      </w:pPr>
      <w:r>
        <w:rPr>
          <w:rFonts w:ascii="Arial" w:hAnsi="Arial" w:cs="Arial"/>
          <w:sz w:val="22"/>
        </w:rPr>
        <w:t>La regulación principal se encuentra en:</w:t>
      </w:r>
    </w:p>
    <w:p>
      <w:pPr>
        <w:pStyle w:val="ListBullet"/>
      </w:pPr>
      <w:r>
        <w:rPr>
          <w:rFonts w:ascii="Arial" w:hAnsi="Arial" w:cs="Arial"/>
          <w:sz w:val="22"/>
        </w:rPr>
        <w:t>el texto refundido de la Ley General de la Seguridad Social —TRLGSS—, aprobado por Real Decreto Legislativo 8/2015;</w:t>
      </w:r>
    </w:p>
    <w:p>
      <w:pPr>
        <w:pStyle w:val="ListBullet"/>
      </w:pPr>
      <w:r>
        <w:rPr>
          <w:rFonts w:ascii="Arial" w:hAnsi="Arial" w:cs="Arial"/>
          <w:sz w:val="22"/>
        </w:rPr>
        <w:t>el título III del Reglamento General de Recaudación de la Seguridad Social —RGRSS—, aprobado por Real Decreto 1415/2004;</w:t>
      </w:r>
    </w:p>
    <w:p>
      <w:pPr>
        <w:pStyle w:val="ListBullet"/>
      </w:pPr>
      <w:r>
        <w:rPr>
          <w:rFonts w:ascii="Arial" w:hAnsi="Arial" w:cs="Arial"/>
          <w:sz w:val="22"/>
        </w:rPr>
        <w:t>la Orden TAS/1562/2005, que desarrolla el Reglamento;</w:t>
      </w:r>
    </w:p>
    <w:p>
      <w:pPr>
        <w:pStyle w:val="ListBullet"/>
      </w:pPr>
      <w:r>
        <w:rPr>
          <w:rFonts w:ascii="Arial" w:hAnsi="Arial" w:cs="Arial"/>
          <w:sz w:val="22"/>
        </w:rPr>
        <w:t>la Ley 1/2000, de Enjuiciamiento Civil —LEC—, para orden, bienes inembargables, salarios y reglas supletorias;</w:t>
      </w:r>
    </w:p>
    <w:p>
      <w:pPr>
        <w:pStyle w:val="ListBullet"/>
      </w:pPr>
      <w:r>
        <w:rPr>
          <w:rFonts w:ascii="Arial" w:hAnsi="Arial" w:cs="Arial"/>
          <w:sz w:val="22"/>
        </w:rPr>
        <w:t>la Ley 39/2015 en garantías procedimentales supletorias;</w:t>
      </w:r>
    </w:p>
    <w:p>
      <w:pPr>
        <w:pStyle w:val="ListBullet"/>
      </w:pPr>
      <w:r>
        <w:rPr>
          <w:rFonts w:ascii="Arial" w:hAnsi="Arial" w:cs="Arial"/>
          <w:sz w:val="22"/>
        </w:rPr>
        <w:t>la legislación hipotecaria, registral y concursal cuando el bien o situación lo exige.</w:t>
      </w:r>
    </w:p>
    <w:p>
      <w:pPr>
        <w:jc w:val="both"/>
      </w:pPr>
      <w:r>
        <w:rPr>
          <w:rFonts w:ascii="Arial" w:hAnsi="Arial" w:cs="Arial"/>
          <w:sz w:val="22"/>
        </w:rPr>
        <w:t xml:space="preserve">La competencia recaudatoria pertenece a la TGSS. Las </w:t>
      </w:r>
      <w:r>
        <w:rPr>
          <w:rFonts w:ascii="Arial" w:hAnsi="Arial" w:cs="Arial"/>
          <w:b/>
          <w:sz w:val="22"/>
        </w:rPr>
        <w:t>unidades de recaudación ejecutiva —URE—</w:t>
      </w:r>
      <w:r>
        <w:rPr>
          <w:rFonts w:ascii="Arial" w:hAnsi="Arial" w:cs="Arial"/>
          <w:sz w:val="22"/>
        </w:rPr>
        <w:t xml:space="preserve"> realizan la ejecución forzosa. El recaudador ejecutivo dirige las actuaciones de investigación, embargo y realización dentro de la competencia territorial, aunque los bienes estén en otra demarcación y deba solicitar colaboración material.</w:t>
      </w:r>
    </w:p>
    <w:p>
      <w:pPr>
        <w:jc w:val="both"/>
      </w:pPr>
      <w:r>
        <w:rPr>
          <w:rFonts w:ascii="Arial" w:hAnsi="Arial" w:cs="Arial"/>
          <w:sz w:val="22"/>
        </w:rPr>
        <w:t>No corresponde al INSS embargar bienes. El INSS puede declarar una prestación o responsabilidad que origina deuda; la TGSS la recauda.</w:t>
      </w:r>
    </w:p>
    <w:p>
      <w:pPr>
        <w:pStyle w:val="Heading1"/>
        <w:keepNext/>
      </w:pPr>
      <w:r>
        <w:rPr>
          <w:rFonts w:ascii="Arial" w:hAnsi="Arial" w:cs="Arial"/>
          <w:sz w:val="30"/>
        </w:rPr>
        <w:t>2. Periodo ejecutivo y procedimiento de apremio</w:t>
      </w:r>
    </w:p>
    <w:p>
      <w:pPr>
        <w:jc w:val="both"/>
      </w:pPr>
      <w:r>
        <w:rPr>
          <w:rFonts w:ascii="Arial" w:hAnsi="Arial" w:cs="Arial"/>
          <w:sz w:val="22"/>
        </w:rPr>
        <w:t xml:space="preserve">El periodo voluntario termina y el ejecutivo comienza con la </w:t>
      </w:r>
      <w:r>
        <w:rPr>
          <w:rFonts w:ascii="Arial" w:hAnsi="Arial" w:cs="Arial"/>
          <w:b/>
          <w:sz w:val="22"/>
        </w:rPr>
        <w:t>emisión de la providencia de apremio</w:t>
      </w:r>
      <w:r>
        <w:rPr>
          <w:rFonts w:ascii="Arial" w:hAnsi="Arial" w:cs="Arial"/>
          <w:sz w:val="22"/>
        </w:rPr>
        <w:t>, conforme al artículo 6 RGRSS. El vencimiento del plazo reglamentario produce mora, recargo e interés, pero no debe confundirse con la expedición del título.</w:t>
      </w:r>
    </w:p>
    <w:p>
      <w:pPr>
        <w:jc w:val="both"/>
      </w:pPr>
      <w:r>
        <w:rPr>
          <w:rFonts w:ascii="Arial" w:hAnsi="Arial" w:cs="Arial"/>
          <w:sz w:val="22"/>
        </w:rPr>
        <w:t>El procedimiento de apremio es una sucesión ordenada:</w:t>
      </w:r>
    </w:p>
    <w:p>
      <w:pPr>
        <w:spacing w:after="40"/>
        <w:ind w:left="369" w:hanging="227"/>
      </w:pPr>
      <w:r>
        <w:rPr>
          <w:rFonts w:ascii="Arial" w:hAnsi="Arial" w:cs="Arial"/>
          <w:sz w:val="22"/>
        </w:rPr>
        <w:t>1. existencia de deuda vencida y exigible;</w:t>
      </w:r>
    </w:p>
    <w:p>
      <w:pPr>
        <w:spacing w:after="40"/>
        <w:ind w:left="369" w:hanging="227"/>
      </w:pPr>
      <w:r>
        <w:rPr>
          <w:rFonts w:ascii="Arial" w:hAnsi="Arial" w:cs="Arial"/>
          <w:sz w:val="22"/>
        </w:rPr>
        <w:t>2. reclamación o acta previa cuando sean necesarias;</w:t>
      </w:r>
    </w:p>
    <w:p>
      <w:pPr>
        <w:spacing w:after="40"/>
        <w:ind w:left="369" w:hanging="227"/>
      </w:pPr>
      <w:r>
        <w:rPr>
          <w:rFonts w:ascii="Arial" w:hAnsi="Arial" w:cs="Arial"/>
          <w:sz w:val="22"/>
        </w:rPr>
        <w:t>3. providencia de apremio;</w:t>
      </w:r>
    </w:p>
    <w:p>
      <w:pPr>
        <w:spacing w:after="40"/>
        <w:ind w:left="369" w:hanging="227"/>
      </w:pPr>
      <w:r>
        <w:rPr>
          <w:rFonts w:ascii="Arial" w:hAnsi="Arial" w:cs="Arial"/>
          <w:sz w:val="22"/>
        </w:rPr>
        <w:t>4. notificación;</w:t>
      </w:r>
    </w:p>
    <w:p>
      <w:pPr>
        <w:spacing w:after="40"/>
        <w:ind w:left="369" w:hanging="227"/>
      </w:pPr>
      <w:r>
        <w:rPr>
          <w:rFonts w:ascii="Arial" w:hAnsi="Arial" w:cs="Arial"/>
          <w:sz w:val="22"/>
        </w:rPr>
        <w:t>5. posible recurso de alzada por motivos tasados;</w:t>
      </w:r>
    </w:p>
    <w:p>
      <w:pPr>
        <w:spacing w:after="40"/>
        <w:ind w:left="369" w:hanging="227"/>
      </w:pPr>
      <w:r>
        <w:rPr>
          <w:rFonts w:ascii="Arial" w:hAnsi="Arial" w:cs="Arial"/>
          <w:sz w:val="22"/>
        </w:rPr>
        <w:t>6. firmeza administrativa;</w:t>
      </w:r>
    </w:p>
    <w:p>
      <w:pPr>
        <w:spacing w:after="40"/>
        <w:ind w:left="369" w:hanging="227"/>
      </w:pPr>
      <w:r>
        <w:rPr>
          <w:rFonts w:ascii="Arial" w:hAnsi="Arial" w:cs="Arial"/>
          <w:sz w:val="22"/>
        </w:rPr>
        <w:t>7. ejecución de garantías;</w:t>
      </w:r>
    </w:p>
    <w:p>
      <w:pPr>
        <w:spacing w:after="40"/>
        <w:ind w:left="369" w:hanging="227"/>
      </w:pPr>
      <w:r>
        <w:rPr>
          <w:rFonts w:ascii="Arial" w:hAnsi="Arial" w:cs="Arial"/>
          <w:sz w:val="22"/>
        </w:rPr>
        <w:t>8. embargo de bienes;</w:t>
      </w:r>
    </w:p>
    <w:p>
      <w:pPr>
        <w:spacing w:after="40"/>
        <w:ind w:left="369" w:hanging="227"/>
      </w:pPr>
      <w:r>
        <w:rPr>
          <w:rFonts w:ascii="Arial" w:hAnsi="Arial" w:cs="Arial"/>
          <w:sz w:val="22"/>
        </w:rPr>
        <w:t>9. depósito, valoración y aseguramiento;</w:t>
      </w:r>
    </w:p>
    <w:p>
      <w:pPr>
        <w:spacing w:after="40"/>
        <w:ind w:left="369" w:hanging="227"/>
      </w:pPr>
      <w:r>
        <w:rPr>
          <w:rFonts w:ascii="Arial" w:hAnsi="Arial" w:cs="Arial"/>
          <w:sz w:val="22"/>
        </w:rPr>
        <w:t>10. enajenación o adjudicación;</w:t>
      </w:r>
    </w:p>
    <w:p>
      <w:pPr>
        <w:spacing w:after="40"/>
        <w:ind w:left="369" w:hanging="227"/>
      </w:pPr>
      <w:r>
        <w:rPr>
          <w:rFonts w:ascii="Arial" w:hAnsi="Arial" w:cs="Arial"/>
          <w:sz w:val="22"/>
        </w:rPr>
        <w:t>11. aplicación del producto y costas;</w:t>
      </w:r>
    </w:p>
    <w:p>
      <w:pPr>
        <w:spacing w:after="40"/>
        <w:ind w:left="369" w:hanging="227"/>
      </w:pPr>
      <w:r>
        <w:rPr>
          <w:rFonts w:ascii="Arial" w:hAnsi="Arial" w:cs="Arial"/>
          <w:sz w:val="22"/>
        </w:rPr>
        <w:t>12. terminación o declaración de incobrable.</w:t>
      </w:r>
    </w:p>
    <w:p>
      <w:pPr>
        <w:jc w:val="both"/>
      </w:pPr>
      <w:r>
        <w:rPr>
          <w:rFonts w:ascii="Arial" w:hAnsi="Arial" w:cs="Arial"/>
          <w:sz w:val="22"/>
        </w:rPr>
        <w:t>No todas las deudas requieren reclamación previa. La ausencia de ese acto solo invalida el apremio cuando legalmente era obligatorio.</w:t>
      </w:r>
    </w:p>
    <w:p>
      <w:pPr>
        <w:pStyle w:val="Heading1"/>
        <w:keepNext/>
      </w:pPr>
      <w:r>
        <w:rPr>
          <w:rFonts w:ascii="Arial" w:hAnsi="Arial" w:cs="Arial"/>
          <w:sz w:val="30"/>
        </w:rPr>
        <w:t>3. Inicio sin reclamación previa y con acto previo</w:t>
      </w:r>
    </w:p>
    <w:p>
      <w:pPr>
        <w:pStyle w:val="Heading2"/>
        <w:keepNext/>
      </w:pPr>
      <w:r>
        <w:rPr>
          <w:rFonts w:ascii="Arial" w:hAnsi="Arial" w:cs="Arial"/>
          <w:sz w:val="25"/>
        </w:rPr>
        <w:t>3.1. Providencia directa</w:t>
      </w:r>
    </w:p>
    <w:p>
      <w:pPr>
        <w:jc w:val="both"/>
      </w:pPr>
      <w:r>
        <w:rPr>
          <w:rFonts w:ascii="Arial" w:hAnsi="Arial" w:cs="Arial"/>
          <w:sz w:val="22"/>
        </w:rPr>
        <w:t>El artículo 85 RGRSS permite dictar providencia sin reclamación de deuda ni acta de liquidación:</w:t>
      </w:r>
    </w:p>
    <w:p>
      <w:pPr>
        <w:pStyle w:val="ListBullet"/>
      </w:pPr>
      <w:r>
        <w:rPr>
          <w:rFonts w:ascii="Arial" w:hAnsi="Arial" w:cs="Arial"/>
          <w:sz w:val="22"/>
        </w:rPr>
        <w:t>por falta de ingreso total o parcial de cuotas de trabajadores en alta incluidos en liquidaciones transmitidas o documentos presentados en plazo, cuando la deuda está correctamente calculada;</w:t>
      </w:r>
    </w:p>
    <w:p>
      <w:pPr>
        <w:pStyle w:val="ListBullet"/>
      </w:pPr>
      <w:r>
        <w:rPr>
          <w:rFonts w:ascii="Arial" w:hAnsi="Arial" w:cs="Arial"/>
          <w:sz w:val="22"/>
        </w:rPr>
        <w:t>por falta de ingreso de liquidaciones practicadas en plazo por la TGSS en el sistema de liquidación directa;</w:t>
      </w:r>
    </w:p>
    <w:p>
      <w:pPr>
        <w:pStyle w:val="ListBullet"/>
      </w:pPr>
      <w:r>
        <w:rPr>
          <w:rFonts w:ascii="Arial" w:hAnsi="Arial" w:cs="Arial"/>
          <w:sz w:val="22"/>
        </w:rPr>
        <w:t>por cuotas de trabajadores sometidos al sistema de liquidación simplificada.</w:t>
      </w:r>
    </w:p>
    <w:p>
      <w:pPr>
        <w:jc w:val="both"/>
      </w:pPr>
      <w:r>
        <w:rPr>
          <w:rFonts w:ascii="Arial" w:hAnsi="Arial" w:cs="Arial"/>
          <w:sz w:val="22"/>
        </w:rPr>
        <w:t>La razón es que el propio obligado o el sistema ya determinó la deuda. Exigir otro acto sería redundante.</w:t>
      </w:r>
    </w:p>
    <w:p>
      <w:pPr>
        <w:pStyle w:val="Heading2"/>
        <w:keepNext/>
      </w:pPr>
      <w:r>
        <w:rPr>
          <w:rFonts w:ascii="Arial" w:hAnsi="Arial" w:cs="Arial"/>
          <w:sz w:val="25"/>
        </w:rPr>
        <w:t>3.2. Providencia tras reclamación o acta</w:t>
      </w:r>
    </w:p>
    <w:p>
      <w:pPr>
        <w:jc w:val="both"/>
      </w:pPr>
      <w:r>
        <w:rPr>
          <w:rFonts w:ascii="Arial" w:hAnsi="Arial" w:cs="Arial"/>
          <w:sz w:val="22"/>
        </w:rPr>
        <w:t>En los demás casos se dicta cuando:</w:t>
      </w:r>
    </w:p>
    <w:p>
      <w:pPr>
        <w:pStyle w:val="ListBullet"/>
      </w:pPr>
      <w:r>
        <w:rPr>
          <w:rFonts w:ascii="Arial" w:hAnsi="Arial" w:cs="Arial"/>
          <w:sz w:val="22"/>
        </w:rPr>
        <w:t>ha vencido el plazo de pago de la reclamación o acta;</w:t>
      </w:r>
    </w:p>
    <w:p>
      <w:pPr>
        <w:pStyle w:val="ListBullet"/>
      </w:pPr>
      <w:r>
        <w:rPr>
          <w:rFonts w:ascii="Arial" w:hAnsi="Arial" w:cs="Arial"/>
          <w:sz w:val="22"/>
        </w:rPr>
        <w:t>no se ha ingresado;</w:t>
      </w:r>
    </w:p>
    <w:p>
      <w:pPr>
        <w:pStyle w:val="ListBullet"/>
      </w:pPr>
      <w:r>
        <w:rPr>
          <w:rFonts w:ascii="Arial" w:hAnsi="Arial" w:cs="Arial"/>
          <w:sz w:val="22"/>
        </w:rPr>
        <w:t>el acto ha adquirido firmeza en vía administrativa.</w:t>
      </w:r>
    </w:p>
    <w:p>
      <w:pPr>
        <w:jc w:val="both"/>
      </w:pPr>
      <w:r>
        <w:rPr>
          <w:rFonts w:ascii="Arial" w:hAnsi="Arial" w:cs="Arial"/>
          <w:sz w:val="22"/>
        </w:rPr>
        <w:t>Si falta notificación de un acto previo exigible, existe motivo de oposición. En cambio, no puede alegarse esa falta cuando el artículo 85 permite providencia directa.</w:t>
      </w:r>
    </w:p>
    <w:p>
      <w:pPr>
        <w:pStyle w:val="Heading2"/>
        <w:keepNext/>
      </w:pPr>
      <w:r>
        <w:rPr>
          <w:rFonts w:ascii="Arial" w:hAnsi="Arial" w:cs="Arial"/>
          <w:sz w:val="25"/>
        </w:rPr>
        <w:t>3.3. Deuda vencida, líquida y exigible</w:t>
      </w:r>
    </w:p>
    <w:p>
      <w:pPr>
        <w:jc w:val="both"/>
      </w:pPr>
      <w:r>
        <w:rPr>
          <w:rFonts w:ascii="Arial" w:hAnsi="Arial" w:cs="Arial"/>
          <w:sz w:val="22"/>
        </w:rPr>
        <w:t>El expediente debe permitir conocer responsable, concepto, periodo, principal, recargo y actos anteriores. Una deuda condicionada o suspendida no se ejecuta. Si existe aplazamiento vigente y cumplido, la recaudación queda suspendida respecto de lo aplazado.</w:t>
      </w:r>
    </w:p>
    <w:p>
      <w:pPr>
        <w:pStyle w:val="Heading1"/>
        <w:keepNext/>
      </w:pPr>
      <w:r>
        <w:rPr>
          <w:rFonts w:ascii="Arial" w:hAnsi="Arial" w:cs="Arial"/>
          <w:sz w:val="30"/>
        </w:rPr>
        <w:t>4. La providencia de apremio</w:t>
      </w:r>
    </w:p>
    <w:p>
      <w:pPr>
        <w:pStyle w:val="Heading2"/>
        <w:keepNext/>
      </w:pPr>
      <w:r>
        <w:rPr>
          <w:rFonts w:ascii="Arial" w:hAnsi="Arial" w:cs="Arial"/>
          <w:sz w:val="25"/>
        </w:rPr>
        <w:t>4.1. Naturaleza</w:t>
      </w:r>
    </w:p>
    <w:p>
      <w:pPr>
        <w:jc w:val="both"/>
      </w:pPr>
      <w:r>
        <w:rPr>
          <w:rFonts w:ascii="Arial" w:hAnsi="Arial" w:cs="Arial"/>
          <w:sz w:val="22"/>
        </w:rPr>
        <w:t xml:space="preserve">La providencia constituye título ejecutivo suficiente y tiene la </w:t>
      </w:r>
      <w:r>
        <w:rPr>
          <w:rFonts w:ascii="Arial" w:hAnsi="Arial" w:cs="Arial"/>
          <w:b/>
          <w:sz w:val="22"/>
        </w:rPr>
        <w:t>misma fuerza ejecutiva que una sentencia judicial</w:t>
      </w:r>
      <w:r>
        <w:rPr>
          <w:rFonts w:ascii="Arial" w:hAnsi="Arial" w:cs="Arial"/>
          <w:sz w:val="22"/>
        </w:rPr>
        <w:t xml:space="preserve"> para proceder contra bienes y derechos. No es sentencia ni la dicta un juez; la equiparación se limita a fuerza ejecutiva.</w:t>
      </w:r>
    </w:p>
    <w:p>
      <w:pPr>
        <w:jc w:val="both"/>
      </w:pPr>
      <w:r>
        <w:rPr>
          <w:rFonts w:ascii="Arial" w:hAnsi="Arial" w:cs="Arial"/>
          <w:sz w:val="22"/>
        </w:rPr>
        <w:t>La omisión de providencia determina improcedencia de la vía de apremio. Una diligencia de embargo no puede sustituirla.</w:t>
      </w:r>
    </w:p>
    <w:p>
      <w:pPr>
        <w:pStyle w:val="Heading2"/>
        <w:keepNext/>
      </w:pPr>
      <w:r>
        <w:rPr>
          <w:rFonts w:ascii="Arial" w:hAnsi="Arial" w:cs="Arial"/>
          <w:sz w:val="25"/>
        </w:rPr>
        <w:t>4.2. Contenido</w:t>
      </w:r>
    </w:p>
    <w:p>
      <w:pPr>
        <w:jc w:val="both"/>
      </w:pPr>
      <w:r>
        <w:rPr>
          <w:rFonts w:ascii="Arial" w:hAnsi="Arial" w:cs="Arial"/>
          <w:sz w:val="22"/>
        </w:rPr>
        <w:t>Debe incluir al menos:</w:t>
      </w:r>
    </w:p>
    <w:p>
      <w:pPr>
        <w:pStyle w:val="ListBullet"/>
      </w:pPr>
      <w:r>
        <w:rPr>
          <w:rFonts w:ascii="Arial" w:hAnsi="Arial" w:cs="Arial"/>
          <w:sz w:val="22"/>
        </w:rPr>
        <w:t>identificación del responsable;</w:t>
      </w:r>
    </w:p>
    <w:p>
      <w:pPr>
        <w:pStyle w:val="ListBullet"/>
      </w:pPr>
      <w:r>
        <w:rPr>
          <w:rFonts w:ascii="Arial" w:hAnsi="Arial" w:cs="Arial"/>
          <w:sz w:val="22"/>
        </w:rPr>
        <w:t>concepto, principal, recargo y periodo;</w:t>
      </w:r>
    </w:p>
    <w:p>
      <w:pPr>
        <w:pStyle w:val="ListBullet"/>
      </w:pPr>
      <w:r>
        <w:rPr>
          <w:rFonts w:ascii="Arial" w:hAnsi="Arial" w:cs="Arial"/>
          <w:sz w:val="22"/>
        </w:rPr>
        <w:t>indicación de impago;</w:t>
      </w:r>
    </w:p>
    <w:p>
      <w:pPr>
        <w:pStyle w:val="ListBullet"/>
      </w:pPr>
      <w:r>
        <w:rPr>
          <w:rFonts w:ascii="Arial" w:hAnsi="Arial" w:cs="Arial"/>
          <w:sz w:val="22"/>
        </w:rPr>
        <w:t>fecha de expedición;</w:t>
      </w:r>
    </w:p>
    <w:p>
      <w:pPr>
        <w:pStyle w:val="ListBullet"/>
      </w:pPr>
      <w:r>
        <w:rPr>
          <w:rFonts w:ascii="Arial" w:hAnsi="Arial" w:cs="Arial"/>
          <w:sz w:val="22"/>
        </w:rPr>
        <w:t>advertencia de interés si no se paga dentro de quince días naturales;</w:t>
      </w:r>
    </w:p>
    <w:p>
      <w:pPr>
        <w:pStyle w:val="ListBullet"/>
      </w:pPr>
      <w:r>
        <w:rPr>
          <w:rFonts w:ascii="Arial" w:hAnsi="Arial" w:cs="Arial"/>
          <w:sz w:val="22"/>
        </w:rPr>
        <w:t>advertencia de ejecución de garantías y embargo tras firmeza;</w:t>
      </w:r>
    </w:p>
    <w:p>
      <w:pPr>
        <w:pStyle w:val="ListBullet"/>
      </w:pPr>
      <w:r>
        <w:rPr>
          <w:rFonts w:ascii="Arial" w:hAnsi="Arial" w:cs="Arial"/>
          <w:sz w:val="22"/>
        </w:rPr>
        <w:t>mención del recurso de alzada y motivos tasados.</w:t>
      </w:r>
    </w:p>
    <w:p>
      <w:pPr>
        <w:jc w:val="both"/>
      </w:pPr>
      <w:r>
        <w:rPr>
          <w:rFonts w:ascii="Arial" w:hAnsi="Arial" w:cs="Arial"/>
          <w:sz w:val="22"/>
        </w:rPr>
        <w:t>La deuda a cubrir en ejecución comprende principal, recargo, intereses y costas causadas o previsibles hasta ingreso o adjudicación.</w:t>
      </w:r>
    </w:p>
    <w:p>
      <w:pPr>
        <w:pStyle w:val="Heading2"/>
        <w:keepNext/>
      </w:pPr>
      <w:r>
        <w:rPr>
          <w:rFonts w:ascii="Arial" w:hAnsi="Arial" w:cs="Arial"/>
          <w:sz w:val="25"/>
        </w:rPr>
        <w:t>4.3. Notificación</w:t>
      </w:r>
    </w:p>
    <w:p>
      <w:pPr>
        <w:jc w:val="both"/>
      </w:pPr>
      <w:r>
        <w:rPr>
          <w:rFonts w:ascii="Arial" w:hAnsi="Arial" w:cs="Arial"/>
          <w:sz w:val="22"/>
        </w:rPr>
        <w:t>La notificación se practica por medios electrónicos a obligados y conforme a las reglas generales para los demás. Debe permitir conocer íntegramente acto y recursos. El mero conocimiento informal no sustituye una notificación cuando de ella depende plazo.</w:t>
      </w:r>
    </w:p>
    <w:p>
      <w:pPr>
        <w:pStyle w:val="Heading2"/>
        <w:keepNext/>
      </w:pPr>
      <w:r>
        <w:rPr>
          <w:rFonts w:ascii="Arial" w:hAnsi="Arial" w:cs="Arial"/>
          <w:sz w:val="25"/>
        </w:rPr>
        <w:t>4.4. Plazo de quince días</w:t>
      </w:r>
    </w:p>
    <w:p>
      <w:pPr>
        <w:jc w:val="both"/>
      </w:pPr>
      <w:r>
        <w:rPr>
          <w:rFonts w:ascii="Arial" w:hAnsi="Arial" w:cs="Arial"/>
          <w:sz w:val="22"/>
        </w:rPr>
        <w:t xml:space="preserve">La providencia advierte que si no se paga dentro de los </w:t>
      </w:r>
      <w:r>
        <w:rPr>
          <w:rFonts w:ascii="Arial" w:hAnsi="Arial" w:cs="Arial"/>
          <w:b/>
          <w:sz w:val="22"/>
        </w:rPr>
        <w:t>quince días naturales siguientes a la notificación</w:t>
      </w:r>
      <w:r>
        <w:rPr>
          <w:rFonts w:ascii="Arial" w:hAnsi="Arial" w:cs="Arial"/>
          <w:sz w:val="22"/>
        </w:rPr>
        <w:t>, serán exigibles los intereses de demora devengados desde que terminó el plazo reglamentario. No es un nuevo periodo voluntario: la vía ejecutiva ya se inició.</w:t>
      </w:r>
    </w:p>
    <w:p>
      <w:pPr>
        <w:pStyle w:val="Heading1"/>
        <w:keepNext/>
      </w:pPr>
      <w:r>
        <w:rPr>
          <w:rFonts w:ascii="Arial" w:hAnsi="Arial" w:cs="Arial"/>
          <w:sz w:val="30"/>
        </w:rPr>
        <w:t>5. Oposición a la providencia</w:t>
      </w:r>
    </w:p>
    <w:p>
      <w:pPr>
        <w:pStyle w:val="Heading2"/>
        <w:keepNext/>
      </w:pPr>
      <w:r>
        <w:rPr>
          <w:rFonts w:ascii="Arial" w:hAnsi="Arial" w:cs="Arial"/>
          <w:sz w:val="25"/>
        </w:rPr>
        <w:t>5.1. Recurso y motivos</w:t>
      </w:r>
    </w:p>
    <w:p>
      <w:pPr>
        <w:jc w:val="both"/>
      </w:pPr>
      <w:r>
        <w:rPr>
          <w:rFonts w:ascii="Arial" w:hAnsi="Arial" w:cs="Arial"/>
          <w:sz w:val="22"/>
        </w:rPr>
        <w:t xml:space="preserve">Solo se admite </w:t>
      </w:r>
      <w:r>
        <w:rPr>
          <w:rFonts w:ascii="Arial" w:hAnsi="Arial" w:cs="Arial"/>
          <w:b/>
          <w:sz w:val="22"/>
        </w:rPr>
        <w:t>recurso de alzada</w:t>
      </w:r>
      <w:r>
        <w:rPr>
          <w:rFonts w:ascii="Arial" w:hAnsi="Arial" w:cs="Arial"/>
          <w:sz w:val="22"/>
        </w:rPr>
        <w:t xml:space="preserve"> basado y justificado en:</w:t>
      </w:r>
    </w:p>
    <w:p>
      <w:pPr>
        <w:spacing w:after="40"/>
        <w:ind w:left="369" w:hanging="227"/>
      </w:pPr>
      <w:r>
        <w:rPr>
          <w:rFonts w:ascii="Arial" w:hAnsi="Arial" w:cs="Arial"/>
          <w:sz w:val="22"/>
        </w:rPr>
        <w:t>1. pago;</w:t>
      </w:r>
    </w:p>
    <w:p>
      <w:pPr>
        <w:spacing w:after="40"/>
        <w:ind w:left="369" w:hanging="227"/>
      </w:pPr>
      <w:r>
        <w:rPr>
          <w:rFonts w:ascii="Arial" w:hAnsi="Arial" w:cs="Arial"/>
          <w:sz w:val="22"/>
        </w:rPr>
        <w:t>2. prescripción;</w:t>
      </w:r>
    </w:p>
    <w:p>
      <w:pPr>
        <w:spacing w:after="40"/>
        <w:ind w:left="369" w:hanging="227"/>
      </w:pPr>
      <w:r>
        <w:rPr>
          <w:rFonts w:ascii="Arial" w:hAnsi="Arial" w:cs="Arial"/>
          <w:sz w:val="22"/>
        </w:rPr>
        <w:t>3. error material o aritmético en la determinación de la deuda;</w:t>
      </w:r>
    </w:p>
    <w:p>
      <w:pPr>
        <w:spacing w:after="40"/>
        <w:ind w:left="369" w:hanging="227"/>
      </w:pPr>
      <w:r>
        <w:rPr>
          <w:rFonts w:ascii="Arial" w:hAnsi="Arial" w:cs="Arial"/>
          <w:sz w:val="22"/>
        </w:rPr>
        <w:t>4. condonación, aplazamiento o suspensión;</w:t>
      </w:r>
    </w:p>
    <w:p>
      <w:pPr>
        <w:spacing w:after="40"/>
        <w:ind w:left="369" w:hanging="227"/>
      </w:pPr>
      <w:r>
        <w:rPr>
          <w:rFonts w:ascii="Arial" w:hAnsi="Arial" w:cs="Arial"/>
          <w:sz w:val="22"/>
        </w:rPr>
        <w:t>5. falta de notificación de reclamación de deuda cuando proceda, acta de liquidación o resoluciones que estas o las autoliquidaciones originen.</w:t>
      </w:r>
    </w:p>
    <w:p>
      <w:pPr>
        <w:jc w:val="both"/>
      </w:pPr>
      <w:r>
        <w:rPr>
          <w:rFonts w:ascii="Arial" w:hAnsi="Arial" w:cs="Arial"/>
          <w:sz w:val="22"/>
        </w:rPr>
        <w:t>La lista es cerrada. No cabe reabrir mediante este recurso cualquier cuestión de fondo que pudo discutirse frente a la reclamación o acta firme.</w:t>
      </w:r>
    </w:p>
    <w:p>
      <w:pPr>
        <w:pStyle w:val="Heading2"/>
        <w:keepNext/>
      </w:pPr>
      <w:r>
        <w:rPr>
          <w:rFonts w:ascii="Arial" w:hAnsi="Arial" w:cs="Arial"/>
          <w:sz w:val="25"/>
        </w:rPr>
        <w:t>5.2. Pago</w:t>
      </w:r>
    </w:p>
    <w:p>
      <w:pPr>
        <w:jc w:val="both"/>
      </w:pPr>
      <w:r>
        <w:rPr>
          <w:rFonts w:ascii="Arial" w:hAnsi="Arial" w:cs="Arial"/>
          <w:sz w:val="22"/>
        </w:rPr>
        <w:t>Debe acreditarse que la deuda ejecutada quedó extinguida, no una orden de transferencia pendiente o un pago aplicado a otro periodo. Si es parcial, la oposición solo prospera en esa cuantía.</w:t>
      </w:r>
    </w:p>
    <w:p>
      <w:pPr>
        <w:pStyle w:val="Heading2"/>
        <w:keepNext/>
      </w:pPr>
      <w:r>
        <w:rPr>
          <w:rFonts w:ascii="Arial" w:hAnsi="Arial" w:cs="Arial"/>
          <w:sz w:val="25"/>
        </w:rPr>
        <w:t>5.3. Prescripción</w:t>
      </w:r>
    </w:p>
    <w:p>
      <w:pPr>
        <w:jc w:val="both"/>
      </w:pPr>
      <w:r>
        <w:rPr>
          <w:rFonts w:ascii="Arial" w:hAnsi="Arial" w:cs="Arial"/>
          <w:sz w:val="22"/>
        </w:rPr>
        <w:t>La acción para exigir pago prescribe a cuatro años, con interrupciones. Cada actuación conocida, recurso, reconocimiento o pago puede interrumpir. No basta contar desde devengo sin revisar el expediente.</w:t>
      </w:r>
    </w:p>
    <w:p>
      <w:pPr>
        <w:pStyle w:val="Heading2"/>
        <w:keepNext/>
      </w:pPr>
      <w:r>
        <w:rPr>
          <w:rFonts w:ascii="Arial" w:hAnsi="Arial" w:cs="Arial"/>
          <w:sz w:val="25"/>
        </w:rPr>
        <w:t>5.4. Error material o aritmético</w:t>
      </w:r>
    </w:p>
    <w:p>
      <w:pPr>
        <w:jc w:val="both"/>
      </w:pPr>
      <w:r>
        <w:rPr>
          <w:rFonts w:ascii="Arial" w:hAnsi="Arial" w:cs="Arial"/>
          <w:sz w:val="22"/>
        </w:rPr>
        <w:t>Es un error patente de dato o cálculo, no una controversia jurídica sobre encuadramiento, base o responsabilidad. Calificar una cuestión jurídica como material no amplía los motivos.</w:t>
      </w:r>
    </w:p>
    <w:p>
      <w:pPr>
        <w:pStyle w:val="Heading2"/>
        <w:keepNext/>
      </w:pPr>
      <w:r>
        <w:rPr>
          <w:rFonts w:ascii="Arial" w:hAnsi="Arial" w:cs="Arial"/>
          <w:sz w:val="25"/>
        </w:rPr>
        <w:t>5.5. Aplazamiento o suspensión</w:t>
      </w:r>
    </w:p>
    <w:p>
      <w:pPr>
        <w:jc w:val="both"/>
      </w:pPr>
      <w:r>
        <w:rPr>
          <w:rFonts w:ascii="Arial" w:hAnsi="Arial" w:cs="Arial"/>
          <w:sz w:val="22"/>
        </w:rPr>
        <w:t>Debe existir concesión o acto eficaz. La mera solicitud de aplazamiento no suspende. Una suspensión judicial o administrativa se acredita y limita a la deuda afectada.</w:t>
      </w:r>
    </w:p>
    <w:p>
      <w:pPr>
        <w:pStyle w:val="Heading2"/>
        <w:keepNext/>
      </w:pPr>
      <w:r>
        <w:rPr>
          <w:rFonts w:ascii="Arial" w:hAnsi="Arial" w:cs="Arial"/>
          <w:sz w:val="25"/>
        </w:rPr>
        <w:t>5.6. Falta de notificación</w:t>
      </w:r>
    </w:p>
    <w:p>
      <w:pPr>
        <w:jc w:val="both"/>
      </w:pPr>
      <w:r>
        <w:rPr>
          <w:rFonts w:ascii="Arial" w:hAnsi="Arial" w:cs="Arial"/>
          <w:sz w:val="22"/>
        </w:rPr>
        <w:t>Solo opera si el acto previo era exigible. Cuando procedía apremio directo por cuotas correctamente liquidadas, no puede exigirse una reclamación inexistente.</w:t>
      </w:r>
    </w:p>
    <w:p>
      <w:pPr>
        <w:pStyle w:val="Heading2"/>
        <w:keepNext/>
      </w:pPr>
      <w:r>
        <w:rPr>
          <w:rFonts w:ascii="Arial" w:hAnsi="Arial" w:cs="Arial"/>
          <w:sz w:val="25"/>
        </w:rPr>
        <w:t>5.7. Efecto suspensivo</w:t>
      </w:r>
    </w:p>
    <w:p>
      <w:pPr>
        <w:jc w:val="both"/>
      </w:pPr>
      <w:r>
        <w:rPr>
          <w:rFonts w:ascii="Arial" w:hAnsi="Arial" w:cs="Arial"/>
          <w:sz w:val="22"/>
        </w:rPr>
        <w:t xml:space="preserve">La interposición del recurso de alzada fundado en motivos del artículo 86 </w:t>
      </w:r>
      <w:r>
        <w:rPr>
          <w:rFonts w:ascii="Arial" w:hAnsi="Arial" w:cs="Arial"/>
          <w:b/>
          <w:sz w:val="22"/>
        </w:rPr>
        <w:t>suspende el procedimiento de apremio sin garantía</w:t>
      </w:r>
      <w:r>
        <w:rPr>
          <w:rFonts w:ascii="Arial" w:hAnsi="Arial" w:cs="Arial"/>
          <w:sz w:val="22"/>
        </w:rPr>
        <w:t xml:space="preserve"> hasta la notificación de su resolución. Este efecto especial no se extiende a cualquier escrito o recurso contra cualquier acto.</w:t>
      </w:r>
    </w:p>
    <w:p>
      <w:pPr>
        <w:pStyle w:val="Heading1"/>
        <w:keepNext/>
      </w:pPr>
      <w:r>
        <w:rPr>
          <w:rFonts w:ascii="Arial" w:hAnsi="Arial" w:cs="Arial"/>
          <w:sz w:val="30"/>
        </w:rPr>
        <w:t>6. Firmeza y ejecución forzosa</w:t>
      </w:r>
    </w:p>
    <w:p>
      <w:pPr>
        <w:jc w:val="both"/>
      </w:pPr>
      <w:r>
        <w:rPr>
          <w:rFonts w:ascii="Arial" w:hAnsi="Arial" w:cs="Arial"/>
          <w:sz w:val="22"/>
        </w:rPr>
        <w:t>Una vez firme la providencia sin pago, el recaudador:</w:t>
      </w:r>
    </w:p>
    <w:p>
      <w:pPr>
        <w:spacing w:after="40"/>
        <w:ind w:left="369" w:hanging="227"/>
      </w:pPr>
      <w:r>
        <w:rPr>
          <w:rFonts w:ascii="Arial" w:hAnsi="Arial" w:cs="Arial"/>
          <w:sz w:val="22"/>
        </w:rPr>
        <w:t>1. ejecuta garantías;</w:t>
      </w:r>
    </w:p>
    <w:p>
      <w:pPr>
        <w:spacing w:after="40"/>
        <w:ind w:left="369" w:hanging="227"/>
      </w:pPr>
      <w:r>
        <w:rPr>
          <w:rFonts w:ascii="Arial" w:hAnsi="Arial" w:cs="Arial"/>
          <w:sz w:val="22"/>
        </w:rPr>
        <w:t>2. si son inexistentes, insuficientes o desproporcionadas, embarga;</w:t>
      </w:r>
    </w:p>
    <w:p>
      <w:pPr>
        <w:spacing w:after="40"/>
        <w:ind w:left="369" w:hanging="227"/>
      </w:pPr>
      <w:r>
        <w:rPr>
          <w:rFonts w:ascii="Arial" w:hAnsi="Arial" w:cs="Arial"/>
          <w:sz w:val="22"/>
        </w:rPr>
        <w:t>3. acumula providencias contra el mismo responsable, salvo segregación;</w:t>
      </w:r>
    </w:p>
    <w:p>
      <w:pPr>
        <w:spacing w:after="40"/>
        <w:ind w:left="369" w:hanging="227"/>
      </w:pPr>
      <w:r>
        <w:rPr>
          <w:rFonts w:ascii="Arial" w:hAnsi="Arial" w:cs="Arial"/>
          <w:sz w:val="22"/>
        </w:rPr>
        <w:t>4. continúa hasta cubrir deuda.</w:t>
      </w:r>
    </w:p>
    <w:p>
      <w:pPr>
        <w:jc w:val="both"/>
      </w:pPr>
      <w:r>
        <w:rPr>
          <w:rFonts w:ascii="Arial" w:hAnsi="Arial" w:cs="Arial"/>
          <w:sz w:val="22"/>
        </w:rPr>
        <w:t>Si la garantía es dinero depositado, se aplica; si es aval o fianza, se requiere al garante; si es real, se enajena el bien con preferencia. Puede embargarse otro patrimonio si la garantía no asegura eficazmente el crédito.</w:t>
      </w:r>
    </w:p>
    <w:p>
      <w:pPr>
        <w:jc w:val="both"/>
      </w:pPr>
      <w:r>
        <w:rPr>
          <w:rFonts w:ascii="Arial" w:hAnsi="Arial" w:cs="Arial"/>
          <w:sz w:val="22"/>
        </w:rPr>
        <w:t>La ejecución respeta proporcionalidad. No se embargan bienes por valor manifiestamente excesivo si otros bastan, aunque una valoración prudente debe incluir gastos e incertidumbre.</w:t>
      </w:r>
    </w:p>
    <w:p>
      <w:pPr>
        <w:jc w:val="both"/>
      </w:pPr>
      <w:r>
        <w:rPr>
          <w:rFonts w:ascii="Arial" w:hAnsi="Arial" w:cs="Arial"/>
          <w:sz w:val="22"/>
        </w:rPr>
        <w:t xml:space="preserve">El artículo 87.3 RGRSS permite que las actuaciones prevean un incremento de hasta el </w:t>
      </w:r>
      <w:r>
        <w:rPr>
          <w:rFonts w:ascii="Arial" w:hAnsi="Arial" w:cs="Arial"/>
          <w:b/>
          <w:sz w:val="22"/>
        </w:rPr>
        <w:t>10 %</w:t>
      </w:r>
      <w:r>
        <w:rPr>
          <w:rFonts w:ascii="Arial" w:hAnsi="Arial" w:cs="Arial"/>
          <w:sz w:val="22"/>
        </w:rPr>
        <w:t xml:space="preserve"> sobre la cuantía exigible para cubrir las costas y los intereses que puedan devengarse hasta el cobro efectivo. Dentro de ese incremento, la previsión de costas nunca puede superar el </w:t>
      </w:r>
      <w:r>
        <w:rPr>
          <w:rFonts w:ascii="Arial" w:hAnsi="Arial" w:cs="Arial"/>
          <w:b/>
          <w:sz w:val="22"/>
        </w:rPr>
        <w:t>3 % del importe de la deuda</w:t>
      </w:r>
      <w:r>
        <w:rPr>
          <w:rFonts w:ascii="Arial" w:hAnsi="Arial" w:cs="Arial"/>
          <w:sz w:val="22"/>
        </w:rPr>
        <w:t>. Son límites de previsión, no recargos autónomos ni cantidades que puedan cobrarse sin liquidación: si al finalizar existe exceso, el artículo 87.4 ordena restituir inmediatamente el sobrante al apremiado o al titular del bien, salvo embargo u orden de retención.</w:t>
      </w:r>
    </w:p>
    <w:p>
      <w:pPr>
        <w:pStyle w:val="Heading1"/>
        <w:keepNext/>
      </w:pPr>
      <w:r>
        <w:rPr>
          <w:rFonts w:ascii="Arial" w:hAnsi="Arial" w:cs="Arial"/>
          <w:sz w:val="30"/>
        </w:rPr>
        <w:t>7. Investigación patrimonial</w:t>
      </w:r>
    </w:p>
    <w:p>
      <w:pPr>
        <w:jc w:val="both"/>
      </w:pPr>
      <w:r>
        <w:rPr>
          <w:rFonts w:ascii="Arial" w:hAnsi="Arial" w:cs="Arial"/>
          <w:sz w:val="22"/>
        </w:rPr>
        <w:t>Las Administraciones, registros y personas obligadas deben facilitar información dentro de los límites legales. Pueden consultarse:</w:t>
      </w:r>
    </w:p>
    <w:p>
      <w:pPr>
        <w:pStyle w:val="ListBullet"/>
      </w:pPr>
      <w:r>
        <w:rPr>
          <w:rFonts w:ascii="Arial" w:hAnsi="Arial" w:cs="Arial"/>
          <w:sz w:val="22"/>
        </w:rPr>
        <w:t>cuentas y depósitos;</w:t>
      </w:r>
    </w:p>
    <w:p>
      <w:pPr>
        <w:pStyle w:val="ListBullet"/>
      </w:pPr>
      <w:r>
        <w:rPr>
          <w:rFonts w:ascii="Arial" w:hAnsi="Arial" w:cs="Arial"/>
          <w:sz w:val="22"/>
        </w:rPr>
        <w:t>inmuebles y cargas;</w:t>
      </w:r>
    </w:p>
    <w:p>
      <w:pPr>
        <w:pStyle w:val="ListBullet"/>
      </w:pPr>
      <w:r>
        <w:rPr>
          <w:rFonts w:ascii="Arial" w:hAnsi="Arial" w:cs="Arial"/>
          <w:sz w:val="22"/>
        </w:rPr>
        <w:t>vehículos y bienes muebles registrables;</w:t>
      </w:r>
    </w:p>
    <w:p>
      <w:pPr>
        <w:pStyle w:val="ListBullet"/>
      </w:pPr>
      <w:r>
        <w:rPr>
          <w:rFonts w:ascii="Arial" w:hAnsi="Arial" w:cs="Arial"/>
          <w:sz w:val="22"/>
        </w:rPr>
        <w:t>salarios, pensiones y créditos;</w:t>
      </w:r>
    </w:p>
    <w:p>
      <w:pPr>
        <w:pStyle w:val="ListBullet"/>
      </w:pPr>
      <w:r>
        <w:rPr>
          <w:rFonts w:ascii="Arial" w:hAnsi="Arial" w:cs="Arial"/>
          <w:sz w:val="22"/>
        </w:rPr>
        <w:t>participaciones y valores;</w:t>
      </w:r>
    </w:p>
    <w:p>
      <w:pPr>
        <w:pStyle w:val="ListBullet"/>
      </w:pPr>
      <w:r>
        <w:rPr>
          <w:rFonts w:ascii="Arial" w:hAnsi="Arial" w:cs="Arial"/>
          <w:sz w:val="22"/>
        </w:rPr>
        <w:t>devoluciones tributarias;</w:t>
      </w:r>
    </w:p>
    <w:p>
      <w:pPr>
        <w:pStyle w:val="ListBullet"/>
      </w:pPr>
      <w:r>
        <w:rPr>
          <w:rFonts w:ascii="Arial" w:hAnsi="Arial" w:cs="Arial"/>
          <w:sz w:val="22"/>
        </w:rPr>
        <w:t>derechos frente a clientes;</w:t>
      </w:r>
    </w:p>
    <w:p>
      <w:pPr>
        <w:pStyle w:val="ListBullet"/>
      </w:pPr>
      <w:r>
        <w:rPr>
          <w:rFonts w:ascii="Arial" w:hAnsi="Arial" w:cs="Arial"/>
          <w:sz w:val="22"/>
        </w:rPr>
        <w:t>actividad y domicilio.</w:t>
      </w:r>
    </w:p>
    <w:p>
      <w:pPr>
        <w:jc w:val="both"/>
      </w:pPr>
      <w:r>
        <w:rPr>
          <w:rFonts w:ascii="Arial" w:hAnsi="Arial" w:cs="Arial"/>
          <w:sz w:val="22"/>
        </w:rPr>
        <w:t>El deber de información no elimina protección de datos ni secreto profesional legal. La negativa injustificada puede generar consecuencias.</w:t>
      </w:r>
    </w:p>
    <w:p>
      <w:pPr>
        <w:jc w:val="both"/>
      </w:pPr>
      <w:r>
        <w:rPr>
          <w:rFonts w:ascii="Arial" w:hAnsi="Arial" w:cs="Arial"/>
          <w:sz w:val="22"/>
        </w:rPr>
        <w:t>El deudor debe declarar bienes cuando es requerido. Ocultarlos o transmitirlos fraudulentamente puede provocar derivación, rescisión, acciones civiles o responsabilidad penal.</w:t>
      </w:r>
    </w:p>
    <w:p>
      <w:pPr>
        <w:pStyle w:val="Heading1"/>
        <w:keepNext/>
      </w:pPr>
      <w:r>
        <w:rPr>
          <w:rFonts w:ascii="Arial" w:hAnsi="Arial" w:cs="Arial"/>
          <w:sz w:val="30"/>
        </w:rPr>
        <w:t>8. El embargo: principios y cuantía</w:t>
      </w:r>
    </w:p>
    <w:p>
      <w:pPr>
        <w:pStyle w:val="Heading2"/>
        <w:keepNext/>
      </w:pPr>
      <w:r>
        <w:rPr>
          <w:rFonts w:ascii="Arial" w:hAnsi="Arial" w:cs="Arial"/>
          <w:sz w:val="25"/>
        </w:rPr>
        <w:t>8.1. Diligencia</w:t>
      </w:r>
    </w:p>
    <w:p>
      <w:pPr>
        <w:jc w:val="both"/>
      </w:pPr>
      <w:r>
        <w:rPr>
          <w:rFonts w:ascii="Arial" w:hAnsi="Arial" w:cs="Arial"/>
          <w:sz w:val="22"/>
        </w:rPr>
        <w:t>El embargo se documenta mediante diligencia que identifica deuda, bien, alcance y sujetos afectados. Se notifica al deudor y, según el bien, al tercero titular, depositario, cónyuge, cotitular, entidad financiera, pagador o registro.</w:t>
      </w:r>
    </w:p>
    <w:p>
      <w:pPr>
        <w:jc w:val="both"/>
      </w:pPr>
      <w:r>
        <w:rPr>
          <w:rFonts w:ascii="Arial" w:hAnsi="Arial" w:cs="Arial"/>
          <w:sz w:val="22"/>
        </w:rPr>
        <w:t>La diligencia individualiza la traba. La providencia habilita el procedimiento, pero no identifica por sí sola cada bien.</w:t>
      </w:r>
    </w:p>
    <w:p>
      <w:pPr>
        <w:pStyle w:val="Heading2"/>
        <w:keepNext/>
      </w:pPr>
      <w:r>
        <w:rPr>
          <w:rFonts w:ascii="Arial" w:hAnsi="Arial" w:cs="Arial"/>
          <w:sz w:val="25"/>
        </w:rPr>
        <w:t>8.2. Suficiencia</w:t>
      </w:r>
    </w:p>
    <w:p>
      <w:pPr>
        <w:jc w:val="both"/>
      </w:pPr>
      <w:r>
        <w:rPr>
          <w:rFonts w:ascii="Arial" w:hAnsi="Arial" w:cs="Arial"/>
          <w:sz w:val="22"/>
        </w:rPr>
        <w:t>Se embarga en cuantía suficiente para:</w:t>
      </w:r>
    </w:p>
    <w:p>
      <w:pPr>
        <w:pStyle w:val="ListBullet"/>
      </w:pPr>
      <w:r>
        <w:rPr>
          <w:rFonts w:ascii="Arial" w:hAnsi="Arial" w:cs="Arial"/>
          <w:sz w:val="22"/>
        </w:rPr>
        <w:t>principal;</w:t>
      </w:r>
    </w:p>
    <w:p>
      <w:pPr>
        <w:pStyle w:val="ListBullet"/>
      </w:pPr>
      <w:r>
        <w:rPr>
          <w:rFonts w:ascii="Arial" w:hAnsi="Arial" w:cs="Arial"/>
          <w:sz w:val="22"/>
        </w:rPr>
        <w:t>recargo;</w:t>
      </w:r>
    </w:p>
    <w:p>
      <w:pPr>
        <w:pStyle w:val="ListBullet"/>
      </w:pPr>
      <w:r>
        <w:rPr>
          <w:rFonts w:ascii="Arial" w:hAnsi="Arial" w:cs="Arial"/>
          <w:sz w:val="22"/>
        </w:rPr>
        <w:t>intereses;</w:t>
      </w:r>
    </w:p>
    <w:p>
      <w:pPr>
        <w:pStyle w:val="ListBullet"/>
      </w:pPr>
      <w:r>
        <w:rPr>
          <w:rFonts w:ascii="Arial" w:hAnsi="Arial" w:cs="Arial"/>
          <w:sz w:val="22"/>
        </w:rPr>
        <w:t>costas causadas;</w:t>
      </w:r>
    </w:p>
    <w:p>
      <w:pPr>
        <w:pStyle w:val="ListBullet"/>
      </w:pPr>
      <w:r>
        <w:rPr>
          <w:rFonts w:ascii="Arial" w:hAnsi="Arial" w:cs="Arial"/>
          <w:sz w:val="22"/>
        </w:rPr>
        <w:t>previsión razonable hasta pago o adjudicación.</w:t>
      </w:r>
    </w:p>
    <w:p>
      <w:pPr>
        <w:jc w:val="both"/>
      </w:pPr>
      <w:r>
        <w:rPr>
          <w:rFonts w:ascii="Arial" w:hAnsi="Arial" w:cs="Arial"/>
          <w:sz w:val="22"/>
        </w:rPr>
        <w:t>Si el producto cubre todo, se levanta el resto. El exceso se devuelve al titular que corresponda después de atender cargas y preferencias.</w:t>
      </w:r>
    </w:p>
    <w:p>
      <w:pPr>
        <w:pStyle w:val="Heading2"/>
        <w:keepNext/>
      </w:pPr>
      <w:r>
        <w:rPr>
          <w:rFonts w:ascii="Arial" w:hAnsi="Arial" w:cs="Arial"/>
          <w:sz w:val="25"/>
        </w:rPr>
        <w:t>8.3. Orden de embargo</w:t>
      </w:r>
    </w:p>
    <w:p>
      <w:pPr>
        <w:jc w:val="both"/>
      </w:pPr>
      <w:r>
        <w:rPr>
          <w:rFonts w:ascii="Arial" w:hAnsi="Arial" w:cs="Arial"/>
          <w:sz w:val="22"/>
        </w:rPr>
        <w:t xml:space="preserve">La regla principal del artículo 91 es la </w:t>
      </w:r>
      <w:r>
        <w:rPr>
          <w:rFonts w:ascii="Arial" w:hAnsi="Arial" w:cs="Arial"/>
          <w:b/>
          <w:sz w:val="22"/>
        </w:rPr>
        <w:t>mayor facilidad de enajenación y menor onerosidad para el apremiado</w:t>
      </w:r>
      <w:r>
        <w:rPr>
          <w:rFonts w:ascii="Arial" w:hAnsi="Arial" w:cs="Arial"/>
          <w:sz w:val="22"/>
        </w:rPr>
        <w:t>. Si no puede aplicarse, se sigue el orden de la LEC.</w:t>
      </w:r>
    </w:p>
    <w:p>
      <w:pPr>
        <w:jc w:val="both"/>
      </w:pPr>
      <w:r>
        <w:rPr>
          <w:rFonts w:ascii="Arial" w:hAnsi="Arial" w:cs="Arial"/>
          <w:sz w:val="22"/>
        </w:rPr>
        <w:t>El deudor puede pedir alteración si los bienes propuestos garantizan cobro con la misma eficacia y celeridad y no perjudican a terceros. Nunca puede posponerse el embargo de dinero efectivo o cuentas.</w:t>
      </w:r>
    </w:p>
    <w:p>
      <w:pPr>
        <w:jc w:val="both"/>
      </w:pPr>
      <w:r>
        <w:rPr>
          <w:rFonts w:ascii="Arial" w:hAnsi="Arial" w:cs="Arial"/>
          <w:sz w:val="22"/>
        </w:rPr>
        <w:t xml:space="preserve">Un crédito realizable en acto o corto plazo es el que normalmente puede hacerse efectivo en no más de </w:t>
      </w:r>
      <w:r>
        <w:rPr>
          <w:rFonts w:ascii="Arial" w:hAnsi="Arial" w:cs="Arial"/>
          <w:b/>
          <w:sz w:val="22"/>
        </w:rPr>
        <w:t>tres meses</w:t>
      </w:r>
      <w:r>
        <w:rPr>
          <w:rFonts w:ascii="Arial" w:hAnsi="Arial" w:cs="Arial"/>
          <w:sz w:val="22"/>
        </w:rPr>
        <w:t>.</w:t>
      </w:r>
    </w:p>
    <w:p>
      <w:pPr>
        <w:pStyle w:val="Heading2"/>
        <w:keepNext/>
      </w:pPr>
      <w:r>
        <w:rPr>
          <w:rFonts w:ascii="Arial" w:hAnsi="Arial" w:cs="Arial"/>
          <w:sz w:val="25"/>
        </w:rPr>
        <w:t>8.4. Bienes inembargables</w:t>
      </w:r>
    </w:p>
    <w:p>
      <w:pPr>
        <w:jc w:val="both"/>
      </w:pPr>
      <w:r>
        <w:rPr>
          <w:rFonts w:ascii="Arial" w:hAnsi="Arial" w:cs="Arial"/>
          <w:sz w:val="22"/>
        </w:rPr>
        <w:t>No pueden embargarse los bienes de los artículos 605 y 606 LEC ni los declarados inembargables por ley: bienes fuera del comercio, derechos accesorios inseparables, bienes sin contenido patrimonial, mobiliario y menaje indispensable, instrumentos necesarios dentro de límites y otros protegidos.</w:t>
      </w:r>
    </w:p>
    <w:p>
      <w:pPr>
        <w:jc w:val="both"/>
      </w:pPr>
      <w:r>
        <w:rPr>
          <w:rFonts w:ascii="Arial" w:hAnsi="Arial" w:cs="Arial"/>
          <w:sz w:val="22"/>
        </w:rPr>
        <w:t>La inembargabilidad se interpreta conforme a finalidad, sin convertir cualquier bien profesional en inmune.</w:t>
      </w:r>
    </w:p>
    <w:p>
      <w:pPr>
        <w:pStyle w:val="Heading1"/>
        <w:keepNext/>
      </w:pPr>
      <w:r>
        <w:rPr>
          <w:rFonts w:ascii="Arial" w:hAnsi="Arial" w:cs="Arial"/>
          <w:sz w:val="30"/>
        </w:rPr>
        <w:t>9. Embargo de dinero y cuentas</w:t>
      </w:r>
    </w:p>
    <w:p>
      <w:pPr>
        <w:jc w:val="both"/>
      </w:pPr>
      <w:r>
        <w:rPr>
          <w:rFonts w:ascii="Arial" w:hAnsi="Arial" w:cs="Arial"/>
          <w:sz w:val="22"/>
        </w:rPr>
        <w:t>El dinero efectivo es preferente. En cuentas, la diligencia se dirige a la entidad y alcanza saldo existente dentro del límite. Si existen varios titulares, se presume la participación según datos disponibles, sin perjuicio de prueba.</w:t>
      </w:r>
    </w:p>
    <w:p>
      <w:pPr>
        <w:jc w:val="both"/>
      </w:pPr>
      <w:r>
        <w:rPr>
          <w:rFonts w:ascii="Arial" w:hAnsi="Arial" w:cs="Arial"/>
          <w:sz w:val="22"/>
        </w:rPr>
        <w:t>Cuando en la cuenta se abonan salarios o pensiones, se aplican límites de la LEC respecto del importe identificable. No todo saldo acumulado conserva indefinidamente naturaleza inembargable.</w:t>
      </w:r>
    </w:p>
    <w:p>
      <w:pPr>
        <w:jc w:val="both"/>
      </w:pPr>
      <w:r>
        <w:rPr>
          <w:rFonts w:ascii="Arial" w:hAnsi="Arial" w:cs="Arial"/>
          <w:sz w:val="22"/>
        </w:rPr>
        <w:t>La entidad retiene e ingresa conforme a la diligencia. Pagar al deudor después de recibirla puede hacerla responsable.</w:t>
      </w:r>
    </w:p>
    <w:p>
      <w:pPr>
        <w:pStyle w:val="Heading1"/>
        <w:keepNext/>
      </w:pPr>
      <w:r>
        <w:rPr>
          <w:rFonts w:ascii="Arial" w:hAnsi="Arial" w:cs="Arial"/>
          <w:sz w:val="30"/>
        </w:rPr>
        <w:t>10. Salarios, sueldos y pensiones</w:t>
      </w:r>
    </w:p>
    <w:p>
      <w:pPr>
        <w:jc w:val="both"/>
      </w:pPr>
      <w:r>
        <w:rPr>
          <w:rFonts w:ascii="Arial" w:hAnsi="Arial" w:cs="Arial"/>
          <w:sz w:val="22"/>
        </w:rPr>
        <w:t>El artículo 44 TRLGSS remite a la LEC. La cuantía equivalente al salario mínimo interprofesional es inembargable. Sobre el exceso se aplican escalas:</w:t>
      </w:r>
    </w:p>
    <w:p>
      <w:pPr>
        <w:pStyle w:val="ListBullet"/>
      </w:pPr>
      <w:r>
        <w:rPr>
          <w:rFonts w:ascii="Arial" w:hAnsi="Arial" w:cs="Arial"/>
          <w:sz w:val="22"/>
        </w:rPr>
        <w:t xml:space="preserve">hasta el doble del SMI: </w:t>
      </w:r>
      <w:r>
        <w:rPr>
          <w:rFonts w:ascii="Arial" w:hAnsi="Arial" w:cs="Arial"/>
          <w:b/>
          <w:sz w:val="22"/>
        </w:rPr>
        <w:t>30 %</w:t>
      </w:r>
      <w:r>
        <w:rPr>
          <w:rFonts w:ascii="Arial" w:hAnsi="Arial" w:cs="Arial"/>
          <w:sz w:val="22"/>
        </w:rPr>
        <w:t>;</w:t>
      </w:r>
    </w:p>
    <w:p>
      <w:pPr>
        <w:pStyle w:val="ListBullet"/>
      </w:pPr>
      <w:r>
        <w:rPr>
          <w:rFonts w:ascii="Arial" w:hAnsi="Arial" w:cs="Arial"/>
          <w:sz w:val="22"/>
        </w:rPr>
        <w:t xml:space="preserve">hasta el triple: </w:t>
      </w:r>
      <w:r>
        <w:rPr>
          <w:rFonts w:ascii="Arial" w:hAnsi="Arial" w:cs="Arial"/>
          <w:b/>
          <w:sz w:val="22"/>
        </w:rPr>
        <w:t>50 %</w:t>
      </w:r>
      <w:r>
        <w:rPr>
          <w:rFonts w:ascii="Arial" w:hAnsi="Arial" w:cs="Arial"/>
          <w:sz w:val="22"/>
        </w:rPr>
        <w:t>;</w:t>
      </w:r>
    </w:p>
    <w:p>
      <w:pPr>
        <w:pStyle w:val="ListBullet"/>
      </w:pPr>
      <w:r>
        <w:rPr>
          <w:rFonts w:ascii="Arial" w:hAnsi="Arial" w:cs="Arial"/>
          <w:sz w:val="22"/>
        </w:rPr>
        <w:t xml:space="preserve">hasta el cuádruple: </w:t>
      </w:r>
      <w:r>
        <w:rPr>
          <w:rFonts w:ascii="Arial" w:hAnsi="Arial" w:cs="Arial"/>
          <w:b/>
          <w:sz w:val="22"/>
        </w:rPr>
        <w:t>60 %</w:t>
      </w:r>
      <w:r>
        <w:rPr>
          <w:rFonts w:ascii="Arial" w:hAnsi="Arial" w:cs="Arial"/>
          <w:sz w:val="22"/>
        </w:rPr>
        <w:t>;</w:t>
      </w:r>
    </w:p>
    <w:p>
      <w:pPr>
        <w:pStyle w:val="ListBullet"/>
      </w:pPr>
      <w:r>
        <w:rPr>
          <w:rFonts w:ascii="Arial" w:hAnsi="Arial" w:cs="Arial"/>
          <w:sz w:val="22"/>
        </w:rPr>
        <w:t xml:space="preserve">hasta el quíntuple: </w:t>
      </w:r>
      <w:r>
        <w:rPr>
          <w:rFonts w:ascii="Arial" w:hAnsi="Arial" w:cs="Arial"/>
          <w:b/>
          <w:sz w:val="22"/>
        </w:rPr>
        <w:t>75 %</w:t>
      </w:r>
      <w:r>
        <w:rPr>
          <w:rFonts w:ascii="Arial" w:hAnsi="Arial" w:cs="Arial"/>
          <w:sz w:val="22"/>
        </w:rPr>
        <w:t>;</w:t>
      </w:r>
    </w:p>
    <w:p>
      <w:pPr>
        <w:pStyle w:val="ListBullet"/>
      </w:pPr>
      <w:r>
        <w:rPr>
          <w:rFonts w:ascii="Arial" w:hAnsi="Arial" w:cs="Arial"/>
          <w:sz w:val="22"/>
        </w:rPr>
        <w:t xml:space="preserve">exceso: </w:t>
      </w:r>
      <w:r>
        <w:rPr>
          <w:rFonts w:ascii="Arial" w:hAnsi="Arial" w:cs="Arial"/>
          <w:b/>
          <w:sz w:val="22"/>
        </w:rPr>
        <w:t>90 %</w:t>
      </w:r>
      <w:r>
        <w:rPr>
          <w:rFonts w:ascii="Arial" w:hAnsi="Arial" w:cs="Arial"/>
          <w:sz w:val="22"/>
        </w:rPr>
        <w:t>.</w:t>
      </w:r>
    </w:p>
    <w:p>
      <w:pPr>
        <w:jc w:val="both"/>
      </w:pPr>
      <w:r>
        <w:rPr>
          <w:rFonts w:ascii="Arial" w:hAnsi="Arial" w:cs="Arial"/>
          <w:sz w:val="22"/>
        </w:rPr>
        <w:t>El porcentaje se aplica por tramos, no a la totalidad. Si existen varias percepciones, se acumulan para determinar límite. Pueden moderarse porcentajes por cargas familiares dentro del margen legal.</w:t>
      </w:r>
    </w:p>
    <w:p>
      <w:pPr>
        <w:jc w:val="both"/>
      </w:pPr>
      <w:r>
        <w:rPr>
          <w:rFonts w:ascii="Arial" w:hAnsi="Arial" w:cs="Arial"/>
          <w:sz w:val="22"/>
        </w:rPr>
        <w:t>Las pensiones de Seguridad Social no son absolutamente inembargables. Se protegen conforme a la escala, salvo reglas especiales, alimentos u obligaciones que permitan otro tratamiento.</w:t>
      </w:r>
    </w:p>
    <w:p>
      <w:pPr>
        <w:pStyle w:val="Heading2"/>
        <w:keepNext/>
      </w:pPr>
      <w:r>
        <w:rPr>
          <w:rFonts w:ascii="Arial" w:hAnsi="Arial" w:cs="Arial"/>
          <w:sz w:val="25"/>
        </w:rPr>
        <w:t>10.1. Cálculo por tramos</w:t>
      </w:r>
    </w:p>
    <w:p>
      <w:pPr>
        <w:jc w:val="both"/>
      </w:pPr>
      <w:r>
        <w:rPr>
          <w:rFonts w:ascii="Arial" w:hAnsi="Arial" w:cs="Arial"/>
          <w:sz w:val="22"/>
        </w:rPr>
        <w:t>Si una percepción equivale a 2,5 veces el SMI, la primera unidad de SMI queda inembargable; sobre la segunda se aplica el 30 % y sobre la media unidad restante el 50 %. No se aplica el 50 % a toda la percepción ni a todo el exceso.</w:t>
      </w:r>
    </w:p>
    <w:p>
      <w:pPr>
        <w:jc w:val="both"/>
      </w:pPr>
      <w:r>
        <w:rPr>
          <w:rFonts w:ascii="Arial" w:hAnsi="Arial" w:cs="Arial"/>
          <w:sz w:val="22"/>
        </w:rPr>
        <w:t>Cuando existen dos salarios o una pensión y un salario, se acumulan para calcular la parte protegida. Después la URE puede distribuir la retención entre pagadores. Las pagas extraordinarias y la cuantía del SMI aplicable exigen atender al periodo de abono y a la jurisprudencia vigente.</w:t>
      </w:r>
    </w:p>
    <w:p>
      <w:pPr>
        <w:jc w:val="both"/>
      </w:pPr>
      <w:r>
        <w:rPr>
          <w:rFonts w:ascii="Arial" w:hAnsi="Arial" w:cs="Arial"/>
          <w:sz w:val="22"/>
        </w:rPr>
        <w:t>La protección pretende asegurar subsistencia, no impedir todo cobro. A la vez, una retención superior a la escala es impugnable aunque el deudor no hubiera indicado antes el origen salarial del ingreso, siempre que lo acredite.</w:t>
      </w:r>
    </w:p>
    <w:p>
      <w:pPr>
        <w:pStyle w:val="Heading1"/>
        <w:keepNext/>
      </w:pPr>
      <w:r>
        <w:rPr>
          <w:rFonts w:ascii="Arial" w:hAnsi="Arial" w:cs="Arial"/>
          <w:sz w:val="30"/>
        </w:rPr>
        <w:t>11. Créditos, valores y participaciones</w:t>
      </w:r>
    </w:p>
    <w:p>
      <w:pPr>
        <w:pStyle w:val="Heading2"/>
        <w:keepNext/>
      </w:pPr>
      <w:r>
        <w:rPr>
          <w:rFonts w:ascii="Arial" w:hAnsi="Arial" w:cs="Arial"/>
          <w:sz w:val="25"/>
        </w:rPr>
        <w:t>11.1. Créditos frente a terceros</w:t>
      </w:r>
    </w:p>
    <w:p>
      <w:pPr>
        <w:jc w:val="both"/>
      </w:pPr>
      <w:r>
        <w:rPr>
          <w:rFonts w:ascii="Arial" w:hAnsi="Arial" w:cs="Arial"/>
          <w:sz w:val="22"/>
        </w:rPr>
        <w:t>La diligencia al pagador le ordena retener e ingresar vencimientos. Si el crédito vence después, queda afectado en los términos señalados. El tercero puede comunicar inexistencia, pago previo u oposición documentada.</w:t>
      </w:r>
    </w:p>
    <w:p>
      <w:pPr>
        <w:pStyle w:val="Heading2"/>
        <w:keepNext/>
      </w:pPr>
      <w:r>
        <w:rPr>
          <w:rFonts w:ascii="Arial" w:hAnsi="Arial" w:cs="Arial"/>
          <w:sz w:val="25"/>
        </w:rPr>
        <w:t>11.2. Valores cotizados</w:t>
      </w:r>
    </w:p>
    <w:p>
      <w:pPr>
        <w:jc w:val="both"/>
      </w:pPr>
      <w:r>
        <w:rPr>
          <w:rFonts w:ascii="Arial" w:hAnsi="Arial" w:cs="Arial"/>
          <w:sz w:val="22"/>
        </w:rPr>
        <w:t>Se embargan a través de entidad depositaria y pueden realizarse en mercado. Se atiende a cotización y gastos.</w:t>
      </w:r>
    </w:p>
    <w:p>
      <w:pPr>
        <w:pStyle w:val="Heading2"/>
        <w:keepNext/>
      </w:pPr>
      <w:r>
        <w:rPr>
          <w:rFonts w:ascii="Arial" w:hAnsi="Arial" w:cs="Arial"/>
          <w:sz w:val="25"/>
        </w:rPr>
        <w:t>11.3. Participaciones no cotizadas</w:t>
      </w:r>
    </w:p>
    <w:p>
      <w:pPr>
        <w:jc w:val="both"/>
      </w:pPr>
      <w:r>
        <w:rPr>
          <w:rFonts w:ascii="Arial" w:hAnsi="Arial" w:cs="Arial"/>
          <w:sz w:val="22"/>
        </w:rPr>
        <w:t xml:space="preserve">Cuando se embargan participaciones en sociedades civiles, colectivas, comanditarias o limitadas, o acciones no cotizadas, el artículo 99 RGRSS exige comunicar el embargo a los </w:t>
      </w:r>
      <w:r>
        <w:rPr>
          <w:rFonts w:ascii="Arial" w:hAnsi="Arial" w:cs="Arial"/>
          <w:b/>
          <w:sz w:val="22"/>
        </w:rPr>
        <w:t>administradores de la sociedad</w:t>
      </w:r>
      <w:r>
        <w:rPr>
          <w:rFonts w:ascii="Arial" w:hAnsi="Arial" w:cs="Arial"/>
          <w:sz w:val="22"/>
        </w:rPr>
        <w:t>. También se respetan restricciones estatutarias y derechos de adquisición compatibles con la ejecución.</w:t>
      </w:r>
    </w:p>
    <w:p>
      <w:pPr>
        <w:jc w:val="both"/>
      </w:pPr>
      <w:r>
        <w:rPr>
          <w:rFonts w:ascii="Arial" w:hAnsi="Arial" w:cs="Arial"/>
          <w:sz w:val="22"/>
        </w:rPr>
        <w:t>La comunicación permite que los administradores informen a la URE de pactos de limitación a la libre transmisión o de otras causas estatutarias o contractuales que afecten a los títulos. La traba comprende asimismo los derechos económicos devengados a partir de su realización. El artículo 94 regula, en cambio, el incumplimiento de órdenes de embargo; confundir ambos preceptos conduce a una cita errónea.</w:t>
      </w:r>
    </w:p>
    <w:p>
      <w:pPr>
        <w:pStyle w:val="Heading1"/>
        <w:keepNext/>
      </w:pPr>
      <w:r>
        <w:rPr>
          <w:rFonts w:ascii="Arial" w:hAnsi="Arial" w:cs="Arial"/>
          <w:sz w:val="30"/>
        </w:rPr>
        <w:t>12. Bienes muebles y semovientes</w:t>
      </w:r>
    </w:p>
    <w:p>
      <w:pPr>
        <w:jc w:val="both"/>
      </w:pPr>
      <w:r>
        <w:rPr>
          <w:rFonts w:ascii="Arial" w:hAnsi="Arial" w:cs="Arial"/>
          <w:sz w:val="22"/>
        </w:rPr>
        <w:t>El personal de la URE practica embargo en domicilio o lugar donde se hallen y extiende diligencia. Si el deudor no estuvo presente, se notifica.</w:t>
      </w:r>
    </w:p>
    <w:p>
      <w:pPr>
        <w:jc w:val="both"/>
      </w:pPr>
      <w:r>
        <w:rPr>
          <w:rFonts w:ascii="Arial" w:hAnsi="Arial" w:cs="Arial"/>
          <w:sz w:val="22"/>
        </w:rPr>
        <w:t>Para entrar en domicilio o lugar protegido sin consentimiento se necesita autorización judicial. La solicitud debe justificar necesidad. Depósito y conservación se asignan a persona idónea; los gastos imprescindibles pueden ser costas.</w:t>
      </w:r>
    </w:p>
    <w:p>
      <w:pPr>
        <w:jc w:val="both"/>
      </w:pPr>
      <w:r>
        <w:rPr>
          <w:rFonts w:ascii="Arial" w:hAnsi="Arial" w:cs="Arial"/>
          <w:sz w:val="22"/>
        </w:rPr>
        <w:t>Se describen bienes para evitar confusión y se anotan signos, matrícula, número de serie o estado. Bienes perecederos pueden requerir realización urgente.</w:t>
      </w:r>
    </w:p>
    <w:p>
      <w:pPr>
        <w:pStyle w:val="Heading1"/>
        <w:keepNext/>
      </w:pPr>
      <w:r>
        <w:rPr>
          <w:rFonts w:ascii="Arial" w:hAnsi="Arial" w:cs="Arial"/>
          <w:sz w:val="30"/>
        </w:rPr>
        <w:t>13. Bienes inmuebles</w:t>
      </w:r>
    </w:p>
    <w:p>
      <w:pPr>
        <w:jc w:val="both"/>
      </w:pPr>
      <w:r>
        <w:rPr>
          <w:rFonts w:ascii="Arial" w:hAnsi="Arial" w:cs="Arial"/>
          <w:sz w:val="22"/>
        </w:rPr>
        <w:t>La diligencia identifica finca, titular, cargas y deuda. Se notifica al deudor, cónyuge cuando proceda, terceros titulares y acreedores relevantes. Se expide mandamiento al Registro de la Propiedad para anotación preventiva.</w:t>
      </w:r>
    </w:p>
    <w:p>
      <w:pPr>
        <w:jc w:val="both"/>
      </w:pPr>
      <w:r>
        <w:rPr>
          <w:rFonts w:ascii="Arial" w:hAnsi="Arial" w:cs="Arial"/>
          <w:sz w:val="22"/>
        </w:rPr>
        <w:t>La anotación asegura publicidad y prioridad, pero no altera derechos preferentes anteriores. Antes de subasta se obtiene certificación de cargas y se valora la finca descontando las que deban subsistir.</w:t>
      </w:r>
    </w:p>
    <w:p>
      <w:pPr>
        <w:jc w:val="both"/>
      </w:pPr>
      <w:r>
        <w:rPr>
          <w:rFonts w:ascii="Arial" w:hAnsi="Arial" w:cs="Arial"/>
          <w:sz w:val="22"/>
        </w:rPr>
        <w:t>Si el inmueble pertenece exclusivamente a la sociedad deudora, no se notifica como titular al socio por el mero hecho de serlo. Deben identificarse los verdaderos titulares y afectados.</w:t>
      </w:r>
    </w:p>
    <w:p>
      <w:pPr>
        <w:pStyle w:val="Heading2"/>
        <w:keepNext/>
      </w:pPr>
      <w:r>
        <w:rPr>
          <w:rFonts w:ascii="Arial" w:hAnsi="Arial" w:cs="Arial"/>
          <w:sz w:val="25"/>
        </w:rPr>
        <w:t>13.1. Concurrencia de embargos</w:t>
      </w:r>
    </w:p>
    <w:p>
      <w:pPr>
        <w:jc w:val="both"/>
      </w:pPr>
      <w:r>
        <w:rPr>
          <w:rFonts w:ascii="Arial" w:hAnsi="Arial" w:cs="Arial"/>
          <w:sz w:val="22"/>
        </w:rPr>
        <w:t>Que exista un embargo anterior de otra Administración no impide necesariamente que la TGSS trabe el mismo bien. La anotación posterior hace visible su crédito y permite intervenir en la realización o ejercitar preferencias. El orden de cobro depende de la prelación legal, naturaleza del crédito y fecha oponible, no solo del órgano que actúa.</w:t>
      </w:r>
    </w:p>
    <w:p>
      <w:pPr>
        <w:jc w:val="both"/>
      </w:pPr>
      <w:r>
        <w:rPr>
          <w:rFonts w:ascii="Arial" w:hAnsi="Arial" w:cs="Arial"/>
          <w:sz w:val="22"/>
        </w:rPr>
        <w:t>Los créditos de Seguridad Social disfrutan de la prelación reconocida por el TRLGSS, sin perjuicio de créditos salariales, garantías reales, concurso y demás privilegios. Debe evitarse la afirmación absoluta «la TGSS siempre cobra primero». Cada preferencia tiene presupuesto y límite.</w:t>
      </w:r>
    </w:p>
    <w:p>
      <w:pPr>
        <w:jc w:val="both"/>
      </w:pPr>
      <w:r>
        <w:rPr>
          <w:rFonts w:ascii="Arial" w:hAnsi="Arial" w:cs="Arial"/>
          <w:sz w:val="22"/>
        </w:rPr>
        <w:t>Si otra Administración enajena el bien, la TGSS comunica su crédito y recibe lo que corresponda. Si la TGSS enajena, obtiene certificación de cargas y notifica a titulares anteriores. La coordinación evita doble adjudicación incompatible.</w:t>
      </w:r>
    </w:p>
    <w:p>
      <w:pPr>
        <w:pStyle w:val="Heading2"/>
        <w:keepNext/>
      </w:pPr>
      <w:r>
        <w:rPr>
          <w:rFonts w:ascii="Arial" w:hAnsi="Arial" w:cs="Arial"/>
          <w:sz w:val="25"/>
        </w:rPr>
        <w:t>13.2. Embargo sobre bienes gananciales o comunes</w:t>
      </w:r>
    </w:p>
    <w:p>
      <w:pPr>
        <w:jc w:val="both"/>
      </w:pPr>
      <w:r>
        <w:rPr>
          <w:rFonts w:ascii="Arial" w:hAnsi="Arial" w:cs="Arial"/>
          <w:sz w:val="22"/>
        </w:rPr>
        <w:t>Cuando la deuda es privativa y el bien pertenece a una comunidad o sociedad conyugal, se atiende a la responsabilidad patrimonial aplicable. La diligencia debe notificarse al cónyuge o cotitulares cuando la norma lo exige. Esa notificación no los convierte automáticamente en deudores: protege su intervención y permite alegar dominio o cuota.</w:t>
      </w:r>
    </w:p>
    <w:p>
      <w:pPr>
        <w:jc w:val="both"/>
      </w:pPr>
      <w:r>
        <w:rPr>
          <w:rFonts w:ascii="Arial" w:hAnsi="Arial" w:cs="Arial"/>
          <w:sz w:val="22"/>
        </w:rPr>
        <w:t>En comunidad ordinaria puede trabarse la participación del deudor. Embargar toda la cosa exige que todo el bien responda. La falta de precisión puede originar tercería o impugnación de la diligencia.</w:t>
      </w:r>
    </w:p>
    <w:p>
      <w:pPr>
        <w:pStyle w:val="Heading1"/>
        <w:keepNext/>
      </w:pPr>
      <w:r>
        <w:rPr>
          <w:rFonts w:ascii="Arial" w:hAnsi="Arial" w:cs="Arial"/>
          <w:sz w:val="30"/>
        </w:rPr>
        <w:t>13 bis. Otros bienes y derechos embargables</w:t>
      </w:r>
    </w:p>
    <w:p>
      <w:pPr>
        <w:pStyle w:val="Heading2"/>
        <w:keepNext/>
      </w:pPr>
      <w:r>
        <w:rPr>
          <w:rFonts w:ascii="Arial" w:hAnsi="Arial" w:cs="Arial"/>
          <w:sz w:val="25"/>
        </w:rPr>
        <w:t>13 bis.1. Frutos, rentas e intereses</w:t>
      </w:r>
    </w:p>
    <w:p>
      <w:pPr>
        <w:jc w:val="both"/>
      </w:pPr>
      <w:r>
        <w:rPr>
          <w:rFonts w:ascii="Arial" w:hAnsi="Arial" w:cs="Arial"/>
          <w:sz w:val="22"/>
        </w:rPr>
        <w:t>Pueden embargarse alquileres, intereses, dividendos y frutos. La diligencia se comunica a quien deba pagarlos, que pasa a retener e ingresar. Si el derecho es periódico, la traba alcanza vencimientos en los términos notificados hasta cubrir deuda.</w:t>
      </w:r>
    </w:p>
    <w:p>
      <w:pPr>
        <w:jc w:val="both"/>
      </w:pPr>
      <w:r>
        <w:rPr>
          <w:rFonts w:ascii="Arial" w:hAnsi="Arial" w:cs="Arial"/>
          <w:sz w:val="22"/>
        </w:rPr>
        <w:t>El pagador no decide la validez de la deuda principal. Puede, sin embargo, informar de que el crédito no existe, ya se extinguió o está sujeto a condición, aportando prueba.</w:t>
      </w:r>
    </w:p>
    <w:p>
      <w:pPr>
        <w:pStyle w:val="Heading2"/>
        <w:keepNext/>
      </w:pPr>
      <w:r>
        <w:rPr>
          <w:rFonts w:ascii="Arial" w:hAnsi="Arial" w:cs="Arial"/>
          <w:sz w:val="25"/>
        </w:rPr>
        <w:t>13 bis.2. Establecimientos mercantiles e industriales</w:t>
      </w:r>
    </w:p>
    <w:p>
      <w:pPr>
        <w:jc w:val="both"/>
      </w:pPr>
      <w:r>
        <w:rPr>
          <w:rFonts w:ascii="Arial" w:hAnsi="Arial" w:cs="Arial"/>
          <w:sz w:val="22"/>
        </w:rPr>
        <w:t>El embargo de un establecimiento puede comprender organización, derechos y elementos necesarios, sin que se confunda con embargos separados de cada máquina. Se adopta anotación cuando exista registro y puede nombrarse administrador o interventor si es necesario conservar actividad y valor.</w:t>
      </w:r>
    </w:p>
    <w:p>
      <w:pPr>
        <w:jc w:val="both"/>
      </w:pPr>
      <w:r>
        <w:rPr>
          <w:rFonts w:ascii="Arial" w:hAnsi="Arial" w:cs="Arial"/>
          <w:sz w:val="22"/>
        </w:rPr>
        <w:t>La medida debe ser proporcionada: cerrar una empresa viable puede reducir el cobro y perjudicar a trabajadores y terceros. La URE valora si resulta más eficaz embargar ingresos, créditos o bienes aislados.</w:t>
      </w:r>
    </w:p>
    <w:p>
      <w:pPr>
        <w:pStyle w:val="Heading2"/>
        <w:keepNext/>
      </w:pPr>
      <w:r>
        <w:rPr>
          <w:rFonts w:ascii="Arial" w:hAnsi="Arial" w:cs="Arial"/>
          <w:sz w:val="25"/>
        </w:rPr>
        <w:t>13 bis.3. Propiedad intelectual, industrial y otros derechos</w:t>
      </w:r>
    </w:p>
    <w:p>
      <w:pPr>
        <w:jc w:val="both"/>
      </w:pPr>
      <w:r>
        <w:rPr>
          <w:rFonts w:ascii="Arial" w:hAnsi="Arial" w:cs="Arial"/>
          <w:sz w:val="22"/>
        </w:rPr>
        <w:t>Patentes, marcas, derechos de explotación y concesiones pueden embargarse si son transmisibles y tienen valor económico. Se notifica al registro o pagador y se respetan límites legales. Los derechos personalísimos o intransmisibles no se realizan.</w:t>
      </w:r>
    </w:p>
    <w:p>
      <w:pPr>
        <w:pStyle w:val="Heading2"/>
        <w:keepNext/>
      </w:pPr>
      <w:r>
        <w:rPr>
          <w:rFonts w:ascii="Arial" w:hAnsi="Arial" w:cs="Arial"/>
          <w:sz w:val="25"/>
        </w:rPr>
        <w:t>13 bis.4. Vehículos</w:t>
      </w:r>
    </w:p>
    <w:p>
      <w:pPr>
        <w:jc w:val="both"/>
      </w:pPr>
      <w:r>
        <w:rPr>
          <w:rFonts w:ascii="Arial" w:hAnsi="Arial" w:cs="Arial"/>
          <w:sz w:val="22"/>
        </w:rPr>
        <w:t>Se identifica matrícula, bastidor y registro. La anotación limita disposición frente a terceros y puede acompañarse de depósito. El valor se calcula considerando cargas, estado y costes. Que el vehículo sea usado para trabajar no lo convierte siempre en inembargable: debe ser indispensable y quedar dentro de la protección legal.</w:t>
      </w:r>
    </w:p>
    <w:p>
      <w:pPr>
        <w:pStyle w:val="Heading2"/>
        <w:keepNext/>
      </w:pPr>
      <w:r>
        <w:rPr>
          <w:rFonts w:ascii="Arial" w:hAnsi="Arial" w:cs="Arial"/>
          <w:sz w:val="25"/>
        </w:rPr>
        <w:t>13 bis.5. Devoluciones y pagos de Administraciones</w:t>
      </w:r>
    </w:p>
    <w:p>
      <w:pPr>
        <w:jc w:val="both"/>
      </w:pPr>
      <w:r>
        <w:rPr>
          <w:rFonts w:ascii="Arial" w:hAnsi="Arial" w:cs="Arial"/>
          <w:sz w:val="22"/>
        </w:rPr>
        <w:t>Los créditos que el deudor tenga frente a otra Administración pueden trabarse. La entidad pagadora retiene hasta el límite. Si el crédito todavía no es líquido o está condicionado, la eficacia se ajusta al momento en que resulte exigible.</w:t>
      </w:r>
    </w:p>
    <w:p>
      <w:pPr>
        <w:pStyle w:val="Heading1"/>
        <w:keepNext/>
      </w:pPr>
      <w:r>
        <w:rPr>
          <w:rFonts w:ascii="Arial" w:hAnsi="Arial" w:cs="Arial"/>
          <w:sz w:val="30"/>
        </w:rPr>
        <w:t>13 ter. Impugnación de la diligencia de embargo</w:t>
      </w:r>
    </w:p>
    <w:p>
      <w:pPr>
        <w:jc w:val="both"/>
      </w:pPr>
      <w:r>
        <w:rPr>
          <w:rFonts w:ascii="Arial" w:hAnsi="Arial" w:cs="Arial"/>
          <w:sz w:val="22"/>
        </w:rPr>
        <w:t>La diligencia es un acto distinto de la providencia. Puede recurrirse por defectos propios: bien inembargable, exceso, falta de titularidad, incumplimiento del orden cuando cause perjuicio, ausencia de notificación o deuda ya cubierta. No permite reabrir sin límite la liquidación firme.</w:t>
      </w:r>
    </w:p>
    <w:p>
      <w:pPr>
        <w:jc w:val="both"/>
      </w:pPr>
      <w:r>
        <w:rPr>
          <w:rFonts w:ascii="Arial" w:hAnsi="Arial" w:cs="Arial"/>
          <w:sz w:val="22"/>
        </w:rPr>
        <w:t>La impugnación ordinaria no produce necesariamente la suspensión automática prevista para el recurso tasado contra la providencia. Para suspender deben cumplirse las reglas aplicables o adoptarse medida. Confundir ambos actos lleva a un error habitual:</w:t>
      </w:r>
    </w:p>
    <w:tbl>
      <w:tblPr>
        <w:tblStyle w:val="TableGrid"/>
        <w:tblW w:type="dxa" w:w="9026"/>
        <w:jc w:val="left"/>
        <w:tblLayout w:type="fixed"/>
        <w:tblLook w:firstColumn="1" w:firstRow="1" w:lastColumn="0" w:lastRow="0" w:noHBand="0" w:noVBand="1" w:val="04A0"/>
        <w:tblInd w:w="120" w:type="dxa"/>
      </w:tblPr>
      <w:tblGrid>
        <w:gridCol w:w="1116"/>
        <w:gridCol w:w="2840"/>
        <w:gridCol w:w="5070"/>
      </w:tblGrid>
      <w:tr>
        <w:trPr>
          <w:tblHeader w:val="true"/>
        </w:trPr>
        <w:tc>
          <w:tcPr>
            <w:tcW w:type="dxa" w:w="111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Acto</w:t>
            </w:r>
          </w:p>
        </w:tc>
        <w:tc>
          <w:tcPr>
            <w:tcW w:type="dxa" w:w="284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Qué se discute</w:t>
            </w:r>
          </w:p>
        </w:tc>
        <w:tc>
          <w:tcPr>
            <w:tcW w:type="dxa" w:w="507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Suspensión característica</w:t>
            </w:r>
          </w:p>
        </w:tc>
      </w:tr>
      <w:tr>
        <w:tc>
          <w:tcPr>
            <w:tcW w:type="dxa" w:w="1116"/>
            <w:tcMar>
              <w:top w:w="80" w:type="dxa"/>
              <w:start w:w="120" w:type="dxa"/>
              <w:bottom w:w="80" w:type="dxa"/>
              <w:end w:w="120" w:type="dxa"/>
            </w:tcMar>
            <w:vAlign w:val="center"/>
          </w:tcPr>
          <w:p>
            <w:pPr>
              <w:spacing w:before="0" w:after="0" w:line="240" w:lineRule="auto"/>
              <w:jc w:val="left"/>
            </w:pPr>
            <w:r/>
            <w:r>
              <w:rPr>
                <w:rFonts w:ascii="Arial" w:hAnsi="Arial" w:cs="Arial"/>
                <w:sz w:val="18"/>
              </w:rPr>
              <w:t>Providencia</w:t>
            </w:r>
          </w:p>
        </w:tc>
        <w:tc>
          <w:tcPr>
            <w:tcW w:type="dxa" w:w="2840"/>
            <w:tcMar>
              <w:top w:w="80" w:type="dxa"/>
              <w:start w:w="120" w:type="dxa"/>
              <w:bottom w:w="80" w:type="dxa"/>
              <w:end w:w="120" w:type="dxa"/>
            </w:tcMar>
            <w:vAlign w:val="center"/>
          </w:tcPr>
          <w:p>
            <w:pPr>
              <w:spacing w:before="0" w:after="0" w:line="240" w:lineRule="auto"/>
              <w:jc w:val="left"/>
            </w:pPr>
            <w:r/>
            <w:r>
              <w:rPr>
                <w:rFonts w:ascii="Arial" w:hAnsi="Arial" w:cs="Arial"/>
                <w:sz w:val="18"/>
              </w:rPr>
              <w:t>Motivos cerrados del artículo 86</w:t>
            </w:r>
          </w:p>
        </w:tc>
        <w:tc>
          <w:tcPr>
            <w:tcW w:type="dxa" w:w="5070"/>
            <w:tcMar>
              <w:top w:w="80" w:type="dxa"/>
              <w:start w:w="120" w:type="dxa"/>
              <w:bottom w:w="80" w:type="dxa"/>
              <w:end w:w="120" w:type="dxa"/>
            </w:tcMar>
            <w:vAlign w:val="center"/>
          </w:tcPr>
          <w:p>
            <w:pPr>
              <w:spacing w:before="0" w:after="0" w:line="240" w:lineRule="auto"/>
              <w:jc w:val="left"/>
            </w:pPr>
            <w:r/>
            <w:r>
              <w:rPr>
                <w:rFonts w:ascii="Arial" w:hAnsi="Arial" w:cs="Arial"/>
                <w:sz w:val="18"/>
              </w:rPr>
              <w:t>Recurso suspende sin garantía</w:t>
            </w:r>
          </w:p>
        </w:tc>
      </w:tr>
      <w:tr>
        <w:tc>
          <w:tcPr>
            <w:tcW w:type="dxa" w:w="1116"/>
            <w:tcMar>
              <w:top w:w="80" w:type="dxa"/>
              <w:start w:w="120" w:type="dxa"/>
              <w:bottom w:w="80" w:type="dxa"/>
              <w:end w:w="120" w:type="dxa"/>
            </w:tcMar>
            <w:vAlign w:val="center"/>
          </w:tcPr>
          <w:p>
            <w:pPr>
              <w:spacing w:before="0" w:after="0" w:line="240" w:lineRule="auto"/>
              <w:jc w:val="left"/>
            </w:pPr>
            <w:r/>
            <w:r>
              <w:rPr>
                <w:rFonts w:ascii="Arial" w:hAnsi="Arial" w:cs="Arial"/>
                <w:sz w:val="18"/>
              </w:rPr>
              <w:t>Diligencia</w:t>
            </w:r>
          </w:p>
        </w:tc>
        <w:tc>
          <w:tcPr>
            <w:tcW w:type="dxa" w:w="2840"/>
            <w:tcMar>
              <w:top w:w="80" w:type="dxa"/>
              <w:start w:w="120" w:type="dxa"/>
              <w:bottom w:w="80" w:type="dxa"/>
              <w:end w:w="120" w:type="dxa"/>
            </w:tcMar>
            <w:vAlign w:val="center"/>
          </w:tcPr>
          <w:p>
            <w:pPr>
              <w:spacing w:before="0" w:after="0" w:line="240" w:lineRule="auto"/>
              <w:jc w:val="left"/>
            </w:pPr>
            <w:r/>
            <w:r>
              <w:rPr>
                <w:rFonts w:ascii="Arial" w:hAnsi="Arial" w:cs="Arial"/>
                <w:sz w:val="18"/>
              </w:rPr>
              <w:t>Legalidad de la traba concreta</w:t>
            </w:r>
          </w:p>
        </w:tc>
        <w:tc>
          <w:tcPr>
            <w:tcW w:type="dxa" w:w="5070"/>
            <w:tcMar>
              <w:top w:w="80" w:type="dxa"/>
              <w:start w:w="120" w:type="dxa"/>
              <w:bottom w:w="80" w:type="dxa"/>
              <w:end w:w="120" w:type="dxa"/>
            </w:tcMar>
            <w:vAlign w:val="center"/>
          </w:tcPr>
          <w:p>
            <w:pPr>
              <w:spacing w:before="0" w:after="0" w:line="240" w:lineRule="auto"/>
              <w:jc w:val="left"/>
            </w:pPr>
            <w:r/>
            <w:r>
              <w:rPr>
                <w:rFonts w:ascii="Arial" w:hAnsi="Arial" w:cs="Arial"/>
                <w:sz w:val="18"/>
              </w:rPr>
              <w:t>Regla general; no suspensión automática por el mero recurso</w:t>
            </w:r>
          </w:p>
        </w:tc>
      </w:tr>
      <w:tr>
        <w:tc>
          <w:tcPr>
            <w:tcW w:type="dxa" w:w="1116"/>
            <w:tcMar>
              <w:top w:w="80" w:type="dxa"/>
              <w:start w:w="120" w:type="dxa"/>
              <w:bottom w:w="80" w:type="dxa"/>
              <w:end w:w="120" w:type="dxa"/>
            </w:tcMar>
            <w:vAlign w:val="center"/>
          </w:tcPr>
          <w:p>
            <w:pPr>
              <w:spacing w:before="0" w:after="0" w:line="240" w:lineRule="auto"/>
              <w:jc w:val="left"/>
            </w:pPr>
            <w:r/>
            <w:r>
              <w:rPr>
                <w:rFonts w:ascii="Arial" w:hAnsi="Arial" w:cs="Arial"/>
                <w:sz w:val="18"/>
              </w:rPr>
              <w:t>Valoración</w:t>
            </w:r>
          </w:p>
        </w:tc>
        <w:tc>
          <w:tcPr>
            <w:tcW w:type="dxa" w:w="2840"/>
            <w:tcMar>
              <w:top w:w="80" w:type="dxa"/>
              <w:start w:w="120" w:type="dxa"/>
              <w:bottom w:w="80" w:type="dxa"/>
              <w:end w:w="120" w:type="dxa"/>
            </w:tcMar>
            <w:vAlign w:val="center"/>
          </w:tcPr>
          <w:p>
            <w:pPr>
              <w:spacing w:before="0" w:after="0" w:line="240" w:lineRule="auto"/>
              <w:jc w:val="left"/>
            </w:pPr>
            <w:r/>
            <w:r>
              <w:rPr>
                <w:rFonts w:ascii="Arial" w:hAnsi="Arial" w:cs="Arial"/>
                <w:sz w:val="18"/>
              </w:rPr>
              <w:t>Valor atribuido al bien</w:t>
            </w:r>
          </w:p>
        </w:tc>
        <w:tc>
          <w:tcPr>
            <w:tcW w:type="dxa" w:w="5070"/>
            <w:tcMar>
              <w:top w:w="80" w:type="dxa"/>
              <w:start w:w="120" w:type="dxa"/>
              <w:bottom w:w="80" w:type="dxa"/>
              <w:end w:w="120" w:type="dxa"/>
            </w:tcMar>
            <w:vAlign w:val="center"/>
          </w:tcPr>
          <w:p>
            <w:pPr>
              <w:spacing w:before="0" w:after="0" w:line="240" w:lineRule="auto"/>
              <w:jc w:val="left"/>
            </w:pPr>
            <w:r/>
            <w:r>
              <w:rPr>
                <w:rFonts w:ascii="Arial" w:hAnsi="Arial" w:cs="Arial"/>
                <w:sz w:val="18"/>
              </w:rPr>
              <w:t>Procedimiento específico</w:t>
            </w:r>
          </w:p>
        </w:tc>
      </w:tr>
      <w:tr>
        <w:tc>
          <w:tcPr>
            <w:tcW w:type="dxa" w:w="1116"/>
            <w:tcMar>
              <w:top w:w="80" w:type="dxa"/>
              <w:start w:w="120" w:type="dxa"/>
              <w:bottom w:w="80" w:type="dxa"/>
              <w:end w:w="120" w:type="dxa"/>
            </w:tcMar>
            <w:vAlign w:val="center"/>
          </w:tcPr>
          <w:p>
            <w:pPr>
              <w:spacing w:before="0" w:after="0" w:line="240" w:lineRule="auto"/>
              <w:jc w:val="left"/>
            </w:pPr>
            <w:r/>
            <w:r>
              <w:rPr>
                <w:rFonts w:ascii="Arial" w:hAnsi="Arial" w:cs="Arial"/>
                <w:sz w:val="18"/>
              </w:rPr>
              <w:t>Enajenación</w:t>
            </w:r>
          </w:p>
        </w:tc>
        <w:tc>
          <w:tcPr>
            <w:tcW w:type="dxa" w:w="2840"/>
            <w:tcMar>
              <w:top w:w="80" w:type="dxa"/>
              <w:start w:w="120" w:type="dxa"/>
              <w:bottom w:w="80" w:type="dxa"/>
              <w:end w:w="120" w:type="dxa"/>
            </w:tcMar>
            <w:vAlign w:val="center"/>
          </w:tcPr>
          <w:p>
            <w:pPr>
              <w:spacing w:before="0" w:after="0" w:line="240" w:lineRule="auto"/>
              <w:jc w:val="left"/>
            </w:pPr>
            <w:r/>
            <w:r>
              <w:rPr>
                <w:rFonts w:ascii="Arial" w:hAnsi="Arial" w:cs="Arial"/>
                <w:sz w:val="18"/>
              </w:rPr>
              <w:t>Legalidad de venta/adjudicación</w:t>
            </w:r>
          </w:p>
        </w:tc>
        <w:tc>
          <w:tcPr>
            <w:tcW w:type="dxa" w:w="5070"/>
            <w:tcMar>
              <w:top w:w="80" w:type="dxa"/>
              <w:start w:w="120" w:type="dxa"/>
              <w:bottom w:w="80" w:type="dxa"/>
              <w:end w:w="120" w:type="dxa"/>
            </w:tcMar>
            <w:vAlign w:val="center"/>
          </w:tcPr>
          <w:p>
            <w:pPr>
              <w:spacing w:before="0" w:after="0" w:line="240" w:lineRule="auto"/>
              <w:jc w:val="left"/>
            </w:pPr>
            <w:r/>
            <w:r>
              <w:rPr>
                <w:rFonts w:ascii="Arial" w:hAnsi="Arial" w:cs="Arial"/>
                <w:sz w:val="18"/>
              </w:rPr>
              <w:t>Según recurso y medida</w:t>
            </w:r>
          </w:p>
        </w:tc>
      </w:tr>
    </w:tbl>
    <w:p>
      <w:pPr>
        <w:spacing w:after="40"/>
      </w:pPr>
    </w:p>
    <w:p>
      <w:pPr>
        <w:pStyle w:val="Heading1"/>
        <w:keepNext/>
      </w:pPr>
      <w:r>
        <w:rPr>
          <w:rFonts w:ascii="Arial" w:hAnsi="Arial" w:cs="Arial"/>
          <w:sz w:val="30"/>
        </w:rPr>
        <w:t>14. Depósito, valoración y liberación</w:t>
      </w:r>
    </w:p>
    <w:p>
      <w:pPr>
        <w:jc w:val="both"/>
      </w:pPr>
      <w:r>
        <w:rPr>
          <w:rFonts w:ascii="Arial" w:hAnsi="Arial" w:cs="Arial"/>
          <w:sz w:val="22"/>
        </w:rPr>
        <w:t>Los bienes se valoran con criterios de mercado y periciales. El deudor puede discrepar por el cauce previsto. Las cargas subsistentes influyen en tipo de enajenación.</w:t>
      </w:r>
    </w:p>
    <w:p>
      <w:pPr>
        <w:jc w:val="both"/>
      </w:pPr>
      <w:r>
        <w:rPr>
          <w:rFonts w:ascii="Arial" w:hAnsi="Arial" w:cs="Arial"/>
          <w:sz w:val="22"/>
        </w:rPr>
        <w:t xml:space="preserve">Hasta antes de la adjudicación, los bienes pueden liberarse pagando </w:t>
      </w:r>
      <w:r>
        <w:rPr>
          <w:rFonts w:ascii="Arial" w:hAnsi="Arial" w:cs="Arial"/>
          <w:b/>
          <w:sz w:val="22"/>
        </w:rPr>
        <w:t>la totalidad</w:t>
      </w:r>
      <w:r>
        <w:rPr>
          <w:rFonts w:ascii="Arial" w:hAnsi="Arial" w:cs="Arial"/>
          <w:sz w:val="22"/>
        </w:rPr>
        <w:t xml:space="preserve"> de deuda perseguida, recargo, intereses y costas. No basta ofrecer el principal.</w:t>
      </w:r>
    </w:p>
    <w:p>
      <w:pPr>
        <w:jc w:val="both"/>
      </w:pPr>
      <w:r>
        <w:rPr>
          <w:rFonts w:ascii="Arial" w:hAnsi="Arial" w:cs="Arial"/>
          <w:sz w:val="22"/>
        </w:rPr>
        <w:t>Los depositarios deben conservar y entregar. Su incumplimiento genera responsabilidad. Si el bien pierde valor, la URE adopta medidas.</w:t>
      </w:r>
    </w:p>
    <w:p>
      <w:pPr>
        <w:pStyle w:val="Heading2"/>
        <w:keepNext/>
      </w:pPr>
      <w:r>
        <w:rPr>
          <w:rFonts w:ascii="Arial" w:hAnsi="Arial" w:cs="Arial"/>
          <w:sz w:val="25"/>
        </w:rPr>
        <w:t>14.1. Valoración contradictoria</w:t>
      </w:r>
    </w:p>
    <w:p>
      <w:pPr>
        <w:jc w:val="both"/>
      </w:pPr>
      <w:r>
        <w:rPr>
          <w:rFonts w:ascii="Arial" w:hAnsi="Arial" w:cs="Arial"/>
          <w:sz w:val="22"/>
        </w:rPr>
        <w:t>La URE practica valoración por personal técnico o perito. Se notifica al deudor, que puede formular valoración contradictoria dentro del plazo reglamentario. Si la diferencia supera el margen permitido, interviene un tercero o se aplica el mecanismo previsto para fijar valor definitivo.</w:t>
      </w:r>
    </w:p>
    <w:p>
      <w:pPr>
        <w:jc w:val="both"/>
      </w:pPr>
      <w:r>
        <w:rPr>
          <w:rFonts w:ascii="Arial" w:hAnsi="Arial" w:cs="Arial"/>
          <w:sz w:val="22"/>
        </w:rPr>
        <w:t>La valoración no es el saldo de deuda ni necesariamente el precio final. Sirve para determinar tipo y comprobar proporcionalidad. Las cargas preferentes que subsisten se descuentan; las que se cancelan reciben tratamiento distinto.</w:t>
      </w:r>
    </w:p>
    <w:p>
      <w:pPr>
        <w:jc w:val="both"/>
      </w:pPr>
      <w:r>
        <w:rPr>
          <w:rFonts w:ascii="Arial" w:hAnsi="Arial" w:cs="Arial"/>
          <w:sz w:val="22"/>
        </w:rPr>
        <w:t>La regla completa para fijar el tipo está en el artículo 111 RGRSS:</w:t>
      </w:r>
    </w:p>
    <w:p>
      <w:pPr>
        <w:pStyle w:val="ListBullet"/>
      </w:pPr>
      <w:r>
        <w:rPr>
          <w:rFonts w:ascii="Arial" w:hAnsi="Arial" w:cs="Arial"/>
          <w:sz w:val="22"/>
        </w:rPr>
        <w:t>sin cargas reales preferentes subsistentes, el tipo parte de la valoración;</w:t>
      </w:r>
    </w:p>
    <w:p>
      <w:pPr>
        <w:pStyle w:val="ListBullet"/>
      </w:pPr>
      <w:r>
        <w:rPr>
          <w:rFonts w:ascii="Arial" w:hAnsi="Arial" w:cs="Arial"/>
          <w:sz w:val="22"/>
        </w:rPr>
        <w:t>si existen, el tipo de subasta es la diferencia entre el valor del bien y el importe de esas cargas, que siguen gravando el bien y no se pagan con el remate;</w:t>
      </w:r>
    </w:p>
    <w:p>
      <w:pPr>
        <w:pStyle w:val="ListBullet"/>
      </w:pPr>
      <w:r>
        <w:rPr>
          <w:rFonts w:ascii="Arial" w:hAnsi="Arial" w:cs="Arial"/>
          <w:sz w:val="22"/>
        </w:rPr>
        <w:t>si las cargas preferentes absorben o superan el valor del bien, se compara la deuda apremiada con ese valor: si la deuda no supera el valor, el tipo es la deuda; si lo supera, el tipo es el valor del bien;</w:t>
      </w:r>
    </w:p>
    <w:p>
      <w:pPr>
        <w:pStyle w:val="ListBullet"/>
      </w:pPr>
      <w:r>
        <w:rPr>
          <w:rFonts w:ascii="Arial" w:hAnsi="Arial" w:cs="Arial"/>
          <w:sz w:val="22"/>
        </w:rPr>
        <w:t>si hay indicios de cargas simuladas que dificultan el cobro, el expediente se remite al servicio jurídico para valorar las acciones civiles o penales procedentes.</w:t>
      </w:r>
    </w:p>
    <w:p>
      <w:pPr>
        <w:jc w:val="both"/>
      </w:pPr>
      <w:r>
        <w:rPr>
          <w:rFonts w:ascii="Arial" w:hAnsi="Arial" w:cs="Arial"/>
          <w:sz w:val="22"/>
        </w:rPr>
        <w:t>Antes de hacer la resta hay que comprobar que la carga continúa viva y cuál es su importe actualizado. Aplicar mecánicamente el dato registral originario puede infravalorar el bien cuando se han producido pagos posteriores.</w:t>
      </w:r>
    </w:p>
    <w:p>
      <w:pPr>
        <w:pStyle w:val="Heading2"/>
        <w:keepNext/>
      </w:pPr>
      <w:r>
        <w:rPr>
          <w:rFonts w:ascii="Arial" w:hAnsi="Arial" w:cs="Arial"/>
          <w:sz w:val="25"/>
        </w:rPr>
        <w:t>14.2. Depósito</w:t>
      </w:r>
    </w:p>
    <w:p>
      <w:pPr>
        <w:jc w:val="both"/>
      </w:pPr>
      <w:r>
        <w:rPr>
          <w:rFonts w:ascii="Arial" w:hAnsi="Arial" w:cs="Arial"/>
          <w:sz w:val="22"/>
        </w:rPr>
        <w:t>Puede ser depositario el propio deudor, un tercero, entidad especializada o la TGSS según bien y riesgo. Debe:</w:t>
      </w:r>
    </w:p>
    <w:p>
      <w:pPr>
        <w:pStyle w:val="ListBullet"/>
      </w:pPr>
      <w:r>
        <w:rPr>
          <w:rFonts w:ascii="Arial" w:hAnsi="Arial" w:cs="Arial"/>
          <w:sz w:val="22"/>
        </w:rPr>
        <w:t>conservar;</w:t>
      </w:r>
    </w:p>
    <w:p>
      <w:pPr>
        <w:pStyle w:val="ListBullet"/>
      </w:pPr>
      <w:r>
        <w:rPr>
          <w:rFonts w:ascii="Arial" w:hAnsi="Arial" w:cs="Arial"/>
          <w:sz w:val="22"/>
        </w:rPr>
        <w:t>permitir inspección;</w:t>
      </w:r>
    </w:p>
    <w:p>
      <w:pPr>
        <w:pStyle w:val="ListBullet"/>
      </w:pPr>
      <w:r>
        <w:rPr>
          <w:rFonts w:ascii="Arial" w:hAnsi="Arial" w:cs="Arial"/>
          <w:sz w:val="22"/>
        </w:rPr>
        <w:t>no usar indebidamente;</w:t>
      </w:r>
    </w:p>
    <w:p>
      <w:pPr>
        <w:pStyle w:val="ListBullet"/>
      </w:pPr>
      <w:r>
        <w:rPr>
          <w:rFonts w:ascii="Arial" w:hAnsi="Arial" w:cs="Arial"/>
          <w:sz w:val="22"/>
        </w:rPr>
        <w:t>entregar cuando se requiera;</w:t>
      </w:r>
    </w:p>
    <w:p>
      <w:pPr>
        <w:pStyle w:val="ListBullet"/>
      </w:pPr>
      <w:r>
        <w:rPr>
          <w:rFonts w:ascii="Arial" w:hAnsi="Arial" w:cs="Arial"/>
          <w:sz w:val="22"/>
        </w:rPr>
        <w:t>rendir cuentas de frutos.</w:t>
      </w:r>
    </w:p>
    <w:p>
      <w:pPr>
        <w:jc w:val="both"/>
      </w:pPr>
      <w:r>
        <w:rPr>
          <w:rFonts w:ascii="Arial" w:hAnsi="Arial" w:cs="Arial"/>
          <w:sz w:val="22"/>
        </w:rPr>
        <w:t>Los gastos necesarios pueden integrar costas si están documentados. Los gastos ordinarios internos de la Administración no.</w:t>
      </w:r>
    </w:p>
    <w:p>
      <w:pPr>
        <w:pStyle w:val="Heading2"/>
        <w:keepNext/>
      </w:pPr>
      <w:r>
        <w:rPr>
          <w:rFonts w:ascii="Arial" w:hAnsi="Arial" w:cs="Arial"/>
          <w:sz w:val="25"/>
        </w:rPr>
        <w:t>14.3. Medidas cautelares</w:t>
      </w:r>
    </w:p>
    <w:p>
      <w:pPr>
        <w:jc w:val="both"/>
      </w:pPr>
      <w:r>
        <w:rPr>
          <w:rFonts w:ascii="Arial" w:hAnsi="Arial" w:cs="Arial"/>
          <w:sz w:val="22"/>
        </w:rPr>
        <w:t>Antes o durante apremio pueden adoptarse medidas provisionales para asegurar cobro cuando exista riesgo de frustración, siempre con habilitación, proporcionalidad y límite temporal. Una medida cautelar no equivale a adjudicación ni presume culpabilidad.</w:t>
      </w:r>
    </w:p>
    <w:p>
      <w:pPr>
        <w:jc w:val="both"/>
      </w:pPr>
      <w:r>
        <w:rPr>
          <w:rFonts w:ascii="Arial" w:hAnsi="Arial" w:cs="Arial"/>
          <w:sz w:val="22"/>
        </w:rPr>
        <w:t>Puede consistir en retención de devoluciones, embargo preventivo u otra medida admitida. Debe levantarse si desaparece causa o sustituirse por garantía suficiente cuando proceda.</w:t>
      </w:r>
    </w:p>
    <w:p>
      <w:pPr>
        <w:pStyle w:val="Heading1"/>
        <w:keepNext/>
      </w:pPr>
      <w:r>
        <w:rPr>
          <w:rFonts w:ascii="Arial" w:hAnsi="Arial" w:cs="Arial"/>
          <w:sz w:val="30"/>
        </w:rPr>
        <w:t>15. Enajenación: reglas comunes</w:t>
      </w:r>
    </w:p>
    <w:p>
      <w:pPr>
        <w:jc w:val="both"/>
      </w:pPr>
      <w:r>
        <w:rPr>
          <w:rFonts w:ascii="Arial" w:hAnsi="Arial" w:cs="Arial"/>
          <w:sz w:val="22"/>
        </w:rPr>
        <w:t>La realización persigue obtener mejor resultado compatible con celeridad. El director provincial acuerda la enajenación y se practican notificaciones. Se respetan cargas, publicidad y posibilidad de liberar.</w:t>
      </w:r>
    </w:p>
    <w:p>
      <w:pPr>
        <w:jc w:val="both"/>
      </w:pPr>
      <w:r>
        <w:rPr>
          <w:rFonts w:ascii="Arial" w:hAnsi="Arial" w:cs="Arial"/>
          <w:sz w:val="22"/>
        </w:rPr>
        <w:t>Las modalidades relevantes son:</w:t>
      </w:r>
    </w:p>
    <w:p>
      <w:pPr>
        <w:pStyle w:val="ListBullet"/>
      </w:pPr>
      <w:r>
        <w:rPr>
          <w:rFonts w:ascii="Arial" w:hAnsi="Arial" w:cs="Arial"/>
          <w:sz w:val="22"/>
        </w:rPr>
        <w:t>subasta pública;</w:t>
      </w:r>
    </w:p>
    <w:p>
      <w:pPr>
        <w:pStyle w:val="ListBullet"/>
      </w:pPr>
      <w:r>
        <w:rPr>
          <w:rFonts w:ascii="Arial" w:hAnsi="Arial" w:cs="Arial"/>
          <w:sz w:val="22"/>
        </w:rPr>
        <w:t>concurso para determinados bienes muebles o semovientes;</w:t>
      </w:r>
    </w:p>
    <w:p>
      <w:pPr>
        <w:pStyle w:val="ListBullet"/>
      </w:pPr>
      <w:r>
        <w:rPr>
          <w:rFonts w:ascii="Arial" w:hAnsi="Arial" w:cs="Arial"/>
          <w:sz w:val="22"/>
        </w:rPr>
        <w:t>adjudicación directa en supuestos excepcionales;</w:t>
      </w:r>
    </w:p>
    <w:p>
      <w:pPr>
        <w:pStyle w:val="ListBullet"/>
      </w:pPr>
      <w:r>
        <w:rPr>
          <w:rFonts w:ascii="Arial" w:hAnsi="Arial" w:cs="Arial"/>
          <w:sz w:val="22"/>
        </w:rPr>
        <w:t>sin perjuicio de la posible adjudicación a la TGSS de bienes no enajenados que resulten de interés.</w:t>
      </w:r>
    </w:p>
    <w:p>
      <w:pPr>
        <w:jc w:val="both"/>
      </w:pPr>
      <w:r>
        <w:rPr>
          <w:rFonts w:ascii="Arial" w:hAnsi="Arial" w:cs="Arial"/>
          <w:sz w:val="22"/>
        </w:rPr>
        <w:t>La ejecución material de una subasta por empresa o profesional especializado no constituye una cuarta modalidad: sigue siendo subasta, aunque cambie quién ejecuta materialmente la licitación. El artículo 113 RGRSS declara ordinaria la subasta, permite concurso en el supuesto reglamentario y reserva la adjudicación directa para casos excepcionales.</w:t>
      </w:r>
    </w:p>
    <w:p>
      <w:pPr>
        <w:pStyle w:val="Heading1"/>
        <w:keepNext/>
      </w:pPr>
      <w:r>
        <w:rPr>
          <w:rFonts w:ascii="Arial" w:hAnsi="Arial" w:cs="Arial"/>
          <w:sz w:val="30"/>
        </w:rPr>
        <w:t>16. Subasta pública</w:t>
      </w:r>
    </w:p>
    <w:p>
      <w:pPr>
        <w:pStyle w:val="Heading2"/>
        <w:keepNext/>
      </w:pPr>
      <w:r>
        <w:rPr>
          <w:rFonts w:ascii="Arial" w:hAnsi="Arial" w:cs="Arial"/>
          <w:sz w:val="25"/>
        </w:rPr>
        <w:t>16.1. Providencia de subasta</w:t>
      </w:r>
    </w:p>
    <w:p>
      <w:pPr>
        <w:jc w:val="both"/>
      </w:pPr>
      <w:r>
        <w:rPr>
          <w:rFonts w:ascii="Arial" w:hAnsi="Arial" w:cs="Arial"/>
          <w:sz w:val="22"/>
        </w:rPr>
        <w:t>Determina:</w:t>
      </w:r>
    </w:p>
    <w:p>
      <w:pPr>
        <w:pStyle w:val="ListBullet"/>
      </w:pPr>
      <w:r>
        <w:rPr>
          <w:rFonts w:ascii="Arial" w:hAnsi="Arial" w:cs="Arial"/>
          <w:sz w:val="22"/>
        </w:rPr>
        <w:t xml:space="preserve">plazo de ofertas, al menos </w:t>
      </w:r>
      <w:r>
        <w:rPr>
          <w:rFonts w:ascii="Arial" w:hAnsi="Arial" w:cs="Arial"/>
          <w:b/>
          <w:sz w:val="22"/>
        </w:rPr>
        <w:t>un mes</w:t>
      </w:r>
      <w:r>
        <w:rPr>
          <w:rFonts w:ascii="Arial" w:hAnsi="Arial" w:cs="Arial"/>
          <w:sz w:val="22"/>
        </w:rPr>
        <w:t>;</w:t>
      </w:r>
    </w:p>
    <w:p>
      <w:pPr>
        <w:pStyle w:val="ListBullet"/>
      </w:pPr>
      <w:r>
        <w:rPr>
          <w:rFonts w:ascii="Arial" w:hAnsi="Arial" w:cs="Arial"/>
          <w:sz w:val="22"/>
        </w:rPr>
        <w:t>día, hora y lugar de apertura;</w:t>
      </w:r>
    </w:p>
    <w:p>
      <w:pPr>
        <w:pStyle w:val="ListBullet"/>
      </w:pPr>
      <w:r>
        <w:rPr>
          <w:rFonts w:ascii="Arial" w:hAnsi="Arial" w:cs="Arial"/>
          <w:sz w:val="22"/>
        </w:rPr>
        <w:t>tipo;</w:t>
      </w:r>
    </w:p>
    <w:p>
      <w:pPr>
        <w:pStyle w:val="ListBullet"/>
      </w:pPr>
      <w:r>
        <w:rPr>
          <w:rFonts w:ascii="Arial" w:hAnsi="Arial" w:cs="Arial"/>
          <w:sz w:val="22"/>
        </w:rPr>
        <w:t>bienes y lotes;</w:t>
      </w:r>
    </w:p>
    <w:p>
      <w:pPr>
        <w:pStyle w:val="ListBullet"/>
      </w:pPr>
      <w:r>
        <w:rPr>
          <w:rFonts w:ascii="Arial" w:hAnsi="Arial" w:cs="Arial"/>
          <w:sz w:val="22"/>
        </w:rPr>
        <w:t>cargas;</w:t>
      </w:r>
    </w:p>
    <w:p>
      <w:pPr>
        <w:pStyle w:val="ListBullet"/>
      </w:pPr>
      <w:r>
        <w:rPr>
          <w:rFonts w:ascii="Arial" w:hAnsi="Arial" w:cs="Arial"/>
          <w:sz w:val="22"/>
        </w:rPr>
        <w:t>condiciones.</w:t>
      </w:r>
    </w:p>
    <w:p>
      <w:pPr>
        <w:jc w:val="both"/>
      </w:pPr>
      <w:r>
        <w:rPr>
          <w:rFonts w:ascii="Arial" w:hAnsi="Arial" w:cs="Arial"/>
          <w:sz w:val="22"/>
        </w:rPr>
        <w:t>Se notifica al deudor, cónyuge, depositario, condueños, acreedores hipotecarios o pignoraticios y titulares de embargos anteriores. Todos son advertidos de que el bien puede liberarse antes de adjudicación pagando íntegramente.</w:t>
      </w:r>
    </w:p>
    <w:p>
      <w:pPr>
        <w:pStyle w:val="Heading2"/>
        <w:keepNext/>
      </w:pPr>
      <w:r>
        <w:rPr>
          <w:rFonts w:ascii="Arial" w:hAnsi="Arial" w:cs="Arial"/>
          <w:sz w:val="25"/>
        </w:rPr>
        <w:t>16.2. Publicidad y ofertas</w:t>
      </w:r>
    </w:p>
    <w:p>
      <w:pPr>
        <w:jc w:val="both"/>
      </w:pPr>
      <w:r>
        <w:rPr>
          <w:rFonts w:ascii="Arial" w:hAnsi="Arial" w:cs="Arial"/>
          <w:sz w:val="22"/>
        </w:rPr>
        <w:t>La publicidad se realiza en los medios reglamentarios y portal correspondiente. Los licitadores depositan la garantía exigida y presentan ofertas. La mesa comprueba admisión, abre y propone adjudicación.</w:t>
      </w:r>
    </w:p>
    <w:p>
      <w:pPr>
        <w:jc w:val="both"/>
      </w:pPr>
      <w:r>
        <w:rPr>
          <w:rFonts w:ascii="Arial" w:hAnsi="Arial" w:cs="Arial"/>
          <w:sz w:val="22"/>
        </w:rPr>
        <w:t>No deben inventarse reglas de subasta judicial: el procedimiento de TGSS tiene su propio Reglamento.</w:t>
      </w:r>
    </w:p>
    <w:p>
      <w:pPr>
        <w:jc w:val="both"/>
      </w:pPr>
      <w:r>
        <w:rPr>
          <w:rFonts w:ascii="Arial" w:hAnsi="Arial" w:cs="Arial"/>
          <w:sz w:val="22"/>
        </w:rPr>
        <w:t xml:space="preserve">La oferta en sobre cerrado se acompaña de un depósito del </w:t>
      </w:r>
      <w:r>
        <w:rPr>
          <w:rFonts w:ascii="Arial" w:hAnsi="Arial" w:cs="Arial"/>
          <w:b/>
          <w:sz w:val="22"/>
        </w:rPr>
        <w:t>25 % del tipo</w:t>
      </w:r>
      <w:r>
        <w:rPr>
          <w:rFonts w:ascii="Arial" w:hAnsi="Arial" w:cs="Arial"/>
          <w:sz w:val="22"/>
        </w:rPr>
        <w:t xml:space="preserve">. Quien pretenda incorporarse en el acto sin haber presentado oferta puede ser admitido si deposita el </w:t>
      </w:r>
      <w:r>
        <w:rPr>
          <w:rFonts w:ascii="Arial" w:hAnsi="Arial" w:cs="Arial"/>
          <w:b/>
          <w:sz w:val="22"/>
        </w:rPr>
        <w:t>30 %</w:t>
      </w:r>
      <w:r>
        <w:rPr>
          <w:rFonts w:ascii="Arial" w:hAnsi="Arial" w:cs="Arial"/>
          <w:sz w:val="22"/>
        </w:rPr>
        <w:t xml:space="preserve">; en tal caso se entiende formulada una postura del </w:t>
      </w:r>
      <w:r>
        <w:rPr>
          <w:rFonts w:ascii="Arial" w:hAnsi="Arial" w:cs="Arial"/>
          <w:b/>
          <w:sz w:val="22"/>
        </w:rPr>
        <w:t>75 % del tipo</w:t>
      </w:r>
      <w:r>
        <w:rPr>
          <w:rFonts w:ascii="Arial" w:hAnsi="Arial" w:cs="Arial"/>
          <w:sz w:val="22"/>
        </w:rPr>
        <w:t xml:space="preserve">. Las posturas verbales deben ser iguales o superiores a ese 75 % y guardar entre sí una diferencia mínima del 2 % del tipo. El adjudicatario completa el precio dentro de los </w:t>
      </w:r>
      <w:r>
        <w:rPr>
          <w:rFonts w:ascii="Arial" w:hAnsi="Arial" w:cs="Arial"/>
          <w:b/>
          <w:sz w:val="22"/>
        </w:rPr>
        <w:t>cinco días hábiles</w:t>
      </w:r>
      <w:r>
        <w:rPr>
          <w:rFonts w:ascii="Arial" w:hAnsi="Arial" w:cs="Arial"/>
          <w:sz w:val="22"/>
        </w:rPr>
        <w:t xml:space="preserve"> siguientes; si no lo hace, pierde el depósito y responde de los mayores perjuicios.</w:t>
      </w:r>
    </w:p>
    <w:p>
      <w:pPr>
        <w:jc w:val="both"/>
      </w:pPr>
      <w:r>
        <w:rPr>
          <w:rFonts w:ascii="Arial" w:hAnsi="Arial" w:cs="Arial"/>
          <w:sz w:val="22"/>
        </w:rPr>
        <w:t xml:space="preserve">La TGSS dispone además de un </w:t>
      </w:r>
      <w:r>
        <w:rPr>
          <w:rFonts w:ascii="Arial" w:hAnsi="Arial" w:cs="Arial"/>
          <w:b/>
          <w:sz w:val="22"/>
        </w:rPr>
        <w:t>derecho de tanteo</w:t>
      </w:r>
      <w:r>
        <w:rPr>
          <w:rFonts w:ascii="Arial" w:hAnsi="Arial" w:cs="Arial"/>
          <w:sz w:val="22"/>
        </w:rPr>
        <w:t xml:space="preserve">. La Dirección Provincial puede ejercitarlo antes de expedir el certificado de adjudicación o la escritura pública de venta y dentro del plazo máximo de </w:t>
      </w:r>
      <w:r>
        <w:rPr>
          <w:rFonts w:ascii="Arial" w:hAnsi="Arial" w:cs="Arial"/>
          <w:b/>
          <w:sz w:val="22"/>
        </w:rPr>
        <w:t>treinta días</w:t>
      </w:r>
      <w:r>
        <w:rPr>
          <w:rFonts w:ascii="Arial" w:hAnsi="Arial" w:cs="Arial"/>
          <w:sz w:val="22"/>
        </w:rPr>
        <w:t>. Si lo ejerce, el bien se adjudica a la Tesorería, se notifica al deudor y al adjudicatario inicial y a este se le devuelve tanto el depósito como, en su caso, el resto del precio pagado. No debe confundirse este tanteo del artículo 121 con la adjudicación de bienes no enajenados de los artículos 124 a 126.</w:t>
      </w:r>
    </w:p>
    <w:p>
      <w:pPr>
        <w:pStyle w:val="Heading2"/>
        <w:keepNext/>
      </w:pPr>
      <w:r>
        <w:rPr>
          <w:rFonts w:ascii="Arial" w:hAnsi="Arial" w:cs="Arial"/>
          <w:sz w:val="25"/>
        </w:rPr>
        <w:t>16.3. Primera y segunda subasta</w:t>
      </w:r>
    </w:p>
    <w:p>
      <w:pPr>
        <w:jc w:val="both"/>
      </w:pPr>
      <w:r>
        <w:rPr>
          <w:rFonts w:ascii="Arial" w:hAnsi="Arial" w:cs="Arial"/>
          <w:sz w:val="22"/>
        </w:rPr>
        <w:t xml:space="preserve">En la primera subasta, si solo existen ofertas escritas, se aprueba el remate de la mejor cuando supera el </w:t>
      </w:r>
      <w:r>
        <w:rPr>
          <w:rFonts w:ascii="Arial" w:hAnsi="Arial" w:cs="Arial"/>
          <w:b/>
          <w:sz w:val="22"/>
        </w:rPr>
        <w:t>60 % del tipo</w:t>
      </w:r>
      <w:r>
        <w:rPr>
          <w:rFonts w:ascii="Arial" w:hAnsi="Arial" w:cs="Arial"/>
          <w:sz w:val="22"/>
        </w:rPr>
        <w:t xml:space="preserve"> o cuando, aun siendo inferior, cubre toda la deuda; para inmuebles, esta última posibilidad no opera por debajo del 25 %. Si la mejor postura es inferior al 75 % y no cubre la deuda, el deudor puede presentar en </w:t>
      </w:r>
      <w:r>
        <w:rPr>
          <w:rFonts w:ascii="Arial" w:hAnsi="Arial" w:cs="Arial"/>
          <w:b/>
          <w:sz w:val="22"/>
        </w:rPr>
        <w:t>tres días hábiles</w:t>
      </w:r>
      <w:r>
        <w:rPr>
          <w:rFonts w:ascii="Arial" w:hAnsi="Arial" w:cs="Arial"/>
          <w:sz w:val="22"/>
        </w:rPr>
        <w:t xml:space="preserve"> a un tercero que la eleve hasta ese límite e ingrese íntegramente lo ofrecido.</w:t>
      </w:r>
    </w:p>
    <w:p>
      <w:pPr>
        <w:jc w:val="both"/>
      </w:pPr>
      <w:r>
        <w:rPr>
          <w:rFonts w:ascii="Arial" w:hAnsi="Arial" w:cs="Arial"/>
          <w:sz w:val="22"/>
        </w:rPr>
        <w:t xml:space="preserve">Los bienes no adjudicados o cuyo adjudicatario no completa el precio pasan a segunda subasta. En ella, la regla general baja al </w:t>
      </w:r>
      <w:r>
        <w:rPr>
          <w:rFonts w:ascii="Arial" w:hAnsi="Arial" w:cs="Arial"/>
          <w:b/>
          <w:sz w:val="22"/>
        </w:rPr>
        <w:t>50 % del tipo</w:t>
      </w:r>
      <w:r>
        <w:rPr>
          <w:rFonts w:ascii="Arial" w:hAnsi="Arial" w:cs="Arial"/>
          <w:sz w:val="22"/>
        </w:rPr>
        <w:t>; el Director Provincial puede aprobar motivadamente una postura inferior que supere al menos el 25 %. Si queda desierta, cabe adjudicación a la TGSS o, atendidas las circunstancias, adjudicación directa; de no utilizarse esos cauces, el bien se devuelve y se levanta el embargo.</w:t>
      </w:r>
    </w:p>
    <w:p>
      <w:pPr>
        <w:pStyle w:val="Heading2"/>
        <w:keepNext/>
      </w:pPr>
      <w:r>
        <w:rPr>
          <w:rFonts w:ascii="Arial" w:hAnsi="Arial" w:cs="Arial"/>
          <w:sz w:val="25"/>
        </w:rPr>
        <w:t>16.4. Producto</w:t>
      </w:r>
    </w:p>
    <w:p>
      <w:pPr>
        <w:jc w:val="both"/>
      </w:pPr>
      <w:r>
        <w:rPr>
          <w:rFonts w:ascii="Arial" w:hAnsi="Arial" w:cs="Arial"/>
          <w:sz w:val="22"/>
        </w:rPr>
        <w:t>El precio se aplica a costas, principal, recargo e intereses según reglas. El sobrante se entrega a quien corresponda, respetando terceros.</w:t>
      </w:r>
    </w:p>
    <w:p>
      <w:pPr>
        <w:pStyle w:val="Heading2"/>
        <w:keepNext/>
      </w:pPr>
      <w:r>
        <w:rPr>
          <w:rFonts w:ascii="Arial" w:hAnsi="Arial" w:cs="Arial"/>
          <w:sz w:val="25"/>
        </w:rPr>
        <w:t>16.5. Ejemplo de aplicación del producto</w:t>
      </w:r>
    </w:p>
    <w:p>
      <w:pPr>
        <w:jc w:val="both"/>
      </w:pPr>
      <w:r>
        <w:rPr>
          <w:rFonts w:ascii="Arial" w:hAnsi="Arial" w:cs="Arial"/>
          <w:sz w:val="22"/>
        </w:rPr>
        <w:t>La deuda comprende 20.000 euros de principal, 4.000 de recargo, 700 de interés y 300 de costas. El bien se adjudica por 27.000 euros. Se atienden los conceptos conforme al orden reglamentario y queda un sobrante de 2.000 euros, que se entrega al titular o acreedor que proceda tras comprobar cargas.</w:t>
      </w:r>
    </w:p>
    <w:p>
      <w:pPr>
        <w:jc w:val="both"/>
      </w:pPr>
      <w:r>
        <w:rPr>
          <w:rFonts w:ascii="Arial" w:hAnsi="Arial" w:cs="Arial"/>
          <w:sz w:val="22"/>
        </w:rPr>
        <w:t>Si el precio fuera 18.000 euros, no se extinguiría el expediente: se aplicaría el producto y continuaría el apremio por el saldo. La adjudicación de un bien no equivale por sí sola a pago total.</w:t>
      </w:r>
    </w:p>
    <w:p>
      <w:pPr>
        <w:pStyle w:val="Heading2"/>
        <w:keepNext/>
      </w:pPr>
      <w:r>
        <w:rPr>
          <w:rFonts w:ascii="Arial" w:hAnsi="Arial" w:cs="Arial"/>
          <w:sz w:val="25"/>
        </w:rPr>
        <w:t>16.6. Nulidad, anulabilidad y conservación</w:t>
      </w:r>
    </w:p>
    <w:p>
      <w:pPr>
        <w:jc w:val="both"/>
      </w:pPr>
      <w:r>
        <w:rPr>
          <w:rFonts w:ascii="Arial" w:hAnsi="Arial" w:cs="Arial"/>
          <w:sz w:val="22"/>
        </w:rPr>
        <w:t>Un defecto en un lote no invalida necesariamente todas las actuaciones. Se conservan los actos independientes. Pero la falta de providencia, la enajenación de bien ajeno sin resolver la tercería o la omisión de garantías esenciales puede determinar anulación.</w:t>
      </w:r>
    </w:p>
    <w:p>
      <w:pPr>
        <w:jc w:val="both"/>
      </w:pPr>
      <w:r>
        <w:rPr>
          <w:rFonts w:ascii="Arial" w:hAnsi="Arial" w:cs="Arial"/>
          <w:sz w:val="22"/>
        </w:rPr>
        <w:t>Si se anula la venta, deben coordinarse devolución del precio, levantamiento de cargas y posición del adjudicatario conforme a ley. La protección de terceros no autoriza a convalidar cualquier omisión.</w:t>
      </w:r>
    </w:p>
    <w:p>
      <w:pPr>
        <w:pStyle w:val="Heading1"/>
        <w:keepNext/>
      </w:pPr>
      <w:r>
        <w:rPr>
          <w:rFonts w:ascii="Arial" w:hAnsi="Arial" w:cs="Arial"/>
          <w:sz w:val="30"/>
        </w:rPr>
        <w:t>17. Concurso y ejecución material especializada</w:t>
      </w:r>
    </w:p>
    <w:p>
      <w:pPr>
        <w:pStyle w:val="Heading2"/>
        <w:keepNext/>
      </w:pPr>
      <w:r>
        <w:rPr>
          <w:rFonts w:ascii="Arial" w:hAnsi="Arial" w:cs="Arial"/>
          <w:sz w:val="25"/>
        </w:rPr>
        <w:t>17.1. Enajenación por concurso</w:t>
      </w:r>
    </w:p>
    <w:p>
      <w:pPr>
        <w:jc w:val="both"/>
      </w:pPr>
      <w:r>
        <w:rPr>
          <w:rFonts w:ascii="Arial" w:hAnsi="Arial" w:cs="Arial"/>
          <w:sz w:val="22"/>
        </w:rPr>
        <w:t xml:space="preserve">El director provincial puede autorizar el </w:t>
      </w:r>
      <w:r>
        <w:rPr>
          <w:rFonts w:ascii="Arial" w:hAnsi="Arial" w:cs="Arial"/>
          <w:b/>
          <w:sz w:val="22"/>
        </w:rPr>
        <w:t>concurso</w:t>
      </w:r>
      <w:r>
        <w:rPr>
          <w:rFonts w:ascii="Arial" w:hAnsi="Arial" w:cs="Arial"/>
          <w:sz w:val="22"/>
        </w:rPr>
        <w:t xml:space="preserve"> cuando se trate de bienes muebles o semovientes y lo aconsejen las circunstancias, el volumen o el valor de los bienes. La providencia que lo aprueba señala lugar de presentación de proposiciones, fianza y forma de pago. Puede imponer condiciones especiales sobre la capacidad profesional de los concursantes o la retirada de los bienes, y puede prever una única licitación verbal sin ofertas en sobre cerrado.</w:t>
      </w:r>
    </w:p>
    <w:p>
      <w:pPr>
        <w:jc w:val="both"/>
      </w:pPr>
      <w:r>
        <w:rPr>
          <w:rFonts w:ascii="Arial" w:hAnsi="Arial" w:cs="Arial"/>
          <w:sz w:val="22"/>
        </w:rPr>
        <w:t xml:space="preserve">Transcurridos </w:t>
      </w:r>
      <w:r>
        <w:rPr>
          <w:rFonts w:ascii="Arial" w:hAnsi="Arial" w:cs="Arial"/>
          <w:b/>
          <w:sz w:val="22"/>
        </w:rPr>
        <w:t>cinco días hábiles</w:t>
      </w:r>
      <w:r>
        <w:rPr>
          <w:rFonts w:ascii="Arial" w:hAnsi="Arial" w:cs="Arial"/>
          <w:sz w:val="22"/>
        </w:rPr>
        <w:t xml:space="preserve"> desde el fin del plazo de admisión de proposiciones, el director provincial adjudica el concurso o lo declara desierto. La adjudicación recae en la oferta más ventajosa, atendiendo no solo al precio, sino también a las condiciones especiales de la convocatoria. El adjudicatario no puede reservarse el derecho a ceder. En lo no previsto específicamente se aplican las reglas de la subasta.</w:t>
      </w:r>
    </w:p>
    <w:p>
      <w:pPr>
        <w:pStyle w:val="Heading2"/>
        <w:keepNext/>
      </w:pPr>
      <w:r>
        <w:rPr>
          <w:rFonts w:ascii="Arial" w:hAnsi="Arial" w:cs="Arial"/>
          <w:sz w:val="25"/>
        </w:rPr>
        <w:t>17.2. Ejecución material por especialistas</w:t>
      </w:r>
    </w:p>
    <w:p>
      <w:pPr>
        <w:jc w:val="both"/>
      </w:pPr>
      <w:r>
        <w:rPr>
          <w:rFonts w:ascii="Arial" w:hAnsi="Arial" w:cs="Arial"/>
          <w:sz w:val="22"/>
        </w:rPr>
        <w:t>El Director Provincial puede acordar que la ejecución material de la subasta se realice por empresas o profesionales especializados, previa autorización del Director General. No privatiza la potestad: la TGSS conserva decisión y control.</w:t>
      </w:r>
    </w:p>
    <w:p>
      <w:pPr>
        <w:jc w:val="both"/>
      </w:pPr>
      <w:r>
        <w:rPr>
          <w:rFonts w:ascii="Arial" w:hAnsi="Arial" w:cs="Arial"/>
          <w:sz w:val="22"/>
        </w:rPr>
        <w:t xml:space="preserve">El representante de la mesa liquida el producto, que debe ingresarse en la TGSS dentro de </w:t>
      </w:r>
      <w:r>
        <w:rPr>
          <w:rFonts w:ascii="Arial" w:hAnsi="Arial" w:cs="Arial"/>
          <w:b/>
          <w:sz w:val="22"/>
        </w:rPr>
        <w:t>veinte días</w:t>
      </w:r>
      <w:r>
        <w:rPr>
          <w:rFonts w:ascii="Arial" w:hAnsi="Arial" w:cs="Arial"/>
          <w:sz w:val="22"/>
        </w:rPr>
        <w:t xml:space="preserve"> desde la licitación.</w:t>
      </w:r>
    </w:p>
    <w:p>
      <w:pPr>
        <w:pStyle w:val="Heading1"/>
        <w:keepNext/>
      </w:pPr>
      <w:r>
        <w:rPr>
          <w:rFonts w:ascii="Arial" w:hAnsi="Arial" w:cs="Arial"/>
          <w:sz w:val="30"/>
        </w:rPr>
        <w:t>18. Adjudicación directa</w:t>
      </w:r>
    </w:p>
    <w:p>
      <w:pPr>
        <w:pStyle w:val="Heading2"/>
        <w:keepNext/>
      </w:pPr>
      <w:r>
        <w:rPr>
          <w:rFonts w:ascii="Arial" w:hAnsi="Arial" w:cs="Arial"/>
          <w:sz w:val="25"/>
        </w:rPr>
        <w:t>18.1. Carácter excepcional</w:t>
      </w:r>
    </w:p>
    <w:p>
      <w:pPr>
        <w:jc w:val="both"/>
      </w:pPr>
      <w:r>
        <w:rPr>
          <w:rFonts w:ascii="Arial" w:hAnsi="Arial" w:cs="Arial"/>
          <w:sz w:val="22"/>
        </w:rPr>
        <w:t>El Director Provincial puede autorizarla atendiendo a deuda, valor y posibilidades de cobro:</w:t>
      </w:r>
    </w:p>
    <w:p>
      <w:pPr>
        <w:pStyle w:val="ListBullet"/>
      </w:pPr>
      <w:r>
        <w:rPr>
          <w:rFonts w:ascii="Arial" w:hAnsi="Arial" w:cs="Arial"/>
          <w:sz w:val="22"/>
        </w:rPr>
        <w:t>cuando la segunda subasta queda desierta y no hay adjudicación a TGSS;</w:t>
      </w:r>
    </w:p>
    <w:p>
      <w:pPr>
        <w:pStyle w:val="ListBullet"/>
      </w:pPr>
      <w:r>
        <w:rPr>
          <w:rFonts w:ascii="Arial" w:hAnsi="Arial" w:cs="Arial"/>
          <w:sz w:val="22"/>
        </w:rPr>
        <w:t>cuando no es posible o no conviene promover concurrencia por razones justificadas.</w:t>
      </w:r>
    </w:p>
    <w:p>
      <w:pPr>
        <w:jc w:val="both"/>
      </w:pPr>
      <w:r>
        <w:rPr>
          <w:rFonts w:ascii="Arial" w:hAnsi="Arial" w:cs="Arial"/>
          <w:sz w:val="22"/>
        </w:rPr>
        <w:t>No es una modalidad libre ni la primera opción ordinaria.</w:t>
      </w:r>
    </w:p>
    <w:p>
      <w:pPr>
        <w:pStyle w:val="Heading2"/>
        <w:keepNext/>
      </w:pPr>
      <w:r>
        <w:rPr>
          <w:rFonts w:ascii="Arial" w:hAnsi="Arial" w:cs="Arial"/>
          <w:sz w:val="25"/>
        </w:rPr>
        <w:t>18.2. Plazos</w:t>
      </w:r>
    </w:p>
    <w:p>
      <w:pPr>
        <w:jc w:val="both"/>
      </w:pPr>
      <w:r>
        <w:rPr>
          <w:rFonts w:ascii="Arial" w:hAnsi="Arial" w:cs="Arial"/>
          <w:sz w:val="22"/>
        </w:rPr>
        <w:t xml:space="preserve">Si deriva de segunda subasta desierta, la autorización se adopta dentro de </w:t>
      </w:r>
      <w:r>
        <w:rPr>
          <w:rFonts w:ascii="Arial" w:hAnsi="Arial" w:cs="Arial"/>
          <w:b/>
          <w:sz w:val="22"/>
        </w:rPr>
        <w:t>tres meses</w:t>
      </w:r>
      <w:r>
        <w:rPr>
          <w:rFonts w:ascii="Arial" w:hAnsi="Arial" w:cs="Arial"/>
          <w:sz w:val="22"/>
        </w:rPr>
        <w:t xml:space="preserve"> desde la subasta, salvo ampliación autorizada por el Director General.</w:t>
      </w:r>
    </w:p>
    <w:p>
      <w:pPr>
        <w:jc w:val="both"/>
      </w:pPr>
      <w:r>
        <w:rPr>
          <w:rFonts w:ascii="Arial" w:hAnsi="Arial" w:cs="Arial"/>
          <w:sz w:val="22"/>
        </w:rPr>
        <w:t xml:space="preserve">Una vez autorizada, las actuaciones para adjudicar directamente se realizan dentro de los </w:t>
      </w:r>
      <w:r>
        <w:rPr>
          <w:rFonts w:ascii="Arial" w:hAnsi="Arial" w:cs="Arial"/>
          <w:b/>
          <w:sz w:val="22"/>
        </w:rPr>
        <w:t>seis meses siguientes</w:t>
      </w:r>
      <w:r>
        <w:rPr>
          <w:rFonts w:ascii="Arial" w:hAnsi="Arial" w:cs="Arial"/>
          <w:sz w:val="22"/>
        </w:rPr>
        <w:t>. Este plazo del artículo 123 bis ha sido preguntado.</w:t>
      </w:r>
    </w:p>
    <w:p>
      <w:pPr>
        <w:pStyle w:val="Heading2"/>
        <w:keepNext/>
      </w:pPr>
      <w:r>
        <w:rPr>
          <w:rFonts w:ascii="Arial" w:hAnsi="Arial" w:cs="Arial"/>
          <w:sz w:val="25"/>
        </w:rPr>
        <w:t>18.3. Condiciones</w:t>
      </w:r>
    </w:p>
    <w:p>
      <w:pPr>
        <w:jc w:val="both"/>
      </w:pPr>
      <w:r>
        <w:rPr>
          <w:rFonts w:ascii="Arial" w:hAnsi="Arial" w:cs="Arial"/>
          <w:sz w:val="22"/>
        </w:rPr>
        <w:t>Se buscan las mejores condiciones económicas con medios ágiles. La motivación debe explicar por qué no hay concurrencia. La anotación de embargo puede mantenerse.</w:t>
      </w:r>
    </w:p>
    <w:p>
      <w:pPr>
        <w:pStyle w:val="Heading1"/>
        <w:keepNext/>
      </w:pPr>
      <w:r>
        <w:rPr>
          <w:rFonts w:ascii="Arial" w:hAnsi="Arial" w:cs="Arial"/>
          <w:sz w:val="30"/>
        </w:rPr>
        <w:t>19. Adjudicación a la TGSS</w:t>
      </w:r>
    </w:p>
    <w:p>
      <w:pPr>
        <w:jc w:val="both"/>
      </w:pPr>
      <w:r>
        <w:rPr>
          <w:rFonts w:ascii="Arial" w:hAnsi="Arial" w:cs="Arial"/>
          <w:sz w:val="22"/>
        </w:rPr>
        <w:t>Cuando bienes no se adjudican puede acordarse su adjudicación a la TGSS si son de interés para fines del servicio común. Se respetan valor, cargas y límites. No se produce automáticamente por quedar desierta la subasta.</w:t>
      </w:r>
    </w:p>
    <w:p>
      <w:pPr>
        <w:jc w:val="both"/>
      </w:pPr>
      <w:r>
        <w:rPr>
          <w:rFonts w:ascii="Arial" w:hAnsi="Arial" w:cs="Arial"/>
          <w:sz w:val="22"/>
        </w:rPr>
        <w:t>La adjudicación extingue deuda hasta el valor aplicado. Si queda saldo continúa la ejecución; si hay exceso se liquida conforme a derecho.</w:t>
      </w:r>
    </w:p>
    <w:p>
      <w:pPr>
        <w:jc w:val="both"/>
      </w:pPr>
      <w:r>
        <w:rPr>
          <w:rFonts w:ascii="Arial" w:hAnsi="Arial" w:cs="Arial"/>
          <w:sz w:val="22"/>
        </w:rPr>
        <w:t xml:space="preserve">El valor de adjudicación es igual al débito perseguido, pero no puede exceder del </w:t>
      </w:r>
      <w:r>
        <w:rPr>
          <w:rFonts w:ascii="Arial" w:hAnsi="Arial" w:cs="Arial"/>
          <w:b/>
          <w:sz w:val="22"/>
        </w:rPr>
        <w:t>80 % del valor que sirvió de tipo para la enajenación</w:t>
      </w:r>
      <w:r>
        <w:rPr>
          <w:rFonts w:ascii="Arial" w:hAnsi="Arial" w:cs="Arial"/>
          <w:sz w:val="22"/>
        </w:rPr>
        <w:t>. En inmuebles decide el Director General de la TGSS, a propuesta del Director Provincial y previo informe del servicio jurídico, cuando se justifique la conveniencia para uso administrativo o explotación patrimonial. En muebles puede acordarla el Director Provincial, consultando en su caso al posible órgano usuario. Esta distribución competencial es un distractor habitual: no toda adjudicación a la Tesorería corresponde al mismo órgano.</w:t>
      </w:r>
    </w:p>
    <w:p>
      <w:pPr>
        <w:pStyle w:val="Heading1"/>
        <w:keepNext/>
      </w:pPr>
      <w:r>
        <w:rPr>
          <w:rFonts w:ascii="Arial" w:hAnsi="Arial" w:cs="Arial"/>
          <w:sz w:val="30"/>
        </w:rPr>
        <w:t>20. Costas</w:t>
      </w:r>
    </w:p>
    <w:p>
      <w:pPr>
        <w:jc w:val="both"/>
      </w:pPr>
      <w:r>
        <w:rPr>
          <w:rFonts w:ascii="Arial" w:hAnsi="Arial" w:cs="Arial"/>
          <w:sz w:val="22"/>
        </w:rPr>
        <w:t>Son gastos imprescindibles del apremio, como valoraciones, depósitos, transportes, anuncios y actuaciones autorizadas. No se incluyen gastos ordinarios de la Administración.</w:t>
      </w:r>
    </w:p>
    <w:p>
      <w:pPr>
        <w:jc w:val="both"/>
      </w:pPr>
      <w:r>
        <w:rPr>
          <w:rFonts w:ascii="Arial" w:hAnsi="Arial" w:cs="Arial"/>
          <w:sz w:val="22"/>
        </w:rPr>
        <w:t>Cada partida debe estar justificada en el expediente. Sin recibo o justificante no se exige. Si se anula liquidación o apremio, procede devolver costas satisfechas.</w:t>
      </w:r>
    </w:p>
    <w:p>
      <w:pPr>
        <w:pStyle w:val="Heading1"/>
        <w:keepNext/>
      </w:pPr>
      <w:r>
        <w:rPr>
          <w:rFonts w:ascii="Arial" w:hAnsi="Arial" w:cs="Arial"/>
          <w:sz w:val="30"/>
        </w:rPr>
        <w:t>21. Terminación</w:t>
      </w:r>
    </w:p>
    <w:p>
      <w:pPr>
        <w:jc w:val="both"/>
      </w:pPr>
      <w:r>
        <w:rPr>
          <w:rFonts w:ascii="Arial" w:hAnsi="Arial" w:cs="Arial"/>
          <w:sz w:val="22"/>
        </w:rPr>
        <w:t>El procedimiento termina por:</w:t>
      </w:r>
    </w:p>
    <w:p>
      <w:pPr>
        <w:pStyle w:val="ListBullet"/>
      </w:pPr>
      <w:r>
        <w:rPr>
          <w:rFonts w:ascii="Arial" w:hAnsi="Arial" w:cs="Arial"/>
          <w:sz w:val="22"/>
        </w:rPr>
        <w:t>pago o extinción completa;</w:t>
      </w:r>
    </w:p>
    <w:p>
      <w:pPr>
        <w:pStyle w:val="ListBullet"/>
      </w:pPr>
      <w:r>
        <w:rPr>
          <w:rFonts w:ascii="Arial" w:hAnsi="Arial" w:cs="Arial"/>
          <w:sz w:val="22"/>
        </w:rPr>
        <w:t>acuerdo de compensación;</w:t>
      </w:r>
    </w:p>
    <w:p>
      <w:pPr>
        <w:pStyle w:val="ListBullet"/>
      </w:pPr>
      <w:r>
        <w:rPr>
          <w:rFonts w:ascii="Arial" w:hAnsi="Arial" w:cs="Arial"/>
          <w:sz w:val="22"/>
        </w:rPr>
        <w:t>anulación de deuda o providencia;</w:t>
      </w:r>
    </w:p>
    <w:p>
      <w:pPr>
        <w:pStyle w:val="ListBullet"/>
      </w:pPr>
      <w:r>
        <w:rPr>
          <w:rFonts w:ascii="Arial" w:hAnsi="Arial" w:cs="Arial"/>
          <w:sz w:val="22"/>
        </w:rPr>
        <w:t>adjudicación y aplicación suficiente;</w:t>
      </w:r>
    </w:p>
    <w:p>
      <w:pPr>
        <w:pStyle w:val="ListBullet"/>
      </w:pPr>
      <w:r>
        <w:rPr>
          <w:rFonts w:ascii="Arial" w:hAnsi="Arial" w:cs="Arial"/>
          <w:sz w:val="22"/>
        </w:rPr>
        <w:t>prescripción;</w:t>
      </w:r>
    </w:p>
    <w:p>
      <w:pPr>
        <w:pStyle w:val="ListBullet"/>
      </w:pPr>
      <w:r>
        <w:rPr>
          <w:rFonts w:ascii="Arial" w:hAnsi="Arial" w:cs="Arial"/>
          <w:sz w:val="22"/>
        </w:rPr>
        <w:t>declaración de crédito incobrable, sin extinción definitiva inmediata;</w:t>
      </w:r>
    </w:p>
    <w:p>
      <w:pPr>
        <w:pStyle w:val="ListBullet"/>
      </w:pPr>
      <w:r>
        <w:rPr>
          <w:rFonts w:ascii="Arial" w:hAnsi="Arial" w:cs="Arial"/>
          <w:sz w:val="22"/>
        </w:rPr>
        <w:t>otras causas legales.</w:t>
      </w:r>
    </w:p>
    <w:p>
      <w:pPr>
        <w:jc w:val="both"/>
      </w:pPr>
      <w:r>
        <w:rPr>
          <w:rFonts w:ascii="Arial" w:hAnsi="Arial" w:cs="Arial"/>
          <w:sz w:val="22"/>
        </w:rPr>
        <w:t>El pago antes de adjudicación libera bienes; después debe atenderse a derechos del adjudicatario.</w:t>
      </w:r>
    </w:p>
    <w:p>
      <w:pPr>
        <w:pStyle w:val="Heading1"/>
        <w:keepNext/>
      </w:pPr>
      <w:r>
        <w:rPr>
          <w:rFonts w:ascii="Arial" w:hAnsi="Arial" w:cs="Arial"/>
          <w:sz w:val="30"/>
        </w:rPr>
        <w:t>22. Créditos incobrables</w:t>
      </w:r>
    </w:p>
    <w:p>
      <w:pPr>
        <w:pStyle w:val="Heading2"/>
        <w:keepNext/>
      </w:pPr>
      <w:r>
        <w:rPr>
          <w:rFonts w:ascii="Arial" w:hAnsi="Arial" w:cs="Arial"/>
          <w:sz w:val="25"/>
        </w:rPr>
        <w:t>22.1. Calificación</w:t>
      </w:r>
    </w:p>
    <w:p>
      <w:pPr>
        <w:jc w:val="both"/>
      </w:pPr>
      <w:r>
        <w:rPr>
          <w:rFonts w:ascii="Arial" w:hAnsi="Arial" w:cs="Arial"/>
          <w:sz w:val="22"/>
        </w:rPr>
        <w:t>Se califican incobrables créditos no realizados totalmente después de agotar apremio contra bienes conocidos y embargables, aunque estos no hayan sido adjudicados. También cuando los únicos bienes producirían ingresos notoriamente insuficientes, sin perjuicio de rehabilitaciones.</w:t>
      </w:r>
    </w:p>
    <w:p>
      <w:pPr>
        <w:jc w:val="both"/>
      </w:pPr>
      <w:r>
        <w:rPr>
          <w:rFonts w:ascii="Arial" w:hAnsi="Arial" w:cs="Arial"/>
          <w:sz w:val="22"/>
        </w:rPr>
        <w:t>No procede calificación mientras el responsable ejerza una actividad que determine inclusión y alta de trabajadores.</w:t>
      </w:r>
    </w:p>
    <w:p>
      <w:pPr>
        <w:jc w:val="both"/>
      </w:pPr>
      <w:r>
        <w:rPr>
          <w:rFonts w:ascii="Arial" w:hAnsi="Arial" w:cs="Arial"/>
          <w:sz w:val="22"/>
        </w:rPr>
        <w:t>La competencia corresponde al Director Provincial u órgano delegado, a propuesta del recaudador con informes.</w:t>
      </w:r>
    </w:p>
    <w:p>
      <w:pPr>
        <w:pStyle w:val="Heading2"/>
        <w:keepNext/>
      </w:pPr>
      <w:r>
        <w:rPr>
          <w:rFonts w:ascii="Arial" w:hAnsi="Arial" w:cs="Arial"/>
          <w:sz w:val="25"/>
        </w:rPr>
        <w:t>22.2. Efectos</w:t>
      </w:r>
    </w:p>
    <w:p>
      <w:pPr>
        <w:jc w:val="both"/>
      </w:pPr>
      <w:r>
        <w:rPr>
          <w:rFonts w:ascii="Arial" w:hAnsi="Arial" w:cs="Arial"/>
          <w:sz w:val="22"/>
        </w:rPr>
        <w:t>La calificación:</w:t>
      </w:r>
    </w:p>
    <w:p>
      <w:pPr>
        <w:pStyle w:val="ListBullet"/>
      </w:pPr>
      <w:r>
        <w:rPr>
          <w:rFonts w:ascii="Arial" w:hAnsi="Arial" w:cs="Arial"/>
          <w:sz w:val="22"/>
        </w:rPr>
        <w:t>da de baja el crédito en cuentas;</w:t>
      </w:r>
    </w:p>
    <w:p>
      <w:pPr>
        <w:pStyle w:val="ListBullet"/>
      </w:pPr>
      <w:r>
        <w:rPr>
          <w:rFonts w:ascii="Arial" w:hAnsi="Arial" w:cs="Arial"/>
          <w:sz w:val="22"/>
        </w:rPr>
        <w:t>data títulos ejecutivos;</w:t>
      </w:r>
    </w:p>
    <w:p>
      <w:pPr>
        <w:pStyle w:val="ListBullet"/>
      </w:pPr>
      <w:r>
        <w:rPr>
          <w:rFonts w:ascii="Arial" w:hAnsi="Arial" w:cs="Arial"/>
          <w:sz w:val="22"/>
        </w:rPr>
        <w:t>no extingue obligación;</w:t>
      </w:r>
    </w:p>
    <w:p>
      <w:pPr>
        <w:pStyle w:val="ListBullet"/>
      </w:pPr>
      <w:r>
        <w:rPr>
          <w:rFonts w:ascii="Arial" w:hAnsi="Arial" w:cs="Arial"/>
          <w:sz w:val="22"/>
        </w:rPr>
        <w:t>no libera patrimonio;</w:t>
      </w:r>
    </w:p>
    <w:p>
      <w:pPr>
        <w:pStyle w:val="ListBullet"/>
      </w:pPr>
      <w:r>
        <w:rPr>
          <w:rFonts w:ascii="Arial" w:hAnsi="Arial" w:cs="Arial"/>
          <w:sz w:val="22"/>
        </w:rPr>
        <w:t>obliga a vigilar nuevas adquisiciones.</w:t>
      </w:r>
    </w:p>
    <w:p>
      <w:pPr>
        <w:jc w:val="both"/>
      </w:pPr>
      <w:r>
        <w:rPr>
          <w:rFonts w:ascii="Arial" w:hAnsi="Arial" w:cs="Arial"/>
          <w:sz w:val="22"/>
        </w:rPr>
        <w:t xml:space="preserve">Si aparecen bienes, se rehabilita el crédito y se continúa el apremio </w:t>
      </w:r>
      <w:r>
        <w:rPr>
          <w:rFonts w:ascii="Arial" w:hAnsi="Arial" w:cs="Arial"/>
          <w:b/>
          <w:sz w:val="22"/>
        </w:rPr>
        <w:t>sin trámite previo</w:t>
      </w:r>
      <w:r>
        <w:rPr>
          <w:rFonts w:ascii="Arial" w:hAnsi="Arial" w:cs="Arial"/>
          <w:sz w:val="22"/>
        </w:rPr>
        <w:t>.</w:t>
      </w:r>
    </w:p>
    <w:p>
      <w:pPr>
        <w:pStyle w:val="Heading2"/>
        <w:keepNext/>
      </w:pPr>
      <w:r>
        <w:rPr>
          <w:rFonts w:ascii="Arial" w:hAnsi="Arial" w:cs="Arial"/>
          <w:sz w:val="25"/>
        </w:rPr>
        <w:t>22.3. Extinción definitiva</w:t>
      </w:r>
    </w:p>
    <w:p>
      <w:pPr>
        <w:jc w:val="both"/>
      </w:pPr>
      <w:r>
        <w:rPr>
          <w:rFonts w:ascii="Arial" w:hAnsi="Arial" w:cs="Arial"/>
          <w:sz w:val="22"/>
        </w:rPr>
        <w:t>Solo se extingue la acción de cobro si transcurre el plazo de prescripción sin rehabilitación. «Incobrable» es una calificación provisional de insolvencia, no condonación.</w:t>
      </w:r>
    </w:p>
    <w:p>
      <w:pPr>
        <w:pStyle w:val="Heading1"/>
        <w:keepNext/>
      </w:pPr>
      <w:r>
        <w:rPr>
          <w:rFonts w:ascii="Arial" w:hAnsi="Arial" w:cs="Arial"/>
          <w:sz w:val="30"/>
        </w:rPr>
        <w:t>23. Tercerías</w:t>
      </w:r>
    </w:p>
    <w:p>
      <w:pPr>
        <w:pStyle w:val="Heading2"/>
        <w:keepNext/>
      </w:pPr>
      <w:r>
        <w:rPr>
          <w:rFonts w:ascii="Arial" w:hAnsi="Arial" w:cs="Arial"/>
          <w:sz w:val="25"/>
        </w:rPr>
        <w:t>23.1. Concepto y clases</w:t>
      </w:r>
    </w:p>
    <w:p>
      <w:pPr>
        <w:jc w:val="both"/>
      </w:pPr>
      <w:r>
        <w:rPr>
          <w:rFonts w:ascii="Arial" w:hAnsi="Arial" w:cs="Arial"/>
          <w:sz w:val="22"/>
        </w:rPr>
        <w:t>Una persona distinta del deudor alega:</w:t>
      </w:r>
    </w:p>
    <w:p>
      <w:pPr>
        <w:pStyle w:val="ListBullet"/>
      </w:pPr>
      <w:r>
        <w:rPr>
          <w:rFonts w:ascii="Arial" w:hAnsi="Arial" w:cs="Arial"/>
          <w:b/>
          <w:sz w:val="22"/>
        </w:rPr>
        <w:t>tercería de dominio</w:t>
      </w:r>
      <w:r>
        <w:rPr>
          <w:rFonts w:ascii="Arial" w:hAnsi="Arial" w:cs="Arial"/>
          <w:sz w:val="22"/>
        </w:rPr>
        <w:t>: el bien embargado le pertenece;</w:t>
      </w:r>
    </w:p>
    <w:p>
      <w:pPr>
        <w:pStyle w:val="ListBullet"/>
      </w:pPr>
      <w:r>
        <w:rPr>
          <w:rFonts w:ascii="Arial" w:hAnsi="Arial" w:cs="Arial"/>
          <w:b/>
          <w:sz w:val="22"/>
        </w:rPr>
        <w:t>tercería de mejor derecho</w:t>
      </w:r>
      <w:r>
        <w:rPr>
          <w:rFonts w:ascii="Arial" w:hAnsi="Arial" w:cs="Arial"/>
          <w:sz w:val="22"/>
        </w:rPr>
        <w:t>: su crédito debe cobrarse antes que el de TGSS.</w:t>
      </w:r>
    </w:p>
    <w:p>
      <w:pPr>
        <w:jc w:val="both"/>
      </w:pPr>
      <w:r>
        <w:rPr>
          <w:rFonts w:ascii="Arial" w:hAnsi="Arial" w:cs="Arial"/>
          <w:sz w:val="22"/>
        </w:rPr>
        <w:t>La reclamación previa ante TGSS es requisito para acudir al orden civil. Solo puede basarse en esas dos causas.</w:t>
      </w:r>
    </w:p>
    <w:p>
      <w:pPr>
        <w:pStyle w:val="Heading2"/>
        <w:keepNext/>
      </w:pPr>
      <w:r>
        <w:rPr>
          <w:rFonts w:ascii="Arial" w:hAnsi="Arial" w:cs="Arial"/>
          <w:sz w:val="25"/>
        </w:rPr>
        <w:t>23.2. Presentación</w:t>
      </w:r>
    </w:p>
    <w:p>
      <w:pPr>
        <w:jc w:val="both"/>
      </w:pPr>
      <w:r>
        <w:rPr>
          <w:rFonts w:ascii="Arial" w:hAnsi="Arial" w:cs="Arial"/>
          <w:sz w:val="22"/>
        </w:rPr>
        <w:t xml:space="preserve">Se presenta por escrito ante la URE, con documentos originales del derecho. Si faltan, se conceden </w:t>
      </w:r>
      <w:r>
        <w:rPr>
          <w:rFonts w:ascii="Arial" w:hAnsi="Arial" w:cs="Arial"/>
          <w:b/>
          <w:sz w:val="22"/>
        </w:rPr>
        <w:t>diez días</w:t>
      </w:r>
      <w:r>
        <w:rPr>
          <w:rFonts w:ascii="Arial" w:hAnsi="Arial" w:cs="Arial"/>
          <w:sz w:val="22"/>
        </w:rPr>
        <w:t>; sin aportación se tiene por desistido.</w:t>
      </w:r>
    </w:p>
    <w:p>
      <w:pPr>
        <w:jc w:val="both"/>
      </w:pPr>
      <w:r>
        <w:rPr>
          <w:rFonts w:ascii="Arial" w:hAnsi="Arial" w:cs="Arial"/>
          <w:sz w:val="22"/>
        </w:rPr>
        <w:t>No se admite si se interpone después de:</w:t>
      </w:r>
    </w:p>
    <w:p>
      <w:pPr>
        <w:pStyle w:val="ListBullet"/>
      </w:pPr>
      <w:r>
        <w:rPr>
          <w:rFonts w:ascii="Arial" w:hAnsi="Arial" w:cs="Arial"/>
          <w:sz w:val="22"/>
        </w:rPr>
        <w:t>documento público de venta;</w:t>
      </w:r>
    </w:p>
    <w:p>
      <w:pPr>
        <w:pStyle w:val="ListBullet"/>
      </w:pPr>
      <w:r>
        <w:rPr>
          <w:rFonts w:ascii="Arial" w:hAnsi="Arial" w:cs="Arial"/>
          <w:sz w:val="22"/>
        </w:rPr>
        <w:t>entrega de mueble;</w:t>
      </w:r>
    </w:p>
    <w:p>
      <w:pPr>
        <w:pStyle w:val="ListBullet"/>
      </w:pPr>
      <w:r>
        <w:rPr>
          <w:rFonts w:ascii="Arial" w:hAnsi="Arial" w:cs="Arial"/>
          <w:sz w:val="22"/>
        </w:rPr>
        <w:t>adjudicación a TGSS;</w:t>
      </w:r>
    </w:p>
    <w:p>
      <w:pPr>
        <w:pStyle w:val="ListBullet"/>
      </w:pPr>
      <w:r>
        <w:rPr>
          <w:rFonts w:ascii="Arial" w:hAnsi="Arial" w:cs="Arial"/>
          <w:sz w:val="22"/>
        </w:rPr>
        <w:t>en mejor derecho, recepción del precio por la URE.</w:t>
      </w:r>
    </w:p>
    <w:p>
      <w:pPr>
        <w:jc w:val="both"/>
      </w:pPr>
      <w:r>
        <w:rPr>
          <w:rFonts w:ascii="Arial" w:hAnsi="Arial" w:cs="Arial"/>
          <w:sz w:val="22"/>
        </w:rPr>
        <w:t>Tampoco una segunda tercería basada en títulos ya poseídos al formular la primera.</w:t>
      </w:r>
    </w:p>
    <w:p>
      <w:pPr>
        <w:pStyle w:val="Heading2"/>
        <w:keepNext/>
      </w:pPr>
      <w:r>
        <w:rPr>
          <w:rFonts w:ascii="Arial" w:hAnsi="Arial" w:cs="Arial"/>
          <w:sz w:val="25"/>
        </w:rPr>
        <w:t>23.3. Efectos de la tercería de dominio</w:t>
      </w:r>
    </w:p>
    <w:p>
      <w:pPr>
        <w:jc w:val="both"/>
      </w:pPr>
      <w:r>
        <w:rPr>
          <w:rFonts w:ascii="Arial" w:hAnsi="Arial" w:cs="Arial"/>
          <w:sz w:val="22"/>
        </w:rPr>
        <w:t xml:space="preserve">Se aseguran bienes y se suspende el apremio </w:t>
      </w:r>
      <w:r>
        <w:rPr>
          <w:rFonts w:ascii="Arial" w:hAnsi="Arial" w:cs="Arial"/>
          <w:b/>
          <w:sz w:val="22"/>
        </w:rPr>
        <w:t>solo respecto del bien controvertido</w:t>
      </w:r>
      <w:r>
        <w:rPr>
          <w:rFonts w:ascii="Arial" w:hAnsi="Arial" w:cs="Arial"/>
          <w:sz w:val="22"/>
        </w:rPr>
        <w:t>. Continúa sobre otros. Si el bien se deteriora, puede proponerse enajenación.</w:t>
      </w:r>
    </w:p>
    <w:p>
      <w:pPr>
        <w:jc w:val="both"/>
      </w:pPr>
      <w:r>
        <w:rPr>
          <w:rFonts w:ascii="Arial" w:hAnsi="Arial" w:cs="Arial"/>
          <w:sz w:val="22"/>
        </w:rPr>
        <w:t>Si se estima, se alza embargo y continúa sobre otros bienes.</w:t>
      </w:r>
    </w:p>
    <w:p>
      <w:pPr>
        <w:pStyle w:val="Heading2"/>
        <w:keepNext/>
      </w:pPr>
      <w:r>
        <w:rPr>
          <w:rFonts w:ascii="Arial" w:hAnsi="Arial" w:cs="Arial"/>
          <w:sz w:val="25"/>
        </w:rPr>
        <w:t>23.4. Efectos de la tercería de mejor derecho</w:t>
      </w:r>
    </w:p>
    <w:p>
      <w:pPr>
        <w:jc w:val="both"/>
      </w:pPr>
      <w:r>
        <w:rPr>
          <w:rFonts w:ascii="Arial" w:hAnsi="Arial" w:cs="Arial"/>
          <w:sz w:val="22"/>
        </w:rPr>
        <w:t>El procedimiento continúa hasta realización. El producto queda pendiente de prioridad. Se da audiencia al apremiado sobre existencia y cuantía del crédito.</w:t>
      </w:r>
    </w:p>
    <w:p>
      <w:pPr>
        <w:jc w:val="both"/>
      </w:pPr>
      <w:r>
        <w:rPr>
          <w:rFonts w:ascii="Arial" w:hAnsi="Arial" w:cs="Arial"/>
          <w:sz w:val="22"/>
        </w:rPr>
        <w:t>Si se estima, se entrega al tercerista hasta cubrir crédito preferente.</w:t>
      </w:r>
    </w:p>
    <w:p>
      <w:pPr>
        <w:pStyle w:val="Heading2"/>
        <w:keepNext/>
      </w:pPr>
      <w:r>
        <w:rPr>
          <w:rFonts w:ascii="Arial" w:hAnsi="Arial" w:cs="Arial"/>
          <w:sz w:val="25"/>
        </w:rPr>
        <w:t>23.5. Resolución</w:t>
      </w:r>
    </w:p>
    <w:p>
      <w:pPr>
        <w:jc w:val="both"/>
      </w:pPr>
      <w:r>
        <w:rPr>
          <w:rFonts w:ascii="Arial" w:hAnsi="Arial" w:cs="Arial"/>
          <w:sz w:val="22"/>
        </w:rPr>
        <w:t xml:space="preserve">Resuelve el </w:t>
      </w:r>
      <w:r>
        <w:rPr>
          <w:rFonts w:ascii="Arial" w:hAnsi="Arial" w:cs="Arial"/>
          <w:b/>
          <w:sz w:val="22"/>
        </w:rPr>
        <w:t>Director Provincial de la TGSS</w:t>
      </w:r>
      <w:r>
        <w:rPr>
          <w:rFonts w:ascii="Arial" w:hAnsi="Arial" w:cs="Arial"/>
          <w:sz w:val="22"/>
        </w:rPr>
        <w:t xml:space="preserve"> en máximo </w:t>
      </w:r>
      <w:r>
        <w:rPr>
          <w:rFonts w:ascii="Arial" w:hAnsi="Arial" w:cs="Arial"/>
          <w:b/>
          <w:sz w:val="22"/>
        </w:rPr>
        <w:t>tres meses</w:t>
      </w:r>
      <w:r>
        <w:rPr>
          <w:rFonts w:ascii="Arial" w:hAnsi="Arial" w:cs="Arial"/>
          <w:sz w:val="22"/>
        </w:rPr>
        <w:t xml:space="preserve"> desde promoción. El silencio permite entender desestimada para demandar ante orden civil.</w:t>
      </w:r>
    </w:p>
    <w:p>
      <w:pPr>
        <w:jc w:val="both"/>
      </w:pPr>
      <w:r>
        <w:rPr>
          <w:rFonts w:ascii="Arial" w:hAnsi="Arial" w:cs="Arial"/>
          <w:sz w:val="22"/>
        </w:rPr>
        <w:t xml:space="preserve">Transcurridos </w:t>
      </w:r>
      <w:r>
        <w:rPr>
          <w:rFonts w:ascii="Arial" w:hAnsi="Arial" w:cs="Arial"/>
          <w:b/>
          <w:sz w:val="22"/>
        </w:rPr>
        <w:t>veinte días</w:t>
      </w:r>
      <w:r>
        <w:rPr>
          <w:rFonts w:ascii="Arial" w:hAnsi="Arial" w:cs="Arial"/>
          <w:sz w:val="22"/>
        </w:rPr>
        <w:t xml:space="preserve"> desde notificación o desestimación presunta, continúa lo suspendido salvo que el tercerista pruebe demanda civil.</w:t>
      </w:r>
    </w:p>
    <w:p>
      <w:pPr>
        <w:pStyle w:val="Heading1"/>
        <w:keepNext/>
      </w:pPr>
      <w:r>
        <w:rPr>
          <w:rFonts w:ascii="Arial" w:hAnsi="Arial" w:cs="Arial"/>
          <w:sz w:val="30"/>
        </w:rPr>
        <w:t>24. Cuadro comparativo</w:t>
      </w:r>
    </w:p>
    <w:tbl>
      <w:tblPr>
        <w:tblStyle w:val="TableGrid"/>
        <w:tblW w:type="dxa" w:w="9026"/>
        <w:jc w:val="left"/>
        <w:tblLayout w:type="fixed"/>
        <w:tblLook w:firstColumn="1" w:firstRow="1" w:lastColumn="0" w:lastRow="0" w:noHBand="0" w:noVBand="1" w:val="04A0"/>
        <w:tblInd w:w="120" w:type="dxa"/>
      </w:tblPr>
      <w:tblGrid>
        <w:gridCol w:w="2392"/>
        <w:gridCol w:w="2936"/>
        <w:gridCol w:w="3698"/>
      </w:tblGrid>
      <w:tr>
        <w:trPr>
          <w:tblHeader w:val="true"/>
        </w:trPr>
        <w:tc>
          <w:tcPr>
            <w:tcW w:type="dxa" w:w="239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Institución</w:t>
            </w:r>
          </w:p>
        </w:tc>
        <w:tc>
          <w:tcPr>
            <w:tcW w:type="dxa" w:w="293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Órgano</w:t>
            </w:r>
          </w:p>
        </w:tc>
        <w:tc>
          <w:tcPr>
            <w:tcW w:type="dxa" w:w="369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Efecto</w:t>
            </w:r>
          </w:p>
        </w:tc>
      </w:tr>
      <w:tr>
        <w:tc>
          <w:tcPr>
            <w:tcW w:type="dxa" w:w="2392"/>
            <w:tcMar>
              <w:top w:w="80" w:type="dxa"/>
              <w:start w:w="120" w:type="dxa"/>
              <w:bottom w:w="80" w:type="dxa"/>
              <w:end w:w="120" w:type="dxa"/>
            </w:tcMar>
            <w:vAlign w:val="center"/>
          </w:tcPr>
          <w:p>
            <w:pPr>
              <w:spacing w:before="0" w:after="0" w:line="240" w:lineRule="auto"/>
              <w:jc w:val="left"/>
            </w:pPr>
            <w:r/>
            <w:r>
              <w:rPr>
                <w:rFonts w:ascii="Arial" w:hAnsi="Arial" w:cs="Arial"/>
                <w:sz w:val="18"/>
              </w:rPr>
              <w:t>Providencia</w:t>
            </w:r>
          </w:p>
        </w:tc>
        <w:tc>
          <w:tcPr>
            <w:tcW w:type="dxa" w:w="2936"/>
            <w:tcMar>
              <w:top w:w="80" w:type="dxa"/>
              <w:start w:w="120" w:type="dxa"/>
              <w:bottom w:w="80" w:type="dxa"/>
              <w:end w:w="120" w:type="dxa"/>
            </w:tcMar>
            <w:vAlign w:val="center"/>
          </w:tcPr>
          <w:p>
            <w:pPr>
              <w:spacing w:before="0" w:after="0" w:line="240" w:lineRule="auto"/>
              <w:jc w:val="center"/>
            </w:pPr>
            <w:r/>
            <w:r>
              <w:rPr>
                <w:rFonts w:ascii="Arial" w:hAnsi="Arial" w:cs="Arial"/>
                <w:sz w:val="18"/>
              </w:rPr>
              <w:t>TGSS</w:t>
            </w:r>
          </w:p>
        </w:tc>
        <w:tc>
          <w:tcPr>
            <w:tcW w:type="dxa" w:w="3698"/>
            <w:tcMar>
              <w:top w:w="80" w:type="dxa"/>
              <w:start w:w="120" w:type="dxa"/>
              <w:bottom w:w="80" w:type="dxa"/>
              <w:end w:w="120" w:type="dxa"/>
            </w:tcMar>
            <w:vAlign w:val="center"/>
          </w:tcPr>
          <w:p>
            <w:pPr>
              <w:spacing w:before="0" w:after="0" w:line="240" w:lineRule="auto"/>
              <w:jc w:val="left"/>
            </w:pPr>
            <w:r/>
            <w:r>
              <w:rPr>
                <w:rFonts w:ascii="Arial" w:hAnsi="Arial" w:cs="Arial"/>
                <w:sz w:val="18"/>
              </w:rPr>
              <w:t>Inicia apremio; título ejecutivo</w:t>
            </w:r>
          </w:p>
        </w:tc>
      </w:tr>
      <w:tr>
        <w:tc>
          <w:tcPr>
            <w:tcW w:type="dxa" w:w="2392"/>
            <w:tcMar>
              <w:top w:w="80" w:type="dxa"/>
              <w:start w:w="120" w:type="dxa"/>
              <w:bottom w:w="80" w:type="dxa"/>
              <w:end w:w="120" w:type="dxa"/>
            </w:tcMar>
            <w:vAlign w:val="center"/>
          </w:tcPr>
          <w:p>
            <w:pPr>
              <w:spacing w:before="0" w:after="0" w:line="240" w:lineRule="auto"/>
              <w:jc w:val="left"/>
            </w:pPr>
            <w:r/>
            <w:r>
              <w:rPr>
                <w:rFonts w:ascii="Arial" w:hAnsi="Arial" w:cs="Arial"/>
                <w:sz w:val="18"/>
              </w:rPr>
              <w:t>Recurso tasado</w:t>
            </w:r>
          </w:p>
        </w:tc>
        <w:tc>
          <w:tcPr>
            <w:tcW w:type="dxa" w:w="2936"/>
            <w:tcMar>
              <w:top w:w="80" w:type="dxa"/>
              <w:start w:w="120" w:type="dxa"/>
              <w:bottom w:w="80" w:type="dxa"/>
              <w:end w:w="120" w:type="dxa"/>
            </w:tcMar>
            <w:vAlign w:val="center"/>
          </w:tcPr>
          <w:p>
            <w:pPr>
              <w:spacing w:before="0" w:after="0" w:line="240" w:lineRule="auto"/>
              <w:jc w:val="left"/>
            </w:pPr>
            <w:r/>
            <w:r>
              <w:rPr>
                <w:rFonts w:ascii="Arial" w:hAnsi="Arial" w:cs="Arial"/>
                <w:sz w:val="18"/>
              </w:rPr>
              <w:t>Superior jerárquico</w:t>
            </w:r>
          </w:p>
        </w:tc>
        <w:tc>
          <w:tcPr>
            <w:tcW w:type="dxa" w:w="3698"/>
            <w:tcMar>
              <w:top w:w="80" w:type="dxa"/>
              <w:start w:w="120" w:type="dxa"/>
              <w:bottom w:w="80" w:type="dxa"/>
              <w:end w:w="120" w:type="dxa"/>
            </w:tcMar>
            <w:vAlign w:val="center"/>
          </w:tcPr>
          <w:p>
            <w:pPr>
              <w:spacing w:before="0" w:after="0" w:line="240" w:lineRule="auto"/>
              <w:jc w:val="left"/>
            </w:pPr>
            <w:r/>
            <w:r>
              <w:rPr>
                <w:rFonts w:ascii="Arial" w:hAnsi="Arial" w:cs="Arial"/>
                <w:sz w:val="18"/>
              </w:rPr>
              <w:t>Suspende sin garantía</w:t>
            </w:r>
          </w:p>
        </w:tc>
      </w:tr>
      <w:tr>
        <w:tc>
          <w:tcPr>
            <w:tcW w:type="dxa" w:w="2392"/>
            <w:tcMar>
              <w:top w:w="80" w:type="dxa"/>
              <w:start w:w="120" w:type="dxa"/>
              <w:bottom w:w="80" w:type="dxa"/>
              <w:end w:w="120" w:type="dxa"/>
            </w:tcMar>
            <w:vAlign w:val="center"/>
          </w:tcPr>
          <w:p>
            <w:pPr>
              <w:spacing w:before="0" w:after="0" w:line="240" w:lineRule="auto"/>
              <w:jc w:val="left"/>
            </w:pPr>
            <w:r/>
            <w:r>
              <w:rPr>
                <w:rFonts w:ascii="Arial" w:hAnsi="Arial" w:cs="Arial"/>
                <w:sz w:val="18"/>
              </w:rPr>
              <w:t>Diligencia de embargo</w:t>
            </w:r>
          </w:p>
        </w:tc>
        <w:tc>
          <w:tcPr>
            <w:tcW w:type="dxa" w:w="2936"/>
            <w:tcMar>
              <w:top w:w="80" w:type="dxa"/>
              <w:start w:w="120" w:type="dxa"/>
              <w:bottom w:w="80" w:type="dxa"/>
              <w:end w:w="120" w:type="dxa"/>
            </w:tcMar>
            <w:vAlign w:val="center"/>
          </w:tcPr>
          <w:p>
            <w:pPr>
              <w:spacing w:before="0" w:after="0" w:line="240" w:lineRule="auto"/>
              <w:jc w:val="center"/>
            </w:pPr>
            <w:r/>
            <w:r>
              <w:rPr>
                <w:rFonts w:ascii="Arial" w:hAnsi="Arial" w:cs="Arial"/>
                <w:sz w:val="18"/>
              </w:rPr>
              <w:t>URE</w:t>
            </w:r>
          </w:p>
        </w:tc>
        <w:tc>
          <w:tcPr>
            <w:tcW w:type="dxa" w:w="3698"/>
            <w:tcMar>
              <w:top w:w="80" w:type="dxa"/>
              <w:start w:w="120" w:type="dxa"/>
              <w:bottom w:w="80" w:type="dxa"/>
              <w:end w:w="120" w:type="dxa"/>
            </w:tcMar>
            <w:vAlign w:val="center"/>
          </w:tcPr>
          <w:p>
            <w:pPr>
              <w:spacing w:before="0" w:after="0" w:line="240" w:lineRule="auto"/>
              <w:jc w:val="left"/>
            </w:pPr>
            <w:r/>
            <w:r>
              <w:rPr>
                <w:rFonts w:ascii="Arial" w:hAnsi="Arial" w:cs="Arial"/>
                <w:sz w:val="18"/>
              </w:rPr>
              <w:t>Traba bien concreto</w:t>
            </w:r>
          </w:p>
        </w:tc>
      </w:tr>
      <w:tr>
        <w:tc>
          <w:tcPr>
            <w:tcW w:type="dxa" w:w="2392"/>
            <w:tcMar>
              <w:top w:w="80" w:type="dxa"/>
              <w:start w:w="120" w:type="dxa"/>
              <w:bottom w:w="80" w:type="dxa"/>
              <w:end w:w="120" w:type="dxa"/>
            </w:tcMar>
            <w:vAlign w:val="center"/>
          </w:tcPr>
          <w:p>
            <w:pPr>
              <w:spacing w:before="0" w:after="0" w:line="240" w:lineRule="auto"/>
              <w:jc w:val="left"/>
            </w:pPr>
            <w:r/>
            <w:r>
              <w:rPr>
                <w:rFonts w:ascii="Arial" w:hAnsi="Arial" w:cs="Arial"/>
                <w:sz w:val="18"/>
              </w:rPr>
              <w:t>Subasta</w:t>
            </w:r>
          </w:p>
        </w:tc>
        <w:tc>
          <w:tcPr>
            <w:tcW w:type="dxa" w:w="2936"/>
            <w:tcMar>
              <w:top w:w="80" w:type="dxa"/>
              <w:start w:w="120" w:type="dxa"/>
              <w:bottom w:w="80" w:type="dxa"/>
              <w:end w:w="120" w:type="dxa"/>
            </w:tcMar>
            <w:vAlign w:val="center"/>
          </w:tcPr>
          <w:p>
            <w:pPr>
              <w:spacing w:before="0" w:after="0" w:line="240" w:lineRule="auto"/>
              <w:jc w:val="left"/>
            </w:pPr>
            <w:r/>
            <w:r>
              <w:rPr>
                <w:rFonts w:ascii="Arial" w:hAnsi="Arial" w:cs="Arial"/>
                <w:sz w:val="18"/>
              </w:rPr>
              <w:t>Dirección Provincial/mesa</w:t>
            </w:r>
          </w:p>
        </w:tc>
        <w:tc>
          <w:tcPr>
            <w:tcW w:type="dxa" w:w="3698"/>
            <w:tcMar>
              <w:top w:w="80" w:type="dxa"/>
              <w:start w:w="120" w:type="dxa"/>
              <w:bottom w:w="80" w:type="dxa"/>
              <w:end w:w="120" w:type="dxa"/>
            </w:tcMar>
            <w:vAlign w:val="center"/>
          </w:tcPr>
          <w:p>
            <w:pPr>
              <w:spacing w:before="0" w:after="0" w:line="240" w:lineRule="auto"/>
              <w:jc w:val="left"/>
            </w:pPr>
            <w:r/>
            <w:r>
              <w:rPr>
                <w:rFonts w:ascii="Arial" w:hAnsi="Arial" w:cs="Arial"/>
                <w:sz w:val="18"/>
              </w:rPr>
              <w:t>Enajenación ordinaria</w:t>
            </w:r>
          </w:p>
        </w:tc>
      </w:tr>
      <w:tr>
        <w:tc>
          <w:tcPr>
            <w:tcW w:type="dxa" w:w="2392"/>
            <w:tcMar>
              <w:top w:w="80" w:type="dxa"/>
              <w:start w:w="120" w:type="dxa"/>
              <w:bottom w:w="80" w:type="dxa"/>
              <w:end w:w="120" w:type="dxa"/>
            </w:tcMar>
            <w:vAlign w:val="center"/>
          </w:tcPr>
          <w:p>
            <w:pPr>
              <w:spacing w:before="0" w:after="0" w:line="240" w:lineRule="auto"/>
              <w:jc w:val="left"/>
            </w:pPr>
            <w:r/>
            <w:r>
              <w:rPr>
                <w:rFonts w:ascii="Arial" w:hAnsi="Arial" w:cs="Arial"/>
                <w:sz w:val="18"/>
              </w:rPr>
              <w:t>Adjudicación directa</w:t>
            </w:r>
          </w:p>
        </w:tc>
        <w:tc>
          <w:tcPr>
            <w:tcW w:type="dxa" w:w="2936"/>
            <w:tcMar>
              <w:top w:w="80" w:type="dxa"/>
              <w:start w:w="120" w:type="dxa"/>
              <w:bottom w:w="80" w:type="dxa"/>
              <w:end w:w="120" w:type="dxa"/>
            </w:tcMar>
            <w:vAlign w:val="center"/>
          </w:tcPr>
          <w:p>
            <w:pPr>
              <w:spacing w:before="0" w:after="0" w:line="240" w:lineRule="auto"/>
              <w:jc w:val="left"/>
            </w:pPr>
            <w:r/>
            <w:r>
              <w:rPr>
                <w:rFonts w:ascii="Arial" w:hAnsi="Arial" w:cs="Arial"/>
                <w:sz w:val="18"/>
              </w:rPr>
              <w:t>Director Provincial</w:t>
            </w:r>
          </w:p>
        </w:tc>
        <w:tc>
          <w:tcPr>
            <w:tcW w:type="dxa" w:w="3698"/>
            <w:tcMar>
              <w:top w:w="80" w:type="dxa"/>
              <w:start w:w="120" w:type="dxa"/>
              <w:bottom w:w="80" w:type="dxa"/>
              <w:end w:w="120" w:type="dxa"/>
            </w:tcMar>
            <w:vAlign w:val="center"/>
          </w:tcPr>
          <w:p>
            <w:pPr>
              <w:spacing w:before="0" w:after="0" w:line="240" w:lineRule="auto"/>
              <w:jc w:val="center"/>
            </w:pPr>
            <w:r/>
            <w:r>
              <w:rPr>
                <w:rFonts w:ascii="Arial" w:hAnsi="Arial" w:cs="Arial"/>
                <w:sz w:val="18"/>
              </w:rPr>
              <w:t>Excepcional</w:t>
            </w:r>
          </w:p>
        </w:tc>
      </w:tr>
      <w:tr>
        <w:tc>
          <w:tcPr>
            <w:tcW w:type="dxa" w:w="2392"/>
            <w:tcMar>
              <w:top w:w="80" w:type="dxa"/>
              <w:start w:w="120" w:type="dxa"/>
              <w:bottom w:w="80" w:type="dxa"/>
              <w:end w:w="120" w:type="dxa"/>
            </w:tcMar>
            <w:vAlign w:val="center"/>
          </w:tcPr>
          <w:p>
            <w:pPr>
              <w:spacing w:before="0" w:after="0" w:line="240" w:lineRule="auto"/>
              <w:jc w:val="left"/>
            </w:pPr>
            <w:r/>
            <w:r>
              <w:rPr>
                <w:rFonts w:ascii="Arial" w:hAnsi="Arial" w:cs="Arial"/>
                <w:sz w:val="18"/>
              </w:rPr>
              <w:t>Crédito incobrable</w:t>
            </w:r>
          </w:p>
        </w:tc>
        <w:tc>
          <w:tcPr>
            <w:tcW w:type="dxa" w:w="2936"/>
            <w:tcMar>
              <w:top w:w="80" w:type="dxa"/>
              <w:start w:w="120" w:type="dxa"/>
              <w:bottom w:w="80" w:type="dxa"/>
              <w:end w:w="120" w:type="dxa"/>
            </w:tcMar>
            <w:vAlign w:val="center"/>
          </w:tcPr>
          <w:p>
            <w:pPr>
              <w:spacing w:before="0" w:after="0" w:line="240" w:lineRule="auto"/>
              <w:jc w:val="left"/>
            </w:pPr>
            <w:r/>
            <w:r>
              <w:rPr>
                <w:rFonts w:ascii="Arial" w:hAnsi="Arial" w:cs="Arial"/>
                <w:sz w:val="18"/>
              </w:rPr>
              <w:t>Director Provincial o delegado</w:t>
            </w:r>
          </w:p>
        </w:tc>
        <w:tc>
          <w:tcPr>
            <w:tcW w:type="dxa" w:w="3698"/>
            <w:tcMar>
              <w:top w:w="80" w:type="dxa"/>
              <w:start w:w="120" w:type="dxa"/>
              <w:bottom w:w="80" w:type="dxa"/>
              <w:end w:w="120" w:type="dxa"/>
            </w:tcMar>
            <w:vAlign w:val="center"/>
          </w:tcPr>
          <w:p>
            <w:pPr>
              <w:spacing w:before="0" w:after="0" w:line="240" w:lineRule="auto"/>
              <w:jc w:val="left"/>
            </w:pPr>
            <w:r/>
            <w:r>
              <w:rPr>
                <w:rFonts w:ascii="Arial" w:hAnsi="Arial" w:cs="Arial"/>
                <w:sz w:val="18"/>
              </w:rPr>
              <w:t>Baja contable, no extinción</w:t>
            </w:r>
          </w:p>
        </w:tc>
      </w:tr>
      <w:tr>
        <w:tc>
          <w:tcPr>
            <w:tcW w:type="dxa" w:w="2392"/>
            <w:tcMar>
              <w:top w:w="80" w:type="dxa"/>
              <w:start w:w="120" w:type="dxa"/>
              <w:bottom w:w="80" w:type="dxa"/>
              <w:end w:w="120" w:type="dxa"/>
            </w:tcMar>
            <w:vAlign w:val="center"/>
          </w:tcPr>
          <w:p>
            <w:pPr>
              <w:spacing w:before="0" w:after="0" w:line="240" w:lineRule="auto"/>
              <w:jc w:val="left"/>
            </w:pPr>
            <w:r/>
            <w:r>
              <w:rPr>
                <w:rFonts w:ascii="Arial" w:hAnsi="Arial" w:cs="Arial"/>
                <w:sz w:val="18"/>
              </w:rPr>
              <w:t>Tercería de dominio</w:t>
            </w:r>
          </w:p>
        </w:tc>
        <w:tc>
          <w:tcPr>
            <w:tcW w:type="dxa" w:w="2936"/>
            <w:tcMar>
              <w:top w:w="80" w:type="dxa"/>
              <w:start w:w="120" w:type="dxa"/>
              <w:bottom w:w="80" w:type="dxa"/>
              <w:end w:w="120" w:type="dxa"/>
            </w:tcMar>
            <w:vAlign w:val="center"/>
          </w:tcPr>
          <w:p>
            <w:pPr>
              <w:spacing w:before="0" w:after="0" w:line="240" w:lineRule="auto"/>
              <w:jc w:val="left"/>
            </w:pPr>
            <w:r/>
            <w:r>
              <w:rPr>
                <w:rFonts w:ascii="Arial" w:hAnsi="Arial" w:cs="Arial"/>
                <w:sz w:val="18"/>
              </w:rPr>
              <w:t>Director Provincial</w:t>
            </w:r>
          </w:p>
        </w:tc>
        <w:tc>
          <w:tcPr>
            <w:tcW w:type="dxa" w:w="3698"/>
            <w:tcMar>
              <w:top w:w="80" w:type="dxa"/>
              <w:start w:w="120" w:type="dxa"/>
              <w:bottom w:w="80" w:type="dxa"/>
              <w:end w:w="120" w:type="dxa"/>
            </w:tcMar>
            <w:vAlign w:val="center"/>
          </w:tcPr>
          <w:p>
            <w:pPr>
              <w:spacing w:before="0" w:after="0" w:line="240" w:lineRule="auto"/>
              <w:jc w:val="left"/>
            </w:pPr>
            <w:r/>
            <w:r>
              <w:rPr>
                <w:rFonts w:ascii="Arial" w:hAnsi="Arial" w:cs="Arial"/>
                <w:sz w:val="18"/>
              </w:rPr>
              <w:t>Suspende bien controvertido</w:t>
            </w:r>
          </w:p>
        </w:tc>
      </w:tr>
      <w:tr>
        <w:tc>
          <w:tcPr>
            <w:tcW w:type="dxa" w:w="2392"/>
            <w:tcMar>
              <w:top w:w="80" w:type="dxa"/>
              <w:start w:w="120" w:type="dxa"/>
              <w:bottom w:w="80" w:type="dxa"/>
              <w:end w:w="120" w:type="dxa"/>
            </w:tcMar>
            <w:vAlign w:val="center"/>
          </w:tcPr>
          <w:p>
            <w:pPr>
              <w:spacing w:before="0" w:after="0" w:line="240" w:lineRule="auto"/>
              <w:jc w:val="left"/>
            </w:pPr>
            <w:r/>
            <w:r>
              <w:rPr>
                <w:rFonts w:ascii="Arial" w:hAnsi="Arial" w:cs="Arial"/>
                <w:sz w:val="18"/>
              </w:rPr>
              <w:t>Tercería de mejor derecho</w:t>
            </w:r>
          </w:p>
        </w:tc>
        <w:tc>
          <w:tcPr>
            <w:tcW w:type="dxa" w:w="2936"/>
            <w:tcMar>
              <w:top w:w="80" w:type="dxa"/>
              <w:start w:w="120" w:type="dxa"/>
              <w:bottom w:w="80" w:type="dxa"/>
              <w:end w:w="120" w:type="dxa"/>
            </w:tcMar>
            <w:vAlign w:val="center"/>
          </w:tcPr>
          <w:p>
            <w:pPr>
              <w:spacing w:before="0" w:after="0" w:line="240" w:lineRule="auto"/>
              <w:jc w:val="left"/>
            </w:pPr>
            <w:r/>
            <w:r>
              <w:rPr>
                <w:rFonts w:ascii="Arial" w:hAnsi="Arial" w:cs="Arial"/>
                <w:sz w:val="18"/>
              </w:rPr>
              <w:t>Director Provincial</w:t>
            </w:r>
          </w:p>
        </w:tc>
        <w:tc>
          <w:tcPr>
            <w:tcW w:type="dxa" w:w="3698"/>
            <w:tcMar>
              <w:top w:w="80" w:type="dxa"/>
              <w:start w:w="120" w:type="dxa"/>
              <w:bottom w:w="80" w:type="dxa"/>
              <w:end w:w="120" w:type="dxa"/>
            </w:tcMar>
            <w:vAlign w:val="center"/>
          </w:tcPr>
          <w:p>
            <w:pPr>
              <w:spacing w:before="0" w:after="0" w:line="240" w:lineRule="auto"/>
              <w:jc w:val="left"/>
            </w:pPr>
            <w:r/>
            <w:r>
              <w:rPr>
                <w:rFonts w:ascii="Arial" w:hAnsi="Arial" w:cs="Arial"/>
                <w:sz w:val="18"/>
              </w:rPr>
              <w:t>Continúa realización, reserva producto</w:t>
            </w:r>
          </w:p>
        </w:tc>
      </w:tr>
    </w:tbl>
    <w:p>
      <w:pPr>
        <w:spacing w:after="40"/>
      </w:pPr>
    </w:p>
    <w:p>
      <w:pPr>
        <w:pStyle w:val="Heading1"/>
        <w:keepNext/>
      </w:pPr>
      <w:r>
        <w:rPr>
          <w:rFonts w:ascii="Arial" w:hAnsi="Arial" w:cs="Arial"/>
          <w:sz w:val="30"/>
        </w:rPr>
        <w:t>25. Plazos y cifras</w:t>
      </w:r>
    </w:p>
    <w:tbl>
      <w:tblPr>
        <w:tblStyle w:val="TableGrid"/>
        <w:tblW w:type="dxa" w:w="9026"/>
        <w:jc w:val="left"/>
        <w:tblLayout w:type="fixed"/>
        <w:tblLook w:firstColumn="1" w:firstRow="1" w:lastColumn="0" w:lastRow="0" w:noHBand="0" w:noVBand="1" w:val="04A0"/>
        <w:tblInd w:w="120" w:type="dxa"/>
      </w:tblPr>
      <w:tblGrid>
        <w:gridCol w:w="6110"/>
        <w:gridCol w:w="2916"/>
      </w:tblGrid>
      <w:tr>
        <w:trPr>
          <w:tblHeader w:val="true"/>
        </w:trPr>
        <w:tc>
          <w:tcPr>
            <w:tcW w:type="dxa" w:w="611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Materia</w:t>
            </w:r>
          </w:p>
        </w:tc>
        <w:tc>
          <w:tcPr>
            <w:tcW w:type="dxa" w:w="291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Dato</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Pago sin exigencia de intereses tras providencia</w:t>
            </w:r>
          </w:p>
        </w:tc>
        <w:tc>
          <w:tcPr>
            <w:tcW w:type="dxa" w:w="2916"/>
            <w:tcMar>
              <w:top w:w="80" w:type="dxa"/>
              <w:start w:w="120" w:type="dxa"/>
              <w:bottom w:w="80" w:type="dxa"/>
              <w:end w:w="120" w:type="dxa"/>
            </w:tcMar>
            <w:vAlign w:val="center"/>
          </w:tcPr>
          <w:p>
            <w:pPr>
              <w:spacing w:before="0" w:after="0" w:line="240" w:lineRule="auto"/>
              <w:jc w:val="left"/>
            </w:pPr>
            <w:r/>
            <w:r>
              <w:rPr>
                <w:rFonts w:ascii="Arial" w:hAnsi="Arial" w:cs="Arial"/>
                <w:sz w:val="18"/>
              </w:rPr>
              <w:t>15 días naturales</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Crédito realizable a corto plazo</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≤3 meses</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Plazo de ofertas en subasta</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Al menos 1 mes</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Depósito con oferta cerrada</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25 % del tipo</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Depósito para incorporarse en el acto</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30 % del tipo</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Umbral de postura verbal</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75 % del tipo</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Completar precio de adjudicación</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5 días hábiles</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Mejora por tercero presentado por el deudor</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3 días hábiles</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Resolver concurso tras cerrar proposiciones</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5 días hábiles</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Ingreso por empresa especializada</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20 días</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Autorizar directa tras segunda subasta</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3 meses</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Actuaciones de adjudicación directa</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6 meses</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Subsanar documentos de tercería</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10 días</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Resolver tercería</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3 meses</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Acreditar demanda civil tras tercería</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20 días</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Tramo salario/pensión entre 1 y 2 SMI</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30 % del exceso</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Entre 2 y 3 SMI</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50 %</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Entre 3 y 4 SMI</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60 %</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Entre 4 y 5 SMI</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75 %</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Exceso de 5 SMI</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90 %</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Incremento máximo previsto para costas e intereses</w:t>
            </w:r>
          </w:p>
        </w:tc>
        <w:tc>
          <w:tcPr>
            <w:tcW w:type="dxa" w:w="2916"/>
            <w:tcMar>
              <w:top w:w="80" w:type="dxa"/>
              <w:start w:w="120" w:type="dxa"/>
              <w:bottom w:w="80" w:type="dxa"/>
              <w:end w:w="120" w:type="dxa"/>
            </w:tcMar>
            <w:vAlign w:val="center"/>
          </w:tcPr>
          <w:p>
            <w:pPr>
              <w:spacing w:before="0" w:after="0" w:line="240" w:lineRule="auto"/>
              <w:jc w:val="left"/>
            </w:pPr>
            <w:r/>
            <w:r>
              <w:rPr>
                <w:rFonts w:ascii="Arial" w:hAnsi="Arial" w:cs="Arial"/>
                <w:sz w:val="18"/>
              </w:rPr>
              <w:t>10 % de la cuantía exigible</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Previsión máxima de costas</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3 % de la deuda</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Tanteo de la TGSS</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Máximo 30 días</w:t>
            </w:r>
          </w:p>
        </w:tc>
      </w:tr>
      <w:tr>
        <w:tc>
          <w:tcPr>
            <w:tcW w:type="dxa" w:w="6110"/>
            <w:tcMar>
              <w:top w:w="80" w:type="dxa"/>
              <w:start w:w="120" w:type="dxa"/>
              <w:bottom w:w="80" w:type="dxa"/>
              <w:end w:w="120" w:type="dxa"/>
            </w:tcMar>
            <w:vAlign w:val="center"/>
          </w:tcPr>
          <w:p>
            <w:pPr>
              <w:spacing w:before="0" w:after="0" w:line="240" w:lineRule="auto"/>
              <w:jc w:val="left"/>
            </w:pPr>
            <w:r/>
            <w:r>
              <w:rPr>
                <w:rFonts w:ascii="Arial" w:hAnsi="Arial" w:cs="Arial"/>
                <w:sz w:val="18"/>
              </w:rPr>
              <w:t>Tope de valoración en adjudicación a la TGSS</w:t>
            </w:r>
          </w:p>
        </w:tc>
        <w:tc>
          <w:tcPr>
            <w:tcW w:type="dxa" w:w="2916"/>
            <w:tcMar>
              <w:top w:w="80" w:type="dxa"/>
              <w:start w:w="120" w:type="dxa"/>
              <w:bottom w:w="80" w:type="dxa"/>
              <w:end w:w="120" w:type="dxa"/>
            </w:tcMar>
            <w:vAlign w:val="center"/>
          </w:tcPr>
          <w:p>
            <w:pPr>
              <w:spacing w:before="0" w:after="0" w:line="240" w:lineRule="auto"/>
              <w:jc w:val="center"/>
            </w:pPr>
            <w:r/>
            <w:r>
              <w:rPr>
                <w:rFonts w:ascii="Arial" w:hAnsi="Arial" w:cs="Arial"/>
                <w:sz w:val="18"/>
              </w:rPr>
              <w:t>80 % del tipo</w:t>
            </w:r>
          </w:p>
        </w:tc>
      </w:tr>
    </w:tbl>
    <w:p>
      <w:pPr>
        <w:spacing w:after="40"/>
      </w:pPr>
    </w:p>
    <w:p>
      <w:pPr>
        <w:pStyle w:val="Heading1"/>
        <w:keepNext/>
      </w:pPr>
      <w:r>
        <w:rPr>
          <w:rFonts w:ascii="Arial" w:hAnsi="Arial" w:cs="Arial"/>
          <w:sz w:val="30"/>
        </w:rPr>
        <w:t>26. Método para supuestos</w:t>
      </w:r>
    </w:p>
    <w:p>
      <w:pPr>
        <w:spacing w:after="40"/>
        <w:ind w:left="369" w:hanging="227"/>
      </w:pPr>
      <w:r>
        <w:rPr>
          <w:rFonts w:ascii="Arial" w:hAnsi="Arial" w:cs="Arial"/>
          <w:sz w:val="22"/>
        </w:rPr>
        <w:t>1. Determinar si deuda estaba liquidada.</w:t>
      </w:r>
    </w:p>
    <w:p>
      <w:pPr>
        <w:spacing w:after="40"/>
        <w:ind w:left="369" w:hanging="227"/>
      </w:pPr>
      <w:r>
        <w:rPr>
          <w:rFonts w:ascii="Arial" w:hAnsi="Arial" w:cs="Arial"/>
          <w:sz w:val="22"/>
        </w:rPr>
        <w:t>2. Comprobar si requería reclamación o acta.</w:t>
      </w:r>
    </w:p>
    <w:p>
      <w:pPr>
        <w:spacing w:after="40"/>
        <w:ind w:left="369" w:hanging="227"/>
      </w:pPr>
      <w:r>
        <w:rPr>
          <w:rFonts w:ascii="Arial" w:hAnsi="Arial" w:cs="Arial"/>
          <w:sz w:val="22"/>
        </w:rPr>
        <w:t>3. Verificar vencimiento y firmeza.</w:t>
      </w:r>
    </w:p>
    <w:p>
      <w:pPr>
        <w:spacing w:after="40"/>
        <w:ind w:left="369" w:hanging="227"/>
      </w:pPr>
      <w:r>
        <w:rPr>
          <w:rFonts w:ascii="Arial" w:hAnsi="Arial" w:cs="Arial"/>
          <w:sz w:val="22"/>
        </w:rPr>
        <w:t>4. Revisar contenido y notificación de providencia.</w:t>
      </w:r>
    </w:p>
    <w:p>
      <w:pPr>
        <w:spacing w:after="40"/>
        <w:ind w:left="369" w:hanging="227"/>
      </w:pPr>
      <w:r>
        <w:rPr>
          <w:rFonts w:ascii="Arial" w:hAnsi="Arial" w:cs="Arial"/>
          <w:sz w:val="22"/>
        </w:rPr>
        <w:t>5. Identificar si alegación encaja en artículo 86.</w:t>
      </w:r>
    </w:p>
    <w:p>
      <w:pPr>
        <w:spacing w:after="40"/>
        <w:ind w:left="369" w:hanging="227"/>
      </w:pPr>
      <w:r>
        <w:rPr>
          <w:rFonts w:ascii="Arial" w:hAnsi="Arial" w:cs="Arial"/>
          <w:sz w:val="22"/>
        </w:rPr>
        <w:t>6. Aplicar suspensión.</w:t>
      </w:r>
    </w:p>
    <w:p>
      <w:pPr>
        <w:spacing w:after="40"/>
        <w:ind w:left="369" w:hanging="227"/>
      </w:pPr>
      <w:r>
        <w:rPr>
          <w:rFonts w:ascii="Arial" w:hAnsi="Arial" w:cs="Arial"/>
          <w:sz w:val="22"/>
        </w:rPr>
        <w:t>7. Ejecutar garantía antes de embargo, salvo insuficiencia.</w:t>
      </w:r>
    </w:p>
    <w:p>
      <w:pPr>
        <w:spacing w:after="40"/>
        <w:ind w:left="369" w:hanging="227"/>
      </w:pPr>
      <w:r>
        <w:rPr>
          <w:rFonts w:ascii="Arial" w:hAnsi="Arial" w:cs="Arial"/>
          <w:sz w:val="22"/>
        </w:rPr>
        <w:t>8. Identificar titular del bien.</w:t>
      </w:r>
    </w:p>
    <w:p>
      <w:pPr>
        <w:spacing w:after="40"/>
        <w:ind w:left="369" w:hanging="227"/>
      </w:pPr>
      <w:r>
        <w:rPr>
          <w:rFonts w:ascii="Arial" w:hAnsi="Arial" w:cs="Arial"/>
          <w:sz w:val="22"/>
        </w:rPr>
        <w:t>9. Aplicar inembargabilidad y orden.</w:t>
      </w:r>
    </w:p>
    <w:p>
      <w:pPr>
        <w:spacing w:after="40"/>
        <w:ind w:left="369" w:hanging="227"/>
      </w:pPr>
      <w:r>
        <w:rPr>
          <w:rFonts w:ascii="Arial" w:hAnsi="Arial" w:cs="Arial"/>
          <w:sz w:val="22"/>
        </w:rPr>
        <w:t>10. Notificar diligencia a afectados.</w:t>
      </w:r>
    </w:p>
    <w:p>
      <w:pPr>
        <w:spacing w:after="40"/>
        <w:ind w:left="369" w:hanging="227"/>
      </w:pPr>
      <w:r>
        <w:rPr>
          <w:rFonts w:ascii="Arial" w:hAnsi="Arial" w:cs="Arial"/>
          <w:sz w:val="22"/>
        </w:rPr>
        <w:t>11. Elegir modalidad de enajenación.</w:t>
      </w:r>
    </w:p>
    <w:p>
      <w:pPr>
        <w:spacing w:after="40"/>
        <w:ind w:left="369" w:hanging="227"/>
      </w:pPr>
      <w:r>
        <w:rPr>
          <w:rFonts w:ascii="Arial" w:hAnsi="Arial" w:cs="Arial"/>
          <w:sz w:val="22"/>
        </w:rPr>
        <w:t>12. Valorar tercería o crédito incobrable.</w:t>
      </w:r>
    </w:p>
    <w:p>
      <w:pPr>
        <w:pStyle w:val="Heading2"/>
        <w:keepNext/>
      </w:pPr>
      <w:r>
        <w:rPr>
          <w:rFonts w:ascii="Arial" w:hAnsi="Arial" w:cs="Arial"/>
          <w:sz w:val="25"/>
        </w:rPr>
        <w:t>26.1. Sin reclamación previa</w:t>
      </w:r>
    </w:p>
    <w:p>
      <w:pPr>
        <w:jc w:val="both"/>
      </w:pPr>
      <w:r>
        <w:rPr>
          <w:rFonts w:ascii="Arial" w:hAnsi="Arial" w:cs="Arial"/>
          <w:sz w:val="22"/>
        </w:rPr>
        <w:t>Una empresa transmitió liquidación correcta y no pagó. La TGSS puede dictar providencia directa. Alegar falta de reclamación no prospera.</w:t>
      </w:r>
    </w:p>
    <w:p>
      <w:pPr>
        <w:pStyle w:val="Heading2"/>
        <w:keepNext/>
      </w:pPr>
      <w:r>
        <w:rPr>
          <w:rFonts w:ascii="Arial" w:hAnsi="Arial" w:cs="Arial"/>
          <w:sz w:val="25"/>
        </w:rPr>
        <w:t>26.2. Recurso</w:t>
      </w:r>
    </w:p>
    <w:p>
      <w:pPr>
        <w:jc w:val="both"/>
      </w:pPr>
      <w:r>
        <w:rPr>
          <w:rFonts w:ascii="Arial" w:hAnsi="Arial" w:cs="Arial"/>
          <w:sz w:val="22"/>
        </w:rPr>
        <w:t>El deudor recurre alegando pago y aporta justificante. El apremio se suspende sin garantía hasta resolución. Si solo discrepa de base ya firme, no encaja.</w:t>
      </w:r>
    </w:p>
    <w:p>
      <w:pPr>
        <w:pStyle w:val="Heading2"/>
        <w:keepNext/>
      </w:pPr>
      <w:r>
        <w:rPr>
          <w:rFonts w:ascii="Arial" w:hAnsi="Arial" w:cs="Arial"/>
          <w:sz w:val="25"/>
        </w:rPr>
        <w:t>26.3. Inmueble de tercero</w:t>
      </w:r>
    </w:p>
    <w:p>
      <w:pPr>
        <w:jc w:val="both"/>
      </w:pPr>
      <w:r>
        <w:rPr>
          <w:rFonts w:ascii="Arial" w:hAnsi="Arial" w:cs="Arial"/>
          <w:sz w:val="22"/>
        </w:rPr>
        <w:t>Se embarga finca que un tercero acredita haber adquirido antes. Formula tercería de dominio con título. Se suspende respecto de esa finca, no sobre cuentas del deudor.</w:t>
      </w:r>
    </w:p>
    <w:p>
      <w:pPr>
        <w:pStyle w:val="Heading2"/>
        <w:keepNext/>
      </w:pPr>
      <w:r>
        <w:rPr>
          <w:rFonts w:ascii="Arial" w:hAnsi="Arial" w:cs="Arial"/>
          <w:sz w:val="25"/>
        </w:rPr>
        <w:t>26.4. Mejor derecho</w:t>
      </w:r>
    </w:p>
    <w:p>
      <w:pPr>
        <w:jc w:val="both"/>
      </w:pPr>
      <w:r>
        <w:rPr>
          <w:rFonts w:ascii="Arial" w:hAnsi="Arial" w:cs="Arial"/>
          <w:sz w:val="22"/>
        </w:rPr>
        <w:t>Un acreedor hipotecario preferente presenta tercería. La venta sigue; el producto se retiene y, si se estima, se paga primero su crédito.</w:t>
      </w:r>
    </w:p>
    <w:p>
      <w:pPr>
        <w:pStyle w:val="Heading2"/>
        <w:keepNext/>
      </w:pPr>
      <w:r>
        <w:rPr>
          <w:rFonts w:ascii="Arial" w:hAnsi="Arial" w:cs="Arial"/>
          <w:sz w:val="25"/>
        </w:rPr>
        <w:t>26.5. Cuenta con salario y otros ingresos</w:t>
      </w:r>
    </w:p>
    <w:p>
      <w:pPr>
        <w:jc w:val="both"/>
      </w:pPr>
      <w:r>
        <w:rPr>
          <w:rFonts w:ascii="Arial" w:hAnsi="Arial" w:cs="Arial"/>
          <w:sz w:val="22"/>
        </w:rPr>
        <w:t>La URE traba una cuenta con 4.000 euros. El deudor acredita que 1.400 euros corresponden a la nómina recién abonada y que el resto procede de ventas de una actividad. No cabe declarar inembargable el saldo completo por el solo hecho de que la cuenta reciba salarios. Primero se identifica la cantidad salarial que conserva esa procedencia y sobre ella se aplican el mínimo protegido y los porcentajes por tramos del artículo 607 LEC. El dinero procedente de ventas no disfruta de esa protección salarial, aunque continúa sometido al límite cuantitativo de la diligencia. Si existen cotitulares, debe determinarse además qué participación pertenece realmente al apremiado.</w:t>
      </w:r>
    </w:p>
    <w:p>
      <w:pPr>
        <w:jc w:val="both"/>
      </w:pPr>
      <w:r>
        <w:rPr>
          <w:rFonts w:ascii="Arial" w:hAnsi="Arial" w:cs="Arial"/>
          <w:sz w:val="22"/>
        </w:rPr>
        <w:t>El supuesto exige separar tres operaciones: titularidad del saldo, origen de cada abono y escala aplicable. La entidad financiera no puede retener por encima de la diligencia; tampoco debe liberar todo el saldo alegando de manera genérica que la cuenta es «de nómina». Si el embargo supera la parte legalmente trabable, la impugnación se dirige contra ese exceso concreto, no contra la providencia por motivos ajenos al artículo 86 RGRSS.</w:t>
      </w:r>
    </w:p>
    <w:p>
      <w:pPr>
        <w:pStyle w:val="Heading2"/>
        <w:keepNext/>
      </w:pPr>
      <w:r>
        <w:rPr>
          <w:rFonts w:ascii="Arial" w:hAnsi="Arial" w:cs="Arial"/>
          <w:sz w:val="25"/>
        </w:rPr>
        <w:t>26.6. Bien con carga previa y producto insuficiente</w:t>
      </w:r>
    </w:p>
    <w:p>
      <w:pPr>
        <w:jc w:val="both"/>
      </w:pPr>
      <w:r>
        <w:rPr>
          <w:rFonts w:ascii="Arial" w:hAnsi="Arial" w:cs="Arial"/>
          <w:sz w:val="22"/>
        </w:rPr>
        <w:t>Se embarga un inmueble valorado en 100.000 euros con una carga preferente subsistente de 35.000. La valoración útil para la ejecución no se obtiene ignorando la carga: debe ponderarse su importe, el valor de mercado y los gastos previsibles. Si la enajenación produce 60.000 euros y, una vez atendidas las reglas de cargas y aplicación, la cantidad atribuible a la TGSS no cubre toda la deuda, el apremio continúa por el saldo sobre otros bienes. La venta no extingue automáticamente el expediente.</w:t>
      </w:r>
    </w:p>
    <w:p>
      <w:pPr>
        <w:jc w:val="both"/>
      </w:pPr>
      <w:r>
        <w:rPr>
          <w:rFonts w:ascii="Arial" w:hAnsi="Arial" w:cs="Arial"/>
          <w:sz w:val="22"/>
        </w:rPr>
        <w:t>La existencia de una anotación anterior tampoco obliga siempre a levantar la traba de la TGSS. Deben examinarse la prioridad registral, la naturaleza de cada crédito y el modo en que la carga afecta al adquirente. La coordinación con el registro y los acreedores anteriores permite anunciar correctamente las condiciones de la subasta y evita ofrecer como libre un bien que no lo está. En examen, la respuesta prudente identifica primero titularidad y cargas, después calcula el valor realizable y solo al final decide si procede ampliar el embargo.</w:t>
      </w:r>
    </w:p>
    <w:p>
      <w:pPr>
        <w:pStyle w:val="Heading1"/>
        <w:keepNext/>
      </w:pPr>
      <w:r>
        <w:rPr>
          <w:rFonts w:ascii="Arial" w:hAnsi="Arial" w:cs="Arial"/>
          <w:sz w:val="30"/>
        </w:rPr>
        <w:t>27. Errores frecuentes</w:t>
      </w:r>
    </w:p>
    <w:p>
      <w:pPr>
        <w:spacing w:after="40"/>
        <w:ind w:left="369" w:hanging="227"/>
      </w:pPr>
      <w:r>
        <w:rPr>
          <w:rFonts w:ascii="Arial" w:hAnsi="Arial" w:cs="Arial"/>
          <w:sz w:val="22"/>
        </w:rPr>
        <w:t>1. Decir que la vía ejecutiva empieza al vencer el plazo.</w:t>
      </w:r>
    </w:p>
    <w:p>
      <w:pPr>
        <w:spacing w:after="40"/>
        <w:ind w:left="369" w:hanging="227"/>
      </w:pPr>
      <w:r>
        <w:rPr>
          <w:rFonts w:ascii="Arial" w:hAnsi="Arial" w:cs="Arial"/>
          <w:sz w:val="22"/>
        </w:rPr>
        <w:t>2. Confundir providencia y diligencia de embargo.</w:t>
      </w:r>
    </w:p>
    <w:p>
      <w:pPr>
        <w:spacing w:after="40"/>
        <w:ind w:left="369" w:hanging="227"/>
      </w:pPr>
      <w:r>
        <w:rPr>
          <w:rFonts w:ascii="Arial" w:hAnsi="Arial" w:cs="Arial"/>
          <w:sz w:val="22"/>
        </w:rPr>
        <w:t>3. Exigir sentencia judicial.</w:t>
      </w:r>
    </w:p>
    <w:p>
      <w:pPr>
        <w:spacing w:after="40"/>
        <w:ind w:left="369" w:hanging="227"/>
      </w:pPr>
      <w:r>
        <w:rPr>
          <w:rFonts w:ascii="Arial" w:hAnsi="Arial" w:cs="Arial"/>
          <w:sz w:val="22"/>
        </w:rPr>
        <w:t>4. Omitir providencia.</w:t>
      </w:r>
    </w:p>
    <w:p>
      <w:pPr>
        <w:spacing w:after="40"/>
        <w:ind w:left="369" w:hanging="227"/>
      </w:pPr>
      <w:r>
        <w:rPr>
          <w:rFonts w:ascii="Arial" w:hAnsi="Arial" w:cs="Arial"/>
          <w:sz w:val="22"/>
        </w:rPr>
        <w:t>5. Afirmar que siempre debe haber reclamación previa.</w:t>
      </w:r>
    </w:p>
    <w:p>
      <w:pPr>
        <w:spacing w:after="40"/>
        <w:ind w:left="369" w:hanging="227"/>
      </w:pPr>
      <w:r>
        <w:rPr>
          <w:rFonts w:ascii="Arial" w:hAnsi="Arial" w:cs="Arial"/>
          <w:sz w:val="22"/>
        </w:rPr>
        <w:t>6. Usar motivos abiertos de recurso.</w:t>
      </w:r>
    </w:p>
    <w:p>
      <w:pPr>
        <w:spacing w:after="40"/>
        <w:ind w:left="369" w:hanging="227"/>
      </w:pPr>
      <w:r>
        <w:rPr>
          <w:rFonts w:ascii="Arial" w:hAnsi="Arial" w:cs="Arial"/>
          <w:sz w:val="22"/>
        </w:rPr>
        <w:t>7. Confundir error jurídico con aritmético.</w:t>
      </w:r>
    </w:p>
    <w:p>
      <w:pPr>
        <w:spacing w:after="40"/>
        <w:ind w:left="369" w:hanging="227"/>
      </w:pPr>
      <w:r>
        <w:rPr>
          <w:rFonts w:ascii="Arial" w:hAnsi="Arial" w:cs="Arial"/>
          <w:sz w:val="22"/>
        </w:rPr>
        <w:t>8. Creer que solicitud de aplazamiento suspende.</w:t>
      </w:r>
    </w:p>
    <w:p>
      <w:pPr>
        <w:spacing w:after="40"/>
        <w:ind w:left="369" w:hanging="227"/>
      </w:pPr>
      <w:r>
        <w:rPr>
          <w:rFonts w:ascii="Arial" w:hAnsi="Arial" w:cs="Arial"/>
          <w:sz w:val="22"/>
        </w:rPr>
        <w:t>9. Negar suspensión del recurso tasado.</w:t>
      </w:r>
    </w:p>
    <w:p>
      <w:pPr>
        <w:spacing w:after="40"/>
        <w:ind w:left="369" w:hanging="227"/>
      </w:pPr>
      <w:r>
        <w:rPr>
          <w:rFonts w:ascii="Arial" w:hAnsi="Arial" w:cs="Arial"/>
          <w:sz w:val="22"/>
        </w:rPr>
        <w:t>10. Ejecutar antes de firmeza.</w:t>
      </w:r>
    </w:p>
    <w:p>
      <w:pPr>
        <w:spacing w:after="40"/>
        <w:ind w:left="369" w:hanging="227"/>
      </w:pPr>
      <w:r>
        <w:rPr>
          <w:rFonts w:ascii="Arial" w:hAnsi="Arial" w:cs="Arial"/>
          <w:sz w:val="22"/>
        </w:rPr>
        <w:t>11. Embargar sin proporcionalidad.</w:t>
      </w:r>
    </w:p>
    <w:p>
      <w:pPr>
        <w:spacing w:after="40"/>
        <w:ind w:left="369" w:hanging="227"/>
      </w:pPr>
      <w:r>
        <w:rPr>
          <w:rFonts w:ascii="Arial" w:hAnsi="Arial" w:cs="Arial"/>
          <w:sz w:val="22"/>
        </w:rPr>
        <w:t>12. Aplicar orden rígido antes de facilidad y menor onerosidad.</w:t>
      </w:r>
    </w:p>
    <w:p>
      <w:pPr>
        <w:spacing w:after="40"/>
        <w:ind w:left="369" w:hanging="227"/>
      </w:pPr>
      <w:r>
        <w:rPr>
          <w:rFonts w:ascii="Arial" w:hAnsi="Arial" w:cs="Arial"/>
          <w:sz w:val="22"/>
        </w:rPr>
        <w:t>13. Posponer dinero a petición del deudor.</w:t>
      </w:r>
    </w:p>
    <w:p>
      <w:pPr>
        <w:spacing w:after="40"/>
        <w:ind w:left="369" w:hanging="227"/>
      </w:pPr>
      <w:r>
        <w:rPr>
          <w:rFonts w:ascii="Arial" w:hAnsi="Arial" w:cs="Arial"/>
          <w:sz w:val="22"/>
        </w:rPr>
        <w:t>14. Embargar todo salario superior al SMI.</w:t>
      </w:r>
    </w:p>
    <w:p>
      <w:pPr>
        <w:spacing w:after="40"/>
        <w:ind w:left="369" w:hanging="227"/>
      </w:pPr>
      <w:r>
        <w:rPr>
          <w:rFonts w:ascii="Arial" w:hAnsi="Arial" w:cs="Arial"/>
          <w:sz w:val="22"/>
        </w:rPr>
        <w:t>15. Aplicar 30 % a la pensión completa.</w:t>
      </w:r>
    </w:p>
    <w:p>
      <w:pPr>
        <w:spacing w:after="40"/>
        <w:ind w:left="369" w:hanging="227"/>
      </w:pPr>
      <w:r>
        <w:rPr>
          <w:rFonts w:ascii="Arial" w:hAnsi="Arial" w:cs="Arial"/>
          <w:sz w:val="22"/>
        </w:rPr>
        <w:t>16. No notificar a terceros afectados.</w:t>
      </w:r>
    </w:p>
    <w:p>
      <w:pPr>
        <w:spacing w:after="40"/>
        <w:ind w:left="369" w:hanging="227"/>
      </w:pPr>
      <w:r>
        <w:rPr>
          <w:rFonts w:ascii="Arial" w:hAnsi="Arial" w:cs="Arial"/>
          <w:sz w:val="22"/>
        </w:rPr>
        <w:t>17. Confundir socio y titular de inmueble social.</w:t>
      </w:r>
    </w:p>
    <w:p>
      <w:pPr>
        <w:spacing w:after="40"/>
        <w:ind w:left="369" w:hanging="227"/>
      </w:pPr>
      <w:r>
        <w:rPr>
          <w:rFonts w:ascii="Arial" w:hAnsi="Arial" w:cs="Arial"/>
          <w:sz w:val="22"/>
        </w:rPr>
        <w:t>18. Tratar subasta judicial como subasta TGSS.</w:t>
      </w:r>
    </w:p>
    <w:p>
      <w:pPr>
        <w:spacing w:after="40"/>
        <w:ind w:left="369" w:hanging="227"/>
      </w:pPr>
      <w:r>
        <w:rPr>
          <w:rFonts w:ascii="Arial" w:hAnsi="Arial" w:cs="Arial"/>
          <w:sz w:val="22"/>
        </w:rPr>
        <w:t>19. Omitir el concurso como modalidad para muebles y semovientes.</w:t>
      </w:r>
    </w:p>
    <w:p>
      <w:pPr>
        <w:spacing w:after="40"/>
        <w:ind w:left="369" w:hanging="227"/>
      </w:pPr>
      <w:r>
        <w:rPr>
          <w:rFonts w:ascii="Arial" w:hAnsi="Arial" w:cs="Arial"/>
          <w:sz w:val="22"/>
        </w:rPr>
        <w:t>20. Confundir ejecución material especializada con una modalidad autónoma de enajenación.</w:t>
      </w:r>
    </w:p>
    <w:p>
      <w:pPr>
        <w:spacing w:after="40"/>
        <w:ind w:left="369" w:hanging="227"/>
      </w:pPr>
      <w:r>
        <w:rPr>
          <w:rFonts w:ascii="Arial" w:hAnsi="Arial" w:cs="Arial"/>
          <w:sz w:val="22"/>
        </w:rPr>
        <w:t>21. Usar adjudicación directa como regla.</w:t>
      </w:r>
    </w:p>
    <w:p>
      <w:pPr>
        <w:spacing w:after="40"/>
        <w:ind w:left="369" w:hanging="227"/>
      </w:pPr>
      <w:r>
        <w:rPr>
          <w:rFonts w:ascii="Arial" w:hAnsi="Arial" w:cs="Arial"/>
          <w:sz w:val="22"/>
        </w:rPr>
        <w:t>22. Confundir tres meses de autorización con seis de actuaciones.</w:t>
      </w:r>
    </w:p>
    <w:p>
      <w:pPr>
        <w:spacing w:after="40"/>
        <w:ind w:left="369" w:hanging="227"/>
      </w:pPr>
      <w:r>
        <w:rPr>
          <w:rFonts w:ascii="Arial" w:hAnsi="Arial" w:cs="Arial"/>
          <w:sz w:val="22"/>
        </w:rPr>
        <w:t>23. Entender incobrable como condonación.</w:t>
      </w:r>
    </w:p>
    <w:p>
      <w:pPr>
        <w:spacing w:after="40"/>
        <w:ind w:left="369" w:hanging="227"/>
      </w:pPr>
      <w:r>
        <w:rPr>
          <w:rFonts w:ascii="Arial" w:hAnsi="Arial" w:cs="Arial"/>
          <w:sz w:val="22"/>
        </w:rPr>
        <w:t>24. Suspender todo el expediente por tercería de dominio.</w:t>
      </w:r>
    </w:p>
    <w:p>
      <w:pPr>
        <w:spacing w:after="40"/>
        <w:ind w:left="369" w:hanging="227"/>
      </w:pPr>
      <w:r>
        <w:rPr>
          <w:rFonts w:ascii="Arial" w:hAnsi="Arial" w:cs="Arial"/>
          <w:sz w:val="22"/>
        </w:rPr>
        <w:t>25. Suspender venta por tercería de mejor derecho.</w:t>
      </w:r>
    </w:p>
    <w:p>
      <w:pPr>
        <w:spacing w:after="40"/>
        <w:ind w:left="369" w:hanging="227"/>
      </w:pPr>
      <w:r>
        <w:rPr>
          <w:rFonts w:ascii="Arial" w:hAnsi="Arial" w:cs="Arial"/>
          <w:sz w:val="22"/>
        </w:rPr>
        <w:t>26. Atribuir tercería al orden social.</w:t>
      </w:r>
    </w:p>
    <w:p>
      <w:pPr>
        <w:spacing w:after="40"/>
        <w:ind w:left="369" w:hanging="227"/>
      </w:pPr>
      <w:r>
        <w:rPr>
          <w:rFonts w:ascii="Arial" w:hAnsi="Arial" w:cs="Arial"/>
          <w:sz w:val="22"/>
        </w:rPr>
        <w:t>27. Decir que resuelve la URE; resuelve Director Provincial.</w:t>
      </w:r>
    </w:p>
    <w:p>
      <w:pPr>
        <w:spacing w:after="40"/>
        <w:ind w:left="369" w:hanging="227"/>
      </w:pPr>
      <w:r>
        <w:rPr>
          <w:rFonts w:ascii="Arial" w:hAnsi="Arial" w:cs="Arial"/>
          <w:sz w:val="22"/>
        </w:rPr>
        <w:t>28. Sumar cargas preferentes al valor para obtener el tipo; normalmente se restan si subsisten.</w:t>
      </w:r>
    </w:p>
    <w:p>
      <w:pPr>
        <w:spacing w:after="40"/>
        <w:ind w:left="369" w:hanging="227"/>
      </w:pPr>
      <w:r>
        <w:rPr>
          <w:rFonts w:ascii="Arial" w:hAnsi="Arial" w:cs="Arial"/>
          <w:sz w:val="22"/>
        </w:rPr>
        <w:t>29. Confundir el tanteo de treinta días con la adjudicación de bienes no enajenados.</w:t>
      </w:r>
    </w:p>
    <w:p>
      <w:pPr>
        <w:spacing w:after="40"/>
        <w:ind w:left="369" w:hanging="227"/>
      </w:pPr>
      <w:r>
        <w:rPr>
          <w:rFonts w:ascii="Arial" w:hAnsi="Arial" w:cs="Arial"/>
          <w:sz w:val="22"/>
        </w:rPr>
        <w:t>30. Superar el 80 % del tipo al valorar la adjudicación de un bien a la TGSS.</w:t>
      </w:r>
    </w:p>
    <w:p>
      <w:pPr>
        <w:pStyle w:val="Heading1"/>
        <w:keepNext/>
      </w:pPr>
      <w:r>
        <w:rPr>
          <w:rFonts w:ascii="Arial" w:hAnsi="Arial" w:cs="Arial"/>
          <w:sz w:val="30"/>
        </w:rPr>
        <w:t>28. Resumen</w:t>
      </w:r>
    </w:p>
    <w:p>
      <w:pPr>
        <w:jc w:val="both"/>
      </w:pPr>
      <w:r>
        <w:rPr>
          <w:rFonts w:ascii="Arial" w:hAnsi="Arial" w:cs="Arial"/>
          <w:sz w:val="22"/>
        </w:rPr>
        <w:t>La providencia es título ejecutivo con fuerza de sentencia y su omisión invalida apremio. Puede dictarse directamente por cuotas liquidadas correctamente o después de reclamación o acta firme. Se impugna por pago, prescripción, error material, condonación/aplazamiento/suspensión o falta de notificación previa exigible. El recurso suspende sin garantía.</w:t>
      </w:r>
    </w:p>
    <w:p>
      <w:pPr>
        <w:jc w:val="both"/>
      </w:pPr>
      <w:r>
        <w:rPr>
          <w:rFonts w:ascii="Arial" w:hAnsi="Arial" w:cs="Arial"/>
          <w:sz w:val="22"/>
        </w:rPr>
        <w:t>Firme la providencia, se ejecutan garantías y embargan bienes suficientes. Se prioriza facilidad y menor onerosidad; salarios siguen escala LEC. La subasta es ordinaria, el concurso se admite para bienes muebles o semovientes y la adjudicación directa es excepcional, con actuaciones en seis meses.</w:t>
      </w:r>
    </w:p>
    <w:p>
      <w:pPr>
        <w:jc w:val="both"/>
      </w:pPr>
      <w:r>
        <w:rPr>
          <w:rFonts w:ascii="Arial" w:hAnsi="Arial" w:cs="Arial"/>
          <w:sz w:val="22"/>
        </w:rPr>
        <w:t>Incobrable no extingue deuda. Las tercerías son de dominio o mejor derecho, resuelve Director Provincial en tres meses y la vía posterior es civil.</w:t>
      </w:r>
    </w:p>
    <w:p>
      <w:pPr>
        <w:pStyle w:val="Heading1"/>
        <w:keepNext/>
      </w:pPr>
      <w:r>
        <w:rPr>
          <w:rFonts w:ascii="Arial" w:hAnsi="Arial" w:cs="Arial"/>
          <w:sz w:val="30"/>
        </w:rPr>
        <w:t>29. Datos especialmente preguntables</w:t>
      </w:r>
    </w:p>
    <w:p>
      <w:pPr>
        <w:pStyle w:val="ListBullet"/>
      </w:pPr>
      <w:r>
        <w:rPr>
          <w:rFonts w:ascii="Arial" w:hAnsi="Arial" w:cs="Arial"/>
          <w:sz w:val="22"/>
        </w:rPr>
        <w:t xml:space="preserve">Providencia: </w:t>
      </w:r>
      <w:r>
        <w:rPr>
          <w:rFonts w:ascii="Arial" w:hAnsi="Arial" w:cs="Arial"/>
          <w:b/>
          <w:sz w:val="22"/>
        </w:rPr>
        <w:t>mismo valor ejecutivo que sentencia</w:t>
      </w:r>
      <w:r>
        <w:rPr>
          <w:rFonts w:ascii="Arial" w:hAnsi="Arial" w:cs="Arial"/>
          <w:sz w:val="22"/>
        </w:rPr>
        <w:t>.</w:t>
      </w:r>
    </w:p>
    <w:p>
      <w:pPr>
        <w:pStyle w:val="ListBullet"/>
      </w:pPr>
      <w:r>
        <w:rPr>
          <w:rFonts w:ascii="Arial" w:hAnsi="Arial" w:cs="Arial"/>
          <w:sz w:val="22"/>
        </w:rPr>
        <w:t xml:space="preserve">Pago tras notificación: </w:t>
      </w:r>
      <w:r>
        <w:rPr>
          <w:rFonts w:ascii="Arial" w:hAnsi="Arial" w:cs="Arial"/>
          <w:b/>
          <w:sz w:val="22"/>
        </w:rPr>
        <w:t>15 días naturales</w:t>
      </w:r>
      <w:r>
        <w:rPr>
          <w:rFonts w:ascii="Arial" w:hAnsi="Arial" w:cs="Arial"/>
          <w:sz w:val="22"/>
        </w:rPr>
        <w:t xml:space="preserve"> para evitar exigencia de intereses.</w:t>
      </w:r>
    </w:p>
    <w:p>
      <w:pPr>
        <w:pStyle w:val="ListBullet"/>
      </w:pPr>
      <w:r>
        <w:rPr>
          <w:rFonts w:ascii="Arial" w:hAnsi="Arial" w:cs="Arial"/>
          <w:sz w:val="22"/>
        </w:rPr>
        <w:t xml:space="preserve">Motivos: </w:t>
      </w:r>
      <w:r>
        <w:rPr>
          <w:rFonts w:ascii="Arial" w:hAnsi="Arial" w:cs="Arial"/>
          <w:b/>
          <w:sz w:val="22"/>
        </w:rPr>
        <w:t>cinco</w:t>
      </w:r>
      <w:r>
        <w:rPr>
          <w:rFonts w:ascii="Arial" w:hAnsi="Arial" w:cs="Arial"/>
          <w:sz w:val="22"/>
        </w:rPr>
        <w:t xml:space="preserve"> grupos tasados.</w:t>
      </w:r>
    </w:p>
    <w:p>
      <w:pPr>
        <w:pStyle w:val="ListBullet"/>
      </w:pPr>
      <w:r>
        <w:rPr>
          <w:rFonts w:ascii="Arial" w:hAnsi="Arial" w:cs="Arial"/>
          <w:sz w:val="22"/>
        </w:rPr>
        <w:t xml:space="preserve">Recurso de alzada: </w:t>
      </w:r>
      <w:r>
        <w:rPr>
          <w:rFonts w:ascii="Arial" w:hAnsi="Arial" w:cs="Arial"/>
          <w:b/>
          <w:sz w:val="22"/>
        </w:rPr>
        <w:t>suspende sin garantía</w:t>
      </w:r>
      <w:r>
        <w:rPr>
          <w:rFonts w:ascii="Arial" w:hAnsi="Arial" w:cs="Arial"/>
          <w:sz w:val="22"/>
        </w:rPr>
        <w:t>.</w:t>
      </w:r>
    </w:p>
    <w:p>
      <w:pPr>
        <w:pStyle w:val="ListBullet"/>
      </w:pPr>
      <w:r>
        <w:rPr>
          <w:rFonts w:ascii="Arial" w:hAnsi="Arial" w:cs="Arial"/>
          <w:sz w:val="22"/>
        </w:rPr>
        <w:t>Orden: facilidad y menor onerosidad.</w:t>
      </w:r>
    </w:p>
    <w:p>
      <w:pPr>
        <w:pStyle w:val="ListBullet"/>
      </w:pPr>
      <w:r>
        <w:rPr>
          <w:rFonts w:ascii="Arial" w:hAnsi="Arial" w:cs="Arial"/>
          <w:sz w:val="22"/>
        </w:rPr>
        <w:t xml:space="preserve">Corto plazo: </w:t>
      </w:r>
      <w:r>
        <w:rPr>
          <w:rFonts w:ascii="Arial" w:hAnsi="Arial" w:cs="Arial"/>
          <w:b/>
          <w:sz w:val="22"/>
        </w:rPr>
        <w:t>3 meses</w:t>
      </w:r>
      <w:r>
        <w:rPr>
          <w:rFonts w:ascii="Arial" w:hAnsi="Arial" w:cs="Arial"/>
          <w:sz w:val="22"/>
        </w:rPr>
        <w:t>.</w:t>
      </w:r>
    </w:p>
    <w:p>
      <w:pPr>
        <w:pStyle w:val="ListBullet"/>
      </w:pPr>
      <w:r>
        <w:rPr>
          <w:rFonts w:ascii="Arial" w:hAnsi="Arial" w:cs="Arial"/>
          <w:sz w:val="22"/>
        </w:rPr>
        <w:t xml:space="preserve">Primer tramo embargable: </w:t>
      </w:r>
      <w:r>
        <w:rPr>
          <w:rFonts w:ascii="Arial" w:hAnsi="Arial" w:cs="Arial"/>
          <w:b/>
          <w:sz w:val="22"/>
        </w:rPr>
        <w:t>30 %</w:t>
      </w:r>
      <w:r>
        <w:rPr>
          <w:rFonts w:ascii="Arial" w:hAnsi="Arial" w:cs="Arial"/>
          <w:sz w:val="22"/>
        </w:rPr>
        <w:t>.</w:t>
      </w:r>
    </w:p>
    <w:p>
      <w:pPr>
        <w:pStyle w:val="ListBullet"/>
      </w:pPr>
      <w:r>
        <w:rPr>
          <w:rFonts w:ascii="Arial" w:hAnsi="Arial" w:cs="Arial"/>
          <w:sz w:val="22"/>
        </w:rPr>
        <w:t xml:space="preserve">Participaciones no cotizadas: comunicación a </w:t>
      </w:r>
      <w:r>
        <w:rPr>
          <w:rFonts w:ascii="Arial" w:hAnsi="Arial" w:cs="Arial"/>
          <w:b/>
          <w:sz w:val="22"/>
        </w:rPr>
        <w:t>administradores</w:t>
      </w:r>
      <w:r>
        <w:rPr>
          <w:rFonts w:ascii="Arial" w:hAnsi="Arial" w:cs="Arial"/>
          <w:sz w:val="22"/>
        </w:rPr>
        <w:t>.</w:t>
      </w:r>
    </w:p>
    <w:p>
      <w:pPr>
        <w:pStyle w:val="ListBullet"/>
      </w:pPr>
      <w:r>
        <w:rPr>
          <w:rFonts w:ascii="Arial" w:hAnsi="Arial" w:cs="Arial"/>
          <w:sz w:val="22"/>
        </w:rPr>
        <w:t xml:space="preserve">Ofertas de subasta: mínimo </w:t>
      </w:r>
      <w:r>
        <w:rPr>
          <w:rFonts w:ascii="Arial" w:hAnsi="Arial" w:cs="Arial"/>
          <w:b/>
          <w:sz w:val="22"/>
        </w:rPr>
        <w:t>1 mes</w:t>
      </w:r>
      <w:r>
        <w:rPr>
          <w:rFonts w:ascii="Arial" w:hAnsi="Arial" w:cs="Arial"/>
          <w:sz w:val="22"/>
        </w:rPr>
        <w:t>.</w:t>
      </w:r>
    </w:p>
    <w:p>
      <w:pPr>
        <w:pStyle w:val="ListBullet"/>
      </w:pPr>
      <w:r>
        <w:rPr>
          <w:rFonts w:ascii="Arial" w:hAnsi="Arial" w:cs="Arial"/>
          <w:sz w:val="22"/>
        </w:rPr>
        <w:t xml:space="preserve">Previsión de costas: máximo </w:t>
      </w:r>
      <w:r>
        <w:rPr>
          <w:rFonts w:ascii="Arial" w:hAnsi="Arial" w:cs="Arial"/>
          <w:b/>
          <w:sz w:val="22"/>
        </w:rPr>
        <w:t>3 % de la deuda</w:t>
      </w:r>
      <w:r>
        <w:rPr>
          <w:rFonts w:ascii="Arial" w:hAnsi="Arial" w:cs="Arial"/>
          <w:sz w:val="22"/>
        </w:rPr>
        <w:t>.</w:t>
      </w:r>
    </w:p>
    <w:p>
      <w:pPr>
        <w:pStyle w:val="ListBullet"/>
      </w:pPr>
      <w:r>
        <w:rPr>
          <w:rFonts w:ascii="Arial" w:hAnsi="Arial" w:cs="Arial"/>
          <w:sz w:val="22"/>
        </w:rPr>
        <w:t xml:space="preserve">Tanteo TGSS: máximo </w:t>
      </w:r>
      <w:r>
        <w:rPr>
          <w:rFonts w:ascii="Arial" w:hAnsi="Arial" w:cs="Arial"/>
          <w:b/>
          <w:sz w:val="22"/>
        </w:rPr>
        <w:t>30 días</w:t>
      </w:r>
      <w:r>
        <w:rPr>
          <w:rFonts w:ascii="Arial" w:hAnsi="Arial" w:cs="Arial"/>
          <w:sz w:val="22"/>
        </w:rPr>
        <w:t>.</w:t>
      </w:r>
    </w:p>
    <w:p>
      <w:pPr>
        <w:pStyle w:val="ListBullet"/>
      </w:pPr>
      <w:r>
        <w:rPr>
          <w:rFonts w:ascii="Arial" w:hAnsi="Arial" w:cs="Arial"/>
          <w:sz w:val="22"/>
        </w:rPr>
        <w:t xml:space="preserve">Adjudicación a TGSS: valor máximo del </w:t>
      </w:r>
      <w:r>
        <w:rPr>
          <w:rFonts w:ascii="Arial" w:hAnsi="Arial" w:cs="Arial"/>
          <w:b/>
          <w:sz w:val="22"/>
        </w:rPr>
        <w:t>80 % del tipo</w:t>
      </w:r>
      <w:r>
        <w:rPr>
          <w:rFonts w:ascii="Arial" w:hAnsi="Arial" w:cs="Arial"/>
          <w:sz w:val="22"/>
        </w:rPr>
        <w:t>.</w:t>
      </w:r>
    </w:p>
    <w:p>
      <w:pPr>
        <w:pStyle w:val="ListBullet"/>
      </w:pPr>
      <w:r>
        <w:rPr>
          <w:rFonts w:ascii="Arial" w:hAnsi="Arial" w:cs="Arial"/>
          <w:sz w:val="22"/>
        </w:rPr>
        <w:t xml:space="preserve">Adjudicación directa: actuaciones en </w:t>
      </w:r>
      <w:r>
        <w:rPr>
          <w:rFonts w:ascii="Arial" w:hAnsi="Arial" w:cs="Arial"/>
          <w:b/>
          <w:sz w:val="22"/>
        </w:rPr>
        <w:t>6 meses</w:t>
      </w:r>
      <w:r>
        <w:rPr>
          <w:rFonts w:ascii="Arial" w:hAnsi="Arial" w:cs="Arial"/>
          <w:sz w:val="22"/>
        </w:rPr>
        <w:t>.</w:t>
      </w:r>
    </w:p>
    <w:p>
      <w:pPr>
        <w:pStyle w:val="ListBullet"/>
      </w:pPr>
      <w:r>
        <w:rPr>
          <w:rFonts w:ascii="Arial" w:hAnsi="Arial" w:cs="Arial"/>
          <w:sz w:val="22"/>
        </w:rPr>
        <w:t>Crédito incobrable: no extingue.</w:t>
      </w:r>
    </w:p>
    <w:p>
      <w:pPr>
        <w:pStyle w:val="ListBullet"/>
      </w:pPr>
      <w:r>
        <w:rPr>
          <w:rFonts w:ascii="Arial" w:hAnsi="Arial" w:cs="Arial"/>
          <w:sz w:val="22"/>
        </w:rPr>
        <w:t>Tercerías: dominio y mejor derecho.</w:t>
      </w:r>
    </w:p>
    <w:p>
      <w:pPr>
        <w:pStyle w:val="ListBullet"/>
      </w:pPr>
      <w:r>
        <w:rPr>
          <w:rFonts w:ascii="Arial" w:hAnsi="Arial" w:cs="Arial"/>
          <w:sz w:val="22"/>
        </w:rPr>
        <w:t xml:space="preserve">Subsanación tercería: </w:t>
      </w:r>
      <w:r>
        <w:rPr>
          <w:rFonts w:ascii="Arial" w:hAnsi="Arial" w:cs="Arial"/>
          <w:b/>
          <w:sz w:val="22"/>
        </w:rPr>
        <w:t>10 días</w:t>
      </w:r>
      <w:r>
        <w:rPr>
          <w:rFonts w:ascii="Arial" w:hAnsi="Arial" w:cs="Arial"/>
          <w:sz w:val="22"/>
        </w:rPr>
        <w:t>.</w:t>
      </w:r>
    </w:p>
    <w:p>
      <w:pPr>
        <w:pStyle w:val="ListBullet"/>
      </w:pPr>
      <w:r>
        <w:rPr>
          <w:rFonts w:ascii="Arial" w:hAnsi="Arial" w:cs="Arial"/>
          <w:sz w:val="22"/>
        </w:rPr>
        <w:t xml:space="preserve">Resolución: Director Provincial, </w:t>
      </w:r>
      <w:r>
        <w:rPr>
          <w:rFonts w:ascii="Arial" w:hAnsi="Arial" w:cs="Arial"/>
          <w:b/>
          <w:sz w:val="22"/>
        </w:rPr>
        <w:t>3 meses</w:t>
      </w:r>
      <w:r>
        <w:rPr>
          <w:rFonts w:ascii="Arial" w:hAnsi="Arial" w:cs="Arial"/>
          <w:sz w:val="22"/>
        </w:rPr>
        <w:t>.</w:t>
      </w:r>
    </w:p>
    <w:p>
      <w:pPr>
        <w:pStyle w:val="ListBullet"/>
      </w:pPr>
      <w:r>
        <w:rPr>
          <w:rFonts w:ascii="Arial" w:hAnsi="Arial" w:cs="Arial"/>
          <w:sz w:val="22"/>
        </w:rPr>
        <w:t xml:space="preserve">Demanda civil para mantener suspensión: </w:t>
      </w:r>
      <w:r>
        <w:rPr>
          <w:rFonts w:ascii="Arial" w:hAnsi="Arial" w:cs="Arial"/>
          <w:b/>
          <w:sz w:val="22"/>
        </w:rPr>
        <w:t>20 días</w:t>
      </w:r>
      <w:r>
        <w:rPr>
          <w:rFonts w:ascii="Arial" w:hAnsi="Arial" w:cs="Arial"/>
          <w:sz w:val="22"/>
        </w:rPr>
        <w:t>.</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S06</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29</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6, 2025: 17, 2026: 6</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23 / 6</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bl>
    <w:p>
      <w:pPr>
        <w:spacing w:after="40"/>
      </w:pPr>
    </w:p>
    <w:p>
      <w:pPr>
        <w:jc w:val="both"/>
      </w:pPr>
      <w:r>
        <w:rPr>
          <w:rFonts w:ascii="Arial" w:hAnsi="Arial" w:cs="Arial"/>
          <w:b/>
          <w:sz w:val="22"/>
        </w:rPr>
        <w:t>Normas que más aparecen:</w:t>
      </w:r>
      <w:r>
        <w:rPr>
          <w:rFonts w:ascii="Arial" w:hAnsi="Arial" w:cs="Arial"/>
          <w:sz w:val="22"/>
        </w:rPr>
        <w:t xml:space="preserve"> Real Decreto 1415/2004 (19).</w:t>
      </w:r>
    </w:p>
    <w:p>
      <w:pPr>
        <w:jc w:val="both"/>
      </w:pPr>
      <w:r>
        <w:rPr>
          <w:rFonts w:ascii="Arial" w:hAnsi="Arial" w:cs="Arial"/>
          <w:b/>
          <w:sz w:val="22"/>
        </w:rPr>
        <w:t>Artículos o preceptos más repetidos:</w:t>
      </w:r>
      <w:r>
        <w:rPr>
          <w:rFonts w:ascii="Arial" w:hAnsi="Arial" w:cs="Arial"/>
          <w:sz w:val="22"/>
        </w:rPr>
        <w:t xml:space="preserve"> 84 (3); 87 (3); 135 (2); 120 (2); 90 (1); 86 (1); 88 (1); 94 (1).</w:t>
      </w:r>
    </w:p>
    <w:p>
      <w:pPr>
        <w:jc w:val="both"/>
      </w:pPr>
      <w:r>
        <w:rPr>
          <w:rFonts w:ascii="Arial" w:hAnsi="Arial" w:cs="Arial"/>
          <w:b/>
          <w:sz w:val="22"/>
        </w:rPr>
        <w:t>Formas de pregunta predominantes:</w:t>
      </w:r>
      <w:r>
        <w:rPr>
          <w:rFonts w:ascii="Arial" w:hAnsi="Arial" w:cs="Arial"/>
          <w:sz w:val="22"/>
        </w:rPr>
        <w:t xml:space="preserve"> Recaudación ejecutiva (15); Plazos (5); Cálculos (5); Procedimientos (3); Competencias (1).</w:t>
      </w:r>
    </w:p>
    <w:p>
      <w:pPr>
        <w:pStyle w:val="Heading2"/>
        <w:keepNext/>
      </w:pPr>
      <w:r>
        <w:rPr>
          <w:rFonts w:ascii="Arial" w:hAnsi="Arial" w:cs="Arial"/>
          <w:sz w:val="25"/>
        </w:rPr>
        <w:t>Patrones observados</w:t>
      </w:r>
    </w:p>
    <w:p>
      <w:pPr>
        <w:pStyle w:val="ListBullet"/>
      </w:pPr>
      <w:r>
        <w:rPr>
          <w:rFonts w:ascii="Arial" w:hAnsi="Arial" w:cs="Arial"/>
          <w:b/>
          <w:sz w:val="22"/>
        </w:rPr>
        <w:t>2024, supuesto 1:</w:t>
      </w:r>
      <w:r>
        <w:rPr>
          <w:rFonts w:ascii="Arial" w:hAnsi="Arial" w:cs="Arial"/>
          <w:sz w:val="22"/>
        </w:rPr>
        <w:t xml:space="preserve"> La dtligencia de embargo del local, debió de ser notificada a:</w:t>
      </w:r>
    </w:p>
    <w:p>
      <w:pPr>
        <w:pStyle w:val="ListBullet"/>
      </w:pPr>
      <w:r>
        <w:rPr>
          <w:rFonts w:ascii="Arial" w:hAnsi="Arial" w:cs="Arial"/>
          <w:b/>
          <w:sz w:val="22"/>
        </w:rPr>
        <w:t>2024, supuesto 6:</w:t>
      </w:r>
      <w:r>
        <w:rPr>
          <w:rFonts w:ascii="Arial" w:hAnsi="Arial" w:cs="Arial"/>
          <w:sz w:val="22"/>
        </w:rPr>
        <w:t xml:space="preserve"> Indique, en relación con la providencia de apremio notificada el día II de enero de 2023, si la actuación de la Tesorería General de la Seguridad Social es correcta ante la ausencia de reclamación previa de…</w:t>
      </w:r>
    </w:p>
    <w:p>
      <w:pPr>
        <w:pStyle w:val="ListBullet"/>
      </w:pPr>
      <w:r>
        <w:rPr>
          <w:rFonts w:ascii="Arial" w:hAnsi="Arial" w:cs="Arial"/>
          <w:b/>
          <w:sz w:val="22"/>
        </w:rPr>
        <w:t>2025, supuesto 7:</w:t>
      </w:r>
      <w:r>
        <w:rPr>
          <w:rFonts w:ascii="Arial" w:hAnsi="Arial" w:cs="Arial"/>
          <w:sz w:val="22"/>
        </w:rPr>
        <w:t xml:space="preserve"> Determine si la presentación por D. Max Estrella del recurso de alzada contra la providencia de apremio suspende el procedimiento de apremio.</w:t>
      </w:r>
    </w:p>
    <w:p>
      <w:pPr>
        <w:pStyle w:val="ListBullet"/>
      </w:pPr>
      <w:r>
        <w:rPr>
          <w:rFonts w:ascii="Arial" w:hAnsi="Arial" w:cs="Arial"/>
          <w:b/>
          <w:sz w:val="22"/>
        </w:rPr>
        <w:t>2025, supuesto 8:</w:t>
      </w:r>
      <w:r>
        <w:rPr>
          <w:rFonts w:ascii="Arial" w:hAnsi="Arial" w:cs="Arial"/>
          <w:sz w:val="22"/>
        </w:rPr>
        <w:t xml:space="preserve"> Indique quién debe de abonar los 450 euros facturados por el perito para valorar la finca r ústica.</w:t>
      </w:r>
    </w:p>
    <w:p>
      <w:pPr>
        <w:pStyle w:val="ListBullet"/>
      </w:pPr>
      <w:r>
        <w:rPr>
          <w:rFonts w:ascii="Arial" w:hAnsi="Arial" w:cs="Arial"/>
          <w:b/>
          <w:sz w:val="22"/>
        </w:rPr>
        <w:t>2025, supuesto 9:</w:t>
      </w:r>
      <w:r>
        <w:rPr>
          <w:rFonts w:ascii="Arial" w:hAnsi="Arial" w:cs="Arial"/>
          <w:sz w:val="22"/>
        </w:rPr>
        <w:t xml:space="preserve"> El escrito presentado por Dña. Enriqueta Pisa Bien se ha tratado como una tercería de dominio, señale cuál es el efecto en el procedimiento recaudatorio si se produjera su estimación.</w:t>
      </w:r>
    </w:p>
    <w:p>
      <w:pPr>
        <w:pStyle w:val="ListBullet"/>
      </w:pPr>
      <w:r>
        <w:rPr>
          <w:rFonts w:ascii="Arial" w:hAnsi="Arial" w:cs="Arial"/>
          <w:b/>
          <w:sz w:val="22"/>
        </w:rPr>
        <w:t>2026, supuesto 9:</w:t>
      </w:r>
      <w:r>
        <w:rPr>
          <w:rFonts w:ascii="Arial" w:hAnsi="Arial" w:cs="Arial"/>
          <w:sz w:val="22"/>
        </w:rPr>
        <w:t xml:space="preserve"> Señale cuál sería el importe del saldo de la cuenta a embargar:</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0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30. Fuentes oficiales</w:t>
      </w:r>
    </w:p>
    <w:p>
      <w:pPr>
        <w:pStyle w:val="ListBullet"/>
      </w:pPr>
      <w:r>
        <w:rPr>
          <w:rFonts w:ascii="Arial" w:hAnsi="Arial" w:cs="Arial"/>
          <w:sz w:val="22"/>
        </w:rPr>
        <w:t>Real Decreto Legislativo 8/2015, texto refundido de la Ley General de la Seguridad Social (https://www.boe.es/buscar/act.php?id=BOE-A-2015-11724).</w:t>
      </w:r>
    </w:p>
    <w:p>
      <w:pPr>
        <w:pStyle w:val="ListBullet"/>
      </w:pPr>
      <w:r>
        <w:rPr>
          <w:rFonts w:ascii="Arial" w:hAnsi="Arial" w:cs="Arial"/>
          <w:sz w:val="22"/>
        </w:rPr>
        <w:t>Real Decreto 1415/2004, Reglamento General de Recaudación (https://www.boe.es/buscar/act.php?id=BOE-A-2004-11836).</w:t>
      </w:r>
    </w:p>
    <w:p>
      <w:pPr>
        <w:pStyle w:val="ListBullet"/>
      </w:pPr>
      <w:r>
        <w:rPr>
          <w:rFonts w:ascii="Arial" w:hAnsi="Arial" w:cs="Arial"/>
          <w:sz w:val="22"/>
        </w:rPr>
        <w:t>Orden TAS/1562/2005, desarrollo del Reglamento de Recaudación (https://www.boe.es/buscar/act.php?id=BOE-A-2005-8986).</w:t>
      </w:r>
    </w:p>
    <w:p>
      <w:pPr>
        <w:pStyle w:val="ListBullet"/>
      </w:pPr>
      <w:r>
        <w:rPr>
          <w:rFonts w:ascii="Arial" w:hAnsi="Arial" w:cs="Arial"/>
          <w:sz w:val="22"/>
        </w:rPr>
        <w:t>Ley 1/2000, de Enjuiciamiento Civil (https://www.boe.es/buscar/act.php?id=BOE-A-2000-323).</w:t>
      </w:r>
    </w:p>
    <w:p>
      <w:pPr>
        <w:pStyle w:val="ListBullet"/>
      </w:pPr>
      <w:r>
        <w:rPr>
          <w:rFonts w:ascii="Arial" w:hAnsi="Arial" w:cs="Arial"/>
          <w:sz w:val="22"/>
        </w:rPr>
        <w:t>Ley 39/2015, del Procedimiento Administrativo Común (https://www.boe.es/buscar/act.php?id=BOE-A-2015-10565).</w:t>
      </w:r>
    </w:p>
    <w:p>
      <w:pPr>
        <w:pStyle w:val="ListBullet"/>
      </w:pPr>
      <w:r>
        <w:rPr>
          <w:rFonts w:ascii="Arial" w:hAnsi="Arial" w:cs="Arial"/>
          <w:sz w:val="22"/>
        </w:rPr>
        <w:t>Portal de Subastas del BOE (https://subastas.boe.es/).</w:t>
      </w:r>
    </w:p>
    <w:p>
      <w:pPr>
        <w:pStyle w:val="ListBullet"/>
      </w:pPr>
      <w:r>
        <w:rPr>
          <w:rFonts w:ascii="Arial" w:hAnsi="Arial" w:cs="Arial"/>
          <w:sz w:val="22"/>
        </w:rPr>
        <w:t>Sede electrónica de la Seguridad Social (https://sede.seg-social.gob.es/).</w:t>
      </w:r>
    </w:p>
    <w:p>
      <w:pPr>
        <w:pStyle w:val="ListBullet"/>
      </w:pPr>
      <w:r>
        <w:rPr>
          <w:rFonts w:ascii="Arial" w:hAnsi="Arial" w:cs="Arial"/>
          <w:sz w:val="22"/>
        </w:rPr>
        <w:t>Portal oficial de la Seguridad Social: recaudación (https://www.seg-social.es/wps/portal/wss/internet/Trabajadores/CotizacionRecaudacionTrabajadores).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S06 · Tema 6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6. La recaudación en vía ejecutiva. Normas generales. Iniciación y título ejecutivo. La providencia de apremio. Oposición y efectos. El embargo…</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