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7</w:t>
      </w:r>
    </w:p>
    <w:p>
      <w:pPr>
        <w:keepNext/>
        <w:spacing w:before="0" w:after="280"/>
        <w:pBdr>
          <w:bottom w:val="single" w:sz="12" w:space="1" w:color="2F75B5"/>
        </w:pBdr>
      </w:pPr>
      <w:r>
        <w:rPr>
          <w:rFonts w:ascii="Arial" w:hAnsi="Arial" w:cs="Arial"/>
          <w:b/>
          <w:color w:val="17365D"/>
          <w:sz w:val="40"/>
        </w:rPr>
        <w:t>Acción protectora. Contenido y clasificación de las prestaciones. Caracteres de las prestaciones. Incompatibilidades. Reintegro de las prestaciones indebidas. Requisitos generales del derecho a las prestaciones. Responsabilidades en orden a las prestaciones por incumplimiento de las obligaciones de afiliación, altas, bajas y cotización. Automaticidad y anticipo de prestaciones. Riesgo protegido: contingencias comunes y profesionales.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i/>
          <w:sz w:val="22"/>
        </w:rPr>
        <w:t>Contenido actualizado a 30 de julio de 2026.</w:t>
      </w:r>
    </w:p>
    <w:p>
      <w:pPr>
        <w:jc w:val="both"/>
      </w:pPr>
      <w:r>
        <w:rPr>
          <w:rFonts w:ascii="Arial" w:hAnsi="Arial" w:cs="Arial"/>
          <w:sz w:val="22"/>
        </w:rPr>
        <w:t xml:space="preserve">La acción protectora es el conjunto organizado de prestaciones, servicios y medidas mediante el que la Seguridad Social responde ante las contingencias y situaciones de necesidad previstas por la ley. No equivale a una póliza privada: se apoya en los principios de universalidad, unidad, solidaridad e igualdad del artículo 2 del texto refundido de la Ley General de la Seguridad Social —TRLGSS— y se integra en el mandato de protección pública del artículo 41 de la Constitución. Para resolver bien este tema hay que separar cuatro preguntas: </w:t>
      </w:r>
      <w:r>
        <w:rPr>
          <w:rFonts w:ascii="Arial" w:hAnsi="Arial" w:cs="Arial"/>
          <w:b/>
          <w:sz w:val="22"/>
        </w:rPr>
        <w:t>qué protege el sistema</w:t>
      </w:r>
      <w:r>
        <w:rPr>
          <w:rFonts w:ascii="Arial" w:hAnsi="Arial" w:cs="Arial"/>
          <w:sz w:val="22"/>
        </w:rPr>
        <w:t xml:space="preserve">, </w:t>
      </w:r>
      <w:r>
        <w:rPr>
          <w:rFonts w:ascii="Arial" w:hAnsi="Arial" w:cs="Arial"/>
          <w:b/>
          <w:sz w:val="22"/>
        </w:rPr>
        <w:t>qué requisitos debe cumplir la persona</w:t>
      </w:r>
      <w:r>
        <w:rPr>
          <w:rFonts w:ascii="Arial" w:hAnsi="Arial" w:cs="Arial"/>
          <w:sz w:val="22"/>
        </w:rPr>
        <w:t xml:space="preserve">, </w:t>
      </w:r>
      <w:r>
        <w:rPr>
          <w:rFonts w:ascii="Arial" w:hAnsi="Arial" w:cs="Arial"/>
          <w:b/>
          <w:sz w:val="22"/>
        </w:rPr>
        <w:t>quién responde del pago</w:t>
      </w:r>
      <w:r>
        <w:rPr>
          <w:rFonts w:ascii="Arial" w:hAnsi="Arial" w:cs="Arial"/>
          <w:sz w:val="22"/>
        </w:rPr>
        <w:t xml:space="preserve"> y </w:t>
      </w:r>
      <w:r>
        <w:rPr>
          <w:rFonts w:ascii="Arial" w:hAnsi="Arial" w:cs="Arial"/>
          <w:b/>
          <w:sz w:val="22"/>
        </w:rPr>
        <w:t>qué ocurre si el empresario incumple</w:t>
      </w:r>
      <w:r>
        <w:rPr>
          <w:rFonts w:ascii="Arial" w:hAnsi="Arial" w:cs="Arial"/>
          <w:sz w:val="22"/>
        </w:rPr>
        <w:t>.</w:t>
      </w:r>
    </w:p>
    <w:p>
      <w:pPr>
        <w:pStyle w:val="Heading1"/>
        <w:keepNext/>
      </w:pPr>
      <w:r>
        <w:rPr>
          <w:rFonts w:ascii="Arial" w:hAnsi="Arial" w:cs="Arial"/>
          <w:sz w:val="30"/>
        </w:rPr>
        <w:t>1. Concepto y límites de la acción protectora</w:t>
      </w:r>
    </w:p>
    <w:p>
      <w:pPr>
        <w:jc w:val="both"/>
      </w:pPr>
      <w:r>
        <w:rPr>
          <w:rFonts w:ascii="Arial" w:hAnsi="Arial" w:cs="Arial"/>
          <w:sz w:val="22"/>
        </w:rPr>
        <w:t xml:space="preserve">La contingencia es el acontecimiento o riesgo al que la ley asocia una posible necesidad: enfermedad, accidente, nacimiento, vejez, desempleo o muerte, entre otros. La </w:t>
      </w:r>
      <w:r>
        <w:rPr>
          <w:rFonts w:ascii="Arial" w:hAnsi="Arial" w:cs="Arial"/>
          <w:b/>
          <w:sz w:val="22"/>
        </w:rPr>
        <w:t>situación protegida</w:t>
      </w:r>
      <w:r>
        <w:rPr>
          <w:rFonts w:ascii="Arial" w:hAnsi="Arial" w:cs="Arial"/>
          <w:sz w:val="22"/>
        </w:rPr>
        <w:t xml:space="preserve"> es la concreta situación jurídica descrita por cada prestación. La </w:t>
      </w:r>
      <w:r>
        <w:rPr>
          <w:rFonts w:ascii="Arial" w:hAnsi="Arial" w:cs="Arial"/>
          <w:b/>
          <w:sz w:val="22"/>
        </w:rPr>
        <w:t>prestación</w:t>
      </w:r>
      <w:r>
        <w:rPr>
          <w:rFonts w:ascii="Arial" w:hAnsi="Arial" w:cs="Arial"/>
          <w:sz w:val="22"/>
        </w:rPr>
        <w:t xml:space="preserve"> es la respuesta del sistema: una pensión, un subsidio, una indemnización, una asistencia o un servicio.</w:t>
      </w:r>
    </w:p>
    <w:p>
      <w:pPr>
        <w:jc w:val="both"/>
      </w:pPr>
      <w:r>
        <w:rPr>
          <w:rFonts w:ascii="Arial" w:hAnsi="Arial" w:cs="Arial"/>
          <w:sz w:val="22"/>
        </w:rPr>
        <w:t>Estas tres nociones no son intercambiables. Una enfermedad es una contingencia; la imposibilidad temporal para trabajar bajo asistencia sanitaria puede constituir incapacidad temporal; el subsidio económico sustituye parte de la renta dejada de percibir. El hecho biológico no basta siempre: debe encajar en la definición normativa y concurrir los demás requisitos.</w:t>
      </w:r>
    </w:p>
    <w:p>
      <w:pPr>
        <w:jc w:val="both"/>
      </w:pPr>
      <w:r>
        <w:rPr>
          <w:rFonts w:ascii="Arial" w:hAnsi="Arial" w:cs="Arial"/>
          <w:sz w:val="22"/>
        </w:rPr>
        <w:t>El artículo 42.3 TRLGSS atribuye a la enumeración legal una función delimitadora: fija el ámbito de extensión posible del Régimen General, de los regímenes especiales y de las prestaciones no contributivas. Además, toda prestación pública que pretenda complementar, ampliar o modificar prestaciones contributivas de Seguridad Social forma parte del sistema y queda sujeta a sus principios. Se evita así crear, al margen del marco común, protecciones materialmente equivalentes pero sometidas a reglas incompatibles con la unidad y la solidaridad.</w:t>
      </w:r>
    </w:p>
    <w:p>
      <w:pPr>
        <w:jc w:val="both"/>
      </w:pPr>
      <w:r>
        <w:rPr>
          <w:rFonts w:ascii="Arial" w:hAnsi="Arial" w:cs="Arial"/>
          <w:sz w:val="22"/>
        </w:rPr>
        <w:t>La acción protectora presenta dos modalidades:</w:t>
      </w:r>
    </w:p>
    <w:p>
      <w:pPr>
        <w:pStyle w:val="ListBullet"/>
      </w:pPr>
      <w:r>
        <w:rPr>
          <w:rFonts w:ascii="Arial" w:hAnsi="Arial" w:cs="Arial"/>
          <w:b/>
          <w:sz w:val="22"/>
        </w:rPr>
        <w:t>Contributiva</w:t>
      </w:r>
      <w:r>
        <w:rPr>
          <w:rFonts w:ascii="Arial" w:hAnsi="Arial" w:cs="Arial"/>
          <w:sz w:val="22"/>
        </w:rPr>
        <w:t>, vinculada normalmente a la inclusión en un régimen y, cuando la prestación lo exija, a períodos de cotización.</w:t>
      </w:r>
    </w:p>
    <w:p>
      <w:pPr>
        <w:pStyle w:val="ListBullet"/>
      </w:pPr>
      <w:r>
        <w:rPr>
          <w:rFonts w:ascii="Arial" w:hAnsi="Arial" w:cs="Arial"/>
          <w:b/>
          <w:sz w:val="22"/>
        </w:rPr>
        <w:t>No contributiva</w:t>
      </w:r>
      <w:r>
        <w:rPr>
          <w:rFonts w:ascii="Arial" w:hAnsi="Arial" w:cs="Arial"/>
          <w:sz w:val="22"/>
        </w:rPr>
        <w:t>, destinada a situaciones de necesidad en los términos legales aunque no se haya cotizado lo suficiente, con requisitos propios de residencia, ingresos, edad, discapacidad u otros.</w:t>
      </w:r>
    </w:p>
    <w:p>
      <w:pPr>
        <w:jc w:val="both"/>
      </w:pPr>
      <w:r>
        <w:rPr>
          <w:rFonts w:ascii="Arial" w:hAnsi="Arial" w:cs="Arial"/>
          <w:sz w:val="22"/>
        </w:rPr>
        <w:t>No todas las prestaciones contributivas requieren carencia. El accidente, sea laboral o no, y la enfermedad profesional dispensan con carácter general de período previo de cotización, salvo excepción legal expresa. Tampoco toda prestación no contributiva es una pensión: existen prestaciones familiares y el ingreso mínimo vital.</w:t>
      </w:r>
    </w:p>
    <w:p>
      <w:pPr>
        <w:pStyle w:val="Heading1"/>
        <w:keepNext/>
      </w:pPr>
      <w:r>
        <w:rPr>
          <w:rFonts w:ascii="Arial" w:hAnsi="Arial" w:cs="Arial"/>
          <w:sz w:val="30"/>
        </w:rPr>
        <w:t>2. Contenido legal de la acción protectora</w:t>
      </w:r>
    </w:p>
    <w:p>
      <w:pPr>
        <w:jc w:val="both"/>
      </w:pPr>
      <w:r>
        <w:rPr>
          <w:rFonts w:ascii="Arial" w:hAnsi="Arial" w:cs="Arial"/>
          <w:sz w:val="22"/>
        </w:rPr>
        <w:t>El artículo 42 TRLGSS ordena el catálogo general. Su aprendizaje resulta más seguro si se agrupa por la naturaleza de la respuesta:</w:t>
      </w:r>
    </w:p>
    <w:tbl>
      <w:tblPr>
        <w:tblStyle w:val="TableGrid"/>
        <w:tblW w:type="dxa" w:w="9026"/>
        <w:jc w:val="left"/>
        <w:tblLayout w:type="fixed"/>
        <w:tblLook w:firstColumn="1" w:firstRow="1" w:lastColumn="0" w:lastRow="0" w:noHBand="0" w:noVBand="1" w:val="04A0"/>
        <w:tblInd w:w="120" w:type="dxa"/>
      </w:tblPr>
      <w:tblGrid>
        <w:gridCol w:w="1452"/>
        <w:gridCol w:w="3787"/>
        <w:gridCol w:w="3787"/>
      </w:tblGrid>
      <w:tr>
        <w:trPr>
          <w:tblHeader w:val="true"/>
        </w:trPr>
        <w:tc>
          <w:tcPr>
            <w:tcW w:type="dxa" w:w="145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Grupo</w:t>
            </w:r>
          </w:p>
        </w:tc>
        <w:tc>
          <w:tcPr>
            <w:tcW w:type="dxa" w:w="378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Contenido esencial</w:t>
            </w:r>
          </w:p>
        </w:tc>
        <w:tc>
          <w:tcPr>
            <w:tcW w:type="dxa" w:w="378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Ejemplos</w:t>
            </w:r>
          </w:p>
        </w:tc>
      </w:tr>
      <w:tr>
        <w:tc>
          <w:tcPr>
            <w:tcW w:type="dxa" w:w="1452"/>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sanitarias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Atención frente a daños o procesos protegidos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Asistencia sanitaria por maternidad, enfermedad común o profesional y accidente laboral o no laboral</w:t>
            </w:r>
          </w:p>
        </w:tc>
      </w:tr>
      <w:tr>
        <w:tc>
          <w:tcPr>
            <w:tcW w:type="dxa" w:w="1452"/>
            <w:tcMar>
              <w:top w:w="80" w:type="dxa"/>
              <w:start w:w="120" w:type="dxa"/>
              <w:bottom w:w="80" w:type="dxa"/>
              <w:end w:w="120" w:type="dxa"/>
            </w:tcMar>
            <w:vAlign w:val="center"/>
          </w:tcPr>
          <w:p>
            <w:pPr>
              <w:spacing w:before="0" w:after="0" w:line="240" w:lineRule="auto"/>
              <w:jc w:val="left"/>
            </w:pPr>
            <w:r/>
            <w:r>
              <w:rPr>
                <w:rFonts w:ascii="Arial" w:hAnsi="Arial" w:cs="Arial"/>
                <w:sz w:val="18"/>
              </w:rPr>
              <w:t>Recuperación profesional</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Medidas para restaurar o adaptar la capacidad profesional</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Tratamientos y procesos de recuperación cuando procedan</w:t>
            </w:r>
          </w:p>
        </w:tc>
      </w:tr>
      <w:tr>
        <w:tc>
          <w:tcPr>
            <w:tcW w:type="dxa" w:w="1452"/>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económicas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Sustituyen rentas, compensan gastos o atienden una necesidad</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Subsidios, pensiones, indemnizaciones e ingreso mínimo vital</w:t>
            </w:r>
          </w:p>
        </w:tc>
      </w:tr>
      <w:tr>
        <w:tc>
          <w:tcPr>
            <w:tcW w:type="dxa" w:w="1452"/>
            <w:tcMar>
              <w:top w:w="80" w:type="dxa"/>
              <w:start w:w="120" w:type="dxa"/>
              <w:bottom w:w="80" w:type="dxa"/>
              <w:end w:w="120" w:type="dxa"/>
            </w:tcMar>
            <w:vAlign w:val="center"/>
          </w:tcPr>
          <w:p>
            <w:pPr>
              <w:spacing w:before="0" w:after="0" w:line="240" w:lineRule="auto"/>
              <w:jc w:val="left"/>
            </w:pPr>
            <w:r/>
            <w:r>
              <w:rPr>
                <w:rFonts w:ascii="Arial" w:hAnsi="Arial" w:cs="Arial"/>
                <w:sz w:val="18"/>
              </w:rPr>
              <w:t>Prestaciones familiares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contributiva o no contributiva de responsabilidades familiares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Asignaciones y prestaciones de pago único</w:t>
            </w:r>
          </w:p>
        </w:tc>
      </w:tr>
      <w:tr>
        <w:tc>
          <w:tcPr>
            <w:tcW w:type="dxa" w:w="1452"/>
            <w:tcMar>
              <w:top w:w="80" w:type="dxa"/>
              <w:start w:w="120" w:type="dxa"/>
              <w:bottom w:w="80" w:type="dxa"/>
              <w:end w:w="120" w:type="dxa"/>
            </w:tcMar>
            <w:vAlign w:val="center"/>
          </w:tcPr>
          <w:p>
            <w:pPr>
              <w:spacing w:before="0" w:after="0" w:line="240" w:lineRule="auto"/>
              <w:jc w:val="left"/>
            </w:pPr>
            <w:r/>
            <w:r>
              <w:rPr>
                <w:rFonts w:ascii="Arial" w:hAnsi="Arial" w:cs="Arial"/>
                <w:sz w:val="18"/>
              </w:rPr>
              <w:t>Servicios sociales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Formación, rehabilitación y atención social</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Servicios para personas con discapacidad y personas mayores</w:t>
            </w:r>
          </w:p>
        </w:tc>
      </w:tr>
      <w:tr>
        <w:tc>
          <w:tcPr>
            <w:tcW w:type="dxa" w:w="1452"/>
            <w:tcMar>
              <w:top w:w="80" w:type="dxa"/>
              <w:start w:w="120" w:type="dxa"/>
              <w:bottom w:w="80" w:type="dxa"/>
              <w:end w:w="120" w:type="dxa"/>
            </w:tcMar>
            <w:vAlign w:val="center"/>
          </w:tcPr>
          <w:p>
            <w:pPr>
              <w:spacing w:before="0" w:after="0" w:line="240" w:lineRule="auto"/>
              <w:jc w:val="left"/>
            </w:pPr>
            <w:r/>
            <w:r>
              <w:rPr>
                <w:rFonts w:ascii="Arial" w:hAnsi="Arial" w:cs="Arial"/>
                <w:sz w:val="18"/>
              </w:rPr>
              <w:t>Asistencia social</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Beneficios complementarios</w:t>
            </w:r>
          </w:p>
        </w:tc>
        <w:tc>
          <w:tcPr>
            <w:tcW w:type="dxa" w:w="3787"/>
            <w:tcMar>
              <w:top w:w="80" w:type="dxa"/>
              <w:start w:w="120" w:type="dxa"/>
              <w:bottom w:w="80" w:type="dxa"/>
              <w:end w:w="120" w:type="dxa"/>
            </w:tcMar>
            <w:vAlign w:val="center"/>
          </w:tcPr>
          <w:p>
            <w:pPr>
              <w:spacing w:before="0" w:after="0" w:line="240" w:lineRule="auto"/>
              <w:jc w:val="left"/>
            </w:pPr>
            <w:r/>
            <w:r>
              <w:rPr>
                <w:rFonts w:ascii="Arial" w:hAnsi="Arial" w:cs="Arial"/>
                <w:sz w:val="18"/>
              </w:rPr>
              <w:t>Ayudas concedidas en los términos y con los recursos previstos</w:t>
            </w:r>
          </w:p>
        </w:tc>
      </w:tr>
    </w:tbl>
    <w:p>
      <w:pPr>
        <w:spacing w:after="40"/>
      </w:pPr>
    </w:p>
    <w:p>
      <w:pPr>
        <w:jc w:val="both"/>
      </w:pPr>
      <w:r>
        <w:rPr>
          <w:rFonts w:ascii="Arial" w:hAnsi="Arial" w:cs="Arial"/>
          <w:sz w:val="22"/>
        </w:rPr>
        <w:t>Dentro de las prestaciones económicas, la ley menciona, entre otras, incapacidad temporal; nacimiento y cuidado de menor; riesgo durante el embarazo y durante la lactancia natural; ejercicio corresponsable del cuidado del lactante; cuidado de menores afectados por cáncer u otra enfermedad grave; incapacidad permanente contributiva y no contributiva; jubilación contributiva y no contributiva; desempleo contributivo y asistencial; cese de actividad; prestaciones por muerte y supervivencia; auxilio por defunción; indemnización especial por muerte derivada de accidente de trabajo o enfermedad profesional; e ingreso mínimo vital.</w:t>
      </w:r>
    </w:p>
    <w:p>
      <w:pPr>
        <w:jc w:val="both"/>
      </w:pPr>
      <w:r>
        <w:rPr>
          <w:rFonts w:ascii="Arial" w:hAnsi="Arial" w:cs="Arial"/>
          <w:sz w:val="22"/>
        </w:rPr>
        <w:t>La relación no autoriza a reconocer una prestación por mera analogía. Cada derecho necesita una norma que defina su hecho causante, beneficiarios, cuantía, duración, compatibilidades y gestión. Sin embargo, el propio artículo 42 permite que se creen por real decreto prestaciones para contingencias y situaciones especiales, a propuesta del titular del ministerio competente.</w:t>
      </w:r>
    </w:p>
    <w:p>
      <w:pPr>
        <w:pStyle w:val="Heading2"/>
        <w:keepNext/>
      </w:pPr>
      <w:r>
        <w:rPr>
          <w:rFonts w:ascii="Arial" w:hAnsi="Arial" w:cs="Arial"/>
          <w:sz w:val="25"/>
        </w:rPr>
        <w:t>2.1. Prestaciones en dinero y en especie</w:t>
      </w:r>
    </w:p>
    <w:p>
      <w:pPr>
        <w:jc w:val="both"/>
      </w:pPr>
      <w:r>
        <w:rPr>
          <w:rFonts w:ascii="Arial" w:hAnsi="Arial" w:cs="Arial"/>
          <w:sz w:val="22"/>
        </w:rPr>
        <w:t xml:space="preserve">Las </w:t>
      </w:r>
      <w:r>
        <w:rPr>
          <w:rFonts w:ascii="Arial" w:hAnsi="Arial" w:cs="Arial"/>
          <w:b/>
          <w:sz w:val="22"/>
        </w:rPr>
        <w:t>prestaciones económicas</w:t>
      </w:r>
      <w:r>
        <w:rPr>
          <w:rFonts w:ascii="Arial" w:hAnsi="Arial" w:cs="Arial"/>
          <w:sz w:val="22"/>
        </w:rPr>
        <w:t xml:space="preserve"> entregan una suma periódica o única. Pueden adoptar estas formas:</w:t>
      </w:r>
    </w:p>
    <w:p>
      <w:pPr>
        <w:spacing w:after="40"/>
        <w:ind w:left="369" w:hanging="227"/>
      </w:pPr>
      <w:r>
        <w:rPr>
          <w:rFonts w:ascii="Arial" w:hAnsi="Arial" w:cs="Arial"/>
          <w:sz w:val="22"/>
        </w:rPr>
        <w:t xml:space="preserve">1. </w:t>
      </w:r>
      <w:r>
        <w:rPr>
          <w:rFonts w:ascii="Arial" w:hAnsi="Arial" w:cs="Arial"/>
          <w:b/>
          <w:sz w:val="22"/>
        </w:rPr>
        <w:t>Pensiones</w:t>
      </w:r>
      <w:r>
        <w:rPr>
          <w:rFonts w:ascii="Arial" w:hAnsi="Arial" w:cs="Arial"/>
          <w:sz w:val="22"/>
        </w:rPr>
        <w:t>, de devengo periódico y duración ordinariamente prolongada o vitalicia mientras subsistan los requisitos: jubilación, incapacidad permanente en determinados grados, viudedad u orfandad.</w:t>
      </w:r>
    </w:p>
    <w:p>
      <w:pPr>
        <w:spacing w:after="40"/>
        <w:ind w:left="369" w:hanging="227"/>
      </w:pPr>
      <w:r>
        <w:rPr>
          <w:rFonts w:ascii="Arial" w:hAnsi="Arial" w:cs="Arial"/>
          <w:sz w:val="22"/>
        </w:rPr>
        <w:t xml:space="preserve">2. </w:t>
      </w:r>
      <w:r>
        <w:rPr>
          <w:rFonts w:ascii="Arial" w:hAnsi="Arial" w:cs="Arial"/>
          <w:b/>
          <w:sz w:val="22"/>
        </w:rPr>
        <w:t>Subsidios</w:t>
      </w:r>
      <w:r>
        <w:rPr>
          <w:rFonts w:ascii="Arial" w:hAnsi="Arial" w:cs="Arial"/>
          <w:sz w:val="22"/>
        </w:rPr>
        <w:t>, normalmente temporales y destinados a reemplazar la renta durante una situación limitada: incapacidad temporal, nacimiento y cuidado o riesgo durante el embarazo.</w:t>
      </w:r>
    </w:p>
    <w:p>
      <w:pPr>
        <w:spacing w:after="40"/>
        <w:ind w:left="369" w:hanging="227"/>
      </w:pPr>
      <w:r>
        <w:rPr>
          <w:rFonts w:ascii="Arial" w:hAnsi="Arial" w:cs="Arial"/>
          <w:sz w:val="22"/>
        </w:rPr>
        <w:t xml:space="preserve">3. </w:t>
      </w:r>
      <w:r>
        <w:rPr>
          <w:rFonts w:ascii="Arial" w:hAnsi="Arial" w:cs="Arial"/>
          <w:b/>
          <w:sz w:val="22"/>
        </w:rPr>
        <w:t>Indemnizaciones a tanto alzado</w:t>
      </w:r>
      <w:r>
        <w:rPr>
          <w:rFonts w:ascii="Arial" w:hAnsi="Arial" w:cs="Arial"/>
          <w:sz w:val="22"/>
        </w:rPr>
        <w:t>, satisfechas de una vez: lesiones permanentes no incapacitantes o determinadas prestaciones por muerte profesional.</w:t>
      </w:r>
    </w:p>
    <w:p>
      <w:pPr>
        <w:spacing w:after="40"/>
        <w:ind w:left="369" w:hanging="227"/>
      </w:pPr>
      <w:r>
        <w:rPr>
          <w:rFonts w:ascii="Arial" w:hAnsi="Arial" w:cs="Arial"/>
          <w:sz w:val="22"/>
        </w:rPr>
        <w:t xml:space="preserve">4. </w:t>
      </w:r>
      <w:r>
        <w:rPr>
          <w:rFonts w:ascii="Arial" w:hAnsi="Arial" w:cs="Arial"/>
          <w:b/>
          <w:sz w:val="22"/>
        </w:rPr>
        <w:t>Asignaciones y pagos únicos</w:t>
      </w:r>
      <w:r>
        <w:rPr>
          <w:rFonts w:ascii="Arial" w:hAnsi="Arial" w:cs="Arial"/>
          <w:sz w:val="22"/>
        </w:rPr>
        <w:t>, asociados a cargas familiares o a hechos familiares concretos.</w:t>
      </w:r>
    </w:p>
    <w:p>
      <w:pPr>
        <w:jc w:val="both"/>
      </w:pPr>
      <w:r>
        <w:rPr>
          <w:rFonts w:ascii="Arial" w:hAnsi="Arial" w:cs="Arial"/>
          <w:sz w:val="22"/>
        </w:rPr>
        <w:t xml:space="preserve">Las </w:t>
      </w:r>
      <w:r>
        <w:rPr>
          <w:rFonts w:ascii="Arial" w:hAnsi="Arial" w:cs="Arial"/>
          <w:b/>
          <w:sz w:val="22"/>
        </w:rPr>
        <w:t>prestaciones en especie</w:t>
      </w:r>
      <w:r>
        <w:rPr>
          <w:rFonts w:ascii="Arial" w:hAnsi="Arial" w:cs="Arial"/>
          <w:sz w:val="22"/>
        </w:rPr>
        <w:t xml:space="preserve"> no consisten en una transferencia monetaria al beneficiario. La asistencia sanitaria, la recuperación profesional y determinados servicios sociales proporcionan atención, tratamiento o actividad técnica. Una misma contingencia puede generar respuestas de distinta naturaleza: un accidente de trabajo puede originar asistencia sanitaria, subsidio por incapacidad temporal, pensión por incapacidad permanente, indemnización por lesión permanente y, si se incumplieron medidas preventivas, recargo sobre las prestaciones económicas.</w:t>
      </w:r>
    </w:p>
    <w:p>
      <w:pPr>
        <w:pStyle w:val="Heading2"/>
        <w:keepNext/>
      </w:pPr>
      <w:r>
        <w:rPr>
          <w:rFonts w:ascii="Arial" w:hAnsi="Arial" w:cs="Arial"/>
          <w:sz w:val="25"/>
        </w:rPr>
        <w:t>2.2. Prestaciones contributivas y no contributivas</w:t>
      </w:r>
    </w:p>
    <w:p>
      <w:pPr>
        <w:jc w:val="both"/>
      </w:pPr>
      <w:r>
        <w:rPr>
          <w:rFonts w:ascii="Arial" w:hAnsi="Arial" w:cs="Arial"/>
          <w:sz w:val="22"/>
        </w:rPr>
        <w:t>La clasificación no depende de que la prestación se financie literalmente con las cotizaciones de una persona concreta. En el sistema español existe solidaridad financiera y caja única. La diferencia se encuentra en el título jurídico:</w:t>
      </w:r>
    </w:p>
    <w:p>
      <w:pPr>
        <w:pStyle w:val="ListBullet"/>
      </w:pPr>
      <w:r>
        <w:rPr>
          <w:rFonts w:ascii="Arial" w:hAnsi="Arial" w:cs="Arial"/>
          <w:sz w:val="22"/>
        </w:rPr>
        <w:t>La modalidad contributiva se vincula a la relación de aseguramiento social y a los requisitos del régimen de inclusión.</w:t>
      </w:r>
    </w:p>
    <w:p>
      <w:pPr>
        <w:pStyle w:val="ListBullet"/>
      </w:pPr>
      <w:r>
        <w:rPr>
          <w:rFonts w:ascii="Arial" w:hAnsi="Arial" w:cs="Arial"/>
          <w:sz w:val="22"/>
        </w:rPr>
        <w:t>La modalidad no contributiva atiende la necesidad legalmente definida sin exigir la carrera contributiva ordinaria, aunque impone condiciones específicas.</w:t>
      </w:r>
    </w:p>
    <w:p>
      <w:pPr>
        <w:jc w:val="both"/>
      </w:pPr>
      <w:r>
        <w:rPr>
          <w:rFonts w:ascii="Arial" w:hAnsi="Arial" w:cs="Arial"/>
          <w:sz w:val="22"/>
        </w:rPr>
        <w:t>La incapacidad permanente contributiva no debe confundirse con la pensión no contributiva de incapacidad. Tampoco el subsidio especial por nacimiento para quien cumple todos los requisitos salvo la carencia deja de estar integrado en la acción protectora: la ley lo califica, a estos efectos, como no contributivo y delimita su duración y cuantía.</w:t>
      </w:r>
    </w:p>
    <w:p>
      <w:pPr>
        <w:pStyle w:val="Heading2"/>
        <w:keepNext/>
      </w:pPr>
      <w:r>
        <w:rPr>
          <w:rFonts w:ascii="Arial" w:hAnsi="Arial" w:cs="Arial"/>
          <w:sz w:val="25"/>
        </w:rPr>
        <w:t>2.3. Prestaciones básicas y mejoras</w:t>
      </w:r>
    </w:p>
    <w:p>
      <w:pPr>
        <w:jc w:val="both"/>
      </w:pPr>
      <w:r>
        <w:rPr>
          <w:rFonts w:ascii="Arial" w:hAnsi="Arial" w:cs="Arial"/>
          <w:sz w:val="22"/>
        </w:rPr>
        <w:t>El artículo 43 TRLGSS permite mejorar voluntariamente la acción protectora contributiva en la forma prevista para cada régimen. Fuera de esa excepción, la Seguridad Social no puede ser objeto de contratación colectiva. Un convenio colectivo puede reconocer una mejora —por ejemplo, completar hasta cierto porcentaje una prestación de incapacidad temporal—, pero no reescribir los requisitos legales de la prestación pública ni obligar a la entidad gestora a pagar más de lo previsto.</w:t>
      </w:r>
    </w:p>
    <w:p>
      <w:pPr>
        <w:jc w:val="both"/>
      </w:pPr>
      <w:r>
        <w:rPr>
          <w:rFonts w:ascii="Arial" w:hAnsi="Arial" w:cs="Arial"/>
          <w:sz w:val="22"/>
        </w:rPr>
        <w:t>La mejora es una obligación adicional del sujeto que la asume y se distingue del derecho básico. Si una empresa complementa el subsidio hasta el salario, el INSS o la mutua continúan respondiendo solo por la prestación pública que les corresponda. En un supuesto práctico siempre deben calcularse y atribuirse separadamente ambos conceptos.</w:t>
      </w:r>
    </w:p>
    <w:p>
      <w:pPr>
        <w:pStyle w:val="Heading1"/>
        <w:keepNext/>
      </w:pPr>
      <w:r>
        <w:rPr>
          <w:rFonts w:ascii="Arial" w:hAnsi="Arial" w:cs="Arial"/>
          <w:sz w:val="30"/>
        </w:rPr>
        <w:t>3. Caracteres de las prestaciones</w:t>
      </w:r>
    </w:p>
    <w:p>
      <w:pPr>
        <w:jc w:val="both"/>
      </w:pPr>
      <w:r>
        <w:rPr>
          <w:rFonts w:ascii="Arial" w:hAnsi="Arial" w:cs="Arial"/>
          <w:sz w:val="22"/>
        </w:rPr>
        <w:t>El artículo 44 TRLGSS establece caracteres comunes aplicables a prestaciones económicas, beneficios de servicios sociales y asistencia social. Su finalidad es preservar el destino protector de los derechos.</w:t>
      </w:r>
    </w:p>
    <w:p>
      <w:pPr>
        <w:pStyle w:val="Heading2"/>
        <w:keepNext/>
      </w:pPr>
      <w:r>
        <w:rPr>
          <w:rFonts w:ascii="Arial" w:hAnsi="Arial" w:cs="Arial"/>
          <w:sz w:val="25"/>
        </w:rPr>
        <w:t>3.1. Prohibición de retención, cesión, compensación y descuento</w:t>
      </w:r>
    </w:p>
    <w:p>
      <w:pPr>
        <w:jc w:val="both"/>
      </w:pPr>
      <w:r>
        <w:rPr>
          <w:rFonts w:ascii="Arial" w:hAnsi="Arial" w:cs="Arial"/>
          <w:sz w:val="22"/>
        </w:rPr>
        <w:t>Como regla, los derechos no pueden ser objeto de retención, cesión total o parcial, compensación ni descuento. Existen dos excepciones legales:</w:t>
      </w:r>
    </w:p>
    <w:p>
      <w:pPr>
        <w:pStyle w:val="ListBullet"/>
      </w:pPr>
      <w:r>
        <w:rPr>
          <w:rFonts w:ascii="Arial" w:hAnsi="Arial" w:cs="Arial"/>
          <w:sz w:val="22"/>
        </w:rPr>
        <w:t>cumplimiento de obligaciones alimenticias a favor del cónyuge y de los hijos;</w:t>
      </w:r>
    </w:p>
    <w:p>
      <w:pPr>
        <w:pStyle w:val="ListBullet"/>
      </w:pPr>
      <w:r>
        <w:rPr>
          <w:rFonts w:ascii="Arial" w:hAnsi="Arial" w:cs="Arial"/>
          <w:sz w:val="22"/>
        </w:rPr>
        <w:t>obligaciones contraídas por el beneficiario dentro de la propia Seguridad Social.</w:t>
      </w:r>
    </w:p>
    <w:p>
      <w:pPr>
        <w:jc w:val="both"/>
      </w:pPr>
      <w:r>
        <w:rPr>
          <w:rFonts w:ascii="Arial" w:hAnsi="Arial" w:cs="Arial"/>
          <w:sz w:val="22"/>
        </w:rPr>
        <w:t>La segunda excepción explica, por ejemplo, que una entidad pueda practicar descuentos para recuperar prestaciones indebidamente percibidas o determinadas deudas en los casos y con las garantías legalmente establecidos. No habilita cualquier descuento privado. Una deuda bancaria, un precio pendiente o un préstamo no permiten a la entidad pagadora compensar por iniciativa propia la prestación pública.</w:t>
      </w:r>
    </w:p>
    <w:p>
      <w:pPr>
        <w:jc w:val="both"/>
      </w:pPr>
      <w:r>
        <w:rPr>
          <w:rFonts w:ascii="Arial" w:hAnsi="Arial" w:cs="Arial"/>
          <w:sz w:val="22"/>
        </w:rPr>
        <w:t xml:space="preserve">La </w:t>
      </w:r>
      <w:r>
        <w:rPr>
          <w:rFonts w:ascii="Arial" w:hAnsi="Arial" w:cs="Arial"/>
          <w:b/>
          <w:sz w:val="22"/>
        </w:rPr>
        <w:t>cesión</w:t>
      </w:r>
      <w:r>
        <w:rPr>
          <w:rFonts w:ascii="Arial" w:hAnsi="Arial" w:cs="Arial"/>
          <w:sz w:val="22"/>
        </w:rPr>
        <w:t xml:space="preserve"> voluntaria a un tercero también está prohibida aunque el beneficiario la presente como un negocio conveniente. El derecho mantiene su finalidad alimenticia y protectora. La prohibición no elimina la posibilidad de actuar mediante representación para cobrar ni la gestión de pagos debidamente autorizada; lo decisivo es que no se transmita la titularidad material del derecho.</w:t>
      </w:r>
    </w:p>
    <w:p>
      <w:pPr>
        <w:pStyle w:val="Heading2"/>
        <w:keepNext/>
      </w:pPr>
      <w:r>
        <w:rPr>
          <w:rFonts w:ascii="Arial" w:hAnsi="Arial" w:cs="Arial"/>
          <w:sz w:val="25"/>
        </w:rPr>
        <w:t>3.2. Embargabilidad</w:t>
      </w:r>
    </w:p>
    <w:p>
      <w:pPr>
        <w:jc w:val="both"/>
      </w:pPr>
      <w:r>
        <w:rPr>
          <w:rFonts w:ascii="Arial" w:hAnsi="Arial" w:cs="Arial"/>
          <w:sz w:val="22"/>
        </w:rPr>
        <w:t>Inembargabilidad y prohibición de cesión no son sinónimos. El artículo 44 remite expresamente el embargo a la Ley de Enjuiciamiento Civil. Por ello se aplican sus límites: las cuantías equivalentes al salario mínimo son, con carácter general, inembargables y sobre los excesos operan escalas, sin perjuicio del régimen especial de deudas alimenticias.</w:t>
      </w:r>
    </w:p>
    <w:p>
      <w:pPr>
        <w:jc w:val="both"/>
      </w:pPr>
      <w:r>
        <w:rPr>
          <w:rFonts w:ascii="Arial" w:hAnsi="Arial" w:cs="Arial"/>
          <w:sz w:val="22"/>
        </w:rPr>
        <w:t>En examen, una respuesta que proclame que «todas las prestaciones son absolutamente inembargables» es incorrecta. Tampoco debe afirmarse que pueden embargarse sin límite. La solución es la remisión a la legislación procesal, atendiendo al importe y a la clase de deuda.</w:t>
      </w:r>
    </w:p>
    <w:p>
      <w:pPr>
        <w:pStyle w:val="Heading2"/>
        <w:keepNext/>
      </w:pPr>
      <w:r>
        <w:rPr>
          <w:rFonts w:ascii="Arial" w:hAnsi="Arial" w:cs="Arial"/>
          <w:sz w:val="25"/>
        </w:rPr>
        <w:t>3.3. Tributación y gratuidad documental</w:t>
      </w:r>
    </w:p>
    <w:p>
      <w:pPr>
        <w:jc w:val="both"/>
      </w:pPr>
      <w:r>
        <w:rPr>
          <w:rFonts w:ascii="Arial" w:hAnsi="Arial" w:cs="Arial"/>
          <w:sz w:val="22"/>
        </w:rPr>
        <w:t>Las percepciones derivadas de la acción protectora tributan conforme a la regulación de cada impuesto. La regla no significa que todas estén sujetas y no exentas: algunas prestaciones disfrutan de exención fiscal, pero esa conclusión pertenece a la norma tributaria aplicable. En Seguridad Social debe recordarse la remisión.</w:t>
      </w:r>
    </w:p>
    <w:p>
      <w:pPr>
        <w:jc w:val="both"/>
      </w:pPr>
      <w:r>
        <w:rPr>
          <w:rFonts w:ascii="Arial" w:hAnsi="Arial" w:cs="Arial"/>
          <w:sz w:val="22"/>
        </w:rPr>
        <w:t>No se puede exigir tasa fiscal ni derecho alguno por informaciones o certificaciones que los organismos administrativos, judiciales o de otra clase deban facilitar en relación con estas prestaciones y beneficios. Es una garantía instrumental para que la acreditación del derecho no quede condicionada al pago de una tasa.</w:t>
      </w:r>
    </w:p>
    <w:p>
      <w:pPr>
        <w:pStyle w:val="Heading2"/>
        <w:keepNext/>
      </w:pPr>
      <w:r>
        <w:rPr>
          <w:rFonts w:ascii="Arial" w:hAnsi="Arial" w:cs="Arial"/>
          <w:sz w:val="25"/>
        </w:rPr>
        <w:t>3.4. Pago de las pensiones</w:t>
      </w:r>
    </w:p>
    <w:p>
      <w:pPr>
        <w:jc w:val="both"/>
      </w:pPr>
      <w:r>
        <w:rPr>
          <w:rFonts w:ascii="Arial" w:hAnsi="Arial" w:cs="Arial"/>
          <w:sz w:val="22"/>
        </w:rPr>
        <w:t>Las pensiones contributivas derivadas de contingencias comunes y las pensiones no contributivas de jubilación e incapacidad se satisfacen en catorce pagas: doce mensualidades y dos extraordinarias, devengadas en junio y noviembre. En cambio, cuando una pensión deriva de accidente de trabajo o enfermedad profesional, las pagas extraordinarias se encuentran prorrateadas en las doce mensualidades. Esta diferencia no altera la cuantía anual.</w:t>
      </w:r>
    </w:p>
    <w:p>
      <w:pPr>
        <w:jc w:val="both"/>
      </w:pPr>
      <w:r>
        <w:rPr>
          <w:rFonts w:ascii="Arial" w:hAnsi="Arial" w:cs="Arial"/>
          <w:sz w:val="22"/>
        </w:rPr>
        <w:t>Las prestaciones mantienen los caracteres genéricos también en el Régimen General. Los créditos por prestaciones que deba abonar directamente el empresario, así como ciertos créditos derivados de colaboración en la gestión y el recargo, gozan del privilegio legal correspondiente.</w:t>
      </w:r>
    </w:p>
    <w:p>
      <w:pPr>
        <w:pStyle w:val="Heading1"/>
        <w:keepNext/>
      </w:pPr>
      <w:r>
        <w:rPr>
          <w:rFonts w:ascii="Arial" w:hAnsi="Arial" w:cs="Arial"/>
          <w:sz w:val="30"/>
        </w:rPr>
        <w:t>4. Reconocimiento, prescripción, efectos y caducidad</w:t>
      </w:r>
    </w:p>
    <w:p>
      <w:pPr>
        <w:jc w:val="both"/>
      </w:pPr>
      <w:r>
        <w:rPr>
          <w:rFonts w:ascii="Arial" w:hAnsi="Arial" w:cs="Arial"/>
          <w:sz w:val="22"/>
        </w:rPr>
        <w:t>La prescripción afecta al derecho a que la prestación sea reconocida; la caducidad puede afectar al cobro de cantidades ya reconocidas. Confundir ambas instituciones conduce a respuestas erróneas.</w:t>
      </w:r>
    </w:p>
    <w:p>
      <w:pPr>
        <w:pStyle w:val="Heading2"/>
        <w:keepNext/>
      </w:pPr>
      <w:r>
        <w:rPr>
          <w:rFonts w:ascii="Arial" w:hAnsi="Arial" w:cs="Arial"/>
          <w:sz w:val="25"/>
        </w:rPr>
        <w:t>4.1. Prescripción del derecho</w:t>
      </w:r>
    </w:p>
    <w:p>
      <w:pPr>
        <w:jc w:val="both"/>
      </w:pPr>
      <w:r>
        <w:rPr>
          <w:rFonts w:ascii="Arial" w:hAnsi="Arial" w:cs="Arial"/>
          <w:sz w:val="22"/>
        </w:rPr>
        <w:t xml:space="preserve">Con carácter general, el derecho al reconocimiento de las prestaciones prescribe a los </w:t>
      </w:r>
      <w:r>
        <w:rPr>
          <w:rFonts w:ascii="Arial" w:hAnsi="Arial" w:cs="Arial"/>
          <w:b/>
          <w:sz w:val="22"/>
        </w:rPr>
        <w:t>cinco años</w:t>
      </w:r>
      <w:r>
        <w:rPr>
          <w:rFonts w:ascii="Arial" w:hAnsi="Arial" w:cs="Arial"/>
          <w:sz w:val="22"/>
        </w:rPr>
        <w:t>, contados desde el día siguiente a aquel en que tenga lugar el hecho causante, sin perjuicio de:</w:t>
      </w:r>
    </w:p>
    <w:p>
      <w:pPr>
        <w:pStyle w:val="ListBullet"/>
      </w:pPr>
      <w:r>
        <w:rPr>
          <w:rFonts w:ascii="Arial" w:hAnsi="Arial" w:cs="Arial"/>
          <w:sz w:val="22"/>
        </w:rPr>
        <w:t>las excepciones legales de prestaciones imprescriptibles;</w:t>
      </w:r>
    </w:p>
    <w:p>
      <w:pPr>
        <w:pStyle w:val="ListBullet"/>
      </w:pPr>
      <w:r>
        <w:rPr>
          <w:rFonts w:ascii="Arial" w:hAnsi="Arial" w:cs="Arial"/>
          <w:sz w:val="22"/>
        </w:rPr>
        <w:t>que los efectos económicos de un reconocimiento tardío tengan su propia limitación;</w:t>
      </w:r>
    </w:p>
    <w:p>
      <w:pPr>
        <w:pStyle w:val="ListBullet"/>
      </w:pPr>
      <w:r>
        <w:rPr>
          <w:rFonts w:ascii="Arial" w:hAnsi="Arial" w:cs="Arial"/>
          <w:sz w:val="22"/>
        </w:rPr>
        <w:t>las reglas especiales sobre fecha del hecho causante.</w:t>
      </w:r>
    </w:p>
    <w:p>
      <w:pPr>
        <w:jc w:val="both"/>
      </w:pPr>
      <w:r>
        <w:rPr>
          <w:rFonts w:ascii="Arial" w:hAnsi="Arial" w:cs="Arial"/>
          <w:sz w:val="22"/>
        </w:rPr>
        <w:t>Si el contenido económico ya reconocido pudiera retrotraerse, sus efectos solo se producen, por regla general, hasta los tres meses anteriores a la fecha de solicitud. Hay prestaciones con normas especiales, por lo que no debe convertir esa retroacción máxima general en una respuesta universal.</w:t>
      </w:r>
    </w:p>
    <w:p>
      <w:pPr>
        <w:jc w:val="both"/>
      </w:pPr>
      <w:r>
        <w:rPr>
          <w:rFonts w:ascii="Arial" w:hAnsi="Arial" w:cs="Arial"/>
          <w:sz w:val="22"/>
        </w:rPr>
        <w:t>La prescripción se interrumpe por las causas ordinarias del Código Civil y, además, por reclamación ante la Administración de la Seguridad Social o el Ministerio competente y por expediente tramitado por la Inspección de Trabajo y Seguridad Social relacionado con el caso. Si se inicia acción judicial penal o civil cuya resolución sea necesaria para reconocer la prestación, el curso queda en suspenso mientras aquella se tramita y vuelve a contar desde la notificación del archivo o desde la firmeza de la resolución.</w:t>
      </w:r>
    </w:p>
    <w:p>
      <w:pPr>
        <w:pStyle w:val="Heading2"/>
        <w:keepNext/>
      </w:pPr>
      <w:r>
        <w:rPr>
          <w:rFonts w:ascii="Arial" w:hAnsi="Arial" w:cs="Arial"/>
          <w:sz w:val="25"/>
        </w:rPr>
        <w:t>4.2. Prestaciones imprescriptibles</w:t>
      </w:r>
    </w:p>
    <w:p>
      <w:pPr>
        <w:jc w:val="both"/>
      </w:pPr>
      <w:r>
        <w:rPr>
          <w:rFonts w:ascii="Arial" w:hAnsi="Arial" w:cs="Arial"/>
          <w:sz w:val="22"/>
        </w:rPr>
        <w:t>El derecho al reconocimiento de las pensiones de jubilación, viudedad, orfandad y en favor de familiares no prescribe, sin perjuicio de las reglas sobre efectos económicos desde la solicitud. «Imprescriptible» no significa que se abonen automáticamente todas las mensualidades desde un hecho causante remoto. El derecho puede reconocerse después, pero la retroactividad económica se rige por la norma específica.</w:t>
      </w:r>
    </w:p>
    <w:p>
      <w:pPr>
        <w:pStyle w:val="Heading2"/>
        <w:keepNext/>
      </w:pPr>
      <w:r>
        <w:rPr>
          <w:rFonts w:ascii="Arial" w:hAnsi="Arial" w:cs="Arial"/>
          <w:sz w:val="25"/>
        </w:rPr>
        <w:t>4.3. Caducidad del cobro</w:t>
      </w:r>
    </w:p>
    <w:p>
      <w:pPr>
        <w:jc w:val="both"/>
      </w:pPr>
      <w:r>
        <w:rPr>
          <w:rFonts w:ascii="Arial" w:hAnsi="Arial" w:cs="Arial"/>
          <w:sz w:val="22"/>
        </w:rPr>
        <w:t>Cuando se trate de prestaciones a tanto alzado y por una sola vez, el derecho a percibir la cantidad reconocida caduca al año desde la notificación en forma de la concesión. En prestaciones periódicas, caduca al año el derecho al percibo de cada mensualidad, contado desde su vencimiento.</w:t>
      </w:r>
    </w:p>
    <w:tbl>
      <w:tblPr>
        <w:tblStyle w:val="TableGrid"/>
        <w:tblW w:type="dxa" w:w="9026"/>
        <w:jc w:val="left"/>
        <w:tblLayout w:type="fixed"/>
        <w:tblLook w:firstColumn="1" w:firstRow="1" w:lastColumn="0" w:lastRow="0" w:noHBand="0" w:noVBand="1" w:val="04A0"/>
        <w:tblInd w:w="120" w:type="dxa"/>
      </w:tblPr>
      <w:tblGrid>
        <w:gridCol w:w="2678"/>
        <w:gridCol w:w="2380"/>
        <w:gridCol w:w="1190"/>
        <w:gridCol w:w="2778"/>
      </w:tblGrid>
      <w:tr>
        <w:trPr>
          <w:tblHeader w:val="true"/>
        </w:trPr>
        <w:tc>
          <w:tcPr>
            <w:tcW w:type="dxa" w:w="267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Institución</w:t>
            </w:r>
          </w:p>
        </w:tc>
        <w:tc>
          <w:tcPr>
            <w:tcW w:type="dxa" w:w="238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Objeto</w:t>
            </w:r>
          </w:p>
        </w:tc>
        <w:tc>
          <w:tcPr>
            <w:tcW w:type="dxa" w:w="119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 general</w:t>
            </w:r>
          </w:p>
        </w:tc>
        <w:tc>
          <w:tcPr>
            <w:tcW w:type="dxa" w:w="277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Inicio</w:t>
            </w:r>
          </w:p>
        </w:tc>
      </w:tr>
      <w:tr>
        <w:tc>
          <w:tcPr>
            <w:tcW w:type="dxa" w:w="2678"/>
            <w:tcMar>
              <w:top w:w="80" w:type="dxa"/>
              <w:start w:w="120" w:type="dxa"/>
              <w:bottom w:w="80" w:type="dxa"/>
              <w:end w:w="120" w:type="dxa"/>
            </w:tcMar>
            <w:vAlign w:val="center"/>
          </w:tcPr>
          <w:p>
            <w:pPr>
              <w:spacing w:before="0" w:after="0" w:line="240" w:lineRule="auto"/>
              <w:jc w:val="left"/>
            </w:pPr>
            <w:r/>
            <w:r>
              <w:rPr>
                <w:rFonts w:ascii="Arial" w:hAnsi="Arial" w:cs="Arial"/>
                <w:sz w:val="18"/>
              </w:rPr>
              <w:t>Prescripción</w:t>
            </w:r>
          </w:p>
        </w:tc>
        <w:tc>
          <w:tcPr>
            <w:tcW w:type="dxa" w:w="2380"/>
            <w:tcMar>
              <w:top w:w="80" w:type="dxa"/>
              <w:start w:w="120" w:type="dxa"/>
              <w:bottom w:w="80" w:type="dxa"/>
              <w:end w:w="120" w:type="dxa"/>
            </w:tcMar>
            <w:vAlign w:val="center"/>
          </w:tcPr>
          <w:p>
            <w:pPr>
              <w:spacing w:before="0" w:after="0" w:line="240" w:lineRule="auto"/>
              <w:jc w:val="left"/>
            </w:pPr>
            <w:r/>
            <w:r>
              <w:rPr>
                <w:rFonts w:ascii="Arial" w:hAnsi="Arial" w:cs="Arial"/>
                <w:sz w:val="18"/>
              </w:rPr>
              <w:t>Reconocimiento del derecho</w:t>
            </w:r>
          </w:p>
        </w:tc>
        <w:tc>
          <w:tcPr>
            <w:tcW w:type="dxa" w:w="1190"/>
            <w:tcMar>
              <w:top w:w="80" w:type="dxa"/>
              <w:start w:w="120" w:type="dxa"/>
              <w:bottom w:w="80" w:type="dxa"/>
              <w:end w:w="120" w:type="dxa"/>
            </w:tcMar>
            <w:vAlign w:val="center"/>
          </w:tcPr>
          <w:p>
            <w:pPr>
              <w:spacing w:before="0" w:after="0" w:line="240" w:lineRule="auto"/>
              <w:jc w:val="center"/>
            </w:pPr>
            <w:r/>
            <w:r>
              <w:rPr>
                <w:rFonts w:ascii="Arial" w:hAnsi="Arial" w:cs="Arial"/>
                <w:sz w:val="18"/>
              </w:rPr>
              <w:t>5 años</w:t>
            </w:r>
          </w:p>
        </w:tc>
        <w:tc>
          <w:tcPr>
            <w:tcW w:type="dxa" w:w="2778"/>
            <w:tcMar>
              <w:top w:w="80" w:type="dxa"/>
              <w:start w:w="120" w:type="dxa"/>
              <w:bottom w:w="80" w:type="dxa"/>
              <w:end w:w="120" w:type="dxa"/>
            </w:tcMar>
            <w:vAlign w:val="center"/>
          </w:tcPr>
          <w:p>
            <w:pPr>
              <w:spacing w:before="0" w:after="0" w:line="240" w:lineRule="auto"/>
              <w:jc w:val="left"/>
            </w:pPr>
            <w:r/>
            <w:r>
              <w:rPr>
                <w:rFonts w:ascii="Arial" w:hAnsi="Arial" w:cs="Arial"/>
                <w:sz w:val="18"/>
              </w:rPr>
              <w:t>Día siguiente al hecho causante</w:t>
            </w:r>
          </w:p>
        </w:tc>
      </w:tr>
      <w:tr>
        <w:tc>
          <w:tcPr>
            <w:tcW w:type="dxa" w:w="2678"/>
            <w:tcMar>
              <w:top w:w="80" w:type="dxa"/>
              <w:start w:w="120" w:type="dxa"/>
              <w:bottom w:w="80" w:type="dxa"/>
              <w:end w:w="120" w:type="dxa"/>
            </w:tcMar>
            <w:vAlign w:val="center"/>
          </w:tcPr>
          <w:p>
            <w:pPr>
              <w:spacing w:before="0" w:after="0" w:line="240" w:lineRule="auto"/>
              <w:jc w:val="left"/>
            </w:pPr>
            <w:r/>
            <w:r>
              <w:rPr>
                <w:rFonts w:ascii="Arial" w:hAnsi="Arial" w:cs="Arial"/>
                <w:sz w:val="18"/>
              </w:rPr>
              <w:t>Retroacción económica general</w:t>
            </w:r>
          </w:p>
        </w:tc>
        <w:tc>
          <w:tcPr>
            <w:tcW w:type="dxa" w:w="2380"/>
            <w:tcMar>
              <w:top w:w="80" w:type="dxa"/>
              <w:start w:w="120" w:type="dxa"/>
              <w:bottom w:w="80" w:type="dxa"/>
              <w:end w:w="120" w:type="dxa"/>
            </w:tcMar>
            <w:vAlign w:val="center"/>
          </w:tcPr>
          <w:p>
            <w:pPr>
              <w:spacing w:before="0" w:after="0" w:line="240" w:lineRule="auto"/>
              <w:jc w:val="left"/>
            </w:pPr>
            <w:r/>
            <w:r>
              <w:rPr>
                <w:rFonts w:ascii="Arial" w:hAnsi="Arial" w:cs="Arial"/>
                <w:sz w:val="18"/>
              </w:rPr>
              <w:t>Efectos de solicitud tardía</w:t>
            </w:r>
          </w:p>
        </w:tc>
        <w:tc>
          <w:tcPr>
            <w:tcW w:type="dxa" w:w="1190"/>
            <w:tcMar>
              <w:top w:w="80" w:type="dxa"/>
              <w:start w:w="120" w:type="dxa"/>
              <w:bottom w:w="80" w:type="dxa"/>
              <w:end w:w="120" w:type="dxa"/>
            </w:tcMar>
            <w:vAlign w:val="center"/>
          </w:tcPr>
          <w:p>
            <w:pPr>
              <w:spacing w:before="0" w:after="0" w:line="240" w:lineRule="auto"/>
              <w:jc w:val="center"/>
            </w:pPr>
            <w:r/>
            <w:r>
              <w:rPr>
                <w:rFonts w:ascii="Arial" w:hAnsi="Arial" w:cs="Arial"/>
                <w:sz w:val="18"/>
              </w:rPr>
              <w:t>Máximo 3 meses</w:t>
            </w:r>
          </w:p>
        </w:tc>
        <w:tc>
          <w:tcPr>
            <w:tcW w:type="dxa" w:w="2778"/>
            <w:tcMar>
              <w:top w:w="80" w:type="dxa"/>
              <w:start w:w="120" w:type="dxa"/>
              <w:bottom w:w="80" w:type="dxa"/>
              <w:end w:w="120" w:type="dxa"/>
            </w:tcMar>
            <w:vAlign w:val="center"/>
          </w:tcPr>
          <w:p>
            <w:pPr>
              <w:spacing w:before="0" w:after="0" w:line="240" w:lineRule="auto"/>
              <w:jc w:val="left"/>
            </w:pPr>
            <w:r/>
            <w:r>
              <w:rPr>
                <w:rFonts w:ascii="Arial" w:hAnsi="Arial" w:cs="Arial"/>
                <w:sz w:val="18"/>
              </w:rPr>
              <w:t>Anteriores a la solicitud</w:t>
            </w:r>
          </w:p>
        </w:tc>
      </w:tr>
      <w:tr>
        <w:tc>
          <w:tcPr>
            <w:tcW w:type="dxa" w:w="2678"/>
            <w:tcMar>
              <w:top w:w="80" w:type="dxa"/>
              <w:start w:w="120" w:type="dxa"/>
              <w:bottom w:w="80" w:type="dxa"/>
              <w:end w:w="120" w:type="dxa"/>
            </w:tcMar>
            <w:vAlign w:val="center"/>
          </w:tcPr>
          <w:p>
            <w:pPr>
              <w:spacing w:before="0" w:after="0" w:line="240" w:lineRule="auto"/>
              <w:jc w:val="left"/>
            </w:pPr>
            <w:r/>
            <w:r>
              <w:rPr>
                <w:rFonts w:ascii="Arial" w:hAnsi="Arial" w:cs="Arial"/>
                <w:sz w:val="18"/>
              </w:rPr>
              <w:t>Caducidad de pago único</w:t>
            </w:r>
          </w:p>
        </w:tc>
        <w:tc>
          <w:tcPr>
            <w:tcW w:type="dxa" w:w="2380"/>
            <w:tcMar>
              <w:top w:w="80" w:type="dxa"/>
              <w:start w:w="120" w:type="dxa"/>
              <w:bottom w:w="80" w:type="dxa"/>
              <w:end w:w="120" w:type="dxa"/>
            </w:tcMar>
            <w:vAlign w:val="center"/>
          </w:tcPr>
          <w:p>
            <w:pPr>
              <w:spacing w:before="0" w:after="0" w:line="240" w:lineRule="auto"/>
              <w:jc w:val="left"/>
            </w:pPr>
            <w:r/>
            <w:r>
              <w:rPr>
                <w:rFonts w:ascii="Arial" w:hAnsi="Arial" w:cs="Arial"/>
                <w:sz w:val="18"/>
              </w:rPr>
              <w:t>Cobro de suma ya reconocida</w:t>
            </w:r>
          </w:p>
        </w:tc>
        <w:tc>
          <w:tcPr>
            <w:tcW w:type="dxa" w:w="1190"/>
            <w:tcMar>
              <w:top w:w="80" w:type="dxa"/>
              <w:start w:w="120" w:type="dxa"/>
              <w:bottom w:w="80" w:type="dxa"/>
              <w:end w:w="120" w:type="dxa"/>
            </w:tcMar>
            <w:vAlign w:val="center"/>
          </w:tcPr>
          <w:p>
            <w:pPr>
              <w:spacing w:before="0" w:after="0" w:line="240" w:lineRule="auto"/>
              <w:jc w:val="center"/>
            </w:pPr>
            <w:r/>
            <w:r>
              <w:rPr>
                <w:rFonts w:ascii="Arial" w:hAnsi="Arial" w:cs="Arial"/>
                <w:sz w:val="18"/>
              </w:rPr>
              <w:t>1 año</w:t>
            </w:r>
          </w:p>
        </w:tc>
        <w:tc>
          <w:tcPr>
            <w:tcW w:type="dxa" w:w="2778"/>
            <w:tcMar>
              <w:top w:w="80" w:type="dxa"/>
              <w:start w:w="120" w:type="dxa"/>
              <w:bottom w:w="80" w:type="dxa"/>
              <w:end w:w="120" w:type="dxa"/>
            </w:tcMar>
            <w:vAlign w:val="center"/>
          </w:tcPr>
          <w:p>
            <w:pPr>
              <w:spacing w:before="0" w:after="0" w:line="240" w:lineRule="auto"/>
              <w:jc w:val="left"/>
            </w:pPr>
            <w:r/>
            <w:r>
              <w:rPr>
                <w:rFonts w:ascii="Arial" w:hAnsi="Arial" w:cs="Arial"/>
                <w:sz w:val="18"/>
              </w:rPr>
              <w:t>Notificación de la concesión</w:t>
            </w:r>
          </w:p>
        </w:tc>
      </w:tr>
      <w:tr>
        <w:tc>
          <w:tcPr>
            <w:tcW w:type="dxa" w:w="2678"/>
            <w:tcMar>
              <w:top w:w="80" w:type="dxa"/>
              <w:start w:w="120" w:type="dxa"/>
              <w:bottom w:w="80" w:type="dxa"/>
              <w:end w:w="120" w:type="dxa"/>
            </w:tcMar>
            <w:vAlign w:val="center"/>
          </w:tcPr>
          <w:p>
            <w:pPr>
              <w:spacing w:before="0" w:after="0" w:line="240" w:lineRule="auto"/>
              <w:jc w:val="left"/>
            </w:pPr>
            <w:r/>
            <w:r>
              <w:rPr>
                <w:rFonts w:ascii="Arial" w:hAnsi="Arial" w:cs="Arial"/>
                <w:sz w:val="18"/>
              </w:rPr>
              <w:t>Caducidad de mensualidad</w:t>
            </w:r>
          </w:p>
        </w:tc>
        <w:tc>
          <w:tcPr>
            <w:tcW w:type="dxa" w:w="2380"/>
            <w:tcMar>
              <w:top w:w="80" w:type="dxa"/>
              <w:start w:w="120" w:type="dxa"/>
              <w:bottom w:w="80" w:type="dxa"/>
              <w:end w:w="120" w:type="dxa"/>
            </w:tcMar>
            <w:vAlign w:val="center"/>
          </w:tcPr>
          <w:p>
            <w:pPr>
              <w:spacing w:before="0" w:after="0" w:line="240" w:lineRule="auto"/>
              <w:jc w:val="left"/>
            </w:pPr>
            <w:r/>
            <w:r>
              <w:rPr>
                <w:rFonts w:ascii="Arial" w:hAnsi="Arial" w:cs="Arial"/>
                <w:sz w:val="18"/>
              </w:rPr>
              <w:t>Cobro de cada pago periódico</w:t>
            </w:r>
          </w:p>
        </w:tc>
        <w:tc>
          <w:tcPr>
            <w:tcW w:type="dxa" w:w="1190"/>
            <w:tcMar>
              <w:top w:w="80" w:type="dxa"/>
              <w:start w:w="120" w:type="dxa"/>
              <w:bottom w:w="80" w:type="dxa"/>
              <w:end w:w="120" w:type="dxa"/>
            </w:tcMar>
            <w:vAlign w:val="center"/>
          </w:tcPr>
          <w:p>
            <w:pPr>
              <w:spacing w:before="0" w:after="0" w:line="240" w:lineRule="auto"/>
              <w:jc w:val="center"/>
            </w:pPr>
            <w:r/>
            <w:r>
              <w:rPr>
                <w:rFonts w:ascii="Arial" w:hAnsi="Arial" w:cs="Arial"/>
                <w:sz w:val="18"/>
              </w:rPr>
              <w:t>1 año</w:t>
            </w:r>
          </w:p>
        </w:tc>
        <w:tc>
          <w:tcPr>
            <w:tcW w:type="dxa" w:w="2778"/>
            <w:tcMar>
              <w:top w:w="80" w:type="dxa"/>
              <w:start w:w="120" w:type="dxa"/>
              <w:bottom w:w="80" w:type="dxa"/>
              <w:end w:w="120" w:type="dxa"/>
            </w:tcMar>
            <w:vAlign w:val="center"/>
          </w:tcPr>
          <w:p>
            <w:pPr>
              <w:spacing w:before="0" w:after="0" w:line="240" w:lineRule="auto"/>
              <w:jc w:val="left"/>
            </w:pPr>
            <w:r/>
            <w:r>
              <w:rPr>
                <w:rFonts w:ascii="Arial" w:hAnsi="Arial" w:cs="Arial"/>
                <w:sz w:val="18"/>
              </w:rPr>
              <w:t>Vencimiento de cada mensualidad</w:t>
            </w:r>
          </w:p>
        </w:tc>
      </w:tr>
    </w:tbl>
    <w:p>
      <w:pPr>
        <w:spacing w:after="40"/>
      </w:pPr>
    </w:p>
    <w:p>
      <w:pPr>
        <w:pStyle w:val="Heading1"/>
        <w:keepNext/>
      </w:pPr>
      <w:r>
        <w:rPr>
          <w:rFonts w:ascii="Arial" w:hAnsi="Arial" w:cs="Arial"/>
          <w:sz w:val="30"/>
        </w:rPr>
        <w:t>5. Incompatibilidades</w:t>
      </w:r>
    </w:p>
    <w:p>
      <w:pPr>
        <w:jc w:val="both"/>
      </w:pPr>
      <w:r>
        <w:rPr>
          <w:rFonts w:ascii="Arial" w:hAnsi="Arial" w:cs="Arial"/>
          <w:sz w:val="22"/>
        </w:rPr>
        <w:t>La incompatibilidad impide disfrutar simultáneamente dos derechos en una determinada combinación. Debe estar prevista legal o reglamentariamente y no se presume por la mera existencia de varias prestaciones.</w:t>
      </w:r>
    </w:p>
    <w:p>
      <w:pPr>
        <w:jc w:val="both"/>
      </w:pPr>
      <w:r>
        <w:rPr>
          <w:rFonts w:ascii="Arial" w:hAnsi="Arial" w:cs="Arial"/>
          <w:sz w:val="22"/>
        </w:rPr>
        <w:t>El artículo 163 TRLGSS establece para el Régimen General que las pensiones son incompatibles entre sí cuando coinciden en el mismo beneficiario, salvo que una norma disponga expresamente lo contrario. Si surge una nueva pensión incompatible con la anterior, la entidad paga o mantiene la de mayor cuantía anual y suspende la otra. La persona interesada puede pedir que se revoque esa decisión y optar por la suspendida; la opción produce efectos desde el primer día del mes siguiente a la solicitud.</w:t>
      </w:r>
    </w:p>
    <w:p>
      <w:pPr>
        <w:jc w:val="both"/>
      </w:pPr>
      <w:r>
        <w:rPr>
          <w:rFonts w:ascii="Arial" w:hAnsi="Arial" w:cs="Arial"/>
          <w:sz w:val="22"/>
        </w:rPr>
        <w:t>La regla también alcanza a la indemnización a tanto alzado que puede sustituir, bajo condiciones reglamentarias, la pensión de incapacidad permanente total. No debe confundirse:</w:t>
      </w:r>
    </w:p>
    <w:p>
      <w:pPr>
        <w:pStyle w:val="ListBullet"/>
      </w:pPr>
      <w:r>
        <w:rPr>
          <w:rFonts w:ascii="Arial" w:hAnsi="Arial" w:cs="Arial"/>
          <w:b/>
          <w:sz w:val="22"/>
        </w:rPr>
        <w:t>incompatibilidad</w:t>
      </w:r>
      <w:r>
        <w:rPr>
          <w:rFonts w:ascii="Arial" w:hAnsi="Arial" w:cs="Arial"/>
          <w:sz w:val="22"/>
        </w:rPr>
        <w:t>, que obliga a elegir o suspender un derecho;</w:t>
      </w:r>
    </w:p>
    <w:p>
      <w:pPr>
        <w:pStyle w:val="ListBullet"/>
      </w:pPr>
      <w:r>
        <w:rPr>
          <w:rFonts w:ascii="Arial" w:hAnsi="Arial" w:cs="Arial"/>
          <w:b/>
          <w:sz w:val="22"/>
        </w:rPr>
        <w:t>suspensión</w:t>
      </w:r>
      <w:r>
        <w:rPr>
          <w:rFonts w:ascii="Arial" w:hAnsi="Arial" w:cs="Arial"/>
          <w:sz w:val="22"/>
        </w:rPr>
        <w:t>, que paraliza temporalmente el abono;</w:t>
      </w:r>
    </w:p>
    <w:p>
      <w:pPr>
        <w:pStyle w:val="ListBullet"/>
      </w:pPr>
      <w:r>
        <w:rPr>
          <w:rFonts w:ascii="Arial" w:hAnsi="Arial" w:cs="Arial"/>
          <w:b/>
          <w:sz w:val="22"/>
        </w:rPr>
        <w:t>extinción</w:t>
      </w:r>
      <w:r>
        <w:rPr>
          <w:rFonts w:ascii="Arial" w:hAnsi="Arial" w:cs="Arial"/>
          <w:sz w:val="22"/>
        </w:rPr>
        <w:t>, que termina el derecho;</w:t>
      </w:r>
    </w:p>
    <w:p>
      <w:pPr>
        <w:pStyle w:val="ListBullet"/>
      </w:pPr>
      <w:r>
        <w:rPr>
          <w:rFonts w:ascii="Arial" w:hAnsi="Arial" w:cs="Arial"/>
          <w:b/>
          <w:sz w:val="22"/>
        </w:rPr>
        <w:t>descuento</w:t>
      </w:r>
      <w:r>
        <w:rPr>
          <w:rFonts w:ascii="Arial" w:hAnsi="Arial" w:cs="Arial"/>
          <w:sz w:val="22"/>
        </w:rPr>
        <w:t>, que minorará un pago por causa autorizada;</w:t>
      </w:r>
    </w:p>
    <w:p>
      <w:pPr>
        <w:pStyle w:val="ListBullet"/>
      </w:pPr>
      <w:r>
        <w:rPr>
          <w:rFonts w:ascii="Arial" w:hAnsi="Arial" w:cs="Arial"/>
          <w:b/>
          <w:sz w:val="22"/>
        </w:rPr>
        <w:t>concurrencia</w:t>
      </w:r>
      <w:r>
        <w:rPr>
          <w:rFonts w:ascii="Arial" w:hAnsi="Arial" w:cs="Arial"/>
          <w:sz w:val="22"/>
        </w:rPr>
        <w:t>, que puede limitar cuantías sin eliminar derechos.</w:t>
      </w:r>
    </w:p>
    <w:p>
      <w:pPr>
        <w:jc w:val="both"/>
      </w:pPr>
      <w:r>
        <w:rPr>
          <w:rFonts w:ascii="Arial" w:hAnsi="Arial" w:cs="Arial"/>
          <w:sz w:val="22"/>
        </w:rPr>
        <w:t>Existen numerosas excepciones. La viudedad es, en términos generales, compatible con rentas de trabajo y con determinadas pensiones propias; la orfandad tiene sus reglas; las pensiones causadas en regímenes distintos pueden ser compatibles si cada una se genera con cotizaciones suficientes no superpuestas. Siempre se examina primero la regla específica de las prestaciones que concurren y después la cláusula general.</w:t>
      </w:r>
    </w:p>
    <w:p>
      <w:pPr>
        <w:pStyle w:val="Heading2"/>
        <w:keepNext/>
      </w:pPr>
      <w:r>
        <w:rPr>
          <w:rFonts w:ascii="Arial" w:hAnsi="Arial" w:cs="Arial"/>
          <w:sz w:val="25"/>
        </w:rPr>
        <w:t>5.1. Método para resolver una incompatibilidad</w:t>
      </w:r>
    </w:p>
    <w:p>
      <w:pPr>
        <w:spacing w:after="40"/>
        <w:ind w:left="369" w:hanging="227"/>
      </w:pPr>
      <w:r>
        <w:rPr>
          <w:rFonts w:ascii="Arial" w:hAnsi="Arial" w:cs="Arial"/>
          <w:sz w:val="22"/>
        </w:rPr>
        <w:t>1. Identificar quién es titular de cada prestación.</w:t>
      </w:r>
    </w:p>
    <w:p>
      <w:pPr>
        <w:spacing w:after="40"/>
        <w:ind w:left="369" w:hanging="227"/>
      </w:pPr>
      <w:r>
        <w:rPr>
          <w:rFonts w:ascii="Arial" w:hAnsi="Arial" w:cs="Arial"/>
          <w:sz w:val="22"/>
        </w:rPr>
        <w:t>2. Comprobar si pertenecen al mismo régimen o a regímenes distintos.</w:t>
      </w:r>
    </w:p>
    <w:p>
      <w:pPr>
        <w:spacing w:after="40"/>
        <w:ind w:left="369" w:hanging="227"/>
      </w:pPr>
      <w:r>
        <w:rPr>
          <w:rFonts w:ascii="Arial" w:hAnsi="Arial" w:cs="Arial"/>
          <w:sz w:val="22"/>
        </w:rPr>
        <w:t>3. Revisar la norma especial de cada derecho.</w:t>
      </w:r>
    </w:p>
    <w:p>
      <w:pPr>
        <w:spacing w:after="40"/>
        <w:ind w:left="369" w:hanging="227"/>
      </w:pPr>
      <w:r>
        <w:rPr>
          <w:rFonts w:ascii="Arial" w:hAnsi="Arial" w:cs="Arial"/>
          <w:sz w:val="22"/>
        </w:rPr>
        <w:t>4. Determinar si la norma declara compatibilidad, incompatibilidad, opción o límite.</w:t>
      </w:r>
    </w:p>
    <w:p>
      <w:pPr>
        <w:spacing w:after="40"/>
        <w:ind w:left="369" w:hanging="227"/>
      </w:pPr>
      <w:r>
        <w:rPr>
          <w:rFonts w:ascii="Arial" w:hAnsi="Arial" w:cs="Arial"/>
          <w:sz w:val="22"/>
        </w:rPr>
        <w:t>5. Comparar, si procede, la cuantía anual, no una sola mensualidad.</w:t>
      </w:r>
    </w:p>
    <w:p>
      <w:pPr>
        <w:spacing w:after="40"/>
        <w:ind w:left="369" w:hanging="227"/>
      </w:pPr>
      <w:r>
        <w:rPr>
          <w:rFonts w:ascii="Arial" w:hAnsi="Arial" w:cs="Arial"/>
          <w:sz w:val="22"/>
        </w:rPr>
        <w:t>6. Precisar fecha de efectos de la opción o suspensión.</w:t>
      </w:r>
    </w:p>
    <w:p>
      <w:pPr>
        <w:jc w:val="both"/>
      </w:pPr>
      <w:r>
        <w:rPr>
          <w:rFonts w:ascii="Arial" w:hAnsi="Arial" w:cs="Arial"/>
          <w:b/>
          <w:sz w:val="22"/>
        </w:rPr>
        <w:t>Ejemplo:</w:t>
      </w:r>
      <w:r>
        <w:rPr>
          <w:rFonts w:ascii="Arial" w:hAnsi="Arial" w:cs="Arial"/>
          <w:sz w:val="22"/>
        </w:rPr>
        <w:t xml:space="preserve"> una persona causa en el Régimen General dos pensiones incompatibles. La entidad no extingue la menor: la suspende y paga la mayor en cómputo anual. Si el interesado elige después la suspendida, el cambio surte efecto el primer día del mes siguiente a la solicitud, no retroactivamente desde su reconocimiento inicial.</w:t>
      </w:r>
    </w:p>
    <w:p>
      <w:pPr>
        <w:pStyle w:val="Heading1"/>
        <w:keepNext/>
      </w:pPr>
      <w:r>
        <w:rPr>
          <w:rFonts w:ascii="Arial" w:hAnsi="Arial" w:cs="Arial"/>
          <w:sz w:val="30"/>
        </w:rPr>
        <w:t>6. Reintegro de prestaciones indebidamente percibidas</w:t>
      </w:r>
    </w:p>
    <w:p>
      <w:pPr>
        <w:jc w:val="both"/>
      </w:pPr>
      <w:r>
        <w:rPr>
          <w:rFonts w:ascii="Arial" w:hAnsi="Arial" w:cs="Arial"/>
          <w:sz w:val="22"/>
        </w:rPr>
        <w:t>El artículo 55 TRLGSS protege los fondos del sistema y, a la vez, fija un plazo para reclamar. Quien haya percibido indebidamente una prestación debe reintegrar su importe. La obligación existe con independencia de que la percepción se deba a error administrativo, omisión del beneficiario, cambio de circunstancias o actuación fraudulenta. La buena fe puede ser relevante en otros planos, pero no convierte por sí sola en debida una cantidad que legalmente no correspondía.</w:t>
      </w:r>
    </w:p>
    <w:p>
      <w:pPr>
        <w:jc w:val="both"/>
      </w:pPr>
      <w:r>
        <w:rPr>
          <w:rFonts w:ascii="Arial" w:hAnsi="Arial" w:cs="Arial"/>
          <w:sz w:val="22"/>
        </w:rPr>
        <w:t xml:space="preserve">Quienes, por acción u omisión, hayan contribuido a hacer posible la percepción indebida responden </w:t>
      </w:r>
      <w:r>
        <w:rPr>
          <w:rFonts w:ascii="Arial" w:hAnsi="Arial" w:cs="Arial"/>
          <w:b/>
          <w:sz w:val="22"/>
        </w:rPr>
        <w:t>subsidiariamente</w:t>
      </w:r>
      <w:r>
        <w:rPr>
          <w:rFonts w:ascii="Arial" w:hAnsi="Arial" w:cs="Arial"/>
          <w:sz w:val="22"/>
        </w:rPr>
        <w:t xml:space="preserve"> con los perceptores, salvo que prueben buena fe. La responsabilidad subsidiaria exige primero atender a la obligación del perceptor y no debe confundirse con solidaridad.</w:t>
      </w:r>
    </w:p>
    <w:p>
      <w:pPr>
        <w:jc w:val="both"/>
      </w:pPr>
      <w:r>
        <w:rPr>
          <w:rFonts w:ascii="Arial" w:hAnsi="Arial" w:cs="Arial"/>
          <w:sz w:val="22"/>
        </w:rPr>
        <w:t xml:space="preserve">La obligación de reintegro prescribe a los </w:t>
      </w:r>
      <w:r>
        <w:rPr>
          <w:rFonts w:ascii="Arial" w:hAnsi="Arial" w:cs="Arial"/>
          <w:b/>
          <w:sz w:val="22"/>
        </w:rPr>
        <w:t>cuatro años</w:t>
      </w:r>
      <w:r>
        <w:rPr>
          <w:rFonts w:ascii="Arial" w:hAnsi="Arial" w:cs="Arial"/>
          <w:sz w:val="22"/>
        </w:rPr>
        <w:t xml:space="preserve"> desde el cobro o desde que fue posible ejercitar la acción para exigir la devolución, cualquiera que sea la causa que originó el pago indebido, incluidos los supuestos de revisión por error imputable a la entidad gestora. El plazo se refiere a cada percepción y puede verse afectado por actos interruptivos.</w:t>
      </w:r>
    </w:p>
    <w:p>
      <w:pPr>
        <w:pStyle w:val="Heading2"/>
        <w:keepNext/>
      </w:pPr>
      <w:r>
        <w:rPr>
          <w:rFonts w:ascii="Arial" w:hAnsi="Arial" w:cs="Arial"/>
          <w:sz w:val="25"/>
        </w:rPr>
        <w:t>6.1. Revisión de actos favorables</w:t>
      </w:r>
    </w:p>
    <w:p>
      <w:pPr>
        <w:jc w:val="both"/>
      </w:pPr>
      <w:r>
        <w:rPr>
          <w:rFonts w:ascii="Arial" w:hAnsi="Arial" w:cs="Arial"/>
          <w:sz w:val="22"/>
        </w:rPr>
        <w:t>La entidad gestora no dispone de una potestad ilimitada para retirar por sí sola cualquier acto favorable. Como regla, debe acudir a la jurisdicción social para revisar en perjuicio del beneficiario sus actos declarativos de derechos. La legislación procesal social admite excepciones, en particular la rectificación de errores materiales o aritméticos y revisiones motivadas por omisiones o inexactitudes del beneficiario, así como los supuestos específicamente previstos.</w:t>
      </w:r>
    </w:p>
    <w:p>
      <w:pPr>
        <w:jc w:val="both"/>
      </w:pPr>
      <w:r>
        <w:rPr>
          <w:rFonts w:ascii="Arial" w:hAnsi="Arial" w:cs="Arial"/>
          <w:sz w:val="22"/>
        </w:rPr>
        <w:t>Conviene separar:</w:t>
      </w:r>
    </w:p>
    <w:p>
      <w:pPr>
        <w:pStyle w:val="ListBullet"/>
      </w:pPr>
      <w:r>
        <w:rPr>
          <w:rFonts w:ascii="Arial" w:hAnsi="Arial" w:cs="Arial"/>
          <w:sz w:val="22"/>
        </w:rPr>
        <w:t>la decisión que declara que el derecho no existía o tenía distinta cuantía;</w:t>
      </w:r>
    </w:p>
    <w:p>
      <w:pPr>
        <w:pStyle w:val="ListBullet"/>
      </w:pPr>
      <w:r>
        <w:rPr>
          <w:rFonts w:ascii="Arial" w:hAnsi="Arial" w:cs="Arial"/>
          <w:sz w:val="22"/>
        </w:rPr>
        <w:t>la liquidación de cantidades indebidamente percibidas;</w:t>
      </w:r>
    </w:p>
    <w:p>
      <w:pPr>
        <w:pStyle w:val="ListBullet"/>
      </w:pPr>
      <w:r>
        <w:rPr>
          <w:rFonts w:ascii="Arial" w:hAnsi="Arial" w:cs="Arial"/>
          <w:sz w:val="22"/>
        </w:rPr>
        <w:t>el procedimiento de cobro o descuento;</w:t>
      </w:r>
    </w:p>
    <w:p>
      <w:pPr>
        <w:pStyle w:val="ListBullet"/>
      </w:pPr>
      <w:r>
        <w:rPr>
          <w:rFonts w:ascii="Arial" w:hAnsi="Arial" w:cs="Arial"/>
          <w:sz w:val="22"/>
        </w:rPr>
        <w:t>las posibles sanciones si hubo infracción;</w:t>
      </w:r>
    </w:p>
    <w:p>
      <w:pPr>
        <w:pStyle w:val="ListBullet"/>
      </w:pPr>
      <w:r>
        <w:rPr>
          <w:rFonts w:ascii="Arial" w:hAnsi="Arial" w:cs="Arial"/>
          <w:sz w:val="22"/>
        </w:rPr>
        <w:t>la responsabilidad penal si existió fraude con relevancia delictiva.</w:t>
      </w:r>
    </w:p>
    <w:p>
      <w:pPr>
        <w:jc w:val="both"/>
      </w:pPr>
      <w:r>
        <w:rPr>
          <w:rFonts w:ascii="Arial" w:hAnsi="Arial" w:cs="Arial"/>
          <w:sz w:val="22"/>
        </w:rPr>
        <w:t>El reintegro no es automáticamente una sanción. Su función primaria es restaurar fondos pagados sin causa. Para imponer una sanción se requiere tipicidad, culpabilidad y procedimiento sancionador.</w:t>
      </w:r>
    </w:p>
    <w:p>
      <w:pPr>
        <w:pStyle w:val="Heading2"/>
        <w:keepNext/>
      </w:pPr>
      <w:r>
        <w:rPr>
          <w:rFonts w:ascii="Arial" w:hAnsi="Arial" w:cs="Arial"/>
          <w:sz w:val="25"/>
        </w:rPr>
        <w:t>6.2. Caso práctico</w:t>
      </w:r>
    </w:p>
    <w:p>
      <w:pPr>
        <w:jc w:val="both"/>
      </w:pPr>
      <w:r>
        <w:rPr>
          <w:rFonts w:ascii="Arial" w:hAnsi="Arial" w:cs="Arial"/>
          <w:sz w:val="22"/>
        </w:rPr>
        <w:t>Una persona comunica tarde que ha iniciado un trabajo incompatible con su prestación y recibe tres mensualidades. La entidad debe determinar la incompatibilidad y sus efectos, cuantificar el pago indebido, notificar con audiencia y recursos y reclamar dentro del plazo. Si el empleador presentó datos erróneos que facilitaron el pago, podría examinarse su responsabilidad subsidiaria; no desaparece por ello la obligación principal del perceptor.</w:t>
      </w:r>
    </w:p>
    <w:p>
      <w:pPr>
        <w:pStyle w:val="Heading1"/>
        <w:keepNext/>
      </w:pPr>
      <w:r>
        <w:rPr>
          <w:rFonts w:ascii="Arial" w:hAnsi="Arial" w:cs="Arial"/>
          <w:sz w:val="30"/>
        </w:rPr>
        <w:t>7. Requisitos generales para causar prestaciones</w:t>
      </w:r>
    </w:p>
    <w:p>
      <w:pPr>
        <w:jc w:val="both"/>
      </w:pPr>
      <w:r>
        <w:rPr>
          <w:rFonts w:ascii="Arial" w:hAnsi="Arial" w:cs="Arial"/>
          <w:sz w:val="22"/>
        </w:rPr>
        <w:t>El artículo 165 TRLGSS formula las condiciones comunes del Régimen General, a las que se añaden los requisitos particulares de cada prestación.</w:t>
      </w:r>
    </w:p>
    <w:p>
      <w:pPr>
        <w:pStyle w:val="Heading2"/>
        <w:keepNext/>
      </w:pPr>
      <w:r>
        <w:rPr>
          <w:rFonts w:ascii="Arial" w:hAnsi="Arial" w:cs="Arial"/>
          <w:sz w:val="25"/>
        </w:rPr>
        <w:t>7.1. Afiliación y alta o situación asimilada</w:t>
      </w:r>
    </w:p>
    <w:p>
      <w:pPr>
        <w:jc w:val="both"/>
      </w:pPr>
      <w:r>
        <w:rPr>
          <w:rFonts w:ascii="Arial" w:hAnsi="Arial" w:cs="Arial"/>
          <w:sz w:val="22"/>
        </w:rPr>
        <w:t>Como regla, la persona debe estar afiliada y en alta o situación asimilada al sobrevenir la contingencia o situación protegida. La afiliación es única y vitalicia; el alta conecta una actividad o situación con un régimen. Una situación asimilada conserva protección para determinadas contingencias y con el alcance que establezca su norma.</w:t>
      </w:r>
    </w:p>
    <w:p>
      <w:pPr>
        <w:jc w:val="both"/>
      </w:pPr>
      <w:r>
        <w:rPr>
          <w:rFonts w:ascii="Arial" w:hAnsi="Arial" w:cs="Arial"/>
          <w:sz w:val="22"/>
        </w:rPr>
        <w:t>No existe una lista universal de situaciones asimiladas válida para cualquier prestación. Entre los supuestos legales figuran:</w:t>
      </w:r>
    </w:p>
    <w:p>
      <w:pPr>
        <w:pStyle w:val="ListBullet"/>
      </w:pPr>
      <w:r>
        <w:rPr>
          <w:rFonts w:ascii="Arial" w:hAnsi="Arial" w:cs="Arial"/>
          <w:sz w:val="22"/>
        </w:rPr>
        <w:t>desempleo total durante el que se percibe la prestación;</w:t>
      </w:r>
    </w:p>
    <w:p>
      <w:pPr>
        <w:pStyle w:val="ListBullet"/>
      </w:pPr>
      <w:r>
        <w:rPr>
          <w:rFonts w:ascii="Arial" w:hAnsi="Arial" w:cs="Arial"/>
          <w:sz w:val="22"/>
        </w:rPr>
        <w:t>vacaciones retribuidas y no disfrutadas antes de extinguirse el contrato, con cotización y con la excepción legal respecto de los subsidios de riesgo;</w:t>
      </w:r>
    </w:p>
    <w:p>
      <w:pPr>
        <w:pStyle w:val="ListBullet"/>
      </w:pPr>
      <w:r>
        <w:rPr>
          <w:rFonts w:ascii="Arial" w:hAnsi="Arial" w:cs="Arial"/>
          <w:sz w:val="22"/>
        </w:rPr>
        <w:t>excedencia forzosa;</w:t>
      </w:r>
    </w:p>
    <w:p>
      <w:pPr>
        <w:pStyle w:val="ListBullet"/>
      </w:pPr>
      <w:r>
        <w:rPr>
          <w:rFonts w:ascii="Arial" w:hAnsi="Arial" w:cs="Arial"/>
          <w:sz w:val="22"/>
        </w:rPr>
        <w:t>traslado empresarial fuera de España;</w:t>
      </w:r>
    </w:p>
    <w:p>
      <w:pPr>
        <w:pStyle w:val="ListBullet"/>
      </w:pPr>
      <w:r>
        <w:rPr>
          <w:rFonts w:ascii="Arial" w:hAnsi="Arial" w:cs="Arial"/>
          <w:sz w:val="22"/>
        </w:rPr>
        <w:t>convenio especial, según sus contingencias;</w:t>
      </w:r>
    </w:p>
    <w:p>
      <w:pPr>
        <w:pStyle w:val="ListBullet"/>
      </w:pPr>
      <w:r>
        <w:rPr>
          <w:rFonts w:ascii="Arial" w:hAnsi="Arial" w:cs="Arial"/>
          <w:sz w:val="22"/>
        </w:rPr>
        <w:t>otras situaciones declaradas reglamentariamente.</w:t>
      </w:r>
    </w:p>
    <w:p>
      <w:pPr>
        <w:jc w:val="both"/>
      </w:pPr>
      <w:r>
        <w:rPr>
          <w:rFonts w:ascii="Arial" w:hAnsi="Arial" w:cs="Arial"/>
          <w:sz w:val="22"/>
        </w:rPr>
        <w:t>Debe comprobarse la prestación concreta. Una situación puede estar asimilada para jubilación y no para una prestación de riesgo; un convenio especial tampoco cubre necesariamente todas las contingencias.</w:t>
      </w:r>
    </w:p>
    <w:p>
      <w:pPr>
        <w:pStyle w:val="Heading2"/>
        <w:keepNext/>
      </w:pPr>
      <w:r>
        <w:rPr>
          <w:rFonts w:ascii="Arial" w:hAnsi="Arial" w:cs="Arial"/>
          <w:sz w:val="25"/>
        </w:rPr>
        <w:t>7.2. Excepciones al alta</w:t>
      </w:r>
    </w:p>
    <w:p>
      <w:pPr>
        <w:jc w:val="both"/>
      </w:pPr>
      <w:r>
        <w:rPr>
          <w:rFonts w:ascii="Arial" w:hAnsi="Arial" w:cs="Arial"/>
          <w:sz w:val="22"/>
        </w:rPr>
        <w:t>La ley permite acceder desde no alta a determinadas prestaciones si se cumplen requisitos reforzados. Ocurre, por ejemplo, con ciertas pensiones de incapacidad permanente absoluta o gran incapacidad derivadas de contingencias comunes y con jubilación en casos legalmente previstos. Es una excepción expresa: no puede extenderse por analogía a cualquier subsidio.</w:t>
      </w:r>
    </w:p>
    <w:p>
      <w:pPr>
        <w:jc w:val="both"/>
      </w:pPr>
      <w:r>
        <w:rPr>
          <w:rFonts w:ascii="Arial" w:hAnsi="Arial" w:cs="Arial"/>
          <w:sz w:val="22"/>
        </w:rPr>
        <w:t xml:space="preserve">Además, la protección por contingencias profesionales utiliza el </w:t>
      </w:r>
      <w:r>
        <w:rPr>
          <w:rFonts w:ascii="Arial" w:hAnsi="Arial" w:cs="Arial"/>
          <w:b/>
          <w:sz w:val="22"/>
        </w:rPr>
        <w:t>alta de pleno derecho</w:t>
      </w:r>
      <w:r>
        <w:rPr>
          <w:rFonts w:ascii="Arial" w:hAnsi="Arial" w:cs="Arial"/>
          <w:sz w:val="22"/>
        </w:rPr>
        <w:t xml:space="preserve"> cuando el empresario omitió el alta real. A efectos de accidente de trabajo, enfermedad profesional y desempleo, la persona comprendida en el campo del Régimen General se considera en alta aunque el empresario haya incumplido. La misma técnica se aplica, exclusivamente, a la asistencia sanitaria por enfermedad común, maternidad y accidente no laboral.</w:t>
      </w:r>
    </w:p>
    <w:p>
      <w:pPr>
        <w:pStyle w:val="Heading2"/>
        <w:keepNext/>
      </w:pPr>
      <w:r>
        <w:rPr>
          <w:rFonts w:ascii="Arial" w:hAnsi="Arial" w:cs="Arial"/>
          <w:sz w:val="25"/>
        </w:rPr>
        <w:t>7.3. Período de cotización</w:t>
      </w:r>
    </w:p>
    <w:p>
      <w:pPr>
        <w:jc w:val="both"/>
      </w:pPr>
      <w:r>
        <w:rPr>
          <w:rFonts w:ascii="Arial" w:hAnsi="Arial" w:cs="Arial"/>
          <w:sz w:val="22"/>
        </w:rPr>
        <w:t>Solo se exige carencia cuando la prestación lo dispone. Para completarla se computan:</w:t>
      </w:r>
    </w:p>
    <w:p>
      <w:pPr>
        <w:pStyle w:val="ListBullet"/>
      </w:pPr>
      <w:r>
        <w:rPr>
          <w:rFonts w:ascii="Arial" w:hAnsi="Arial" w:cs="Arial"/>
          <w:sz w:val="22"/>
        </w:rPr>
        <w:t>cotizaciones efectivamente realizadas;</w:t>
      </w:r>
    </w:p>
    <w:p>
      <w:pPr>
        <w:pStyle w:val="ListBullet"/>
      </w:pPr>
      <w:r>
        <w:rPr>
          <w:rFonts w:ascii="Arial" w:hAnsi="Arial" w:cs="Arial"/>
          <w:sz w:val="22"/>
        </w:rPr>
        <w:t>períodos que la ley o el reglamento asimilan expresamente a cotizados;</w:t>
      </w:r>
    </w:p>
    <w:p>
      <w:pPr>
        <w:pStyle w:val="ListBullet"/>
      </w:pPr>
      <w:r>
        <w:rPr>
          <w:rFonts w:ascii="Arial" w:hAnsi="Arial" w:cs="Arial"/>
          <w:sz w:val="22"/>
        </w:rPr>
        <w:t>cotizaciones mantenidas durante incapacidad temporal, nacimiento y cuidado, riesgo durante el embarazo y riesgo durante la lactancia, conforme al artículo 165.</w:t>
      </w:r>
    </w:p>
    <w:p>
      <w:pPr>
        <w:jc w:val="both"/>
      </w:pPr>
      <w:r>
        <w:rPr>
          <w:rFonts w:ascii="Arial" w:hAnsi="Arial" w:cs="Arial"/>
          <w:sz w:val="22"/>
        </w:rPr>
        <w:t>No se pueden inventar cotizaciones por equidad. Hay reglas específicas —por parto, cuidado de hijos, excedencias o violencia— que deben aplicarse exactamente a las prestaciones previstas. Los días superpuestos no se cuentan dos veces salvo efectos expresamente regulados.</w:t>
      </w:r>
    </w:p>
    <w:p>
      <w:pPr>
        <w:jc w:val="both"/>
      </w:pPr>
      <w:r>
        <w:rPr>
          <w:rFonts w:ascii="Arial" w:hAnsi="Arial" w:cs="Arial"/>
          <w:sz w:val="22"/>
        </w:rPr>
        <w:t>Por accidente, sea de trabajo o no, y por enfermedad profesional no se exige período previo, salvo previsión legal expresa. La dispensa de carencia no elimina el resto de requisitos: debe existir la situación protegida, acreditarse el hecho causante y cumplirse las condiciones particulares.</w:t>
      </w:r>
    </w:p>
    <w:p>
      <w:pPr>
        <w:pStyle w:val="Heading2"/>
        <w:keepNext/>
      </w:pPr>
      <w:r>
        <w:rPr>
          <w:rFonts w:ascii="Arial" w:hAnsi="Arial" w:cs="Arial"/>
          <w:sz w:val="25"/>
        </w:rPr>
        <w:t>7.4. Estar al corriente en el pago</w:t>
      </w:r>
    </w:p>
    <w:p>
      <w:pPr>
        <w:jc w:val="both"/>
      </w:pPr>
      <w:r>
        <w:rPr>
          <w:rFonts w:ascii="Arial" w:hAnsi="Arial" w:cs="Arial"/>
          <w:sz w:val="22"/>
        </w:rPr>
        <w:t xml:space="preserve">Cuando la persona es responsable del ingreso de sus propias cotizaciones, el artículo 47 exige estar al corriente para reconocer prestaciones económicas, incluso si, por cómputo recíproco, el derecho se reconoce en un régimen de trabajadores por cuenta ajena. Opera el mecanismo de </w:t>
      </w:r>
      <w:r>
        <w:rPr>
          <w:rFonts w:ascii="Arial" w:hAnsi="Arial" w:cs="Arial"/>
          <w:b/>
          <w:sz w:val="22"/>
        </w:rPr>
        <w:t>invitación al pago</w:t>
      </w:r>
      <w:r>
        <w:rPr>
          <w:rFonts w:ascii="Arial" w:hAnsi="Arial" w:cs="Arial"/>
          <w:sz w:val="22"/>
        </w:rPr>
        <w:t>.</w:t>
      </w:r>
    </w:p>
    <w:p>
      <w:pPr>
        <w:jc w:val="both"/>
      </w:pPr>
      <w:r>
        <w:rPr>
          <w:rFonts w:ascii="Arial" w:hAnsi="Arial" w:cs="Arial"/>
          <w:sz w:val="22"/>
        </w:rPr>
        <w:t>Si se consideró al interesado al corriente porque obtuvo un aplazamiento y luego incumple sus plazos o condiciones, pierde esa consideración: la prestación se suspende y solo se rehabilita cuando la deuda se salda totalmente. La entidad puede detraer de las mensualidades las cuotas adeudadas conforme a la excepción de compensación interna.</w:t>
      </w:r>
    </w:p>
    <w:p>
      <w:pPr>
        <w:jc w:val="both"/>
      </w:pPr>
      <w:r>
        <w:rPr>
          <w:rFonts w:ascii="Arial" w:hAnsi="Arial" w:cs="Arial"/>
          <w:sz w:val="22"/>
        </w:rPr>
        <w:t>En las pensiones, las cotizaciones del mes del hecho causante y de los dos meses anteriores cuyo ingreso aún no conste se presumen pagadas provisionalmente. La entidad revisa anualmente los reconocimientos afectados. Si después comprueba que no se ingresaron, suspende el pago y aplica las mensualidades retenidas a amortizar la deuda hasta extinguirla. La carencia mínima debe cumplirse sin contar ese período de tres meses.</w:t>
      </w:r>
    </w:p>
    <w:p>
      <w:pPr>
        <w:pStyle w:val="Heading2"/>
        <w:keepNext/>
      </w:pPr>
      <w:r>
        <w:rPr>
          <w:rFonts w:ascii="Arial" w:hAnsi="Arial" w:cs="Arial"/>
          <w:sz w:val="25"/>
        </w:rPr>
        <w:t>7.5. Requisitos particulares</w:t>
      </w:r>
    </w:p>
    <w:p>
      <w:pPr>
        <w:jc w:val="both"/>
      </w:pPr>
      <w:r>
        <w:rPr>
          <w:rFonts w:ascii="Arial" w:hAnsi="Arial" w:cs="Arial"/>
          <w:sz w:val="22"/>
        </w:rPr>
        <w:t>Según la prestación pueden exigirse edad, grado de incapacidad, reducción de jornada, residencia, límites de ingresos, convivencia, dependencia económica, inscripción como demandante de empleo o ausencia de incompatibilidad. La secuencia correcta es:</w:t>
      </w:r>
    </w:p>
    <w:p>
      <w:pPr>
        <w:spacing w:after="100"/>
        <w:ind w:left="340" w:right="227"/>
        <w:shd w:fill="EAF2F8"/>
      </w:pPr>
      <w:r>
        <w:rPr>
          <w:rFonts w:ascii="Arial" w:hAnsi="Arial" w:cs="Arial"/>
          <w:sz w:val="20"/>
        </w:rPr>
        <w:t>inclusión en el sistema → alta o excepción → contingencia y hecho causante → carencia, si existe → requisitos específicos → solicitud y documentación → compatibilidad.</w:t>
      </w:r>
    </w:p>
    <w:p>
      <w:pPr>
        <w:jc w:val="both"/>
      </w:pPr>
      <w:r>
        <w:rPr>
          <w:rFonts w:ascii="Arial" w:hAnsi="Arial" w:cs="Arial"/>
          <w:sz w:val="22"/>
        </w:rPr>
        <w:t>Cumplir la carencia no suple la falta de situación protegida. A la inversa, padecer una necesidad real no permite omitir requisitos legales, aunque pueda abrir otra modalidad protectora.</w:t>
      </w:r>
    </w:p>
    <w:p>
      <w:pPr>
        <w:pStyle w:val="Heading1"/>
        <w:keepNext/>
      </w:pPr>
      <w:r>
        <w:rPr>
          <w:rFonts w:ascii="Arial" w:hAnsi="Arial" w:cs="Arial"/>
          <w:sz w:val="30"/>
        </w:rPr>
        <w:t>8. Responsabilidad ordinaria en orden a las prestaciones</w:t>
      </w:r>
    </w:p>
    <w:p>
      <w:pPr>
        <w:jc w:val="both"/>
      </w:pPr>
      <w:r>
        <w:rPr>
          <w:rFonts w:ascii="Arial" w:hAnsi="Arial" w:cs="Arial"/>
          <w:sz w:val="22"/>
        </w:rPr>
        <w:t>Cuando la persona reúne todos los requisitos y las obligaciones instrumentales se han cumplido, la responsabilidad se atribuye según la gestión de cada contingencia:</w:t>
      </w:r>
    </w:p>
    <w:p>
      <w:pPr>
        <w:pStyle w:val="ListBullet"/>
      </w:pPr>
      <w:r>
        <w:rPr>
          <w:rFonts w:ascii="Arial" w:hAnsi="Arial" w:cs="Arial"/>
          <w:sz w:val="22"/>
        </w:rPr>
        <w:t>al INSS o, en su ámbito, al Instituto Social de la Marina;</w:t>
      </w:r>
    </w:p>
    <w:p>
      <w:pPr>
        <w:pStyle w:val="ListBullet"/>
      </w:pPr>
      <w:r>
        <w:rPr>
          <w:rFonts w:ascii="Arial" w:hAnsi="Arial" w:cs="Arial"/>
          <w:sz w:val="22"/>
        </w:rPr>
        <w:t>a la mutua colaboradora que cubra la contingencia;</w:t>
      </w:r>
    </w:p>
    <w:p>
      <w:pPr>
        <w:pStyle w:val="ListBullet"/>
      </w:pPr>
      <w:r>
        <w:rPr>
          <w:rFonts w:ascii="Arial" w:hAnsi="Arial" w:cs="Arial"/>
          <w:sz w:val="22"/>
        </w:rPr>
        <w:t>al Servicio Público de Empleo Estatal para las prestaciones que gestiona;</w:t>
      </w:r>
    </w:p>
    <w:p>
      <w:pPr>
        <w:pStyle w:val="ListBullet"/>
      </w:pPr>
      <w:r>
        <w:rPr>
          <w:rFonts w:ascii="Arial" w:hAnsi="Arial" w:cs="Arial"/>
          <w:sz w:val="22"/>
        </w:rPr>
        <w:t>al empresario que colabora voluntaria u obligatoriamente en los casos previstos;</w:t>
      </w:r>
    </w:p>
    <w:p>
      <w:pPr>
        <w:pStyle w:val="ListBullet"/>
      </w:pPr>
      <w:r>
        <w:rPr>
          <w:rFonts w:ascii="Arial" w:hAnsi="Arial" w:cs="Arial"/>
          <w:sz w:val="22"/>
        </w:rPr>
        <w:t>al servicio común que deba asumir una función concreta.</w:t>
      </w:r>
    </w:p>
    <w:p>
      <w:pPr>
        <w:jc w:val="both"/>
      </w:pPr>
      <w:r>
        <w:rPr>
          <w:rFonts w:ascii="Arial" w:hAnsi="Arial" w:cs="Arial"/>
          <w:sz w:val="22"/>
        </w:rPr>
        <w:t>El artículo 45 TRLGSS expresa la regla general para las entidades gestoras. El artículo 167.1 la adapta al Régimen General e incluye mutuas, empresas colaboradoras y servicios comunes. La determinación no depende de quién emitió el parte médico ni de quién materialmente transfirió el dinero: se atiende a la entidad que tenía cubierta y atribuida la prestación.</w:t>
      </w:r>
    </w:p>
    <w:p>
      <w:pPr>
        <w:jc w:val="both"/>
      </w:pPr>
      <w:r>
        <w:rPr>
          <w:rFonts w:ascii="Arial" w:hAnsi="Arial" w:cs="Arial"/>
          <w:sz w:val="22"/>
        </w:rPr>
        <w:t xml:space="preserve">El </w:t>
      </w:r>
      <w:r>
        <w:rPr>
          <w:rFonts w:ascii="Arial" w:hAnsi="Arial" w:cs="Arial"/>
          <w:b/>
          <w:sz w:val="22"/>
        </w:rPr>
        <w:t>pago delegado</w:t>
      </w:r>
      <w:r>
        <w:rPr>
          <w:rFonts w:ascii="Arial" w:hAnsi="Arial" w:cs="Arial"/>
          <w:sz w:val="22"/>
        </w:rPr>
        <w:t xml:space="preserve"> es un buen ejemplo. La empresa abona en nómina el subsidio de incapacidad temporal y después lo compensa en la liquidación de cuotas, pero el responsable material de la prestación continúa siendo la entidad gestora o colaboradora, salvo los días que la ley pone directamente a cargo empresarial. Pagar por delegación no convierte a la empresa en titular de la competencia para reconocer o denegar el derecho.</w:t>
      </w:r>
    </w:p>
    <w:p>
      <w:pPr>
        <w:pStyle w:val="Heading1"/>
        <w:keepNext/>
      </w:pPr>
      <w:r>
        <w:rPr>
          <w:rFonts w:ascii="Arial" w:hAnsi="Arial" w:cs="Arial"/>
          <w:sz w:val="30"/>
        </w:rPr>
        <w:t>9. Responsabilidad empresarial por incumplimiento</w:t>
      </w:r>
    </w:p>
    <w:p>
      <w:pPr>
        <w:jc w:val="both"/>
      </w:pPr>
      <w:r>
        <w:rPr>
          <w:rFonts w:ascii="Arial" w:hAnsi="Arial" w:cs="Arial"/>
          <w:sz w:val="22"/>
        </w:rPr>
        <w:t>El incumplimiento empresarial de afiliación, alta, baja o cotización puede provocar que el empresario deba pagar total o parcialmente una prestación. Para llegar a esa conclusión deben analizarse:</w:t>
      </w:r>
    </w:p>
    <w:p>
      <w:pPr>
        <w:spacing w:after="40"/>
        <w:ind w:left="369" w:hanging="227"/>
      </w:pPr>
      <w:r>
        <w:rPr>
          <w:rFonts w:ascii="Arial" w:hAnsi="Arial" w:cs="Arial"/>
          <w:sz w:val="22"/>
        </w:rPr>
        <w:t>1. el incumplimiento concreto;</w:t>
      </w:r>
    </w:p>
    <w:p>
      <w:pPr>
        <w:spacing w:after="40"/>
        <w:ind w:left="369" w:hanging="227"/>
      </w:pPr>
      <w:r>
        <w:rPr>
          <w:rFonts w:ascii="Arial" w:hAnsi="Arial" w:cs="Arial"/>
          <w:sz w:val="22"/>
        </w:rPr>
        <w:t>2. su relevancia respecto del derecho o de la cuantía;</w:t>
      </w:r>
    </w:p>
    <w:p>
      <w:pPr>
        <w:spacing w:after="40"/>
        <w:ind w:left="369" w:hanging="227"/>
      </w:pPr>
      <w:r>
        <w:rPr>
          <w:rFonts w:ascii="Arial" w:hAnsi="Arial" w:cs="Arial"/>
          <w:sz w:val="22"/>
        </w:rPr>
        <w:t>3. la contingencia;</w:t>
      </w:r>
    </w:p>
    <w:p>
      <w:pPr>
        <w:spacing w:after="40"/>
        <w:ind w:left="369" w:hanging="227"/>
      </w:pPr>
      <w:r>
        <w:rPr>
          <w:rFonts w:ascii="Arial" w:hAnsi="Arial" w:cs="Arial"/>
          <w:sz w:val="22"/>
        </w:rPr>
        <w:t>4. la existencia de alta de pleno derecho;</w:t>
      </w:r>
    </w:p>
    <w:p>
      <w:pPr>
        <w:spacing w:after="40"/>
        <w:ind w:left="369" w:hanging="227"/>
      </w:pPr>
      <w:r>
        <w:rPr>
          <w:rFonts w:ascii="Arial" w:hAnsi="Arial" w:cs="Arial"/>
          <w:sz w:val="22"/>
        </w:rPr>
        <w:t>5. las reglas de anticipo por entidad pública o colaboradora;</w:t>
      </w:r>
    </w:p>
    <w:p>
      <w:pPr>
        <w:spacing w:after="40"/>
        <w:ind w:left="369" w:hanging="227"/>
      </w:pPr>
      <w:r>
        <w:rPr>
          <w:rFonts w:ascii="Arial" w:hAnsi="Arial" w:cs="Arial"/>
          <w:sz w:val="22"/>
        </w:rPr>
        <w:t>6. la posible moderación por el grado de incumplimiento;</w:t>
      </w:r>
    </w:p>
    <w:p>
      <w:pPr>
        <w:spacing w:after="40"/>
        <w:ind w:left="369" w:hanging="227"/>
      </w:pPr>
      <w:r>
        <w:rPr>
          <w:rFonts w:ascii="Arial" w:hAnsi="Arial" w:cs="Arial"/>
          <w:sz w:val="22"/>
        </w:rPr>
        <w:t>7. otros responsables solidarios o subsidiarios.</w:t>
      </w:r>
    </w:p>
    <w:p>
      <w:pPr>
        <w:jc w:val="both"/>
      </w:pPr>
      <w:r>
        <w:rPr>
          <w:rFonts w:ascii="Arial" w:hAnsi="Arial" w:cs="Arial"/>
          <w:sz w:val="22"/>
        </w:rPr>
        <w:t>No toda deuda de cuotas convierte automáticamente a la empresa en responsable de toda prestación. Debe existir la conexión que exige la normativa. La responsabilidad no actúa igual ante falta total de alta, descubiertos prolongados, diferencias de cotización o simples retrasos ocasionales.</w:t>
      </w:r>
    </w:p>
    <w:p>
      <w:pPr>
        <w:pStyle w:val="Heading2"/>
        <w:keepNext/>
      </w:pPr>
      <w:r>
        <w:rPr>
          <w:rFonts w:ascii="Arial" w:hAnsi="Arial" w:cs="Arial"/>
          <w:sz w:val="25"/>
        </w:rPr>
        <w:t>9.1. Incumplimiento de afiliación o alta</w:t>
      </w:r>
    </w:p>
    <w:p>
      <w:pPr>
        <w:jc w:val="both"/>
      </w:pPr>
      <w:r>
        <w:rPr>
          <w:rFonts w:ascii="Arial" w:hAnsi="Arial" w:cs="Arial"/>
          <w:sz w:val="22"/>
        </w:rPr>
        <w:t>Si el empresario no afilia o no da de alta a quien realmente trabaja, la persona sigue dentro del campo de aplicación material del Régimen General. En las contingencias expresamente protegidas, la ley la considera en alta de pleno derecho. El incumplimiento no puede utilizarse para privar sin más al trabajador de accidente de trabajo, enfermedad profesional o desempleo, ni de la asistencia sanitaria en los supuestos indicados.</w:t>
      </w:r>
    </w:p>
    <w:p>
      <w:pPr>
        <w:jc w:val="both"/>
      </w:pPr>
      <w:r>
        <w:rPr>
          <w:rFonts w:ascii="Arial" w:hAnsi="Arial" w:cs="Arial"/>
          <w:sz w:val="22"/>
        </w:rPr>
        <w:t>Esto no exonera a la empresa. La entidad puede anticipar la prestación cuando la norma lo disponga y subrogarse frente al empresario. La declaración administrativa debe fijar responsable, alcance y, en su caso, quién anticipa o constituye el capital coste.</w:t>
      </w:r>
    </w:p>
    <w:p>
      <w:pPr>
        <w:jc w:val="both"/>
      </w:pPr>
      <w:r>
        <w:rPr>
          <w:rFonts w:ascii="Arial" w:hAnsi="Arial" w:cs="Arial"/>
          <w:sz w:val="22"/>
        </w:rPr>
        <w:t>En contingencias comunes distintas de las incluidas en el alta de pleno derecho, la falta de alta puede impedir que el derecho se entienda causado frente a la entidad y trasladar responsabilidad al empresario, con las garantías que correspondan. Conviene no usar fórmulas absolutas: debe atenderse a la prestación y a la regla de automaticidad aplicable.</w:t>
      </w:r>
    </w:p>
    <w:p>
      <w:pPr>
        <w:pStyle w:val="Heading2"/>
        <w:keepNext/>
      </w:pPr>
      <w:r>
        <w:rPr>
          <w:rFonts w:ascii="Arial" w:hAnsi="Arial" w:cs="Arial"/>
          <w:sz w:val="25"/>
        </w:rPr>
        <w:t>9.2. Defectos de cotización</w:t>
      </w:r>
    </w:p>
    <w:p>
      <w:pPr>
        <w:jc w:val="both"/>
      </w:pPr>
      <w:r>
        <w:rPr>
          <w:rFonts w:ascii="Arial" w:hAnsi="Arial" w:cs="Arial"/>
          <w:sz w:val="22"/>
        </w:rPr>
        <w:t>Los descubiertos pueden ser:</w:t>
      </w:r>
    </w:p>
    <w:p>
      <w:pPr>
        <w:pStyle w:val="ListBullet"/>
      </w:pPr>
      <w:r>
        <w:rPr>
          <w:rFonts w:ascii="Arial" w:hAnsi="Arial" w:cs="Arial"/>
          <w:b/>
          <w:sz w:val="22"/>
        </w:rPr>
        <w:t>totales</w:t>
      </w:r>
      <w:r>
        <w:rPr>
          <w:rFonts w:ascii="Arial" w:hAnsi="Arial" w:cs="Arial"/>
          <w:sz w:val="22"/>
        </w:rPr>
        <w:t>, cuando no se ingresan cuotas;</w:t>
      </w:r>
    </w:p>
    <w:p>
      <w:pPr>
        <w:pStyle w:val="ListBullet"/>
      </w:pPr>
      <w:r>
        <w:rPr>
          <w:rFonts w:ascii="Arial" w:hAnsi="Arial" w:cs="Arial"/>
          <w:b/>
          <w:sz w:val="22"/>
        </w:rPr>
        <w:t>parciales</w:t>
      </w:r>
      <w:r>
        <w:rPr>
          <w:rFonts w:ascii="Arial" w:hAnsi="Arial" w:cs="Arial"/>
          <w:sz w:val="22"/>
        </w:rPr>
        <w:t>, si se cotiza por una base inferior o se omite parte del período;</w:t>
      </w:r>
    </w:p>
    <w:p>
      <w:pPr>
        <w:pStyle w:val="ListBullet"/>
      </w:pPr>
      <w:r>
        <w:rPr>
          <w:rFonts w:ascii="Arial" w:hAnsi="Arial" w:cs="Arial"/>
          <w:b/>
          <w:sz w:val="22"/>
        </w:rPr>
        <w:t>ocasionales</w:t>
      </w:r>
      <w:r>
        <w:rPr>
          <w:rFonts w:ascii="Arial" w:hAnsi="Arial" w:cs="Arial"/>
          <w:sz w:val="22"/>
        </w:rPr>
        <w:t>, por retrasos aislados;</w:t>
      </w:r>
    </w:p>
    <w:p>
      <w:pPr>
        <w:pStyle w:val="ListBullet"/>
      </w:pPr>
      <w:r>
        <w:rPr>
          <w:rFonts w:ascii="Arial" w:hAnsi="Arial" w:cs="Arial"/>
          <w:b/>
          <w:sz w:val="22"/>
        </w:rPr>
        <w:t>reiterados o prolongados</w:t>
      </w:r>
      <w:r>
        <w:rPr>
          <w:rFonts w:ascii="Arial" w:hAnsi="Arial" w:cs="Arial"/>
          <w:sz w:val="22"/>
        </w:rPr>
        <w:t>, reveladores de incumplimiento relevante.</w:t>
      </w:r>
    </w:p>
    <w:p>
      <w:pPr>
        <w:jc w:val="both"/>
      </w:pPr>
      <w:r>
        <w:rPr>
          <w:rFonts w:ascii="Arial" w:hAnsi="Arial" w:cs="Arial"/>
          <w:sz w:val="22"/>
        </w:rPr>
        <w:t>Cuando el trabajador por cuenta ajena no es responsable del ingreso, no debe soportar automáticamente la pérdida de protección por la mora empresarial. Sin embargo, la responsabilidad final puede imputarse a la empresa si el incumplimiento influyó en que no se alcanzase la carencia o en que la prestación se calculase por una base menor.</w:t>
      </w:r>
    </w:p>
    <w:p>
      <w:pPr>
        <w:jc w:val="both"/>
      </w:pPr>
      <w:r>
        <w:rPr>
          <w:rFonts w:ascii="Arial" w:hAnsi="Arial" w:cs="Arial"/>
          <w:b/>
          <w:sz w:val="22"/>
        </w:rPr>
        <w:t>Ejemplo de infracotización:</w:t>
      </w:r>
      <w:r>
        <w:rPr>
          <w:rFonts w:ascii="Arial" w:hAnsi="Arial" w:cs="Arial"/>
          <w:sz w:val="22"/>
        </w:rPr>
        <w:t xml:space="preserve"> una incapacidad permanente se calcula con bases de 2.000 euros, pero la empresa declaró 1.400 durante el período relevante. La entidad puede responder por la parte correctamente asegurada y la empresa por la diferencia, según la declaración de responsabilidad. No procede afirmar sin análisis que la empresa paga toda la pensión.</w:t>
      </w:r>
    </w:p>
    <w:p>
      <w:pPr>
        <w:jc w:val="both"/>
      </w:pPr>
      <w:r>
        <w:rPr>
          <w:rFonts w:ascii="Arial" w:hAnsi="Arial" w:cs="Arial"/>
          <w:b/>
          <w:sz w:val="22"/>
        </w:rPr>
        <w:t>Ejemplo de carencia:</w:t>
      </w:r>
      <w:r>
        <w:rPr>
          <w:rFonts w:ascii="Arial" w:hAnsi="Arial" w:cs="Arial"/>
          <w:sz w:val="22"/>
        </w:rPr>
        <w:t xml:space="preserve"> si las cuotas debidas y no ingresadas corresponden a trabajo realmente prestado y resultan determinantes para reunir el período exigido, habrá que aplicar la doctrina y el procedimiento de responsabilidad, sin confundir cotización debida con una inexistente actividad ficticia.</w:t>
      </w:r>
    </w:p>
    <w:p>
      <w:pPr>
        <w:pStyle w:val="Heading2"/>
        <w:keepNext/>
      </w:pPr>
      <w:r>
        <w:rPr>
          <w:rFonts w:ascii="Arial" w:hAnsi="Arial" w:cs="Arial"/>
          <w:sz w:val="25"/>
        </w:rPr>
        <w:t>9.3. Altas y bajas incorrectas</w:t>
      </w:r>
    </w:p>
    <w:p>
      <w:pPr>
        <w:jc w:val="both"/>
      </w:pPr>
      <w:r>
        <w:rPr>
          <w:rFonts w:ascii="Arial" w:hAnsi="Arial" w:cs="Arial"/>
          <w:sz w:val="22"/>
        </w:rPr>
        <w:t>Una baja anticipada mientras continúa el trabajo no destruye la realidad de la relación. Puede generar responsabilidad y liquidación de cuotas. Una alta tardía permite exigir cotización desde el inicio real y, en materia protectora, obliga a examinar alta de pleno derecho y anticipo. Una baja comunicada tarde después del cese plantea principalmente efectos de encuadramiento y cotización; solo producirá responsabilidad prestacional si se conecta causalmente con el derecho discutido.</w:t>
      </w:r>
    </w:p>
    <w:p>
      <w:pPr>
        <w:pStyle w:val="Heading2"/>
        <w:keepNext/>
      </w:pPr>
      <w:r>
        <w:rPr>
          <w:rFonts w:ascii="Arial" w:hAnsi="Arial" w:cs="Arial"/>
          <w:sz w:val="25"/>
        </w:rPr>
        <w:t>9.4. Declaración y recobro</w:t>
      </w:r>
    </w:p>
    <w:p>
      <w:pPr>
        <w:jc w:val="both"/>
      </w:pPr>
      <w:r>
        <w:rPr>
          <w:rFonts w:ascii="Arial" w:hAnsi="Arial" w:cs="Arial"/>
          <w:sz w:val="22"/>
        </w:rPr>
        <w:t>Corresponde a la entidad gestora competente declarar en vía administrativa:</w:t>
      </w:r>
    </w:p>
    <w:p>
      <w:pPr>
        <w:pStyle w:val="ListBullet"/>
      </w:pPr>
      <w:r>
        <w:rPr>
          <w:rFonts w:ascii="Arial" w:hAnsi="Arial" w:cs="Arial"/>
          <w:sz w:val="22"/>
        </w:rPr>
        <w:t>la responsabilidad en orden a la prestación;</w:t>
      </w:r>
    </w:p>
    <w:p>
      <w:pPr>
        <w:pStyle w:val="ListBullet"/>
      </w:pPr>
      <w:r>
        <w:rPr>
          <w:rFonts w:ascii="Arial" w:hAnsi="Arial" w:cs="Arial"/>
          <w:sz w:val="22"/>
        </w:rPr>
        <w:t>la entidad que deba anticiparla;</w:t>
      </w:r>
    </w:p>
    <w:p>
      <w:pPr>
        <w:pStyle w:val="ListBullet"/>
      </w:pPr>
      <w:r>
        <w:rPr>
          <w:rFonts w:ascii="Arial" w:hAnsi="Arial" w:cs="Arial"/>
          <w:sz w:val="22"/>
        </w:rPr>
        <w:t>la obligación de constituir capital coste cuando proceda.</w:t>
      </w:r>
    </w:p>
    <w:p>
      <w:pPr>
        <w:jc w:val="both"/>
      </w:pPr>
      <w:r>
        <w:rPr>
          <w:rFonts w:ascii="Arial" w:hAnsi="Arial" w:cs="Arial"/>
          <w:sz w:val="22"/>
        </w:rPr>
        <w:t>Si la entidad anticipa, se subroga en los derechos y acciones del beneficiario contra el empresario responsable. El beneficiario recibe protección sin esperar al resultado de la recaudación y la entidad reclama después. La subrogación evita un enriquecimiento doble: lo recuperado reintegra a quien adelantó.</w:t>
      </w:r>
    </w:p>
    <w:p>
      <w:pPr>
        <w:pStyle w:val="Heading1"/>
        <w:keepNext/>
      </w:pPr>
      <w:r>
        <w:rPr>
          <w:rFonts w:ascii="Arial" w:hAnsi="Arial" w:cs="Arial"/>
          <w:sz w:val="30"/>
        </w:rPr>
        <w:t>10. Automaticidad y anticipo de prestaciones</w:t>
      </w:r>
    </w:p>
    <w:p>
      <w:pPr>
        <w:jc w:val="both"/>
      </w:pPr>
      <w:r>
        <w:rPr>
          <w:rFonts w:ascii="Arial" w:hAnsi="Arial" w:cs="Arial"/>
          <w:sz w:val="22"/>
        </w:rPr>
        <w:t xml:space="preserve">La </w:t>
      </w:r>
      <w:r>
        <w:rPr>
          <w:rFonts w:ascii="Arial" w:hAnsi="Arial" w:cs="Arial"/>
          <w:b/>
          <w:sz w:val="22"/>
        </w:rPr>
        <w:t>automaticidad</w:t>
      </w:r>
      <w:r>
        <w:rPr>
          <w:rFonts w:ascii="Arial" w:hAnsi="Arial" w:cs="Arial"/>
          <w:sz w:val="22"/>
        </w:rPr>
        <w:t xml:space="preserve"> es el mecanismo por el que la protección opera pese al incumplimiento empresarial, dentro de los supuestos legales. El </w:t>
      </w:r>
      <w:r>
        <w:rPr>
          <w:rFonts w:ascii="Arial" w:hAnsi="Arial" w:cs="Arial"/>
          <w:b/>
          <w:sz w:val="22"/>
        </w:rPr>
        <w:t>anticipo</w:t>
      </w:r>
      <w:r>
        <w:rPr>
          <w:rFonts w:ascii="Arial" w:hAnsi="Arial" w:cs="Arial"/>
          <w:sz w:val="22"/>
        </w:rPr>
        <w:t xml:space="preserve"> es el pago provisional o garantizado por una entidad a quien tiene derecho, aunque la responsabilidad final recaiga en el empresario. Están relacionados, pero no son idénticos.</w:t>
      </w:r>
    </w:p>
    <w:p>
      <w:pPr>
        <w:pStyle w:val="Heading2"/>
        <w:keepNext/>
      </w:pPr>
      <w:r>
        <w:rPr>
          <w:rFonts w:ascii="Arial" w:hAnsi="Arial" w:cs="Arial"/>
          <w:sz w:val="25"/>
        </w:rPr>
        <w:t>10.1. Automaticidad absoluta y relativa</w:t>
      </w:r>
    </w:p>
    <w:p>
      <w:pPr>
        <w:jc w:val="both"/>
      </w:pPr>
      <w:r>
        <w:rPr>
          <w:rFonts w:ascii="Arial" w:hAnsi="Arial" w:cs="Arial"/>
          <w:sz w:val="22"/>
        </w:rPr>
        <w:t>En la explicación tradicional se distingue:</w:t>
      </w:r>
    </w:p>
    <w:p>
      <w:pPr>
        <w:pStyle w:val="ListBullet"/>
      </w:pPr>
      <w:r>
        <w:rPr>
          <w:rFonts w:ascii="Arial" w:hAnsi="Arial" w:cs="Arial"/>
          <w:b/>
          <w:sz w:val="22"/>
        </w:rPr>
        <w:t>automaticidad absoluta</w:t>
      </w:r>
      <w:r>
        <w:rPr>
          <w:rFonts w:ascii="Arial" w:hAnsi="Arial" w:cs="Arial"/>
          <w:sz w:val="22"/>
        </w:rPr>
        <w:t>: la entidad debe hacer efectiva la prestación aun cuando falten alta y cotización, porque la ley protege de pleno derecho la contingencia;</w:t>
      </w:r>
    </w:p>
    <w:p>
      <w:pPr>
        <w:pStyle w:val="ListBullet"/>
      </w:pPr>
      <w:r>
        <w:rPr>
          <w:rFonts w:ascii="Arial" w:hAnsi="Arial" w:cs="Arial"/>
          <w:b/>
          <w:sz w:val="22"/>
        </w:rPr>
        <w:t>automaticidad relativa</w:t>
      </w:r>
      <w:r>
        <w:rPr>
          <w:rFonts w:ascii="Arial" w:hAnsi="Arial" w:cs="Arial"/>
          <w:sz w:val="22"/>
        </w:rPr>
        <w:t>: el anticipo se vincula a que exista alta y el defecto afecte principalmente a la cotización o a otros requisitos empresariales.</w:t>
      </w:r>
    </w:p>
    <w:p>
      <w:pPr>
        <w:jc w:val="both"/>
      </w:pPr>
      <w:r>
        <w:rPr>
          <w:rFonts w:ascii="Arial" w:hAnsi="Arial" w:cs="Arial"/>
          <w:sz w:val="22"/>
        </w:rPr>
        <w:t>La clasificación es doctrinal y pedagógica. En examen debe anclarse en los artículos 166 y 167 TRLGSS y en la regulación aplicable, no tratarse como una fórmula que sustituya el análisis. La extensión del anticipo y sus límites varían por prestación.</w:t>
      </w:r>
    </w:p>
    <w:p>
      <w:pPr>
        <w:jc w:val="both"/>
      </w:pPr>
      <w:r>
        <w:rPr>
          <w:rFonts w:ascii="Arial" w:hAnsi="Arial" w:cs="Arial"/>
          <w:sz w:val="22"/>
        </w:rPr>
        <w:t>El artículo 166.4 establece alta de pleno derecho para accidente de trabajo, enfermedad profesional y desempleo, aunque el empresario incumpla. También la establece, solo para la asistencia sanitaria, por enfermedad común, maternidad y accidente no laboral. El Gobierno puede extender esa presunción a otras contingencias si determina previamente los recursos financieros.</w:t>
      </w:r>
    </w:p>
    <w:p>
      <w:pPr>
        <w:pStyle w:val="Heading2"/>
        <w:keepNext/>
      </w:pPr>
      <w:r>
        <w:rPr>
          <w:rFonts w:ascii="Arial" w:hAnsi="Arial" w:cs="Arial"/>
          <w:sz w:val="25"/>
        </w:rPr>
        <w:t>10.2. Función protectora del anticipo</w:t>
      </w:r>
    </w:p>
    <w:p>
      <w:pPr>
        <w:jc w:val="both"/>
      </w:pPr>
      <w:r>
        <w:rPr>
          <w:rFonts w:ascii="Arial" w:hAnsi="Arial" w:cs="Arial"/>
          <w:sz w:val="22"/>
        </w:rPr>
        <w:t>El anticipo rompe la dependencia entre el cobro inmediato del trabajador y la solvencia empresarial. Si la empresa responsable desapareció o no puede ser objeto de apremio, la entidad sigue pagando en los supuestos reglamentarios. Después se subroga.</w:t>
      </w:r>
    </w:p>
    <w:p>
      <w:pPr>
        <w:jc w:val="both"/>
      </w:pPr>
      <w:r>
        <w:rPr>
          <w:rFonts w:ascii="Arial" w:hAnsi="Arial" w:cs="Arial"/>
          <w:sz w:val="22"/>
        </w:rPr>
        <w:t>El pago anticipado no borra:</w:t>
      </w:r>
    </w:p>
    <w:p>
      <w:pPr>
        <w:pStyle w:val="ListBullet"/>
      </w:pPr>
      <w:r>
        <w:rPr>
          <w:rFonts w:ascii="Arial" w:hAnsi="Arial" w:cs="Arial"/>
          <w:sz w:val="22"/>
        </w:rPr>
        <w:t>la deuda de cuotas;</w:t>
      </w:r>
    </w:p>
    <w:p>
      <w:pPr>
        <w:pStyle w:val="ListBullet"/>
      </w:pPr>
      <w:r>
        <w:rPr>
          <w:rFonts w:ascii="Arial" w:hAnsi="Arial" w:cs="Arial"/>
          <w:sz w:val="22"/>
        </w:rPr>
        <w:t>la responsabilidad empresarial;</w:t>
      </w:r>
    </w:p>
    <w:p>
      <w:pPr>
        <w:pStyle w:val="ListBullet"/>
      </w:pPr>
      <w:r>
        <w:rPr>
          <w:rFonts w:ascii="Arial" w:hAnsi="Arial" w:cs="Arial"/>
          <w:sz w:val="22"/>
        </w:rPr>
        <w:t>recargos e intereses de recaudación;</w:t>
      </w:r>
    </w:p>
    <w:p>
      <w:pPr>
        <w:pStyle w:val="ListBullet"/>
      </w:pPr>
      <w:r>
        <w:rPr>
          <w:rFonts w:ascii="Arial" w:hAnsi="Arial" w:cs="Arial"/>
          <w:sz w:val="22"/>
        </w:rPr>
        <w:t>sanciones administrativas;</w:t>
      </w:r>
    </w:p>
    <w:p>
      <w:pPr>
        <w:pStyle w:val="ListBullet"/>
      </w:pPr>
      <w:r>
        <w:rPr>
          <w:rFonts w:ascii="Arial" w:hAnsi="Arial" w:cs="Arial"/>
          <w:sz w:val="22"/>
        </w:rPr>
        <w:t>el eventual recargo de prestaciones por falta de medidas preventivas;</w:t>
      </w:r>
    </w:p>
    <w:p>
      <w:pPr>
        <w:pStyle w:val="ListBullet"/>
      </w:pPr>
      <w:r>
        <w:rPr>
          <w:rFonts w:ascii="Arial" w:hAnsi="Arial" w:cs="Arial"/>
          <w:sz w:val="22"/>
        </w:rPr>
        <w:t>responsabilidades civiles o penales.</w:t>
      </w:r>
    </w:p>
    <w:p>
      <w:pPr>
        <w:jc w:val="both"/>
      </w:pPr>
      <w:r>
        <w:rPr>
          <w:rFonts w:ascii="Arial" w:hAnsi="Arial" w:cs="Arial"/>
          <w:sz w:val="22"/>
        </w:rPr>
        <w:t>Tampoco permite cobrar dos veces. Si el empresario hubiese satisfecho ya parte, la entidad anticipará o reclamará con arreglo a lo realmente pendiente.</w:t>
      </w:r>
    </w:p>
    <w:p>
      <w:pPr>
        <w:pStyle w:val="Heading2"/>
        <w:keepNext/>
      </w:pPr>
      <w:r>
        <w:rPr>
          <w:rFonts w:ascii="Arial" w:hAnsi="Arial" w:cs="Arial"/>
          <w:sz w:val="25"/>
        </w:rPr>
        <w:t>10.3. Supuestos de responsabilidad conectada</w:t>
      </w:r>
    </w:p>
    <w:p>
      <w:pPr>
        <w:jc w:val="both"/>
      </w:pPr>
      <w:r>
        <w:rPr>
          <w:rFonts w:ascii="Arial" w:hAnsi="Arial" w:cs="Arial"/>
          <w:sz w:val="22"/>
        </w:rPr>
        <w:t>En contratas de obras o servicios de la propia actividad puede entrar en juego la responsabilidad del empresario principal conforme a la legislación laboral y de Seguridad Social. Si el empresario responsable de la prestación es insolvente y la obra o industria estaba contratada, el propietario puede responder subsidiariamente en los términos del artículo 168, salvo reparaciones contratadas por un cabeza de familia respecto de su vivienda.</w:t>
      </w:r>
    </w:p>
    <w:p>
      <w:pPr>
        <w:jc w:val="both"/>
      </w:pPr>
      <w:r>
        <w:rPr>
          <w:rFonts w:ascii="Arial" w:hAnsi="Arial" w:cs="Arial"/>
          <w:sz w:val="22"/>
        </w:rPr>
        <w:t>En sucesión de empresa, el adquirente responde solidariamente con el anterior —o con sus herederos— de prestaciones causadas antes de la sucesión. También existe solidaridad entre cedente y cesionario en cesión temporal de mano de obra, sin perjuicio de la normativa de empresas de trabajo temporal.</w:t>
      </w:r>
    </w:p>
    <w:p>
      <w:pPr>
        <w:jc w:val="both"/>
      </w:pPr>
      <w:r>
        <w:rPr>
          <w:rFonts w:ascii="Arial" w:hAnsi="Arial" w:cs="Arial"/>
          <w:sz w:val="22"/>
        </w:rPr>
        <w:t>Si el hecho causante implica responsabilidad civil o penal de un tercero, la Seguridad Social paga la prestación cuando concurren sus requisitos, sin perjuicio de que el beneficiario reclame las indemnizaciones procedentes y de las acciones de la entidad. El sistema no espera a que termine el pleito de responsabilidad del tercero para atender el riesgo social ya acreditado.</w:t>
      </w:r>
    </w:p>
    <w:p>
      <w:pPr>
        <w:pStyle w:val="Heading1"/>
        <w:keepNext/>
      </w:pPr>
      <w:r>
        <w:rPr>
          <w:rFonts w:ascii="Arial" w:hAnsi="Arial" w:cs="Arial"/>
          <w:sz w:val="30"/>
        </w:rPr>
        <w:t>11. Recargo por falta de medidas de seguridad</w:t>
      </w:r>
    </w:p>
    <w:p>
      <w:pPr>
        <w:jc w:val="both"/>
      </w:pPr>
      <w:r>
        <w:rPr>
          <w:rFonts w:ascii="Arial" w:hAnsi="Arial" w:cs="Arial"/>
          <w:sz w:val="22"/>
        </w:rPr>
        <w:t xml:space="preserve">Todas las prestaciones económicas derivadas de accidente de trabajo o enfermedad profesional se incrementan entre un </w:t>
      </w:r>
      <w:r>
        <w:rPr>
          <w:rFonts w:ascii="Arial" w:hAnsi="Arial" w:cs="Arial"/>
          <w:b/>
          <w:sz w:val="22"/>
        </w:rPr>
        <w:t>30 y un 50 por ciento</w:t>
      </w:r>
      <w:r>
        <w:rPr>
          <w:rFonts w:ascii="Arial" w:hAnsi="Arial" w:cs="Arial"/>
          <w:sz w:val="22"/>
        </w:rPr>
        <w:t>, según la gravedad de la falta, cuando la lesión se produce por equipos, instalaciones o lugares sin la protección reglamentaria, con medios inutilizados o deficientes, o por incumplimiento de medidas generales o particulares de seguridad y salud o de adecuación personal al trabajo.</w:t>
      </w:r>
    </w:p>
    <w:p>
      <w:pPr>
        <w:jc w:val="both"/>
      </w:pPr>
      <w:r>
        <w:rPr>
          <w:rFonts w:ascii="Arial" w:hAnsi="Arial" w:cs="Arial"/>
          <w:sz w:val="22"/>
        </w:rPr>
        <w:t>Sus notas son:</w:t>
      </w:r>
    </w:p>
    <w:p>
      <w:pPr>
        <w:pStyle w:val="ListBullet"/>
      </w:pPr>
      <w:r>
        <w:rPr>
          <w:rFonts w:ascii="Arial" w:hAnsi="Arial" w:cs="Arial"/>
          <w:sz w:val="22"/>
        </w:rPr>
        <w:t>recae directamente sobre el empresario infractor;</w:t>
      </w:r>
    </w:p>
    <w:p>
      <w:pPr>
        <w:pStyle w:val="ListBullet"/>
      </w:pPr>
      <w:r>
        <w:rPr>
          <w:rFonts w:ascii="Arial" w:hAnsi="Arial" w:cs="Arial"/>
          <w:sz w:val="22"/>
        </w:rPr>
        <w:t>no puede asegurarse;</w:t>
      </w:r>
    </w:p>
    <w:p>
      <w:pPr>
        <w:pStyle w:val="ListBullet"/>
      </w:pPr>
      <w:r>
        <w:rPr>
          <w:rFonts w:ascii="Arial" w:hAnsi="Arial" w:cs="Arial"/>
          <w:sz w:val="22"/>
        </w:rPr>
        <w:t>es nulo todo pacto para cubrirlo, compensarlo o transmitirlo;</w:t>
      </w:r>
    </w:p>
    <w:p>
      <w:pPr>
        <w:pStyle w:val="ListBullet"/>
      </w:pPr>
      <w:r>
        <w:rPr>
          <w:rFonts w:ascii="Arial" w:hAnsi="Arial" w:cs="Arial"/>
          <w:sz w:val="22"/>
        </w:rPr>
        <w:t>es independiente y compatible con responsabilidades administrativas, civiles y penales;</w:t>
      </w:r>
    </w:p>
    <w:p>
      <w:pPr>
        <w:pStyle w:val="ListBullet"/>
      </w:pPr>
      <w:r>
        <w:rPr>
          <w:rFonts w:ascii="Arial" w:hAnsi="Arial" w:cs="Arial"/>
          <w:sz w:val="22"/>
        </w:rPr>
        <w:t>se aplica sobre prestaciones económicas, no sobre el coste de la asistencia sanitaria;</w:t>
      </w:r>
    </w:p>
    <w:p>
      <w:pPr>
        <w:pStyle w:val="ListBullet"/>
      </w:pPr>
      <w:r>
        <w:rPr>
          <w:rFonts w:ascii="Arial" w:hAnsi="Arial" w:cs="Arial"/>
          <w:sz w:val="22"/>
        </w:rPr>
        <w:t>exige relación causal entre infracción preventiva y lesión.</w:t>
      </w:r>
    </w:p>
    <w:p>
      <w:pPr>
        <w:jc w:val="both"/>
      </w:pPr>
      <w:r>
        <w:rPr>
          <w:rFonts w:ascii="Arial" w:hAnsi="Arial" w:cs="Arial"/>
          <w:sz w:val="22"/>
        </w:rPr>
        <w:t>No se confunde con la responsabilidad por falta de alta o cotización. Pueden coexistir. Una empresa puede estar al corriente en Seguridad Social y, sin embargo, soportar recargo por una infracción preventiva; o incumplir cotización sin que haya falta preventiva. El recargo beneficia al titular de la prestación, pero su pago directo se impone como consecuencia específica del incumplimiento de seguridad.</w:t>
      </w:r>
    </w:p>
    <w:p>
      <w:pPr>
        <w:jc w:val="both"/>
      </w:pPr>
      <w:r>
        <w:rPr>
          <w:rFonts w:ascii="Arial" w:hAnsi="Arial" w:cs="Arial"/>
          <w:b/>
          <w:sz w:val="22"/>
        </w:rPr>
        <w:t>Caso:</w:t>
      </w:r>
      <w:r>
        <w:rPr>
          <w:rFonts w:ascii="Arial" w:hAnsi="Arial" w:cs="Arial"/>
          <w:sz w:val="22"/>
        </w:rPr>
        <w:t xml:space="preserve"> una máquina funciona con el resguardo deliberadamente anulado y causa una lesión. Si se reconoce incapacidad temporal y después incapacidad permanente derivadas del accidente, el porcentaje declarado se aplica a las prestaciones económicas correspondientes. La mutua abona la prestación ordinaria que cubre; la empresa paga el recargo. La sanción de la Inspección, la indemnización civil y, en su caso, la responsabilidad penal siguen su propio curso.</w:t>
      </w:r>
    </w:p>
    <w:p>
      <w:pPr>
        <w:pStyle w:val="Heading1"/>
        <w:keepNext/>
      </w:pPr>
      <w:r>
        <w:rPr>
          <w:rFonts w:ascii="Arial" w:hAnsi="Arial" w:cs="Arial"/>
          <w:sz w:val="30"/>
        </w:rPr>
        <w:t>12. Riesgo protegido y clasificación de contingencias</w:t>
      </w:r>
    </w:p>
    <w:p>
      <w:pPr>
        <w:jc w:val="both"/>
      </w:pPr>
      <w:r>
        <w:rPr>
          <w:rFonts w:ascii="Arial" w:hAnsi="Arial" w:cs="Arial"/>
          <w:sz w:val="22"/>
        </w:rPr>
        <w:t>Clasificar la contingencia determina carencia, base reguladora, porcentaje, entidad responsable, financiación, partes médicos y posibles responsabilidades. El mismo diagnóstico puede tener naturaleza común o profesional según su causa.</w:t>
      </w:r>
    </w:p>
    <w:tbl>
      <w:tblPr>
        <w:tblStyle w:val="TableGrid"/>
        <w:tblW w:type="dxa" w:w="9026"/>
        <w:jc w:val="left"/>
        <w:tblLayout w:type="fixed"/>
        <w:tblLook w:firstColumn="1" w:firstRow="1" w:lastColumn="0" w:lastRow="0" w:noHBand="0" w:noVBand="1" w:val="04A0"/>
        <w:tblInd w:w="120" w:type="dxa"/>
      </w:tblPr>
      <w:tblGrid>
        <w:gridCol w:w="1415"/>
        <w:gridCol w:w="4041"/>
        <w:gridCol w:w="1819"/>
        <w:gridCol w:w="1751"/>
      </w:tblGrid>
      <w:tr>
        <w:trPr>
          <w:tblHeader w:val="true"/>
        </w:trPr>
        <w:tc>
          <w:tcPr>
            <w:tcW w:type="dxa" w:w="14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Contingencia</w:t>
            </w:r>
          </w:p>
        </w:tc>
        <w:tc>
          <w:tcPr>
            <w:tcW w:type="dxa" w:w="40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Definición básica</w:t>
            </w:r>
          </w:p>
        </w:tc>
        <w:tc>
          <w:tcPr>
            <w:tcW w:type="dxa" w:w="181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Carencia general</w:t>
            </w:r>
          </w:p>
        </w:tc>
        <w:tc>
          <w:tcPr>
            <w:tcW w:type="dxa" w:w="175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Cotización/gestión</w:t>
            </w:r>
          </w:p>
        </w:tc>
      </w:tr>
      <w:tr>
        <w:tc>
          <w:tcPr>
            <w:tcW w:type="dxa" w:w="1415"/>
            <w:tcMar>
              <w:top w:w="80" w:type="dxa"/>
              <w:start w:w="120" w:type="dxa"/>
              <w:bottom w:w="80" w:type="dxa"/>
              <w:end w:w="120" w:type="dxa"/>
            </w:tcMar>
            <w:vAlign w:val="center"/>
          </w:tcPr>
          <w:p>
            <w:pPr>
              <w:spacing w:before="0" w:after="0" w:line="240" w:lineRule="auto"/>
              <w:jc w:val="left"/>
            </w:pPr>
            <w:r/>
            <w:r>
              <w:rPr>
                <w:rFonts w:ascii="Arial" w:hAnsi="Arial" w:cs="Arial"/>
                <w:sz w:val="18"/>
              </w:rPr>
              <w:t>Accidente de trabajo</w:t>
            </w:r>
          </w:p>
        </w:tc>
        <w:tc>
          <w:tcPr>
            <w:tcW w:type="dxa" w:w="4041"/>
            <w:tcMar>
              <w:top w:w="80" w:type="dxa"/>
              <w:start w:w="120" w:type="dxa"/>
              <w:bottom w:w="80" w:type="dxa"/>
              <w:end w:w="120" w:type="dxa"/>
            </w:tcMar>
            <w:vAlign w:val="center"/>
          </w:tcPr>
          <w:p>
            <w:pPr>
              <w:spacing w:before="0" w:after="0" w:line="240" w:lineRule="auto"/>
              <w:jc w:val="left"/>
            </w:pPr>
            <w:r/>
            <w:r>
              <w:rPr>
                <w:rFonts w:ascii="Arial" w:hAnsi="Arial" w:cs="Arial"/>
                <w:sz w:val="18"/>
              </w:rPr>
              <w:t>Lesión corporal con ocasión o por consecuencia del trabajo por cuenta ajena</w:t>
            </w:r>
          </w:p>
        </w:tc>
        <w:tc>
          <w:tcPr>
            <w:tcW w:type="dxa" w:w="181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1751"/>
            <w:tcMar>
              <w:top w:w="80" w:type="dxa"/>
              <w:start w:w="120" w:type="dxa"/>
              <w:bottom w:w="80" w:type="dxa"/>
              <w:end w:w="120" w:type="dxa"/>
            </w:tcMar>
            <w:vAlign w:val="center"/>
          </w:tcPr>
          <w:p>
            <w:pPr>
              <w:spacing w:before="0" w:after="0" w:line="240" w:lineRule="auto"/>
              <w:jc w:val="left"/>
            </w:pPr>
            <w:r/>
            <w:r>
              <w:rPr>
                <w:rFonts w:ascii="Arial" w:hAnsi="Arial" w:cs="Arial"/>
                <w:sz w:val="18"/>
              </w:rPr>
              <w:t>Contingencias profesionales</w:t>
            </w:r>
          </w:p>
        </w:tc>
      </w:tr>
      <w:tr>
        <w:tc>
          <w:tcPr>
            <w:tcW w:type="dxa" w:w="1415"/>
            <w:tcMar>
              <w:top w:w="80" w:type="dxa"/>
              <w:start w:w="120" w:type="dxa"/>
              <w:bottom w:w="80" w:type="dxa"/>
              <w:end w:w="120" w:type="dxa"/>
            </w:tcMar>
            <w:vAlign w:val="center"/>
          </w:tcPr>
          <w:p>
            <w:pPr>
              <w:spacing w:before="0" w:after="0" w:line="240" w:lineRule="auto"/>
              <w:jc w:val="left"/>
            </w:pPr>
            <w:r/>
            <w:r>
              <w:rPr>
                <w:rFonts w:ascii="Arial" w:hAnsi="Arial" w:cs="Arial"/>
                <w:sz w:val="18"/>
              </w:rPr>
              <w:t>Enfermedad profesional</w:t>
            </w:r>
          </w:p>
        </w:tc>
        <w:tc>
          <w:tcPr>
            <w:tcW w:type="dxa" w:w="4041"/>
            <w:tcMar>
              <w:top w:w="80" w:type="dxa"/>
              <w:start w:w="120" w:type="dxa"/>
              <w:bottom w:w="80" w:type="dxa"/>
              <w:end w:w="120" w:type="dxa"/>
            </w:tcMar>
            <w:vAlign w:val="center"/>
          </w:tcPr>
          <w:p>
            <w:pPr>
              <w:spacing w:before="0" w:after="0" w:line="240" w:lineRule="auto"/>
              <w:jc w:val="left"/>
            </w:pPr>
            <w:r/>
            <w:r>
              <w:rPr>
                <w:rFonts w:ascii="Arial" w:hAnsi="Arial" w:cs="Arial"/>
                <w:sz w:val="18"/>
              </w:rPr>
              <w:t>Enfermedad por trabajo en actividades y agentes del cuadro oficial</w:t>
            </w:r>
          </w:p>
        </w:tc>
        <w:tc>
          <w:tcPr>
            <w:tcW w:type="dxa" w:w="181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1751"/>
            <w:tcMar>
              <w:top w:w="80" w:type="dxa"/>
              <w:start w:w="120" w:type="dxa"/>
              <w:bottom w:w="80" w:type="dxa"/>
              <w:end w:w="120" w:type="dxa"/>
            </w:tcMar>
            <w:vAlign w:val="center"/>
          </w:tcPr>
          <w:p>
            <w:pPr>
              <w:spacing w:before="0" w:after="0" w:line="240" w:lineRule="auto"/>
              <w:jc w:val="left"/>
            </w:pPr>
            <w:r/>
            <w:r>
              <w:rPr>
                <w:rFonts w:ascii="Arial" w:hAnsi="Arial" w:cs="Arial"/>
                <w:sz w:val="18"/>
              </w:rPr>
              <w:t>Contingencias profesionales</w:t>
            </w:r>
          </w:p>
        </w:tc>
      </w:tr>
      <w:tr>
        <w:tc>
          <w:tcPr>
            <w:tcW w:type="dxa" w:w="1415"/>
            <w:tcMar>
              <w:top w:w="80" w:type="dxa"/>
              <w:start w:w="120" w:type="dxa"/>
              <w:bottom w:w="80" w:type="dxa"/>
              <w:end w:w="120" w:type="dxa"/>
            </w:tcMar>
            <w:vAlign w:val="center"/>
          </w:tcPr>
          <w:p>
            <w:pPr>
              <w:spacing w:before="0" w:after="0" w:line="240" w:lineRule="auto"/>
              <w:jc w:val="left"/>
            </w:pPr>
            <w:r/>
            <w:r>
              <w:rPr>
                <w:rFonts w:ascii="Arial" w:hAnsi="Arial" w:cs="Arial"/>
                <w:sz w:val="18"/>
              </w:rPr>
              <w:t>Accidente no laboral</w:t>
            </w:r>
          </w:p>
        </w:tc>
        <w:tc>
          <w:tcPr>
            <w:tcW w:type="dxa" w:w="4041"/>
            <w:tcMar>
              <w:top w:w="80" w:type="dxa"/>
              <w:start w:w="120" w:type="dxa"/>
              <w:bottom w:w="80" w:type="dxa"/>
              <w:end w:w="120" w:type="dxa"/>
            </w:tcMar>
            <w:vAlign w:val="center"/>
          </w:tcPr>
          <w:p>
            <w:pPr>
              <w:spacing w:before="0" w:after="0" w:line="240" w:lineRule="auto"/>
              <w:jc w:val="left"/>
            </w:pPr>
            <w:r/>
            <w:r>
              <w:rPr>
                <w:rFonts w:ascii="Arial" w:hAnsi="Arial" w:cs="Arial"/>
                <w:sz w:val="18"/>
              </w:rPr>
              <w:t>Accidente que no reúne carácter laboral</w:t>
            </w:r>
          </w:p>
        </w:tc>
        <w:tc>
          <w:tcPr>
            <w:tcW w:type="dxa" w:w="1819"/>
            <w:tcMar>
              <w:top w:w="80" w:type="dxa"/>
              <w:start w:w="120" w:type="dxa"/>
              <w:bottom w:w="80" w:type="dxa"/>
              <w:end w:w="120" w:type="dxa"/>
            </w:tcMar>
            <w:vAlign w:val="center"/>
          </w:tcPr>
          <w:p>
            <w:pPr>
              <w:spacing w:before="0" w:after="0" w:line="240" w:lineRule="auto"/>
              <w:jc w:val="center"/>
            </w:pPr>
            <w:r/>
            <w:r>
              <w:rPr>
                <w:rFonts w:ascii="Arial" w:hAnsi="Arial" w:cs="Arial"/>
                <w:sz w:val="18"/>
              </w:rPr>
              <w:t>No</w:t>
            </w:r>
          </w:p>
        </w:tc>
        <w:tc>
          <w:tcPr>
            <w:tcW w:type="dxa" w:w="1751"/>
            <w:tcMar>
              <w:top w:w="80" w:type="dxa"/>
              <w:start w:w="120" w:type="dxa"/>
              <w:bottom w:w="80" w:type="dxa"/>
              <w:end w:w="120" w:type="dxa"/>
            </w:tcMar>
            <w:vAlign w:val="center"/>
          </w:tcPr>
          <w:p>
            <w:pPr>
              <w:spacing w:before="0" w:after="0" w:line="240" w:lineRule="auto"/>
              <w:jc w:val="left"/>
            </w:pPr>
            <w:r/>
            <w:r>
              <w:rPr>
                <w:rFonts w:ascii="Arial" w:hAnsi="Arial" w:cs="Arial"/>
                <w:sz w:val="18"/>
              </w:rPr>
              <w:t>Contingencias comunes</w:t>
            </w:r>
          </w:p>
        </w:tc>
      </w:tr>
      <w:tr>
        <w:tc>
          <w:tcPr>
            <w:tcW w:type="dxa" w:w="1415"/>
            <w:tcMar>
              <w:top w:w="80" w:type="dxa"/>
              <w:start w:w="120" w:type="dxa"/>
              <w:bottom w:w="80" w:type="dxa"/>
              <w:end w:w="120" w:type="dxa"/>
            </w:tcMar>
            <w:vAlign w:val="center"/>
          </w:tcPr>
          <w:p>
            <w:pPr>
              <w:spacing w:before="0" w:after="0" w:line="240" w:lineRule="auto"/>
              <w:jc w:val="left"/>
            </w:pPr>
            <w:r/>
            <w:r>
              <w:rPr>
                <w:rFonts w:ascii="Arial" w:hAnsi="Arial" w:cs="Arial"/>
                <w:sz w:val="18"/>
              </w:rPr>
              <w:t>Enfermedad común</w:t>
            </w:r>
          </w:p>
        </w:tc>
        <w:tc>
          <w:tcPr>
            <w:tcW w:type="dxa" w:w="4041"/>
            <w:tcMar>
              <w:top w:w="80" w:type="dxa"/>
              <w:start w:w="120" w:type="dxa"/>
              <w:bottom w:w="80" w:type="dxa"/>
              <w:end w:w="120" w:type="dxa"/>
            </w:tcMar>
            <w:vAlign w:val="center"/>
          </w:tcPr>
          <w:p>
            <w:pPr>
              <w:spacing w:before="0" w:after="0" w:line="240" w:lineRule="auto"/>
              <w:jc w:val="left"/>
            </w:pPr>
            <w:r/>
            <w:r>
              <w:rPr>
                <w:rFonts w:ascii="Arial" w:hAnsi="Arial" w:cs="Arial"/>
                <w:sz w:val="18"/>
              </w:rPr>
              <w:t>Alteración de la salud que no es accidente de trabajo ni enfermedad profesional</w:t>
            </w:r>
          </w:p>
        </w:tc>
        <w:tc>
          <w:tcPr>
            <w:tcW w:type="dxa" w:w="1819"/>
            <w:tcMar>
              <w:top w:w="80" w:type="dxa"/>
              <w:start w:w="120" w:type="dxa"/>
              <w:bottom w:w="80" w:type="dxa"/>
              <w:end w:w="120" w:type="dxa"/>
            </w:tcMar>
            <w:vAlign w:val="center"/>
          </w:tcPr>
          <w:p>
            <w:pPr>
              <w:spacing w:before="0" w:after="0" w:line="240" w:lineRule="auto"/>
              <w:jc w:val="left"/>
            </w:pPr>
            <w:r/>
            <w:r>
              <w:rPr>
                <w:rFonts w:ascii="Arial" w:hAnsi="Arial" w:cs="Arial"/>
                <w:sz w:val="18"/>
              </w:rPr>
              <w:t>Sí, cuando la prestación la exige</w:t>
            </w:r>
          </w:p>
        </w:tc>
        <w:tc>
          <w:tcPr>
            <w:tcW w:type="dxa" w:w="1751"/>
            <w:tcMar>
              <w:top w:w="80" w:type="dxa"/>
              <w:start w:w="120" w:type="dxa"/>
              <w:bottom w:w="80" w:type="dxa"/>
              <w:end w:w="120" w:type="dxa"/>
            </w:tcMar>
            <w:vAlign w:val="center"/>
          </w:tcPr>
          <w:p>
            <w:pPr>
              <w:spacing w:before="0" w:after="0" w:line="240" w:lineRule="auto"/>
              <w:jc w:val="left"/>
            </w:pPr>
            <w:r/>
            <w:r>
              <w:rPr>
                <w:rFonts w:ascii="Arial" w:hAnsi="Arial" w:cs="Arial"/>
                <w:sz w:val="18"/>
              </w:rPr>
              <w:t>Contingencias comunes</w:t>
            </w:r>
          </w:p>
        </w:tc>
      </w:tr>
    </w:tbl>
    <w:p>
      <w:pPr>
        <w:spacing w:after="40"/>
      </w:pPr>
    </w:p>
    <w:p>
      <w:pPr>
        <w:jc w:val="both"/>
      </w:pPr>
      <w:r>
        <w:rPr>
          <w:rFonts w:ascii="Arial" w:hAnsi="Arial" w:cs="Arial"/>
          <w:sz w:val="22"/>
        </w:rPr>
        <w:t>«Contingencia común» agrupa enfermedad común y accidente no laboral, aunque sus reglas de carencia no siempre son iguales. «Contingencia profesional» agrupa accidente de trabajo y enfermedad profesional. Nacimiento, riesgo durante el embarazo o desempleo son situaciones protegidas con régimen propio y no deben meterse mecánicamente en una de esas cuatro categorías.</w:t>
      </w:r>
    </w:p>
    <w:p>
      <w:pPr>
        <w:pStyle w:val="Heading1"/>
        <w:keepNext/>
      </w:pPr>
      <w:r>
        <w:rPr>
          <w:rFonts w:ascii="Arial" w:hAnsi="Arial" w:cs="Arial"/>
          <w:sz w:val="30"/>
        </w:rPr>
        <w:t>13. Accidente de trabajo</w:t>
      </w:r>
    </w:p>
    <w:p>
      <w:pPr>
        <w:jc w:val="both"/>
      </w:pPr>
      <w:r>
        <w:rPr>
          <w:rFonts w:ascii="Arial" w:hAnsi="Arial" w:cs="Arial"/>
          <w:sz w:val="22"/>
        </w:rPr>
        <w:t>El artículo 156 TRLGSS considera accidente de trabajo toda lesión corporal que el trabajador sufra con ocasión o por consecuencia del trabajo por cuenta ajena. La lesión incluye daños físicos y psíquicos cuando existe el nexo exigido.</w:t>
      </w:r>
    </w:p>
    <w:p>
      <w:pPr>
        <w:pStyle w:val="Heading2"/>
        <w:keepNext/>
      </w:pPr>
      <w:r>
        <w:rPr>
          <w:rFonts w:ascii="Arial" w:hAnsi="Arial" w:cs="Arial"/>
          <w:sz w:val="25"/>
        </w:rPr>
        <w:t>13.1. Supuestos incluidos</w:t>
      </w:r>
    </w:p>
    <w:p>
      <w:pPr>
        <w:jc w:val="both"/>
      </w:pPr>
      <w:r>
        <w:rPr>
          <w:rFonts w:ascii="Arial" w:hAnsi="Arial" w:cs="Arial"/>
          <w:sz w:val="22"/>
        </w:rPr>
        <w:t>La ley incluye expresamente:</w:t>
      </w:r>
    </w:p>
    <w:p>
      <w:pPr>
        <w:spacing w:after="40"/>
        <w:ind w:left="369" w:hanging="227"/>
      </w:pPr>
      <w:r>
        <w:rPr>
          <w:rFonts w:ascii="Arial" w:hAnsi="Arial" w:cs="Arial"/>
          <w:sz w:val="22"/>
        </w:rPr>
        <w:t>1. Accidentes de ida o vuelta al trabajo —</w:t>
      </w:r>
      <w:r>
        <w:rPr>
          <w:rFonts w:ascii="Arial" w:hAnsi="Arial" w:cs="Arial"/>
          <w:b/>
          <w:sz w:val="22"/>
        </w:rPr>
        <w:t>in itinere</w:t>
      </w:r>
      <w:r>
        <w:rPr>
          <w:rFonts w:ascii="Arial" w:hAnsi="Arial" w:cs="Arial"/>
          <w:sz w:val="22"/>
        </w:rPr>
        <w:t>—, siempre que se mantengan los elementos teleológico, geográfico, cronológico y de idoneidad del medio.</w:t>
      </w:r>
    </w:p>
    <w:p>
      <w:pPr>
        <w:spacing w:after="40"/>
        <w:ind w:left="369" w:hanging="227"/>
      </w:pPr>
      <w:r>
        <w:rPr>
          <w:rFonts w:ascii="Arial" w:hAnsi="Arial" w:cs="Arial"/>
          <w:sz w:val="22"/>
        </w:rPr>
        <w:t>2. Los sufridos al desempeñar cargos electivos sindicales o al ir o volver del lugar de ejercicio.</w:t>
      </w:r>
    </w:p>
    <w:p>
      <w:pPr>
        <w:spacing w:after="40"/>
        <w:ind w:left="369" w:hanging="227"/>
      </w:pPr>
      <w:r>
        <w:rPr>
          <w:rFonts w:ascii="Arial" w:hAnsi="Arial" w:cs="Arial"/>
          <w:sz w:val="22"/>
        </w:rPr>
        <w:t>3. Los ocurridos al ejecutar tareas distintas de la categoría profesional por orden empresarial o espontáneamente en interés del buen funcionamiento.</w:t>
      </w:r>
    </w:p>
    <w:p>
      <w:pPr>
        <w:spacing w:after="40"/>
        <w:ind w:left="369" w:hanging="227"/>
      </w:pPr>
      <w:r>
        <w:rPr>
          <w:rFonts w:ascii="Arial" w:hAnsi="Arial" w:cs="Arial"/>
          <w:sz w:val="22"/>
        </w:rPr>
        <w:t>4. Los producidos en actos de salvamento o análogos conectados con el trabajo.</w:t>
      </w:r>
    </w:p>
    <w:p>
      <w:pPr>
        <w:spacing w:after="40"/>
        <w:ind w:left="369" w:hanging="227"/>
      </w:pPr>
      <w:r>
        <w:rPr>
          <w:rFonts w:ascii="Arial" w:hAnsi="Arial" w:cs="Arial"/>
          <w:sz w:val="22"/>
        </w:rPr>
        <w:t>5. Enfermedades no incluidas en el cuadro profesional que se pruebe que tuvieron por causa exclusiva el trabajo.</w:t>
      </w:r>
    </w:p>
    <w:p>
      <w:pPr>
        <w:spacing w:after="40"/>
        <w:ind w:left="369" w:hanging="227"/>
      </w:pPr>
      <w:r>
        <w:rPr>
          <w:rFonts w:ascii="Arial" w:hAnsi="Arial" w:cs="Arial"/>
          <w:sz w:val="22"/>
        </w:rPr>
        <w:t>6. Agravación por el accidente de enfermedades o defectos anteriores.</w:t>
      </w:r>
    </w:p>
    <w:p>
      <w:pPr>
        <w:spacing w:after="40"/>
        <w:ind w:left="369" w:hanging="227"/>
      </w:pPr>
      <w:r>
        <w:rPr>
          <w:rFonts w:ascii="Arial" w:hAnsi="Arial" w:cs="Arial"/>
          <w:sz w:val="22"/>
        </w:rPr>
        <w:t>7. Consecuencias modificadas por enfermedades intercurrentes ligadas al proceso o al medio de curación.</w:t>
      </w:r>
    </w:p>
    <w:p>
      <w:pPr>
        <w:jc w:val="both"/>
      </w:pPr>
      <w:r>
        <w:rPr>
          <w:rFonts w:ascii="Arial" w:hAnsi="Arial" w:cs="Arial"/>
          <w:sz w:val="22"/>
        </w:rPr>
        <w:t>El accidente en misión se valora por su conexión con el desplazamiento y la actividad encomendada; no constituye una presunción absoluta durante las veinticuatro horas del viaje.</w:t>
      </w:r>
    </w:p>
    <w:p>
      <w:pPr>
        <w:pStyle w:val="Heading2"/>
        <w:keepNext/>
      </w:pPr>
      <w:r>
        <w:rPr>
          <w:rFonts w:ascii="Arial" w:hAnsi="Arial" w:cs="Arial"/>
          <w:sz w:val="25"/>
        </w:rPr>
        <w:t>13.2. Presunción de laboralidad</w:t>
      </w:r>
    </w:p>
    <w:p>
      <w:pPr>
        <w:jc w:val="both"/>
      </w:pPr>
      <w:r>
        <w:rPr>
          <w:rFonts w:ascii="Arial" w:hAnsi="Arial" w:cs="Arial"/>
          <w:sz w:val="22"/>
        </w:rPr>
        <w:t xml:space="preserve">Se presumen laborales, salvo prueba en contrario, las lesiones sufridas durante el tiempo y en el lugar de trabajo. Es una presunción </w:t>
      </w:r>
      <w:r>
        <w:rPr>
          <w:rFonts w:ascii="Arial" w:hAnsi="Arial" w:cs="Arial"/>
          <w:b/>
          <w:sz w:val="22"/>
        </w:rPr>
        <w:t>iuris tantum</w:t>
      </w:r>
      <w:r>
        <w:rPr>
          <w:rFonts w:ascii="Arial" w:hAnsi="Arial" w:cs="Arial"/>
          <w:sz w:val="22"/>
        </w:rPr>
        <w:t>. Facilita la prueba al trabajador, pero puede destruirse si se acredita ausencia de relación laboral.</w:t>
      </w:r>
    </w:p>
    <w:p>
      <w:pPr>
        <w:jc w:val="both"/>
      </w:pPr>
      <w:r>
        <w:rPr>
          <w:rFonts w:ascii="Arial" w:hAnsi="Arial" w:cs="Arial"/>
          <w:sz w:val="22"/>
        </w:rPr>
        <w:t>En el accidente in itinere no opera sin más esa presunción de tiempo y lugar, porque el siniestro sucede fuera del centro. Quien invoca la laboralidad debe acreditar los elementos del trayecto. Las desviaciones insignificantes o socialmente normales no siempre rompen el nexo; una interrupción personal relevante sí puede hacerlo.</w:t>
      </w:r>
    </w:p>
    <w:p>
      <w:pPr>
        <w:pStyle w:val="Heading2"/>
        <w:keepNext/>
      </w:pPr>
      <w:r>
        <w:rPr>
          <w:rFonts w:ascii="Arial" w:hAnsi="Arial" w:cs="Arial"/>
          <w:sz w:val="25"/>
        </w:rPr>
        <w:t>13.3. Imprudencia y fuerza mayor</w:t>
      </w:r>
    </w:p>
    <w:p>
      <w:pPr>
        <w:jc w:val="both"/>
      </w:pPr>
      <w:r>
        <w:rPr>
          <w:rFonts w:ascii="Arial" w:hAnsi="Arial" w:cs="Arial"/>
          <w:sz w:val="22"/>
        </w:rPr>
        <w:t>No impiden la calificación:</w:t>
      </w:r>
    </w:p>
    <w:p>
      <w:pPr>
        <w:pStyle w:val="ListBullet"/>
      </w:pPr>
      <w:r>
        <w:rPr>
          <w:rFonts w:ascii="Arial" w:hAnsi="Arial" w:cs="Arial"/>
          <w:sz w:val="22"/>
        </w:rPr>
        <w:t>la imprudencia profesional derivada del ejercicio habitual de un trabajo y de la confianza que este inspira;</w:t>
      </w:r>
    </w:p>
    <w:p>
      <w:pPr>
        <w:pStyle w:val="ListBullet"/>
      </w:pPr>
      <w:r>
        <w:rPr>
          <w:rFonts w:ascii="Arial" w:hAnsi="Arial" w:cs="Arial"/>
          <w:sz w:val="22"/>
        </w:rPr>
        <w:t>la concurrencia de culpabilidad civil o criminal del empresario, un compañero o un tercero, salvo que no guarde relación alguna con el trabajo.</w:t>
      </w:r>
    </w:p>
    <w:p>
      <w:pPr>
        <w:jc w:val="both"/>
      </w:pPr>
      <w:r>
        <w:rPr>
          <w:rFonts w:ascii="Arial" w:hAnsi="Arial" w:cs="Arial"/>
          <w:sz w:val="22"/>
        </w:rPr>
        <w:t>Sí quedan excluidos los accidentes debidos a fuerza mayor extraña al trabajo y los causados por dolo o imprudencia temeraria del propio trabajador. La insolación, el rayo y otros fenómenos análogos no se consideran fuerza mayor extraña cuando el trabajo expone al riesgo. La imprudencia temeraria exige una conducta especialmente grave y consciente; no equivale a un simple descuido ni a la imprudencia profesional.</w:t>
      </w:r>
    </w:p>
    <w:p>
      <w:pPr>
        <w:pStyle w:val="Heading1"/>
        <w:keepNext/>
      </w:pPr>
      <w:r>
        <w:rPr>
          <w:rFonts w:ascii="Arial" w:hAnsi="Arial" w:cs="Arial"/>
          <w:sz w:val="30"/>
        </w:rPr>
        <w:t>14. Enfermedad profesional</w:t>
      </w:r>
    </w:p>
    <w:p>
      <w:pPr>
        <w:jc w:val="both"/>
      </w:pPr>
      <w:r>
        <w:rPr>
          <w:rFonts w:ascii="Arial" w:hAnsi="Arial" w:cs="Arial"/>
          <w:sz w:val="22"/>
        </w:rPr>
        <w:t>El artículo 157 TRLGSS exige dos elementos acumulativos:</w:t>
      </w:r>
    </w:p>
    <w:p>
      <w:pPr>
        <w:spacing w:after="40"/>
        <w:ind w:left="369" w:hanging="227"/>
      </w:pPr>
      <w:r>
        <w:rPr>
          <w:rFonts w:ascii="Arial" w:hAnsi="Arial" w:cs="Arial"/>
          <w:sz w:val="22"/>
        </w:rPr>
        <w:t>1. que la enfermedad se contraiga a consecuencia del trabajo por cuenta ajena en una actividad especificada en el cuadro aprobado reglamentariamente;</w:t>
      </w:r>
    </w:p>
    <w:p>
      <w:pPr>
        <w:spacing w:after="40"/>
        <w:ind w:left="369" w:hanging="227"/>
      </w:pPr>
      <w:r>
        <w:rPr>
          <w:rFonts w:ascii="Arial" w:hAnsi="Arial" w:cs="Arial"/>
          <w:sz w:val="22"/>
        </w:rPr>
        <w:t>2. que proceda de la acción de elementos o sustancias indicados para esa enfermedad.</w:t>
      </w:r>
    </w:p>
    <w:p>
      <w:pPr>
        <w:jc w:val="both"/>
      </w:pPr>
      <w:r>
        <w:rPr>
          <w:rFonts w:ascii="Arial" w:hAnsi="Arial" w:cs="Arial"/>
          <w:sz w:val="22"/>
        </w:rPr>
        <w:t>El cuadro vigente se aprobó por Real Decreto 1299/2006. Organiza agentes químicos, físicos y biológicos; enfermedades por inhalación; enfermedades de la piel; y agentes carcinógenos, junto con una lista complementaria de enfermedades cuyo origen profesional se sospecha y cuya inclusión futura puede considerarse.</w:t>
      </w:r>
    </w:p>
    <w:p>
      <w:pPr>
        <w:jc w:val="both"/>
      </w:pPr>
      <w:r>
        <w:rPr>
          <w:rFonts w:ascii="Arial" w:hAnsi="Arial" w:cs="Arial"/>
          <w:sz w:val="22"/>
        </w:rPr>
        <w:t>El sistema es de lista: si la patología y la exposición encajan, opera la presunción legal de profesionalidad sin exigir probar en cada caso una causalidad exclusiva individual. Si una enfermedad causada exclusivamente por el trabajo no aparece en el cuadro, puede calificarse como accidente de trabajo por el artículo 156.2.e), pero entonces habrá que probar esa causalidad exclusiva.</w:t>
      </w:r>
    </w:p>
    <w:p>
      <w:pPr>
        <w:jc w:val="both"/>
      </w:pPr>
      <w:r>
        <w:rPr>
          <w:rFonts w:ascii="Arial" w:hAnsi="Arial" w:cs="Arial"/>
          <w:sz w:val="22"/>
        </w:rPr>
        <w:t>La comunicación de enfermedad profesional se articula mediante el sistema específico y puede realizarse aunque no exista baja laboral. Los facultativos del Sistema Nacional de Salud y de los servicios de prevención que detecten una posible enfermedad profesional deben activar la comunicación a la entidad competente en los términos reglamentarios.</w:t>
      </w:r>
    </w:p>
    <w:p>
      <w:pPr>
        <w:pStyle w:val="Heading1"/>
        <w:keepNext/>
      </w:pPr>
      <w:r>
        <w:rPr>
          <w:rFonts w:ascii="Arial" w:hAnsi="Arial" w:cs="Arial"/>
          <w:sz w:val="30"/>
        </w:rPr>
        <w:t>15. Enfermedad común y accidente no laboral</w:t>
      </w:r>
    </w:p>
    <w:p>
      <w:pPr>
        <w:jc w:val="both"/>
      </w:pPr>
      <w:r>
        <w:rPr>
          <w:rFonts w:ascii="Arial" w:hAnsi="Arial" w:cs="Arial"/>
          <w:sz w:val="22"/>
        </w:rPr>
        <w:t>Es enfermedad común la alteración de la salud que no sea accidente de trabajo ni enfermedad profesional. La definición es residual. No significa que sea leve ni que carezca de vínculo indirecto con la vida laboral; significa que no reúne el nexo profesional legalmente exigido.</w:t>
      </w:r>
    </w:p>
    <w:p>
      <w:pPr>
        <w:jc w:val="both"/>
      </w:pPr>
      <w:r>
        <w:rPr>
          <w:rFonts w:ascii="Arial" w:hAnsi="Arial" w:cs="Arial"/>
          <w:sz w:val="22"/>
        </w:rPr>
        <w:t>Es accidente no laboral el que no tiene carácter de accidente de trabajo. Una caída doméstica, una lesión en una actividad deportiva privada o un accidente de tráfico durante un trayecto estrictamente personal son ejemplos ordinarios.</w:t>
      </w:r>
    </w:p>
    <w:p>
      <w:pPr>
        <w:jc w:val="both"/>
      </w:pPr>
      <w:r>
        <w:rPr>
          <w:rFonts w:ascii="Arial" w:hAnsi="Arial" w:cs="Arial"/>
          <w:sz w:val="22"/>
        </w:rPr>
        <w:t>La diferencia entre ambos dentro de las contingencias comunes importa. Para incapacidad temporal por enfermedad común se exigen, con carácter general, 180 días cotizados en los cinco anteriores; por accidente no laboral no existe carencia. En incapacidad permanente, la ausencia de carencia también rige para el accidente no laboral, pero el cálculo de base reguladora puede diferir.</w:t>
      </w:r>
    </w:p>
    <w:p>
      <w:pPr>
        <w:jc w:val="both"/>
      </w:pPr>
      <w:r>
        <w:rPr>
          <w:rFonts w:ascii="Arial" w:hAnsi="Arial" w:cs="Arial"/>
          <w:b/>
          <w:sz w:val="22"/>
        </w:rPr>
        <w:t>Ejemplo:</w:t>
      </w:r>
      <w:r>
        <w:rPr>
          <w:rFonts w:ascii="Arial" w:hAnsi="Arial" w:cs="Arial"/>
          <w:sz w:val="22"/>
        </w:rPr>
        <w:t xml:space="preserve"> una persona con solo dos meses cotizados sufre una fractura en casa que le impide trabajar. Si reúne alta y demás requisitos, puede acceder a incapacidad temporal por accidente no laboral sin los 180 días. Si la fractura deriva de una enfermedad común que aparece sin accidente, sí se examinaría la carencia ordinaria, salvo que encajara en una situación especial legalmente dispensada.</w:t>
      </w:r>
    </w:p>
    <w:p>
      <w:pPr>
        <w:pStyle w:val="Heading1"/>
        <w:keepNext/>
      </w:pPr>
      <w:r>
        <w:rPr>
          <w:rFonts w:ascii="Arial" w:hAnsi="Arial" w:cs="Arial"/>
          <w:sz w:val="30"/>
        </w:rPr>
        <w:t>16. Determinación de la contingencia</w:t>
      </w:r>
    </w:p>
    <w:p>
      <w:pPr>
        <w:jc w:val="both"/>
      </w:pPr>
      <w:r>
        <w:rPr>
          <w:rFonts w:ascii="Arial" w:hAnsi="Arial" w:cs="Arial"/>
          <w:sz w:val="22"/>
        </w:rPr>
        <w:t>Cuando existe controversia, el INSS puede tramitar el procedimiento de determinación de contingencia, de oficio o a instancia del trabajador, la mutua u otros sujetos legitimados. Se recaban antecedentes médicos y laborales, se da audiencia y el equipo de valoración formula su criterio cuando corresponda. La resolución identifica:</w:t>
      </w:r>
    </w:p>
    <w:p>
      <w:pPr>
        <w:pStyle w:val="ListBullet"/>
      </w:pPr>
      <w:r>
        <w:rPr>
          <w:rFonts w:ascii="Arial" w:hAnsi="Arial" w:cs="Arial"/>
          <w:sz w:val="22"/>
        </w:rPr>
        <w:t>si el proceso es común o profesional;</w:t>
      </w:r>
    </w:p>
    <w:p>
      <w:pPr>
        <w:pStyle w:val="ListBullet"/>
      </w:pPr>
      <w:r>
        <w:rPr>
          <w:rFonts w:ascii="Arial" w:hAnsi="Arial" w:cs="Arial"/>
          <w:sz w:val="22"/>
        </w:rPr>
        <w:t>si existe recaída de otro anterior;</w:t>
      </w:r>
    </w:p>
    <w:p>
      <w:pPr>
        <w:pStyle w:val="ListBullet"/>
      </w:pPr>
      <w:r>
        <w:rPr>
          <w:rFonts w:ascii="Arial" w:hAnsi="Arial" w:cs="Arial"/>
          <w:sz w:val="22"/>
        </w:rPr>
        <w:t>quién responde de la prestación y de la asistencia;</w:t>
      </w:r>
    </w:p>
    <w:p>
      <w:pPr>
        <w:pStyle w:val="ListBullet"/>
      </w:pPr>
      <w:r>
        <w:rPr>
          <w:rFonts w:ascii="Arial" w:hAnsi="Arial" w:cs="Arial"/>
          <w:sz w:val="22"/>
        </w:rPr>
        <w:t>los efectos económicos y compensaciones entre entidades.</w:t>
      </w:r>
    </w:p>
    <w:p>
      <w:pPr>
        <w:jc w:val="both"/>
      </w:pPr>
      <w:r>
        <w:rPr>
          <w:rFonts w:ascii="Arial" w:hAnsi="Arial" w:cs="Arial"/>
          <w:sz w:val="22"/>
        </w:rPr>
        <w:t>Mientras se resuelve, no debe dejarse sin cobertura al trabajador: la entidad que inicialmente atiende abona conforme a la contingencia provisional y después se realizan los reintegros o compensaciones procedentes.</w:t>
      </w:r>
    </w:p>
    <w:p>
      <w:pPr>
        <w:jc w:val="both"/>
      </w:pPr>
      <w:r>
        <w:rPr>
          <w:rFonts w:ascii="Arial" w:hAnsi="Arial" w:cs="Arial"/>
          <w:sz w:val="22"/>
        </w:rPr>
        <w:t>La calificación es jurídica, no depende solo del parte inicial ni de que la empresa reconozca el accidente. La historia clínica, evaluación de riesgos, investigación del accidente, horario, ubicación, testigos y descripción del puesto pueden ser decisivos.</w:t>
      </w:r>
    </w:p>
    <w:p>
      <w:pPr>
        <w:pStyle w:val="Heading1"/>
        <w:keepNext/>
      </w:pPr>
      <w:r>
        <w:rPr>
          <w:rFonts w:ascii="Arial" w:hAnsi="Arial" w:cs="Arial"/>
          <w:sz w:val="30"/>
        </w:rPr>
        <w:t>17. Esquemas de resolución práctica</w:t>
      </w:r>
    </w:p>
    <w:p>
      <w:pPr>
        <w:pStyle w:val="Heading2"/>
        <w:keepNext/>
      </w:pPr>
      <w:r>
        <w:rPr>
          <w:rFonts w:ascii="Arial" w:hAnsi="Arial" w:cs="Arial"/>
          <w:sz w:val="25"/>
        </w:rPr>
        <w:t>17.1. Esquema general del derecho</w:t>
      </w:r>
    </w:p>
    <w:tbl>
      <w:tblPr>
        <w:tblStyle w:val="TableGrid"/>
        <w:tblW w:type="dxa" w:w="9026"/>
        <w:jc w:val="left"/>
        <w:tblLayout w:type="fixed"/>
        <w:tblLook w:firstColumn="1" w:firstRow="1" w:lastColumn="0" w:lastRow="0" w:noHBand="0" w:noVBand="1" w:val="04A0"/>
        <w:tblInd w:w="120" w:type="dxa"/>
      </w:tblPr>
      <w:tblGrid>
        <w:gridCol w:w="900"/>
        <w:gridCol w:w="3929"/>
        <w:gridCol w:w="4197"/>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Paso</w:t>
            </w:r>
          </w:p>
        </w:tc>
        <w:tc>
          <w:tcPr>
            <w:tcW w:type="dxa" w:w="392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Pregunta</w:t>
            </w:r>
          </w:p>
        </w:tc>
        <w:tc>
          <w:tcPr>
            <w:tcW w:type="dxa" w:w="419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Consecuencia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¿La persona está incluida en el sistema?</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Determina régimen y normativa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¿Existe contingencia y situación protegida?</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Define la prestación posible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¿Se exige alta o cabe excepción?</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Comprueba artículo 165 y regla especial</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4</w:t>
            </w:r>
          </w:p>
        </w:tc>
        <w:tc>
          <w:tcPr>
            <w:tcW w:type="dxa" w:w="3929"/>
            <w:tcMar>
              <w:top w:w="80" w:type="dxa"/>
              <w:start w:w="120" w:type="dxa"/>
              <w:bottom w:w="80" w:type="dxa"/>
              <w:end w:w="120" w:type="dxa"/>
            </w:tcMar>
            <w:vAlign w:val="center"/>
          </w:tcPr>
          <w:p>
            <w:pPr>
              <w:spacing w:before="0" w:after="0" w:line="240" w:lineRule="auto"/>
              <w:jc w:val="center"/>
            </w:pPr>
            <w:r/>
            <w:r>
              <w:rPr>
                <w:rFonts w:ascii="Arial" w:hAnsi="Arial" w:cs="Arial"/>
                <w:sz w:val="18"/>
              </w:rPr>
              <w:t>¿Hay carencia?</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Cuenta solo cotizaciones válidas o asimiladas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5</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¿Se cumplen requisitos particulares?</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Edad, reducción, ingresos, grado, etc.</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6</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¿Qué entidad cubre la contingencia?</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Fija responsable ordinario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7</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¿Hubo incumplimiento empresarial?</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Examina responsabilidad y anticipo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8</w:t>
            </w:r>
          </w:p>
        </w:tc>
        <w:tc>
          <w:tcPr>
            <w:tcW w:type="dxa" w:w="3929"/>
            <w:tcMar>
              <w:top w:w="80" w:type="dxa"/>
              <w:start w:w="120" w:type="dxa"/>
              <w:bottom w:w="80" w:type="dxa"/>
              <w:end w:w="120" w:type="dxa"/>
            </w:tcMar>
            <w:vAlign w:val="center"/>
          </w:tcPr>
          <w:p>
            <w:pPr>
              <w:spacing w:before="0" w:after="0" w:line="240" w:lineRule="auto"/>
              <w:jc w:val="left"/>
            </w:pPr>
            <w:r/>
            <w:r>
              <w:rPr>
                <w:rFonts w:ascii="Arial" w:hAnsi="Arial" w:cs="Arial"/>
                <w:sz w:val="18"/>
              </w:rPr>
              <w:t>¿Hay incompatibilidad?</w:t>
            </w:r>
          </w:p>
        </w:tc>
        <w:tc>
          <w:tcPr>
            <w:tcW w:type="dxa" w:w="4197"/>
            <w:tcMar>
              <w:top w:w="80" w:type="dxa"/>
              <w:start w:w="120" w:type="dxa"/>
              <w:bottom w:w="80" w:type="dxa"/>
              <w:end w:w="120" w:type="dxa"/>
            </w:tcMar>
            <w:vAlign w:val="center"/>
          </w:tcPr>
          <w:p>
            <w:pPr>
              <w:spacing w:before="0" w:after="0" w:line="240" w:lineRule="auto"/>
              <w:jc w:val="left"/>
            </w:pPr>
            <w:r/>
            <w:r>
              <w:rPr>
                <w:rFonts w:ascii="Arial" w:hAnsi="Arial" w:cs="Arial"/>
                <w:sz w:val="18"/>
              </w:rPr>
              <w:t>Aplica opción, suspensión o compatibilidad</w:t>
            </w:r>
          </w:p>
        </w:tc>
      </w:tr>
    </w:tbl>
    <w:p>
      <w:pPr>
        <w:spacing w:after="40"/>
      </w:pPr>
    </w:p>
    <w:p>
      <w:pPr>
        <w:pStyle w:val="Heading2"/>
        <w:keepNext/>
      </w:pPr>
      <w:r>
        <w:rPr>
          <w:rFonts w:ascii="Arial" w:hAnsi="Arial" w:cs="Arial"/>
          <w:sz w:val="25"/>
        </w:rPr>
        <w:t>17.2. Esquema ante incumplimiento empresarial</w:t>
      </w:r>
    </w:p>
    <w:p>
      <w:pPr>
        <w:spacing w:after="100"/>
        <w:ind w:left="340" w:right="227"/>
        <w:shd w:fill="EAF2F8"/>
      </w:pPr>
      <w:r>
        <w:rPr>
          <w:rFonts w:ascii="Arial" w:hAnsi="Arial" w:cs="Arial"/>
          <w:sz w:val="20"/>
        </w:rPr>
        <w:t>trabajo real → identificar omisión de alta o cotización → comprobar alta de pleno derecho → decidir si el derecho se causa → fijar responsabilidad final → comprobar anticipo → declarar subrogación → añadir, si procede, recargo preventivo.</w:t>
      </w:r>
    </w:p>
    <w:p>
      <w:pPr>
        <w:pStyle w:val="Heading2"/>
        <w:keepNext/>
      </w:pPr>
      <w:r>
        <w:rPr>
          <w:rFonts w:ascii="Arial" w:hAnsi="Arial" w:cs="Arial"/>
          <w:sz w:val="25"/>
        </w:rPr>
        <w:t>17.3. Esquema de calificación del riesgo</w:t>
      </w:r>
    </w:p>
    <w:p>
      <w:pPr>
        <w:spacing w:after="40"/>
        <w:ind w:left="369" w:hanging="227"/>
      </w:pPr>
      <w:r>
        <w:rPr>
          <w:rFonts w:ascii="Arial" w:hAnsi="Arial" w:cs="Arial"/>
          <w:sz w:val="22"/>
        </w:rPr>
        <w:t>1. ¿Hay lesión corporal o enfermedad?</w:t>
      </w:r>
    </w:p>
    <w:p>
      <w:pPr>
        <w:spacing w:after="40"/>
        <w:ind w:left="369" w:hanging="227"/>
      </w:pPr>
      <w:r>
        <w:rPr>
          <w:rFonts w:ascii="Arial" w:hAnsi="Arial" w:cs="Arial"/>
          <w:sz w:val="22"/>
        </w:rPr>
        <w:t>2. ¿Ocurre en tiempo y lugar de trabajo? Si sí, valorar presunción.</w:t>
      </w:r>
    </w:p>
    <w:p>
      <w:pPr>
        <w:spacing w:after="40"/>
        <w:ind w:left="369" w:hanging="227"/>
      </w:pPr>
      <w:r>
        <w:rPr>
          <w:rFonts w:ascii="Arial" w:hAnsi="Arial" w:cs="Arial"/>
          <w:sz w:val="22"/>
        </w:rPr>
        <w:t>3. ¿Es in itinere, en misión, salvamento o tarea en interés empresarial?</w:t>
      </w:r>
    </w:p>
    <w:p>
      <w:pPr>
        <w:spacing w:after="40"/>
        <w:ind w:left="369" w:hanging="227"/>
      </w:pPr>
      <w:r>
        <w:rPr>
          <w:rFonts w:ascii="Arial" w:hAnsi="Arial" w:cs="Arial"/>
          <w:sz w:val="22"/>
        </w:rPr>
        <w:t>4. Si es enfermedad, ¿figura actividad, agente y patología en el cuadro profesional?</w:t>
      </w:r>
    </w:p>
    <w:p>
      <w:pPr>
        <w:spacing w:after="40"/>
        <w:ind w:left="369" w:hanging="227"/>
      </w:pPr>
      <w:r>
        <w:rPr>
          <w:rFonts w:ascii="Arial" w:hAnsi="Arial" w:cs="Arial"/>
          <w:sz w:val="22"/>
        </w:rPr>
        <w:t>5. Si no figura, ¿se prueba causa exclusiva laboral para tratarla como accidente?</w:t>
      </w:r>
    </w:p>
    <w:p>
      <w:pPr>
        <w:spacing w:after="40"/>
        <w:ind w:left="369" w:hanging="227"/>
      </w:pPr>
      <w:r>
        <w:rPr>
          <w:rFonts w:ascii="Arial" w:hAnsi="Arial" w:cs="Arial"/>
          <w:sz w:val="22"/>
        </w:rPr>
        <w:t>6. ¿Existe dolo, imprudencia temeraria o fuerza mayor extraña?</w:t>
      </w:r>
    </w:p>
    <w:p>
      <w:pPr>
        <w:spacing w:after="40"/>
        <w:ind w:left="369" w:hanging="227"/>
      </w:pPr>
      <w:r>
        <w:rPr>
          <w:rFonts w:ascii="Arial" w:hAnsi="Arial" w:cs="Arial"/>
          <w:sz w:val="22"/>
        </w:rPr>
        <w:t>7. Fijar contingencia y trasladar sus efectos a carencia, cuantía, gestión y responsabilidad.</w:t>
      </w:r>
    </w:p>
    <w:p>
      <w:pPr>
        <w:pStyle w:val="Heading1"/>
        <w:keepNext/>
      </w:pPr>
      <w:r>
        <w:rPr>
          <w:rFonts w:ascii="Arial" w:hAnsi="Arial" w:cs="Arial"/>
          <w:sz w:val="30"/>
        </w:rPr>
        <w:t>18. Casos integrados</w:t>
      </w:r>
    </w:p>
    <w:p>
      <w:pPr>
        <w:pStyle w:val="Heading2"/>
        <w:keepNext/>
      </w:pPr>
      <w:r>
        <w:rPr>
          <w:rFonts w:ascii="Arial" w:hAnsi="Arial" w:cs="Arial"/>
          <w:sz w:val="25"/>
        </w:rPr>
        <w:t>Caso 1. Falta de alta y accidente</w:t>
      </w:r>
    </w:p>
    <w:p>
      <w:pPr>
        <w:jc w:val="both"/>
      </w:pPr>
      <w:r>
        <w:rPr>
          <w:rFonts w:ascii="Arial" w:hAnsi="Arial" w:cs="Arial"/>
          <w:sz w:val="22"/>
        </w:rPr>
        <w:t>Un empleado comienza a trabajar sin que la empresa tramite el alta y se lesiona con una herramienta durante la jornada. Existe trabajo por cuenta ajena real, lesión, tiempo y lugar y presunción laboral. Se considera en alta de pleno derecho para el accidente de trabajo. La mutua o entidad que cubra la contingencia anticipará cuando proceda; la resolución declarará la responsabilidad empresarial y la subrogación. Si la herramienta carecía de protección y existe nexo causal, se añadirá recargo del 30 al 50 por ciento directamente a cargo de la empresa.</w:t>
      </w:r>
    </w:p>
    <w:p>
      <w:pPr>
        <w:pStyle w:val="Heading2"/>
        <w:keepNext/>
      </w:pPr>
      <w:r>
        <w:rPr>
          <w:rFonts w:ascii="Arial" w:hAnsi="Arial" w:cs="Arial"/>
          <w:sz w:val="25"/>
        </w:rPr>
        <w:t>Caso 2. Dos pensiones incompatibles</w:t>
      </w:r>
    </w:p>
    <w:p>
      <w:pPr>
        <w:jc w:val="both"/>
      </w:pPr>
      <w:r>
        <w:rPr>
          <w:rFonts w:ascii="Arial" w:hAnsi="Arial" w:cs="Arial"/>
          <w:sz w:val="22"/>
        </w:rPr>
        <w:t>Una persona percibe una pensión y causa otra en el mismo Régimen General que resulta incompatible. La entidad compara cuantías anuales, paga la mayor y suspende la menor. No puede darla por extinguida ni forzar una opción irreversible. El beneficiario puede elegir la suspendida con efectos desde el primer día del mes posterior a su solicitud.</w:t>
      </w:r>
    </w:p>
    <w:p>
      <w:pPr>
        <w:pStyle w:val="Heading2"/>
        <w:keepNext/>
      </w:pPr>
      <w:r>
        <w:rPr>
          <w:rFonts w:ascii="Arial" w:hAnsi="Arial" w:cs="Arial"/>
          <w:sz w:val="25"/>
        </w:rPr>
        <w:t>Caso 3. Prestación indebida por error</w:t>
      </w:r>
    </w:p>
    <w:p>
      <w:pPr>
        <w:jc w:val="both"/>
      </w:pPr>
      <w:r>
        <w:rPr>
          <w:rFonts w:ascii="Arial" w:hAnsi="Arial" w:cs="Arial"/>
          <w:sz w:val="22"/>
        </w:rPr>
        <w:t>El INSS mantiene seis mensualidades después de una causa de extinción que constaba en sus bases de datos. Aunque el error sea administrativo y el beneficiario actuara de buena fe, la cantidad objetivamente indebida debe reintegrarse. La entidad ha de revisar conforme al cauce procedente, motivar, cuantificar y respetar el plazo de cuatro años. La buena fe excluye la responsabilidad subsidiaria de un tercero que la pruebe, pero no transforma el pago del titular en debido.</w:t>
      </w:r>
    </w:p>
    <w:p>
      <w:pPr>
        <w:pStyle w:val="Heading2"/>
        <w:keepNext/>
      </w:pPr>
      <w:r>
        <w:rPr>
          <w:rFonts w:ascii="Arial" w:hAnsi="Arial" w:cs="Arial"/>
          <w:sz w:val="25"/>
        </w:rPr>
        <w:t>Caso 4. Enfermedad relacionada con el trabajo</w:t>
      </w:r>
    </w:p>
    <w:p>
      <w:pPr>
        <w:jc w:val="both"/>
      </w:pPr>
      <w:r>
        <w:rPr>
          <w:rFonts w:ascii="Arial" w:hAnsi="Arial" w:cs="Arial"/>
          <w:sz w:val="22"/>
        </w:rPr>
        <w:t>Una trabajadora desarrolla una patología por exposición laboral. Primero se consulta el cuadro del Real Decreto 1299/2006: si coinciden actividad, agente y enfermedad, se califica como enfermedad profesional. Si no aparece, todavía puede ser accidente de trabajo si se acredita que el trabajo fue causa exclusiva. Si solo existe una influencia inespecífica y no se prueba el nexo requerido, será enfermedad común.</w:t>
      </w:r>
    </w:p>
    <w:p>
      <w:pPr>
        <w:pStyle w:val="Heading2"/>
        <w:keepNext/>
      </w:pPr>
      <w:r>
        <w:rPr>
          <w:rFonts w:ascii="Arial" w:hAnsi="Arial" w:cs="Arial"/>
          <w:sz w:val="25"/>
        </w:rPr>
        <w:t>Caso 5. Cotización propia y aplazamiento</w:t>
      </w:r>
    </w:p>
    <w:p>
      <w:pPr>
        <w:jc w:val="both"/>
      </w:pPr>
      <w:r>
        <w:rPr>
          <w:rFonts w:ascii="Arial" w:hAnsi="Arial" w:cs="Arial"/>
          <w:sz w:val="22"/>
        </w:rPr>
        <w:t>Un trabajador responsable de sus cuotas accede a una pensión porque tiene concedido un aplazamiento y se le considera al corriente. Después incumple varios plazos. La entidad suspende inmediatamente la prestación; puede descontar cuotas de las mensualidades y rehabilita el pago cuando la deuda total queda saldada. No basta con retomar un plazo aislado si persiste deuda.</w:t>
      </w:r>
    </w:p>
    <w:p>
      <w:pPr>
        <w:pStyle w:val="Heading1"/>
        <w:keepNext/>
      </w:pPr>
      <w:r>
        <w:rPr>
          <w:rFonts w:ascii="Arial" w:hAnsi="Arial" w:cs="Arial"/>
          <w:sz w:val="30"/>
        </w:rPr>
        <w:t>19. Errores frecuentes</w:t>
      </w:r>
    </w:p>
    <w:p>
      <w:pPr>
        <w:spacing w:after="40"/>
        <w:ind w:left="369" w:hanging="227"/>
      </w:pPr>
      <w:r>
        <w:rPr>
          <w:rFonts w:ascii="Arial" w:hAnsi="Arial" w:cs="Arial"/>
          <w:sz w:val="22"/>
        </w:rPr>
        <w:t xml:space="preserve">1. </w:t>
      </w:r>
      <w:r>
        <w:rPr>
          <w:rFonts w:ascii="Arial" w:hAnsi="Arial" w:cs="Arial"/>
          <w:b/>
          <w:sz w:val="22"/>
        </w:rPr>
        <w:t>Identificar acción protectora solo con pensiones.</w:t>
      </w:r>
      <w:r>
        <w:rPr>
          <w:rFonts w:ascii="Arial" w:hAnsi="Arial" w:cs="Arial"/>
          <w:sz w:val="22"/>
        </w:rPr>
        <w:t xml:space="preserve"> Incluye asistencia sanitaria, subsidios, indemnizaciones, prestaciones familiares, servicios sociales y asistencia social.</w:t>
      </w:r>
    </w:p>
    <w:p>
      <w:pPr>
        <w:spacing w:after="40"/>
        <w:ind w:left="369" w:hanging="227"/>
      </w:pPr>
      <w:r>
        <w:rPr>
          <w:rFonts w:ascii="Arial" w:hAnsi="Arial" w:cs="Arial"/>
          <w:sz w:val="22"/>
        </w:rPr>
        <w:t xml:space="preserve">2. </w:t>
      </w:r>
      <w:r>
        <w:rPr>
          <w:rFonts w:ascii="Arial" w:hAnsi="Arial" w:cs="Arial"/>
          <w:b/>
          <w:sz w:val="22"/>
        </w:rPr>
        <w:t>Afirmar que toda prestación contributiva exige carencia.</w:t>
      </w:r>
      <w:r>
        <w:rPr>
          <w:rFonts w:ascii="Arial" w:hAnsi="Arial" w:cs="Arial"/>
          <w:sz w:val="22"/>
        </w:rPr>
        <w:t xml:space="preserve"> Los accidentes y la enfermedad profesional no la exigen, salvo excepción.</w:t>
      </w:r>
    </w:p>
    <w:p>
      <w:pPr>
        <w:spacing w:after="40"/>
        <w:ind w:left="369" w:hanging="227"/>
      </w:pPr>
      <w:r>
        <w:rPr>
          <w:rFonts w:ascii="Arial" w:hAnsi="Arial" w:cs="Arial"/>
          <w:sz w:val="22"/>
        </w:rPr>
        <w:t xml:space="preserve">3. </w:t>
      </w:r>
      <w:r>
        <w:rPr>
          <w:rFonts w:ascii="Arial" w:hAnsi="Arial" w:cs="Arial"/>
          <w:b/>
          <w:sz w:val="22"/>
        </w:rPr>
        <w:t>Confundir base de cotización con base reguladora.</w:t>
      </w:r>
      <w:r>
        <w:rPr>
          <w:rFonts w:ascii="Arial" w:hAnsi="Arial" w:cs="Arial"/>
          <w:sz w:val="22"/>
        </w:rPr>
        <w:t xml:space="preserve"> La primera sirve para contribuir; la segunda para calcular una prestación.</w:t>
      </w:r>
    </w:p>
    <w:p>
      <w:pPr>
        <w:spacing w:after="40"/>
        <w:ind w:left="369" w:hanging="227"/>
      </w:pPr>
      <w:r>
        <w:rPr>
          <w:rFonts w:ascii="Arial" w:hAnsi="Arial" w:cs="Arial"/>
          <w:sz w:val="22"/>
        </w:rPr>
        <w:t xml:space="preserve">4. </w:t>
      </w:r>
      <w:r>
        <w:rPr>
          <w:rFonts w:ascii="Arial" w:hAnsi="Arial" w:cs="Arial"/>
          <w:b/>
          <w:sz w:val="22"/>
        </w:rPr>
        <w:t>Decir que las prestaciones son absolutamente inembargables.</w:t>
      </w:r>
      <w:r>
        <w:rPr>
          <w:rFonts w:ascii="Arial" w:hAnsi="Arial" w:cs="Arial"/>
          <w:sz w:val="22"/>
        </w:rPr>
        <w:t xml:space="preserve"> El embargo se rige por la Ley de Enjuiciamiento Civil.</w:t>
      </w:r>
    </w:p>
    <w:p>
      <w:pPr>
        <w:spacing w:after="40"/>
        <w:ind w:left="369" w:hanging="227"/>
      </w:pPr>
      <w:r>
        <w:rPr>
          <w:rFonts w:ascii="Arial" w:hAnsi="Arial" w:cs="Arial"/>
          <w:sz w:val="22"/>
        </w:rPr>
        <w:t xml:space="preserve">5. </w:t>
      </w:r>
      <w:r>
        <w:rPr>
          <w:rFonts w:ascii="Arial" w:hAnsi="Arial" w:cs="Arial"/>
          <w:b/>
          <w:sz w:val="22"/>
        </w:rPr>
        <w:t>Interpretar la sujeción tributaria como tributación efectiva universal.</w:t>
      </w:r>
      <w:r>
        <w:rPr>
          <w:rFonts w:ascii="Arial" w:hAnsi="Arial" w:cs="Arial"/>
          <w:sz w:val="22"/>
        </w:rPr>
        <w:t xml:space="preserve"> Hay que acudir a cada impuesto y sus exenciones.</w:t>
      </w:r>
    </w:p>
    <w:p>
      <w:pPr>
        <w:spacing w:after="40"/>
        <w:ind w:left="369" w:hanging="227"/>
      </w:pPr>
      <w:r>
        <w:rPr>
          <w:rFonts w:ascii="Arial" w:hAnsi="Arial" w:cs="Arial"/>
          <w:sz w:val="22"/>
        </w:rPr>
        <w:t xml:space="preserve">6. </w:t>
      </w:r>
      <w:r>
        <w:rPr>
          <w:rFonts w:ascii="Arial" w:hAnsi="Arial" w:cs="Arial"/>
          <w:b/>
          <w:sz w:val="22"/>
        </w:rPr>
        <w:t>Confundir prescripción de cinco años con reintegro de cuatro años.</w:t>
      </w:r>
    </w:p>
    <w:p>
      <w:pPr>
        <w:spacing w:after="40"/>
        <w:ind w:left="369" w:hanging="227"/>
      </w:pPr>
      <w:r>
        <w:rPr>
          <w:rFonts w:ascii="Arial" w:hAnsi="Arial" w:cs="Arial"/>
          <w:sz w:val="22"/>
        </w:rPr>
        <w:t xml:space="preserve">7. </w:t>
      </w:r>
      <w:r>
        <w:rPr>
          <w:rFonts w:ascii="Arial" w:hAnsi="Arial" w:cs="Arial"/>
          <w:b/>
          <w:sz w:val="22"/>
        </w:rPr>
        <w:t>Aplicar la caducidad de un año al reconocimiento.</w:t>
      </w:r>
      <w:r>
        <w:rPr>
          <w:rFonts w:ascii="Arial" w:hAnsi="Arial" w:cs="Arial"/>
          <w:sz w:val="22"/>
        </w:rPr>
        <w:t xml:space="preserve"> Afecta al cobro de cantidades ya reconocidas.</w:t>
      </w:r>
    </w:p>
    <w:p>
      <w:pPr>
        <w:spacing w:after="40"/>
        <w:ind w:left="369" w:hanging="227"/>
      </w:pPr>
      <w:r>
        <w:rPr>
          <w:rFonts w:ascii="Arial" w:hAnsi="Arial" w:cs="Arial"/>
          <w:sz w:val="22"/>
        </w:rPr>
        <w:t xml:space="preserve">8. </w:t>
      </w:r>
      <w:r>
        <w:rPr>
          <w:rFonts w:ascii="Arial" w:hAnsi="Arial" w:cs="Arial"/>
          <w:b/>
          <w:sz w:val="22"/>
        </w:rPr>
        <w:t>Dar por extinguida la pensión incompatible menor.</w:t>
      </w:r>
      <w:r>
        <w:rPr>
          <w:rFonts w:ascii="Arial" w:hAnsi="Arial" w:cs="Arial"/>
          <w:sz w:val="22"/>
        </w:rPr>
        <w:t xml:space="preserve"> La regla general es suspensión y posibilidad de opción.</w:t>
      </w:r>
    </w:p>
    <w:p>
      <w:pPr>
        <w:spacing w:after="40"/>
        <w:ind w:left="369" w:hanging="227"/>
      </w:pPr>
      <w:r>
        <w:rPr>
          <w:rFonts w:ascii="Arial" w:hAnsi="Arial" w:cs="Arial"/>
          <w:sz w:val="22"/>
        </w:rPr>
        <w:t xml:space="preserve">9. </w:t>
      </w:r>
      <w:r>
        <w:rPr>
          <w:rFonts w:ascii="Arial" w:hAnsi="Arial" w:cs="Arial"/>
          <w:b/>
          <w:sz w:val="22"/>
        </w:rPr>
        <w:t>Culpar siempre al trabajador por falta de cotización empresarial.</w:t>
      </w:r>
      <w:r>
        <w:rPr>
          <w:rFonts w:ascii="Arial" w:hAnsi="Arial" w:cs="Arial"/>
          <w:sz w:val="22"/>
        </w:rPr>
        <w:t xml:space="preserve"> Deben examinarse responsabilidad y anticipo.</w:t>
      </w:r>
    </w:p>
    <w:p>
      <w:pPr>
        <w:spacing w:after="40"/>
        <w:ind w:left="369" w:hanging="227"/>
      </w:pPr>
      <w:r>
        <w:rPr>
          <w:rFonts w:ascii="Arial" w:hAnsi="Arial" w:cs="Arial"/>
          <w:sz w:val="22"/>
        </w:rPr>
        <w:t xml:space="preserve">10. </w:t>
      </w:r>
      <w:r>
        <w:rPr>
          <w:rFonts w:ascii="Arial" w:hAnsi="Arial" w:cs="Arial"/>
          <w:b/>
          <w:sz w:val="22"/>
        </w:rPr>
        <w:t>Creer que alta de pleno derecho elimina la infracción empresarial.</w:t>
      </w:r>
      <w:r>
        <w:rPr>
          <w:rFonts w:ascii="Arial" w:hAnsi="Arial" w:cs="Arial"/>
          <w:sz w:val="22"/>
        </w:rPr>
        <w:t xml:space="preserve"> Protege al trabajador, pero conserva las responsabilidades.</w:t>
      </w:r>
    </w:p>
    <w:p>
      <w:pPr>
        <w:spacing w:after="40"/>
        <w:ind w:left="369" w:hanging="227"/>
      </w:pPr>
      <w:r>
        <w:rPr>
          <w:rFonts w:ascii="Arial" w:hAnsi="Arial" w:cs="Arial"/>
          <w:sz w:val="22"/>
        </w:rPr>
        <w:t xml:space="preserve">11. </w:t>
      </w:r>
      <w:r>
        <w:rPr>
          <w:rFonts w:ascii="Arial" w:hAnsi="Arial" w:cs="Arial"/>
          <w:b/>
          <w:sz w:val="22"/>
        </w:rPr>
        <w:t>Equiparar automaticidad y anticipo.</w:t>
      </w:r>
      <w:r>
        <w:rPr>
          <w:rFonts w:ascii="Arial" w:hAnsi="Arial" w:cs="Arial"/>
          <w:sz w:val="22"/>
        </w:rPr>
        <w:t xml:space="preserve"> Una asegura operatividad del derecho; el otro identifica el pago adelantado y la subrogación.</w:t>
      </w:r>
    </w:p>
    <w:p>
      <w:pPr>
        <w:spacing w:after="40"/>
        <w:ind w:left="369" w:hanging="227"/>
      </w:pPr>
      <w:r>
        <w:rPr>
          <w:rFonts w:ascii="Arial" w:hAnsi="Arial" w:cs="Arial"/>
          <w:sz w:val="22"/>
        </w:rPr>
        <w:t xml:space="preserve">12. </w:t>
      </w:r>
      <w:r>
        <w:rPr>
          <w:rFonts w:ascii="Arial" w:hAnsi="Arial" w:cs="Arial"/>
          <w:b/>
          <w:sz w:val="22"/>
        </w:rPr>
        <w:t>Asegurar el recargo.</w:t>
      </w:r>
      <w:r>
        <w:rPr>
          <w:rFonts w:ascii="Arial" w:hAnsi="Arial" w:cs="Arial"/>
          <w:sz w:val="22"/>
        </w:rPr>
        <w:t xml:space="preserve"> La cobertura o transmisión del recargo es nula.</w:t>
      </w:r>
    </w:p>
    <w:p>
      <w:pPr>
        <w:spacing w:after="40"/>
        <w:ind w:left="369" w:hanging="227"/>
      </w:pPr>
      <w:r>
        <w:rPr>
          <w:rFonts w:ascii="Arial" w:hAnsi="Arial" w:cs="Arial"/>
          <w:sz w:val="22"/>
        </w:rPr>
        <w:t xml:space="preserve">13. </w:t>
      </w:r>
      <w:r>
        <w:rPr>
          <w:rFonts w:ascii="Arial" w:hAnsi="Arial" w:cs="Arial"/>
          <w:b/>
          <w:sz w:val="22"/>
        </w:rPr>
        <w:t>Calificar todo accidente de trayecto como in itinere.</w:t>
      </w:r>
      <w:r>
        <w:rPr>
          <w:rFonts w:ascii="Arial" w:hAnsi="Arial" w:cs="Arial"/>
          <w:sz w:val="22"/>
        </w:rPr>
        <w:t xml:space="preserve"> Deben mantenerse finalidad, trayecto, tiempo y medio adecuados.</w:t>
      </w:r>
    </w:p>
    <w:p>
      <w:pPr>
        <w:spacing w:after="40"/>
        <w:ind w:left="369" w:hanging="227"/>
      </w:pPr>
      <w:r>
        <w:rPr>
          <w:rFonts w:ascii="Arial" w:hAnsi="Arial" w:cs="Arial"/>
          <w:sz w:val="22"/>
        </w:rPr>
        <w:t xml:space="preserve">14. </w:t>
      </w:r>
      <w:r>
        <w:rPr>
          <w:rFonts w:ascii="Arial" w:hAnsi="Arial" w:cs="Arial"/>
          <w:b/>
          <w:sz w:val="22"/>
        </w:rPr>
        <w:t>Excluir laboralidad por cualquier imprudencia.</w:t>
      </w:r>
      <w:r>
        <w:rPr>
          <w:rFonts w:ascii="Arial" w:hAnsi="Arial" w:cs="Arial"/>
          <w:sz w:val="22"/>
        </w:rPr>
        <w:t xml:space="preserve"> La imprudencia profesional no la impide; la temeraria sí puede hacerlo.</w:t>
      </w:r>
    </w:p>
    <w:p>
      <w:pPr>
        <w:spacing w:after="40"/>
        <w:ind w:left="369" w:hanging="227"/>
      </w:pPr>
      <w:r>
        <w:rPr>
          <w:rFonts w:ascii="Arial" w:hAnsi="Arial" w:cs="Arial"/>
          <w:sz w:val="22"/>
        </w:rPr>
        <w:t xml:space="preserve">15. </w:t>
      </w:r>
      <w:r>
        <w:rPr>
          <w:rFonts w:ascii="Arial" w:hAnsi="Arial" w:cs="Arial"/>
          <w:b/>
          <w:sz w:val="22"/>
        </w:rPr>
        <w:t>Llamar enfermedad profesional a cualquier enfermedad influida por el trabajo.</w:t>
      </w:r>
      <w:r>
        <w:rPr>
          <w:rFonts w:ascii="Arial" w:hAnsi="Arial" w:cs="Arial"/>
          <w:sz w:val="22"/>
        </w:rPr>
        <w:t xml:space="preserve"> Se exige encaje en el cuadro; fuera de él, el accidente de trabajo por enfermedad requiere causa exclusiva.</w:t>
      </w:r>
    </w:p>
    <w:p>
      <w:pPr>
        <w:spacing w:after="40"/>
        <w:ind w:left="369" w:hanging="227"/>
      </w:pPr>
      <w:r>
        <w:rPr>
          <w:rFonts w:ascii="Arial" w:hAnsi="Arial" w:cs="Arial"/>
          <w:sz w:val="22"/>
        </w:rPr>
        <w:t xml:space="preserve">16. </w:t>
      </w:r>
      <w:r>
        <w:rPr>
          <w:rFonts w:ascii="Arial" w:hAnsi="Arial" w:cs="Arial"/>
          <w:b/>
          <w:sz w:val="22"/>
        </w:rPr>
        <w:t>Pensar que un tercero culpable excluye la prestación.</w:t>
      </w:r>
      <w:r>
        <w:rPr>
          <w:rFonts w:ascii="Arial" w:hAnsi="Arial" w:cs="Arial"/>
          <w:sz w:val="22"/>
        </w:rPr>
        <w:t xml:space="preserve"> La prestación se paga si concurren requisitos, sin perjuicio de otras responsabilidades.</w:t>
      </w:r>
    </w:p>
    <w:p>
      <w:pPr>
        <w:spacing w:after="40"/>
        <w:ind w:left="369" w:hanging="227"/>
      </w:pPr>
      <w:r>
        <w:rPr>
          <w:rFonts w:ascii="Arial" w:hAnsi="Arial" w:cs="Arial"/>
          <w:sz w:val="22"/>
        </w:rPr>
        <w:t xml:space="preserve">17. </w:t>
      </w:r>
      <w:r>
        <w:rPr>
          <w:rFonts w:ascii="Arial" w:hAnsi="Arial" w:cs="Arial"/>
          <w:b/>
          <w:sz w:val="22"/>
        </w:rPr>
        <w:t>Usar una lista única de situaciones asimiladas.</w:t>
      </w:r>
      <w:r>
        <w:rPr>
          <w:rFonts w:ascii="Arial" w:hAnsi="Arial" w:cs="Arial"/>
          <w:sz w:val="22"/>
        </w:rPr>
        <w:t xml:space="preserve"> Su alcance varía por contingencia.</w:t>
      </w:r>
    </w:p>
    <w:p>
      <w:pPr>
        <w:spacing w:after="40"/>
        <w:ind w:left="369" w:hanging="227"/>
      </w:pPr>
      <w:r>
        <w:rPr>
          <w:rFonts w:ascii="Arial" w:hAnsi="Arial" w:cs="Arial"/>
          <w:sz w:val="22"/>
        </w:rPr>
        <w:t xml:space="preserve">18. </w:t>
      </w:r>
      <w:r>
        <w:rPr>
          <w:rFonts w:ascii="Arial" w:hAnsi="Arial" w:cs="Arial"/>
          <w:b/>
          <w:sz w:val="22"/>
        </w:rPr>
        <w:t>Confundir pago delegado con responsabilidad final.</w:t>
      </w:r>
      <w:r>
        <w:rPr>
          <w:rFonts w:ascii="Arial" w:hAnsi="Arial" w:cs="Arial"/>
          <w:sz w:val="22"/>
        </w:rPr>
        <w:t xml:space="preserve"> La empresa puede ser mero pagador instrumental.</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S07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19</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4, 2025: 12, 2026: 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19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3</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(14); Texto Refundido de la Ley General de la Seguridad Social (4); Real Decreto 1299/2006 (1).</w:t>
      </w:r>
    </w:p>
    <w:p>
      <w:pPr>
        <w:jc w:val="both"/>
      </w:pPr>
      <w:r>
        <w:rPr>
          <w:rFonts w:ascii="Arial" w:hAnsi="Arial" w:cs="Arial"/>
          <w:b/>
          <w:sz w:val="22"/>
        </w:rPr>
        <w:t>Artículos o preceptos más repetidos:</w:t>
      </w:r>
      <w:r>
        <w:rPr>
          <w:rFonts w:ascii="Arial" w:hAnsi="Arial" w:cs="Arial"/>
          <w:sz w:val="22"/>
        </w:rPr>
        <w:t xml:space="preserve"> 54 (3); 58 (3); 46 (2); 61 (2); 59 (2); 53 (1); 51 (1); 164 (1).</w:t>
      </w:r>
    </w:p>
    <w:p>
      <w:pPr>
        <w:jc w:val="both"/>
      </w:pPr>
      <w:r>
        <w:rPr>
          <w:rFonts w:ascii="Arial" w:hAnsi="Arial" w:cs="Arial"/>
          <w:b/>
          <w:sz w:val="22"/>
        </w:rPr>
        <w:t>Formas de pregunta predominantes:</w:t>
      </w:r>
      <w:r>
        <w:rPr>
          <w:rFonts w:ascii="Arial" w:hAnsi="Arial" w:cs="Arial"/>
          <w:sz w:val="22"/>
        </w:rPr>
        <w:t xml:space="preserve"> Artículos literales (15); Cálculos (3); Personas beneficiarias (1).</w:t>
      </w:r>
    </w:p>
    <w:p>
      <w:pPr>
        <w:pStyle w:val="Heading2"/>
        <w:keepNext/>
      </w:pPr>
      <w:r>
        <w:rPr>
          <w:rFonts w:ascii="Arial" w:hAnsi="Arial" w:cs="Arial"/>
          <w:sz w:val="25"/>
        </w:rPr>
        <w:t>Patrones observados</w:t>
      </w:r>
    </w:p>
    <w:p>
      <w:pPr>
        <w:pStyle w:val="ListBullet"/>
      </w:pPr>
      <w:r>
        <w:rPr>
          <w:rFonts w:ascii="Arial" w:hAnsi="Arial" w:cs="Arial"/>
          <w:b/>
          <w:sz w:val="22"/>
        </w:rPr>
        <w:t>2024, teoría 44:</w:t>
      </w:r>
      <w:r>
        <w:rPr>
          <w:rFonts w:ascii="Arial" w:hAnsi="Arial" w:cs="Arial"/>
          <w:sz w:val="22"/>
        </w:rPr>
        <w:t xml:space="preserve"> Según eI artículo 54 del texto refundido de la Ley General de la Seguridad Social, ¿cuándo caduca eI derecho al percibo de las prestaciones a tanto alzado y por una sola vez?</w:t>
      </w:r>
    </w:p>
    <w:p>
      <w:pPr>
        <w:pStyle w:val="ListBullet"/>
      </w:pPr>
      <w:r>
        <w:rPr>
          <w:rFonts w:ascii="Arial" w:hAnsi="Arial" w:cs="Arial"/>
          <w:b/>
          <w:sz w:val="22"/>
        </w:rPr>
        <w:t>2024, teoría 45:</w:t>
      </w:r>
      <w:r>
        <w:rPr>
          <w:rFonts w:ascii="Arial" w:hAnsi="Arial" w:cs="Arial"/>
          <w:sz w:val="22"/>
        </w:rPr>
        <w:t xml:space="preserve"> Según eI artículo 53 del texto refundido de la Ley General de la Seguridad Social, con carácter general, con la salvedad de las excepciones que se determinen en la propia ley, ¿cuándo prescribirá el derecho…</w:t>
      </w:r>
    </w:p>
    <w:p>
      <w:pPr>
        <w:pStyle w:val="ListBullet"/>
      </w:pPr>
      <w:r>
        <w:rPr>
          <w:rFonts w:ascii="Arial" w:hAnsi="Arial" w:cs="Arial"/>
          <w:b/>
          <w:sz w:val="22"/>
        </w:rPr>
        <w:t>2024, teoría 46:</w:t>
      </w:r>
      <w:r>
        <w:rPr>
          <w:rFonts w:ascii="Arial" w:hAnsi="Arial" w:cs="Arial"/>
          <w:sz w:val="22"/>
        </w:rPr>
        <w:t xml:space="preserve"> Según 10 establecido en eI artículo 46 del texto refundido de la Ley General de la Seguridad Social, ¿cómo se efectuará eI pago de las pensiones contributivas derivadas de contingencias comunes?</w:t>
      </w:r>
    </w:p>
    <w:p>
      <w:pPr>
        <w:pStyle w:val="ListBullet"/>
      </w:pPr>
      <w:r>
        <w:rPr>
          <w:rFonts w:ascii="Arial" w:hAnsi="Arial" w:cs="Arial"/>
          <w:b/>
          <w:sz w:val="22"/>
        </w:rPr>
        <w:t>2024, teoría 47:</w:t>
      </w:r>
      <w:r>
        <w:rPr>
          <w:rFonts w:ascii="Arial" w:hAnsi="Arial" w:cs="Arial"/>
          <w:sz w:val="22"/>
        </w:rPr>
        <w:t xml:space="preserve"> De acuerdo con eI cuadro de enfermedades profesionales en eI sistema de la Seguridad Social aprobado por eI Real Decreto 1299/2006, de 10 de noviembre, ¿cuál de los siguientes grupos NO está incluido dentro…</w:t>
      </w:r>
    </w:p>
    <w:p>
      <w:pPr>
        <w:pStyle w:val="ListBullet"/>
      </w:pPr>
      <w:r>
        <w:rPr>
          <w:rFonts w:ascii="Arial" w:hAnsi="Arial" w:cs="Arial"/>
          <w:b/>
          <w:sz w:val="22"/>
        </w:rPr>
        <w:t>2025, teoría 41:</w:t>
      </w:r>
      <w:r>
        <w:rPr>
          <w:rFonts w:ascii="Arial" w:hAnsi="Arial" w:cs="Arial"/>
          <w:sz w:val="22"/>
        </w:rPr>
        <w:t xml:space="preserve"> Según el artículo 58 del texto refundido de la Ley General de la Seguridad Social, respecto a la revalorización de las pensiones:</w:t>
      </w:r>
    </w:p>
    <w:p>
      <w:pPr>
        <w:pStyle w:val="ListBullet"/>
      </w:pPr>
      <w:r>
        <w:rPr>
          <w:rFonts w:ascii="Arial" w:hAnsi="Arial" w:cs="Arial"/>
          <w:b/>
          <w:sz w:val="22"/>
        </w:rPr>
        <w:t>2025, teoría 42:</w:t>
      </w:r>
      <w:r>
        <w:rPr>
          <w:rFonts w:ascii="Arial" w:hAnsi="Arial" w:cs="Arial"/>
          <w:sz w:val="22"/>
        </w:rPr>
        <w:t xml:space="preserve"> Conforme al artículo 59 del texto refundido de la Ley General de la Seguridad Social , los beneficiarios de pensiones contributivas del sistema de la Seguridad Social que no perciban rendimientos del trabajo,…</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3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20. Tabla final de cifras y reglas</w:t>
      </w:r>
    </w:p>
    <w:tbl>
      <w:tblPr>
        <w:tblStyle w:val="TableGrid"/>
        <w:tblW w:type="dxa" w:w="9026"/>
        <w:jc w:val="left"/>
        <w:tblLayout w:type="fixed"/>
        <w:tblLook w:firstColumn="1" w:firstRow="1" w:lastColumn="0" w:lastRow="0" w:noHBand="0" w:noVBand="1" w:val="04A0"/>
        <w:tblInd w:w="120" w:type="dxa"/>
      </w:tblPr>
      <w:tblGrid>
        <w:gridCol w:w="2083"/>
        <w:gridCol w:w="6943"/>
      </w:tblGrid>
      <w:tr>
        <w:trPr>
          <w:tblHeader w:val="true"/>
        </w:trPr>
        <w:tc>
          <w:tcPr>
            <w:tcW w:type="dxa" w:w="20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694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Regla que debe recordarse</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5 años</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Prescripción general del derecho al reconocimiento</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3 meses</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Retroacción económica general máxima desde la solicitud, salvo norma especial</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1 año</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Caducidad del cobro de pago único o de cada mensualidad</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4 años</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Prescripción de la obligación de reintegrar prestaciones indebidas</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30–50 %</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Recargo por falta de medidas de seguridad</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14 pagas</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Pensiones comunes contributivas y no contributivas; las profesionales llevan extras prorrateadas</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Sin carencia</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Accidente laboral o no laboral y enfermedad profesional, salvo excepción</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Alta de pleno derecho</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AT, EP y desempleo; también asistencia sanitaria por EC, maternidad y accidente no laboral</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Pensión mayor</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Se abona por defecto ante dos pensiones incompatibles del Régimen General</w:t>
            </w:r>
          </w:p>
        </w:tc>
      </w:tr>
      <w:tr>
        <w:tc>
          <w:tcPr>
            <w:tcW w:type="dxa" w:w="2083"/>
            <w:tcMar>
              <w:top w:w="80" w:type="dxa"/>
              <w:start w:w="120" w:type="dxa"/>
              <w:bottom w:w="80" w:type="dxa"/>
              <w:end w:w="120" w:type="dxa"/>
            </w:tcMar>
            <w:vAlign w:val="center"/>
          </w:tcPr>
          <w:p>
            <w:pPr>
              <w:spacing w:before="0" w:after="0" w:line="240" w:lineRule="auto"/>
              <w:jc w:val="left"/>
            </w:pPr>
            <w:r/>
            <w:r>
              <w:rPr>
                <w:rFonts w:ascii="Arial" w:hAnsi="Arial" w:cs="Arial"/>
                <w:sz w:val="18"/>
              </w:rPr>
              <w:t>Mes siguiente</w:t>
            </w:r>
          </w:p>
        </w:tc>
        <w:tc>
          <w:tcPr>
            <w:tcW w:type="dxa" w:w="6943"/>
            <w:tcMar>
              <w:top w:w="80" w:type="dxa"/>
              <w:start w:w="120" w:type="dxa"/>
              <w:bottom w:w="80" w:type="dxa"/>
              <w:end w:w="120" w:type="dxa"/>
            </w:tcMar>
            <w:vAlign w:val="center"/>
          </w:tcPr>
          <w:p>
            <w:pPr>
              <w:spacing w:before="0" w:after="0" w:line="240" w:lineRule="auto"/>
              <w:jc w:val="left"/>
            </w:pPr>
            <w:r/>
            <w:r>
              <w:rPr>
                <w:rFonts w:ascii="Arial" w:hAnsi="Arial" w:cs="Arial"/>
                <w:sz w:val="18"/>
              </w:rPr>
              <w:t>Efectos económicos de la opción por la pensión suspendida</w:t>
            </w:r>
          </w:p>
        </w:tc>
      </w:tr>
    </w:tbl>
    <w:p>
      <w:pPr>
        <w:spacing w:after="40"/>
      </w:pPr>
    </w:p>
    <w:p>
      <w:pPr>
        <w:pStyle w:val="Heading1"/>
        <w:keepNext/>
      </w:pPr>
      <w:r>
        <w:rPr>
          <w:rFonts w:ascii="Arial" w:hAnsi="Arial" w:cs="Arial"/>
          <w:sz w:val="30"/>
        </w:rPr>
        <w:t>21. Síntesis de repaso</w:t>
      </w:r>
    </w:p>
    <w:p>
      <w:pPr>
        <w:jc w:val="both"/>
      </w:pPr>
      <w:r>
        <w:rPr>
          <w:rFonts w:ascii="Arial" w:hAnsi="Arial" w:cs="Arial"/>
          <w:sz w:val="22"/>
        </w:rPr>
        <w:t>La acción protectora es un catálogo legal de prestaciones económicas, sanitarias, familiares y sociales. Sus derechos están protegidos frente a cesión, retención y compensación, con excepciones para alimentos y obligaciones de Seguridad Social; el embargo se rige por la legislación procesal y la fiscalidad por cada impuesto.</w:t>
      </w:r>
    </w:p>
    <w:p>
      <w:pPr>
        <w:jc w:val="both"/>
      </w:pPr>
      <w:r>
        <w:rPr>
          <w:rFonts w:ascii="Arial" w:hAnsi="Arial" w:cs="Arial"/>
          <w:sz w:val="22"/>
        </w:rPr>
        <w:t>El acceso exige inclusión, afiliación, alta o situación asimilada —salvo excepción—, carencia cuando proceda y requisitos particulares. Quien ingresa sus propias cuotas debe hallarse al corriente y puede recibir invitación al pago. El reconocimiento prescribe normalmente a los cinco años, el cobro reconocido caduca al año y el reintegro se reclama en cuatro.</w:t>
      </w:r>
    </w:p>
    <w:p>
      <w:pPr>
        <w:jc w:val="both"/>
      </w:pPr>
      <w:r>
        <w:rPr>
          <w:rFonts w:ascii="Arial" w:hAnsi="Arial" w:cs="Arial"/>
          <w:sz w:val="22"/>
        </w:rPr>
        <w:t>Si el empresario incumple, hay que proteger al trabajador mediante alta de pleno derecho y anticipo en los supuestos legales, declarar quién responde y permitir que la entidad se subrogue. La responsabilidad por cotización y el recargo preventivo son instituciones distintas.</w:t>
      </w:r>
    </w:p>
    <w:p>
      <w:pPr>
        <w:jc w:val="both"/>
      </w:pPr>
      <w:r>
        <w:rPr>
          <w:rFonts w:ascii="Arial" w:hAnsi="Arial" w:cs="Arial"/>
          <w:sz w:val="22"/>
        </w:rPr>
        <w:t>Finalmente, la causa profesional o común modifica todo el régimen. El accidente de trabajo se define por el nexo con el trabajo e incluye supuestos expresos; la enfermedad profesional exige cuadro, actividad y agente; las restantes enfermedades y accidentes son comunes. La calificación debe demostrarse con los hechos, no con la etiqueta inicial.</w:t>
      </w:r>
    </w:p>
    <w:p>
      <w:pPr>
        <w:pStyle w:val="Heading1"/>
        <w:keepNext/>
      </w:pPr>
      <w:r>
        <w:rPr>
          <w:rFonts w:ascii="Arial" w:hAnsi="Arial" w:cs="Arial"/>
          <w:sz w:val="30"/>
        </w:rPr>
        <w:t>22. Normativa y fuentes oficiales</w:t>
      </w:r>
    </w:p>
    <w:p>
      <w:pPr>
        <w:pStyle w:val="ListBullet"/>
      </w:pPr>
      <w:r>
        <w:rPr>
          <w:rFonts w:ascii="Arial" w:hAnsi="Arial" w:cs="Arial"/>
          <w:sz w:val="22"/>
        </w:rPr>
        <w:t>Constitución Española, especialmente artículos 41 y 149.1.17.ª: BOE, texto consolidado (https://www.boe.es/buscar/act.php?id=BOE-A-1978-31229).</w:t>
      </w:r>
    </w:p>
    <w:p>
      <w:pPr>
        <w:pStyle w:val="ListBullet"/>
      </w:pPr>
      <w:r>
        <w:rPr>
          <w:rFonts w:ascii="Arial" w:hAnsi="Arial" w:cs="Arial"/>
          <w:sz w:val="22"/>
        </w:rPr>
        <w:t>Real Decreto Legislativo 8/2015, de 30 de octubre, TRLGSS, especialmente artículos 2, 42 a 55 y 156 a 168: BOE, texto consolidado (https://www.boe.es/buscar/act.php?id=BOE-A-2015-11724).</w:t>
      </w:r>
    </w:p>
    <w:p>
      <w:pPr>
        <w:pStyle w:val="ListBullet"/>
      </w:pPr>
      <w:r>
        <w:rPr>
          <w:rFonts w:ascii="Arial" w:hAnsi="Arial" w:cs="Arial"/>
          <w:sz w:val="22"/>
        </w:rPr>
        <w:t>Ley 36/2011, de 10 de octubre, reguladora de la jurisdicción social, en particular revisión de actos declarativos y proceso de prestaciones: BOE, texto consolidado (https://www.boe.es/buscar/act.php?id=BOE-A-2011-15936).</w:t>
      </w:r>
    </w:p>
    <w:p>
      <w:pPr>
        <w:pStyle w:val="ListBullet"/>
      </w:pPr>
      <w:r>
        <w:rPr>
          <w:rFonts w:ascii="Arial" w:hAnsi="Arial" w:cs="Arial"/>
          <w:sz w:val="22"/>
        </w:rPr>
        <w:t>Decreto 1646/1972, de 23 de junio, sobre prestaciones del Régimen General, en lo que conserva vigencia: BOE (https://www.boe.es/buscar/doc.php?id=BOE-A-1972-907).</w:t>
      </w:r>
    </w:p>
    <w:p>
      <w:pPr>
        <w:pStyle w:val="ListBullet"/>
      </w:pPr>
      <w:r>
        <w:rPr>
          <w:rFonts w:ascii="Arial" w:hAnsi="Arial" w:cs="Arial"/>
          <w:sz w:val="22"/>
        </w:rPr>
        <w:t>Orden de 13 de febrero de 1967 sobre prestaciones de muerte y supervivencia, en lo que conserva vigencia: BOE (https://www.boe.es/buscar/doc.php?id=BOE-A-1967-3302).</w:t>
      </w:r>
    </w:p>
    <w:p>
      <w:pPr>
        <w:pStyle w:val="ListBullet"/>
      </w:pPr>
      <w:r>
        <w:rPr>
          <w:rFonts w:ascii="Arial" w:hAnsi="Arial" w:cs="Arial"/>
          <w:sz w:val="22"/>
        </w:rPr>
        <w:t>Real Decreto 1299/2006, de 10 de noviembre, cuadro de enfermedades profesionales: BOE, texto consolidado (https://www.boe.es/buscar/act.php?id=BOE-A-2006-22169).</w:t>
      </w:r>
    </w:p>
    <w:p>
      <w:pPr>
        <w:pStyle w:val="ListBullet"/>
      </w:pPr>
      <w:r>
        <w:rPr>
          <w:rFonts w:ascii="Arial" w:hAnsi="Arial" w:cs="Arial"/>
          <w:sz w:val="22"/>
        </w:rPr>
        <w:t>Real Decreto 625/2014, de 18 de julio, gestión y control de los procesos de incapacidad temporal: BOE, texto consolidado (https://www.boe.es/buscar/act.php?id=BOE-A-2014-7684).</w:t>
      </w:r>
    </w:p>
    <w:p>
      <w:pPr>
        <w:pStyle w:val="ListBullet"/>
      </w:pPr>
      <w:r>
        <w:rPr>
          <w:rFonts w:ascii="Arial" w:hAnsi="Arial" w:cs="Arial"/>
          <w:sz w:val="22"/>
        </w:rPr>
        <w:t>Portal de prestaciones de la Seguridad Social: Seguridad Social (https://www.seg-social.es/wps/portal/wss/internet/Trabajadores/PrestacionesPensionesTrabajadores).</w:t>
      </w:r>
    </w:p>
    <w:p>
      <w:pPr>
        <w:pStyle w:val="ListBullet"/>
      </w:pPr>
      <w:r>
        <w:rPr>
          <w:rFonts w:ascii="Arial" w:hAnsi="Arial" w:cs="Arial"/>
          <w:sz w:val="22"/>
        </w:rPr>
        <w:t>Convocatoria de 22 de diciembre de 2025 y programa oficial: BOE-A-2025-27158 (https://www.boe.es/diario_boe/txt.php?id=BOE-A-2025-27158).</w:t>
      </w:r>
    </w:p>
    <w:p>
      <w:pPr>
        <w:pStyle w:val="ListBullet"/>
      </w:pPr>
      <w:r>
        <w:rPr>
          <w:rFonts w:ascii="Arial" w:hAnsi="Arial" w:cs="Arial"/>
          <w:sz w:val="22"/>
        </w:rPr>
        <w:t>Portal oficial del proceso selectivo y cuestionarios: Seguridad Social (https://www.seg-social.es/wps/portal/wss/internet/InformacionUtil/9950/88beb45d-ca83-4bab-8162-f94ef2894562/e0c83707-3358-47a9-94d7-508221dad233).</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S07 · Tema 7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7. Acción protectora. Contenido y clasificación de las prestaciones. Caracteres de las prestaciones. Incompatibilidades. Reintegro de las presta…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