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9</w:t>
      </w:r>
    </w:p>
    <w:p>
      <w:pPr>
        <w:keepNext/>
        <w:spacing w:before="0" w:after="280"/>
        <w:pBdr>
          <w:bottom w:val="single" w:sz="12" w:space="1" w:color="2F75B5"/>
        </w:pBdr>
      </w:pPr>
      <w:r>
        <w:rPr>
          <w:rFonts w:ascii="Arial" w:hAnsi="Arial" w:cs="Arial"/>
          <w:b/>
          <w:color w:val="17365D"/>
          <w:sz w:val="40"/>
        </w:rPr>
        <w:t>Nacimiento y cuidado de menor. Ejercicio corresponsable del cuidado del lactante. Prestación por riesgo durante el embarazo. Prestación por riesgo durante la lactancia natural. Asignación económica por hijo o menor acogido a cargo. Prestación económica por nacimiento o adopción de hijo en supuestos de familias numerosas o monoparentales y en los casos de madres o padres con discapacidad. Prestación por parto o adopción Subsidio por cuidado de menores afectados por cáncer u otra enfermedad grave.</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i/>
          <w:sz w:val="22"/>
        </w:rPr>
        <w:t>Contenido actualizado a 30 de julio de 2026.</w:t>
      </w:r>
    </w:p>
    <w:p>
      <w:pPr>
        <w:jc w:val="both"/>
      </w:pPr>
      <w:r>
        <w:rPr>
          <w:rFonts w:ascii="Arial" w:hAnsi="Arial" w:cs="Arial"/>
          <w:sz w:val="22"/>
        </w:rPr>
        <w:t xml:space="preserve">Este tema reúne prestaciones que protegen el nacimiento, la adopción, el cuidado, los riesgos laborales ligados al embarazo o la lactancia y determinadas responsabilidades familiares. Su resolución exige distinguir el </w:t>
      </w:r>
      <w:r>
        <w:rPr>
          <w:rFonts w:ascii="Arial" w:hAnsi="Arial" w:cs="Arial"/>
          <w:b/>
          <w:sz w:val="22"/>
        </w:rPr>
        <w:t>derecho laboral a suspender o reducir jornada</w:t>
      </w:r>
      <w:r>
        <w:rPr>
          <w:rFonts w:ascii="Arial" w:hAnsi="Arial" w:cs="Arial"/>
          <w:sz w:val="22"/>
        </w:rPr>
        <w:t xml:space="preserve"> de la </w:t>
      </w:r>
      <w:r>
        <w:rPr>
          <w:rFonts w:ascii="Arial" w:hAnsi="Arial" w:cs="Arial"/>
          <w:b/>
          <w:sz w:val="22"/>
        </w:rPr>
        <w:t>prestación de Seguridad Social que sustituye ingresos</w:t>
      </w:r>
      <w:r>
        <w:rPr>
          <w:rFonts w:ascii="Arial" w:hAnsi="Arial" w:cs="Arial"/>
          <w:sz w:val="22"/>
        </w:rPr>
        <w:t>. El Real Decreto-ley 9/2025 amplió el permiso por nacimiento y cuidado: desde el 31 de julio de 2025 la duración general es de 19 semanas por persona y, en monoparentalidad, de 32; además, las semanas añadidas hasta los ocho años pueden solicitarse desde el 1 de enero de 2026 para hechos causantes desde el 2 de agosto de 2024.</w:t>
      </w:r>
    </w:p>
    <w:p>
      <w:pPr>
        <w:pStyle w:val="Heading1"/>
        <w:keepNext/>
      </w:pPr>
      <w:r>
        <w:rPr>
          <w:rFonts w:ascii="Arial" w:hAnsi="Arial" w:cs="Arial"/>
          <w:sz w:val="30"/>
        </w:rPr>
        <w:t>1. Nacimiento y cuidado de menor: situaciones protegidas</w:t>
      </w:r>
    </w:p>
    <w:p>
      <w:pPr>
        <w:jc w:val="both"/>
      </w:pPr>
      <w:r>
        <w:rPr>
          <w:rFonts w:ascii="Arial" w:hAnsi="Arial" w:cs="Arial"/>
          <w:sz w:val="22"/>
        </w:rPr>
        <w:t>El artículo 177 del texto refundido de la Ley General de la Seguridad Social —TRLGSS— protege:</w:t>
      </w:r>
    </w:p>
    <w:p>
      <w:pPr>
        <w:pStyle w:val="ListBullet"/>
      </w:pPr>
      <w:r>
        <w:rPr>
          <w:rFonts w:ascii="Arial" w:hAnsi="Arial" w:cs="Arial"/>
          <w:sz w:val="22"/>
        </w:rPr>
        <w:t>nacimiento, que comprende parto y cuidado;</w:t>
      </w:r>
    </w:p>
    <w:p>
      <w:pPr>
        <w:pStyle w:val="ListBullet"/>
      </w:pPr>
      <w:r>
        <w:rPr>
          <w:rFonts w:ascii="Arial" w:hAnsi="Arial" w:cs="Arial"/>
          <w:sz w:val="22"/>
        </w:rPr>
        <w:t>adopción;</w:t>
      </w:r>
    </w:p>
    <w:p>
      <w:pPr>
        <w:pStyle w:val="ListBullet"/>
      </w:pPr>
      <w:r>
        <w:rPr>
          <w:rFonts w:ascii="Arial" w:hAnsi="Arial" w:cs="Arial"/>
          <w:sz w:val="22"/>
        </w:rPr>
        <w:t>guarda con fines de adopción;</w:t>
      </w:r>
    </w:p>
    <w:p>
      <w:pPr>
        <w:pStyle w:val="ListBullet"/>
      </w:pPr>
      <w:r>
        <w:rPr>
          <w:rFonts w:ascii="Arial" w:hAnsi="Arial" w:cs="Arial"/>
          <w:sz w:val="22"/>
        </w:rPr>
        <w:t>acogimiento familiar conforme al Código Civil o legislación autonómica.</w:t>
      </w:r>
    </w:p>
    <w:p>
      <w:pPr>
        <w:jc w:val="both"/>
      </w:pPr>
      <w:r>
        <w:rPr>
          <w:rFonts w:ascii="Arial" w:hAnsi="Arial" w:cs="Arial"/>
          <w:sz w:val="22"/>
        </w:rPr>
        <w:t>La prestación se reconoce durante los descansos de los artículos 48.4, 48.5 y 48.6 del Estatuto de los Trabajadores —ET— o los permisos equivalentes del Estatuto Básico del Empleado Público. No todo cuidado informal constituye situación protegida: debe existir el título familiar y el período de suspensión legal.</w:t>
      </w:r>
    </w:p>
    <w:p>
      <w:pPr>
        <w:jc w:val="both"/>
      </w:pPr>
      <w:r>
        <w:rPr>
          <w:rFonts w:ascii="Arial" w:hAnsi="Arial" w:cs="Arial"/>
          <w:sz w:val="22"/>
        </w:rPr>
        <w:t>El derecho laboral es individual e intransferible. Cada progenitor, adoptante, guardador o acogedor genera su propio período y, si cumple los requisitos, su propio subsidio. La regla busca corresponsabilidad y evita ceder semanas de una persona a otra.</w:t>
      </w:r>
    </w:p>
    <w:p>
      <w:pPr>
        <w:pStyle w:val="Heading1"/>
        <w:keepNext/>
      </w:pPr>
      <w:r>
        <w:rPr>
          <w:rFonts w:ascii="Arial" w:hAnsi="Arial" w:cs="Arial"/>
          <w:sz w:val="30"/>
        </w:rPr>
        <w:t>2. Duración tras el Real Decreto-ley 9/2025</w:t>
      </w:r>
    </w:p>
    <w:p>
      <w:pPr>
        <w:pStyle w:val="Heading2"/>
        <w:keepNext/>
      </w:pPr>
      <w:r>
        <w:rPr>
          <w:rFonts w:ascii="Arial" w:hAnsi="Arial" w:cs="Arial"/>
          <w:sz w:val="25"/>
        </w:rPr>
        <w:t>2.1. Nacimiento</w:t>
      </w:r>
    </w:p>
    <w:p>
      <w:pPr>
        <w:jc w:val="both"/>
      </w:pPr>
      <w:r>
        <w:rPr>
          <w:rFonts w:ascii="Arial" w:hAnsi="Arial" w:cs="Arial"/>
          <w:sz w:val="22"/>
        </w:rPr>
        <w:t xml:space="preserve">La madre biológica y el progenitor distinto disponen cada uno de </w:t>
      </w:r>
      <w:r>
        <w:rPr>
          <w:rFonts w:ascii="Arial" w:hAnsi="Arial" w:cs="Arial"/>
          <w:b/>
          <w:sz w:val="22"/>
        </w:rPr>
        <w:t>19 semanas</w:t>
      </w:r>
      <w:r>
        <w:rPr>
          <w:rFonts w:ascii="Arial" w:hAnsi="Arial" w:cs="Arial"/>
          <w:sz w:val="22"/>
        </w:rPr>
        <w:t xml:space="preserve">. Si existe una única persona progenitora, la suspensión total es de </w:t>
      </w:r>
      <w:r>
        <w:rPr>
          <w:rFonts w:ascii="Arial" w:hAnsi="Arial" w:cs="Arial"/>
          <w:b/>
          <w:sz w:val="22"/>
        </w:rPr>
        <w:t>32 semanas</w:t>
      </w:r>
      <w:r>
        <w:rPr>
          <w:rFonts w:ascii="Arial" w:hAnsi="Arial" w:cs="Arial"/>
          <w:sz w:val="22"/>
        </w:rPr>
        <w:t>.</w:t>
      </w:r>
    </w:p>
    <w:p>
      <w:pPr>
        <w:jc w:val="both"/>
      </w:pPr>
      <w:r>
        <w:rPr>
          <w:rFonts w:ascii="Arial" w:hAnsi="Arial" w:cs="Arial"/>
          <w:sz w:val="22"/>
        </w:rPr>
        <w:t>La distribución es:</w:t>
      </w:r>
    </w:p>
    <w:tbl>
      <w:tblPr>
        <w:tblStyle w:val="TableGrid"/>
        <w:tblW w:type="dxa" w:w="9026"/>
        <w:jc w:val="left"/>
        <w:tblLayout w:type="fixed"/>
        <w:tblLook w:firstColumn="1" w:firstRow="1" w:lastColumn="0" w:lastRow="0" w:noHBand="0" w:noVBand="1" w:val="04A0"/>
        <w:tblInd w:w="120" w:type="dxa"/>
      </w:tblPr>
      <w:tblGrid>
        <w:gridCol w:w="1626"/>
        <w:gridCol w:w="1789"/>
        <w:gridCol w:w="976"/>
        <w:gridCol w:w="4635"/>
      </w:tblGrid>
      <w:tr>
        <w:trPr>
          <w:tblHeader w:val="true"/>
        </w:trPr>
        <w:tc>
          <w:tcPr>
            <w:tcW w:type="dxa" w:w="162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Tramo</w:t>
            </w:r>
          </w:p>
        </w:tc>
        <w:tc>
          <w:tcPr>
            <w:tcW w:type="dxa" w:w="178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Dos progenitores: cada uno</w:t>
            </w:r>
          </w:p>
        </w:tc>
        <w:tc>
          <w:tcPr>
            <w:tcW w:type="dxa" w:w="97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Monoparental</w:t>
            </w:r>
          </w:p>
        </w:tc>
        <w:tc>
          <w:tcPr>
            <w:tcW w:type="dxa" w:w="463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Forma y límite</w:t>
            </w:r>
          </w:p>
        </w:tc>
      </w:tr>
      <w:tr>
        <w:tc>
          <w:tcPr>
            <w:tcW w:type="dxa" w:w="1626"/>
            <w:tcMar>
              <w:top w:w="80" w:type="dxa"/>
              <w:start w:w="120" w:type="dxa"/>
              <w:bottom w:w="80" w:type="dxa"/>
              <w:end w:w="120" w:type="dxa"/>
            </w:tcMar>
            <w:vAlign w:val="center"/>
          </w:tcPr>
          <w:p>
            <w:pPr>
              <w:spacing w:before="0" w:after="0" w:line="240" w:lineRule="auto"/>
              <w:jc w:val="left"/>
            </w:pPr>
            <w:r/>
            <w:r>
              <w:rPr>
                <w:rFonts w:ascii="Arial" w:hAnsi="Arial" w:cs="Arial"/>
                <w:sz w:val="18"/>
              </w:rPr>
              <w:t>Obligatorio</w:t>
            </w:r>
          </w:p>
        </w:tc>
        <w:tc>
          <w:tcPr>
            <w:tcW w:type="dxa" w:w="1789"/>
            <w:tcMar>
              <w:top w:w="80" w:type="dxa"/>
              <w:start w:w="120" w:type="dxa"/>
              <w:bottom w:w="80" w:type="dxa"/>
              <w:end w:w="120" w:type="dxa"/>
            </w:tcMar>
            <w:vAlign w:val="center"/>
          </w:tcPr>
          <w:p>
            <w:pPr>
              <w:spacing w:before="0" w:after="0" w:line="240" w:lineRule="auto"/>
              <w:jc w:val="center"/>
            </w:pPr>
            <w:r/>
            <w:r>
              <w:rPr>
                <w:rFonts w:ascii="Arial" w:hAnsi="Arial" w:cs="Arial"/>
                <w:sz w:val="18"/>
              </w:rPr>
              <w:t>6 semanas</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6 semanas</w:t>
            </w:r>
          </w:p>
        </w:tc>
        <w:tc>
          <w:tcPr>
            <w:tcW w:type="dxa" w:w="4635"/>
            <w:tcMar>
              <w:top w:w="80" w:type="dxa"/>
              <w:start w:w="120" w:type="dxa"/>
              <w:bottom w:w="80" w:type="dxa"/>
              <w:end w:w="120" w:type="dxa"/>
            </w:tcMar>
            <w:vAlign w:val="center"/>
          </w:tcPr>
          <w:p>
            <w:pPr>
              <w:spacing w:before="0" w:after="0" w:line="240" w:lineRule="auto"/>
              <w:jc w:val="left"/>
            </w:pPr>
            <w:r/>
            <w:r>
              <w:rPr>
                <w:rFonts w:ascii="Arial" w:hAnsi="Arial" w:cs="Arial"/>
                <w:sz w:val="18"/>
              </w:rPr>
              <w:t>Ininterrumpidas, inmediatamente posteriores, jornada completa</w:t>
            </w:r>
          </w:p>
        </w:tc>
      </w:tr>
      <w:tr>
        <w:tc>
          <w:tcPr>
            <w:tcW w:type="dxa" w:w="1626"/>
            <w:tcMar>
              <w:top w:w="80" w:type="dxa"/>
              <w:start w:w="120" w:type="dxa"/>
              <w:bottom w:w="80" w:type="dxa"/>
              <w:end w:w="120" w:type="dxa"/>
            </w:tcMar>
            <w:vAlign w:val="center"/>
          </w:tcPr>
          <w:p>
            <w:pPr>
              <w:spacing w:before="0" w:after="0" w:line="240" w:lineRule="auto"/>
              <w:jc w:val="left"/>
            </w:pPr>
            <w:r/>
            <w:r>
              <w:rPr>
                <w:rFonts w:ascii="Arial" w:hAnsi="Arial" w:cs="Arial"/>
                <w:sz w:val="18"/>
              </w:rPr>
              <w:t>Flexible hasta 12 meses</w:t>
            </w:r>
          </w:p>
        </w:tc>
        <w:tc>
          <w:tcPr>
            <w:tcW w:type="dxa" w:w="1789"/>
            <w:tcMar>
              <w:top w:w="80" w:type="dxa"/>
              <w:start w:w="120" w:type="dxa"/>
              <w:bottom w:w="80" w:type="dxa"/>
              <w:end w:w="120" w:type="dxa"/>
            </w:tcMar>
            <w:vAlign w:val="center"/>
          </w:tcPr>
          <w:p>
            <w:pPr>
              <w:spacing w:before="0" w:after="0" w:line="240" w:lineRule="auto"/>
              <w:jc w:val="center"/>
            </w:pPr>
            <w:r/>
            <w:r>
              <w:rPr>
                <w:rFonts w:ascii="Arial" w:hAnsi="Arial" w:cs="Arial"/>
                <w:sz w:val="18"/>
              </w:rPr>
              <w:t>11 semanas</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22 semanas</w:t>
            </w:r>
          </w:p>
        </w:tc>
        <w:tc>
          <w:tcPr>
            <w:tcW w:type="dxa" w:w="4635"/>
            <w:tcMar>
              <w:top w:w="80" w:type="dxa"/>
              <w:start w:w="120" w:type="dxa"/>
              <w:bottom w:w="80" w:type="dxa"/>
              <w:end w:w="120" w:type="dxa"/>
            </w:tcMar>
            <w:vAlign w:val="center"/>
          </w:tcPr>
          <w:p>
            <w:pPr>
              <w:spacing w:before="0" w:after="0" w:line="240" w:lineRule="auto"/>
              <w:jc w:val="left"/>
            </w:pPr>
            <w:r/>
            <w:r>
              <w:rPr>
                <w:rFonts w:ascii="Arial" w:hAnsi="Arial" w:cs="Arial"/>
                <w:sz w:val="18"/>
              </w:rPr>
              <w:t>Semanas acumuladas o interrumpidas; completa o parcial por acuerdo</w:t>
            </w:r>
          </w:p>
        </w:tc>
      </w:tr>
      <w:tr>
        <w:tc>
          <w:tcPr>
            <w:tcW w:type="dxa" w:w="1626"/>
            <w:tcMar>
              <w:top w:w="80" w:type="dxa"/>
              <w:start w:w="120" w:type="dxa"/>
              <w:bottom w:w="80" w:type="dxa"/>
              <w:end w:w="120" w:type="dxa"/>
            </w:tcMar>
            <w:vAlign w:val="center"/>
          </w:tcPr>
          <w:p>
            <w:pPr>
              <w:spacing w:before="0" w:after="0" w:line="240" w:lineRule="auto"/>
              <w:jc w:val="left"/>
            </w:pPr>
            <w:r/>
            <w:r>
              <w:rPr>
                <w:rFonts w:ascii="Arial" w:hAnsi="Arial" w:cs="Arial"/>
                <w:sz w:val="18"/>
              </w:rPr>
              <w:t>Flexible hasta 8 años</w:t>
            </w:r>
          </w:p>
        </w:tc>
        <w:tc>
          <w:tcPr>
            <w:tcW w:type="dxa" w:w="1789"/>
            <w:tcMar>
              <w:top w:w="80" w:type="dxa"/>
              <w:start w:w="120" w:type="dxa"/>
              <w:bottom w:w="80" w:type="dxa"/>
              <w:end w:w="120" w:type="dxa"/>
            </w:tcMar>
            <w:vAlign w:val="center"/>
          </w:tcPr>
          <w:p>
            <w:pPr>
              <w:spacing w:before="0" w:after="0" w:line="240" w:lineRule="auto"/>
              <w:jc w:val="center"/>
            </w:pPr>
            <w:r/>
            <w:r>
              <w:rPr>
                <w:rFonts w:ascii="Arial" w:hAnsi="Arial" w:cs="Arial"/>
                <w:sz w:val="18"/>
              </w:rPr>
              <w:t>2 semanas</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4 semanas</w:t>
            </w:r>
          </w:p>
        </w:tc>
        <w:tc>
          <w:tcPr>
            <w:tcW w:type="dxa" w:w="4635"/>
            <w:tcMar>
              <w:top w:w="80" w:type="dxa"/>
              <w:start w:w="120" w:type="dxa"/>
              <w:bottom w:w="80" w:type="dxa"/>
              <w:end w:w="120" w:type="dxa"/>
            </w:tcMar>
            <w:vAlign w:val="center"/>
          </w:tcPr>
          <w:p>
            <w:pPr>
              <w:spacing w:before="0" w:after="0" w:line="240" w:lineRule="auto"/>
              <w:jc w:val="left"/>
            </w:pPr>
            <w:r/>
            <w:r>
              <w:rPr>
                <w:rFonts w:ascii="Arial" w:hAnsi="Arial" w:cs="Arial"/>
                <w:sz w:val="18"/>
              </w:rPr>
              <w:t>Semanas acumuladas o interrumpidas; completa o parcial por acuerdo</w:t>
            </w:r>
          </w:p>
        </w:tc>
      </w:tr>
      <w:tr>
        <w:tc>
          <w:tcPr>
            <w:tcW w:type="dxa" w:w="1626"/>
            <w:tcMar>
              <w:top w:w="80" w:type="dxa"/>
              <w:start w:w="120" w:type="dxa"/>
              <w:bottom w:w="80" w:type="dxa"/>
              <w:end w:w="120" w:type="dxa"/>
            </w:tcMar>
            <w:vAlign w:val="center"/>
          </w:tcPr>
          <w:p>
            <w:pPr>
              <w:spacing w:before="0" w:after="0" w:line="240" w:lineRule="auto"/>
              <w:jc w:val="left"/>
            </w:pPr>
            <w:r/>
            <w:r>
              <w:rPr>
                <w:rFonts w:ascii="Arial" w:hAnsi="Arial" w:cs="Arial"/>
                <w:sz w:val="18"/>
              </w:rPr>
              <w:t>Total</w:t>
            </w:r>
          </w:p>
        </w:tc>
        <w:tc>
          <w:tcPr>
            <w:tcW w:type="dxa" w:w="1789"/>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4635"/>
            <w:tcMar>
              <w:top w:w="80" w:type="dxa"/>
              <w:start w:w="120" w:type="dxa"/>
              <w:bottom w:w="80" w:type="dxa"/>
              <w:end w:w="120" w:type="dxa"/>
            </w:tcMar>
            <w:vAlign w:val="center"/>
          </w:tcPr>
          <w:p>
            <w:pPr>
              <w:spacing w:before="0" w:after="0" w:line="240" w:lineRule="auto"/>
              <w:jc w:val="left"/>
            </w:pPr>
            <w:r/>
            <w:r>
              <w:rPr>
                <w:rFonts w:ascii="Arial" w:hAnsi="Arial" w:cs="Arial"/>
                <w:sz w:val="18"/>
              </w:rPr>
              <w:t>Derecho individual</w:t>
            </w:r>
          </w:p>
        </w:tc>
      </w:tr>
    </w:tbl>
    <w:p>
      <w:pPr>
        <w:spacing w:after="40"/>
      </w:pPr>
    </w:p>
    <w:p>
      <w:pPr>
        <w:jc w:val="both"/>
      </w:pPr>
      <w:r>
        <w:rPr>
          <w:rFonts w:ascii="Arial" w:hAnsi="Arial" w:cs="Arial"/>
          <w:sz w:val="22"/>
        </w:rPr>
        <w:t>La madre biológica puede anticipar hasta cuatro semanas del tramo flexible anterior a la fecha previsible del parto. Los otros períodos voluntarios deben comunicarse a la empresa con al menos 15 días, conforme también al convenio. Si ambos trabajan en la misma empresa, esta solo puede limitar el disfrute simultáneo por razones objetivas y fundadas, motivadas por escrito.</w:t>
      </w:r>
    </w:p>
    <w:p>
      <w:pPr>
        <w:jc w:val="both"/>
      </w:pPr>
      <w:r>
        <w:rPr>
          <w:rFonts w:ascii="Arial" w:hAnsi="Arial" w:cs="Arial"/>
          <w:sz w:val="22"/>
        </w:rPr>
        <w:t>El término «madre biológica» incluye a las personas trans gestantes. En caso de fallecimiento de un progenitor, el otro puede usar la totalidad o el resto pendiente del permiso. Si fallece el hijo, la duración no se reduce salvo reincorporación solicitada tras las seis semanas obligatorias.</w:t>
      </w:r>
    </w:p>
    <w:p>
      <w:pPr>
        <w:pStyle w:val="Heading2"/>
        <w:keepNext/>
      </w:pPr>
      <w:r>
        <w:rPr>
          <w:rFonts w:ascii="Arial" w:hAnsi="Arial" w:cs="Arial"/>
          <w:sz w:val="25"/>
        </w:rPr>
        <w:t>2.2. Adopción, guarda y acogimiento</w:t>
      </w:r>
    </w:p>
    <w:p>
      <w:pPr>
        <w:jc w:val="both"/>
      </w:pPr>
      <w:r>
        <w:rPr>
          <w:rFonts w:ascii="Arial" w:hAnsi="Arial" w:cs="Arial"/>
          <w:sz w:val="22"/>
        </w:rPr>
        <w:t>Cada persona adoptante, guardadora o acogedora dispone también de 19 semanas; la única persona de una familia monoparental, de 32. La distribución es:</w:t>
      </w:r>
    </w:p>
    <w:p>
      <w:pPr>
        <w:pStyle w:val="ListBullet"/>
      </w:pPr>
      <w:r>
        <w:rPr>
          <w:rFonts w:ascii="Arial" w:hAnsi="Arial" w:cs="Arial"/>
          <w:sz w:val="22"/>
        </w:rPr>
        <w:t>6 semanas obligatorias, completas e ininterrumpidas desde la resolución judicial o decisión administrativa;</w:t>
      </w:r>
    </w:p>
    <w:p>
      <w:pPr>
        <w:pStyle w:val="ListBullet"/>
      </w:pPr>
      <w:r>
        <w:rPr>
          <w:rFonts w:ascii="Arial" w:hAnsi="Arial" w:cs="Arial"/>
          <w:sz w:val="22"/>
        </w:rPr>
        <w:t>11 semanas —22 monoparental— durante los 12 meses siguientes;</w:t>
      </w:r>
    </w:p>
    <w:p>
      <w:pPr>
        <w:pStyle w:val="ListBullet"/>
      </w:pPr>
      <w:r>
        <w:rPr>
          <w:rFonts w:ascii="Arial" w:hAnsi="Arial" w:cs="Arial"/>
          <w:sz w:val="22"/>
        </w:rPr>
        <w:t>2 semanas —4 monoparental— hasta que el menor cumpla 8 años.</w:t>
      </w:r>
    </w:p>
    <w:p>
      <w:pPr>
        <w:jc w:val="both"/>
      </w:pPr>
      <w:r>
        <w:rPr>
          <w:rFonts w:ascii="Arial" w:hAnsi="Arial" w:cs="Arial"/>
          <w:sz w:val="22"/>
        </w:rPr>
        <w:t>En adopción internacional que exige desplazamiento previo, el descanso puede empezar hasta cuatro semanas antes de la resolución. Un mismo menor no genera varios períodos para la misma persona.</w:t>
      </w:r>
    </w:p>
    <w:p>
      <w:pPr>
        <w:pStyle w:val="Heading2"/>
        <w:keepNext/>
      </w:pPr>
      <w:r>
        <w:rPr>
          <w:rFonts w:ascii="Arial" w:hAnsi="Arial" w:cs="Arial"/>
          <w:sz w:val="25"/>
        </w:rPr>
        <w:t>2.3. Aplicación transitoria</w:t>
      </w:r>
    </w:p>
    <w:p>
      <w:pPr>
        <w:jc w:val="both"/>
      </w:pPr>
      <w:r>
        <w:rPr>
          <w:rFonts w:ascii="Arial" w:hAnsi="Arial" w:cs="Arial"/>
          <w:sz w:val="22"/>
        </w:rPr>
        <w:t xml:space="preserve">Las dos semanas flexibles hasta ocho años —cuatro en monoparentalidad— se aplican a hechos causantes desde el </w:t>
      </w:r>
      <w:r>
        <w:rPr>
          <w:rFonts w:ascii="Arial" w:hAnsi="Arial" w:cs="Arial"/>
          <w:b/>
          <w:sz w:val="22"/>
        </w:rPr>
        <w:t>2 de agosto de 2024</w:t>
      </w:r>
      <w:r>
        <w:rPr>
          <w:rFonts w:ascii="Arial" w:hAnsi="Arial" w:cs="Arial"/>
          <w:sz w:val="22"/>
        </w:rPr>
        <w:t xml:space="preserve">. Su disfrute y la prestación económica correspondiente se pueden solicitar desde el </w:t>
      </w:r>
      <w:r>
        <w:rPr>
          <w:rFonts w:ascii="Arial" w:hAnsi="Arial" w:cs="Arial"/>
          <w:b/>
          <w:sz w:val="22"/>
        </w:rPr>
        <w:t>1 de enero de 2026</w:t>
      </w:r>
      <w:r>
        <w:rPr>
          <w:rFonts w:ascii="Arial" w:hAnsi="Arial" w:cs="Arial"/>
          <w:sz w:val="22"/>
        </w:rPr>
        <w:t>, sin nuevo reconocimiento del derecho y conforme a las reglas del descanso voluntario.</w:t>
      </w:r>
    </w:p>
    <w:p>
      <w:pPr>
        <w:jc w:val="both"/>
      </w:pPr>
      <w:r>
        <w:rPr>
          <w:rFonts w:ascii="Arial" w:hAnsi="Arial" w:cs="Arial"/>
          <w:sz w:val="22"/>
        </w:rPr>
        <w:t>No toda la ampliación de 19/32 semanas tiene retroactividad. La disposición transitoria se refiere específicamente al tramo añadido de 2/4 semanas.</w:t>
      </w:r>
    </w:p>
    <w:p>
      <w:pPr>
        <w:pStyle w:val="Heading2"/>
        <w:keepNext/>
      </w:pPr>
      <w:r>
        <w:rPr>
          <w:rFonts w:ascii="Arial" w:hAnsi="Arial" w:cs="Arial"/>
          <w:sz w:val="25"/>
        </w:rPr>
        <w:t>2.4. Prematuridad, hospitalización, discapacidad y nacimiento múltiple</w:t>
      </w:r>
    </w:p>
    <w:p>
      <w:pPr>
        <w:jc w:val="both"/>
      </w:pPr>
      <w:r>
        <w:rPr>
          <w:rFonts w:ascii="Arial" w:hAnsi="Arial" w:cs="Arial"/>
          <w:sz w:val="22"/>
        </w:rPr>
        <w:t>Cuando el neonato permanece hospitalizado después del parto, a petición puede posponerse el cómputo de la parte no obligatoria hasta el alta hospitalaria; las seis semanas obligatorias de la madre no se posponen.</w:t>
      </w:r>
    </w:p>
    <w:p>
      <w:pPr>
        <w:jc w:val="both"/>
      </w:pPr>
      <w:r>
        <w:rPr>
          <w:rFonts w:ascii="Arial" w:hAnsi="Arial" w:cs="Arial"/>
          <w:sz w:val="22"/>
        </w:rPr>
        <w:t xml:space="preserve">Si la hospitalización, por prematuridad con falta de peso u otra condición clínica, supera siete días, la suspensión se amplía tantos días como dure, con máximo de </w:t>
      </w:r>
      <w:r>
        <w:rPr>
          <w:rFonts w:ascii="Arial" w:hAnsi="Arial" w:cs="Arial"/>
          <w:b/>
          <w:sz w:val="22"/>
        </w:rPr>
        <w:t>13 semanas adicionales</w:t>
      </w:r>
      <w:r>
        <w:rPr>
          <w:rFonts w:ascii="Arial" w:hAnsi="Arial" w:cs="Arial"/>
          <w:sz w:val="22"/>
        </w:rPr>
        <w:t>.</w:t>
      </w:r>
    </w:p>
    <w:p>
      <w:pPr>
        <w:jc w:val="both"/>
      </w:pPr>
      <w:r>
        <w:rPr>
          <w:rFonts w:ascii="Arial" w:hAnsi="Arial" w:cs="Arial"/>
          <w:sz w:val="22"/>
        </w:rPr>
        <w:t>En nacimiento o adopción múltiple y en discapacidad del menor existen ampliaciones de una semana para cada persona por cada hijo distinto del primero o por discapacidad, según el ET. Deben distinguirse de la prestación de pago único por parto múltiple y de la ampliación del subsidio no contributivo: son derechos diferentes.</w:t>
      </w:r>
    </w:p>
    <w:p>
      <w:pPr>
        <w:pStyle w:val="Heading1"/>
        <w:keepNext/>
      </w:pPr>
      <w:r>
        <w:rPr>
          <w:rFonts w:ascii="Arial" w:hAnsi="Arial" w:cs="Arial"/>
          <w:sz w:val="30"/>
        </w:rPr>
        <w:t>3. Beneficiarios y cotización previa</w:t>
      </w:r>
    </w:p>
    <w:p>
      <w:pPr>
        <w:jc w:val="both"/>
      </w:pPr>
      <w:r>
        <w:rPr>
          <w:rFonts w:ascii="Arial" w:hAnsi="Arial" w:cs="Arial"/>
          <w:sz w:val="22"/>
        </w:rPr>
        <w:t xml:space="preserve">Para el subsidio contributivo se requiere inclusión, afiliación y alta o asimilada al inicio de </w:t>
      </w:r>
      <w:r>
        <w:rPr>
          <w:rFonts w:ascii="Arial" w:hAnsi="Arial" w:cs="Arial"/>
          <w:b/>
          <w:sz w:val="22"/>
        </w:rPr>
        <w:t>cada período</w:t>
      </w:r>
      <w:r>
        <w:rPr>
          <w:rFonts w:ascii="Arial" w:hAnsi="Arial" w:cs="Arial"/>
          <w:sz w:val="22"/>
        </w:rPr>
        <w:t xml:space="preserve"> de descanso. La exigencia introducida en 2025 es importante para las semanas fraccionadas hasta ocho años: no basta haber estado de alta en el parto si al comenzar un tramo posterior no se cumple la condición legal.</w:t>
      </w:r>
    </w:p>
    <w:p>
      <w:pPr>
        <w:jc w:val="both"/>
      </w:pPr>
      <w:r>
        <w:rPr>
          <w:rFonts w:ascii="Arial" w:hAnsi="Arial" w:cs="Arial"/>
          <w:sz w:val="22"/>
        </w:rPr>
        <w:t>La carencia depende de la edad:</w:t>
      </w:r>
    </w:p>
    <w:tbl>
      <w:tblPr>
        <w:tblStyle w:val="TableGrid"/>
        <w:tblW w:type="dxa" w:w="9026"/>
        <w:jc w:val="left"/>
        <w:tblLayout w:type="fixed"/>
        <w:tblLook w:firstColumn="1" w:firstRow="1" w:lastColumn="0" w:lastRow="0" w:noHBand="0" w:noVBand="1" w:val="04A0"/>
        <w:tblInd w:w="120" w:type="dxa"/>
      </w:tblPr>
      <w:tblGrid>
        <w:gridCol w:w="3009"/>
        <w:gridCol w:w="6017"/>
      </w:tblGrid>
      <w:tr>
        <w:trPr>
          <w:tblHeader w:val="true"/>
        </w:trPr>
        <w:tc>
          <w:tcPr>
            <w:tcW w:type="dxa" w:w="30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Edad en el hecho de referencia</w:t>
            </w:r>
          </w:p>
        </w:tc>
        <w:tc>
          <w:tcPr>
            <w:tcW w:type="dxa" w:w="601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Carencia alternativa</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Menos de 21 años</w:t>
            </w:r>
          </w:p>
        </w:tc>
        <w:tc>
          <w:tcPr>
            <w:tcW w:type="dxa" w:w="6017"/>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21 a menos de 26</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90 días en los 7 años anteriores o 180 en toda la vida laboral</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26 o más</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180 días en los 7 años anteriores o 360 en toda la vida laboral</w:t>
            </w:r>
          </w:p>
        </w:tc>
      </w:tr>
    </w:tbl>
    <w:p>
      <w:pPr>
        <w:spacing w:after="40"/>
      </w:pPr>
    </w:p>
    <w:p>
      <w:pPr>
        <w:jc w:val="both"/>
      </w:pPr>
      <w:r>
        <w:rPr>
          <w:rFonts w:ascii="Arial" w:hAnsi="Arial" w:cs="Arial"/>
          <w:sz w:val="22"/>
        </w:rPr>
        <w:t>En nacimiento, para la madre se toma su edad al inicio del descanso y el parto como referencia para comprobar la carencia. En adopción internacional anticipada, la edad se determina al iniciar el descanso y la resolución sirve de referencia de acreditación.</w:t>
      </w:r>
    </w:p>
    <w:p>
      <w:pPr>
        <w:pStyle w:val="Heading2"/>
        <w:keepNext/>
      </w:pPr>
      <w:r>
        <w:rPr>
          <w:rFonts w:ascii="Arial" w:hAnsi="Arial" w:cs="Arial"/>
          <w:sz w:val="25"/>
        </w:rPr>
        <w:t>3.1. Situaciones asimiladas</w:t>
      </w:r>
    </w:p>
    <w:p>
      <w:pPr>
        <w:jc w:val="both"/>
      </w:pPr>
      <w:r>
        <w:rPr>
          <w:rFonts w:ascii="Arial" w:hAnsi="Arial" w:cs="Arial"/>
          <w:sz w:val="22"/>
        </w:rPr>
        <w:t>Entre otras, pueden ser asimiladas:</w:t>
      </w:r>
    </w:p>
    <w:p>
      <w:pPr>
        <w:pStyle w:val="ListBullet"/>
      </w:pPr>
      <w:r>
        <w:rPr>
          <w:rFonts w:ascii="Arial" w:hAnsi="Arial" w:cs="Arial"/>
          <w:sz w:val="22"/>
        </w:rPr>
        <w:t>desempleo total con prestación contributiva;</w:t>
      </w:r>
    </w:p>
    <w:p>
      <w:pPr>
        <w:pStyle w:val="ListBullet"/>
      </w:pPr>
      <w:r>
        <w:rPr>
          <w:rFonts w:ascii="Arial" w:hAnsi="Arial" w:cs="Arial"/>
          <w:sz w:val="22"/>
        </w:rPr>
        <w:t>vacaciones retribuidas no disfrutadas al extinguirse el contrato;</w:t>
      </w:r>
    </w:p>
    <w:p>
      <w:pPr>
        <w:pStyle w:val="ListBullet"/>
      </w:pPr>
      <w:r>
        <w:rPr>
          <w:rFonts w:ascii="Arial" w:hAnsi="Arial" w:cs="Arial"/>
          <w:sz w:val="22"/>
        </w:rPr>
        <w:t>traslado empresarial al extranjero;</w:t>
      </w:r>
    </w:p>
    <w:p>
      <w:pPr>
        <w:pStyle w:val="ListBullet"/>
      </w:pPr>
      <w:r>
        <w:rPr>
          <w:rFonts w:ascii="Arial" w:hAnsi="Arial" w:cs="Arial"/>
          <w:sz w:val="22"/>
        </w:rPr>
        <w:t>determinados períodos de violencia de género o sexual;</w:t>
      </w:r>
    </w:p>
    <w:p>
      <w:pPr>
        <w:pStyle w:val="ListBullet"/>
      </w:pPr>
      <w:r>
        <w:rPr>
          <w:rFonts w:ascii="Arial" w:hAnsi="Arial" w:cs="Arial"/>
          <w:sz w:val="22"/>
        </w:rPr>
        <w:t>situaciones de cargos representativos y convenios especiales específicamente incluidos;</w:t>
      </w:r>
    </w:p>
    <w:p>
      <w:pPr>
        <w:pStyle w:val="ListBullet"/>
      </w:pPr>
      <w:r>
        <w:rPr>
          <w:rFonts w:ascii="Arial" w:hAnsi="Arial" w:cs="Arial"/>
          <w:sz w:val="22"/>
        </w:rPr>
        <w:t>períodos entre campañas de fijos discontinuos con el alcance reglamentario.</w:t>
      </w:r>
    </w:p>
    <w:p>
      <w:pPr>
        <w:jc w:val="both"/>
      </w:pPr>
      <w:r>
        <w:rPr>
          <w:rFonts w:ascii="Arial" w:hAnsi="Arial" w:cs="Arial"/>
          <w:sz w:val="22"/>
        </w:rPr>
        <w:t>La condición debe existir al inicio de cada tramo. Una situación asimilada no equivale a alta para toda prestación: se aplica con el alcance previsto.</w:t>
      </w:r>
    </w:p>
    <w:p>
      <w:pPr>
        <w:pStyle w:val="Heading2"/>
        <w:keepNext/>
      </w:pPr>
      <w:r>
        <w:rPr>
          <w:rFonts w:ascii="Arial" w:hAnsi="Arial" w:cs="Arial"/>
          <w:sz w:val="25"/>
        </w:rPr>
        <w:t>3.2. Trabajadores responsables de cuotas</w:t>
      </w:r>
    </w:p>
    <w:p>
      <w:pPr>
        <w:jc w:val="both"/>
      </w:pPr>
      <w:r>
        <w:rPr>
          <w:rFonts w:ascii="Arial" w:hAnsi="Arial" w:cs="Arial"/>
          <w:sz w:val="22"/>
        </w:rPr>
        <w:t>Autónomos y otros sujetos responsables del ingreso deben estar al corriente. Si no lo están, opera la invitación al pago. Además, deben cumplir las obligaciones específicas de declaración de actividad previstas reglamentariamente.</w:t>
      </w:r>
    </w:p>
    <w:p>
      <w:pPr>
        <w:pStyle w:val="Heading1"/>
        <w:keepNext/>
      </w:pPr>
      <w:r>
        <w:rPr>
          <w:rFonts w:ascii="Arial" w:hAnsi="Arial" w:cs="Arial"/>
          <w:sz w:val="30"/>
        </w:rPr>
        <w:t>4. Cuantía y base reguladora</w:t>
      </w:r>
    </w:p>
    <w:p>
      <w:pPr>
        <w:jc w:val="both"/>
      </w:pPr>
      <w:r>
        <w:rPr>
          <w:rFonts w:ascii="Arial" w:hAnsi="Arial" w:cs="Arial"/>
          <w:sz w:val="22"/>
        </w:rPr>
        <w:t xml:space="preserve">El subsidio contributivo equivale al </w:t>
      </w:r>
      <w:r>
        <w:rPr>
          <w:rFonts w:ascii="Arial" w:hAnsi="Arial" w:cs="Arial"/>
          <w:b/>
          <w:sz w:val="22"/>
        </w:rPr>
        <w:t>100 por ciento</w:t>
      </w:r>
      <w:r>
        <w:rPr>
          <w:rFonts w:ascii="Arial" w:hAnsi="Arial" w:cs="Arial"/>
          <w:sz w:val="22"/>
        </w:rPr>
        <w:t xml:space="preserve"> de la base reguladora. Con carácter general:</w:t>
      </w:r>
    </w:p>
    <w:p>
      <w:pPr>
        <w:spacing w:after="100"/>
        <w:ind w:left="340" w:right="227"/>
        <w:shd w:fill="EAF2F8"/>
      </w:pPr>
      <w:r>
        <w:rPr>
          <w:rFonts w:ascii="Arial" w:hAnsi="Arial" w:cs="Arial"/>
          <w:sz w:val="20"/>
        </w:rPr>
        <w:t>BR diaria = base de cotización por contingencias comunes del mes inmediatamente anterior al mes previo al hecho causante ÷ días de esa cotización.</w:t>
      </w:r>
    </w:p>
    <w:p>
      <w:pPr>
        <w:jc w:val="both"/>
      </w:pPr>
      <w:r>
        <w:rPr>
          <w:rFonts w:ascii="Arial" w:hAnsi="Arial" w:cs="Arial"/>
          <w:sz w:val="22"/>
        </w:rPr>
        <w:t>Si la retribución es mensual y hubo alta todo el mes, se divide entre 30. La expresión «mes inmediatamente anterior al mes previo» significa, normalmente, el segundo mes anterior al hecho causante; no debe confundirse con la base del mes justo anterior.</w:t>
      </w:r>
    </w:p>
    <w:p>
      <w:pPr>
        <w:jc w:val="both"/>
      </w:pPr>
      <w:r>
        <w:rPr>
          <w:rFonts w:ascii="Arial" w:hAnsi="Arial" w:cs="Arial"/>
          <w:sz w:val="22"/>
        </w:rPr>
        <w:t>Si la persona ingresó en la empresa durante el mes anterior al hecho causante, se toma la base de ese mes. Si ingresó en el mismo mes, se toma la base de ese mes. El INSS puede reconocer provisionalmente con la última base disponible y regularizar después; si no cambia, la resolución provisional se hace definitiva a los tres meses.</w:t>
      </w:r>
    </w:p>
    <w:p>
      <w:pPr>
        <w:jc w:val="both"/>
      </w:pPr>
      <w:r>
        <w:rPr>
          <w:rFonts w:ascii="Arial" w:hAnsi="Arial" w:cs="Arial"/>
          <w:b/>
          <w:sz w:val="22"/>
        </w:rPr>
        <w:t>Ejemplo:</w:t>
      </w:r>
      <w:r>
        <w:rPr>
          <w:rFonts w:ascii="Arial" w:hAnsi="Arial" w:cs="Arial"/>
          <w:sz w:val="22"/>
        </w:rPr>
        <w:t xml:space="preserve"> hecho causante en mayo, alta antigua y base de marzo de 2.100 euros. BR diaria = 70 euros; el subsidio por 7 días completos es 490 euros. Si el descanso es parcial, se aplica la proporción reglamentaria.</w:t>
      </w:r>
    </w:p>
    <w:p>
      <w:pPr>
        <w:pStyle w:val="Heading2"/>
        <w:keepNext/>
      </w:pPr>
      <w:r>
        <w:rPr>
          <w:rFonts w:ascii="Arial" w:hAnsi="Arial" w:cs="Arial"/>
          <w:sz w:val="25"/>
        </w:rPr>
        <w:t>4.1. Nacimiento durante desempleo o extinción contractual</w:t>
      </w:r>
    </w:p>
    <w:p>
      <w:pPr>
        <w:jc w:val="both"/>
      </w:pPr>
      <w:r>
        <w:rPr>
          <w:rFonts w:ascii="Arial" w:hAnsi="Arial" w:cs="Arial"/>
          <w:sz w:val="22"/>
        </w:rPr>
        <w:t>Si el contrato termina durante el período, se conserva el subsidio hasta concluir el descanso reconocido. Después puede accederse al desempleo si concurren sus requisitos, sin descontar del período de paro el tiempo de nacimiento y cuidado.</w:t>
      </w:r>
    </w:p>
    <w:p>
      <w:pPr>
        <w:jc w:val="both"/>
      </w:pPr>
      <w:r>
        <w:rPr>
          <w:rFonts w:ascii="Arial" w:hAnsi="Arial" w:cs="Arial"/>
          <w:sz w:val="22"/>
        </w:rPr>
        <w:t>Si la persona cobra desempleo contributivo y entra en nacimiento y cuidado, se suspende el desempleo, el INSS paga el subsidio y, terminado, se reanuda la prestación por desempleo por la duración restante.</w:t>
      </w:r>
    </w:p>
    <w:p>
      <w:pPr>
        <w:pStyle w:val="Heading1"/>
        <w:keepNext/>
      </w:pPr>
      <w:r>
        <w:rPr>
          <w:rFonts w:ascii="Arial" w:hAnsi="Arial" w:cs="Arial"/>
          <w:sz w:val="30"/>
        </w:rPr>
        <w:t>5. Subsidio especial no contributivo por falta de carencia</w:t>
      </w:r>
    </w:p>
    <w:p>
      <w:pPr>
        <w:jc w:val="both"/>
      </w:pPr>
      <w:r>
        <w:rPr>
          <w:rFonts w:ascii="Arial" w:hAnsi="Arial" w:cs="Arial"/>
          <w:sz w:val="22"/>
        </w:rPr>
        <w:t>Quien reúne los requisitos del nacimiento y cuidado salvo el período mínimo de cotización puede acceder al supuesto especial de los artículos 181 y 182 TRLGSS.</w:t>
      </w:r>
    </w:p>
    <w:p>
      <w:pPr>
        <w:jc w:val="both"/>
      </w:pPr>
      <w:r>
        <w:rPr>
          <w:rFonts w:ascii="Arial" w:hAnsi="Arial" w:cs="Arial"/>
          <w:sz w:val="22"/>
        </w:rPr>
        <w:t>Sus notas son:</w:t>
      </w:r>
    </w:p>
    <w:p>
      <w:pPr>
        <w:pStyle w:val="ListBullet"/>
      </w:pPr>
      <w:r>
        <w:rPr>
          <w:rFonts w:ascii="Arial" w:hAnsi="Arial" w:cs="Arial"/>
          <w:sz w:val="22"/>
        </w:rPr>
        <w:t>naturaleza no contributiva a efectos legales;</w:t>
      </w:r>
    </w:p>
    <w:p>
      <w:pPr>
        <w:pStyle w:val="ListBullet"/>
      </w:pPr>
      <w:r>
        <w:rPr>
          <w:rFonts w:ascii="Arial" w:hAnsi="Arial" w:cs="Arial"/>
          <w:sz w:val="22"/>
        </w:rPr>
        <w:t>cuantía del 100 por ciento del IPREM, salvo que la base reguladora individual sea inferior;</w:t>
      </w:r>
    </w:p>
    <w:p>
      <w:pPr>
        <w:pStyle w:val="ListBullet"/>
      </w:pPr>
      <w:r>
        <w:rPr>
          <w:rFonts w:ascii="Arial" w:hAnsi="Arial" w:cs="Arial"/>
          <w:sz w:val="22"/>
        </w:rPr>
        <w:t>duración limitada al período obligatorio de seis semanas;</w:t>
      </w:r>
    </w:p>
    <w:p>
      <w:pPr>
        <w:pStyle w:val="ListBullet"/>
      </w:pPr>
      <w:r>
        <w:rPr>
          <w:rFonts w:ascii="Arial" w:hAnsi="Arial" w:cs="Arial"/>
          <w:sz w:val="22"/>
        </w:rPr>
        <w:t>disfrute completo, obligatorio, continuo e inmediato.</w:t>
      </w:r>
    </w:p>
    <w:p>
      <w:pPr>
        <w:jc w:val="both"/>
      </w:pPr>
      <w:r>
        <w:rPr>
          <w:rFonts w:ascii="Arial" w:hAnsi="Arial" w:cs="Arial"/>
          <w:sz w:val="22"/>
        </w:rPr>
        <w:t xml:space="preserve">La duración se incrementa </w:t>
      </w:r>
      <w:r>
        <w:rPr>
          <w:rFonts w:ascii="Arial" w:hAnsi="Arial" w:cs="Arial"/>
          <w:b/>
          <w:sz w:val="22"/>
        </w:rPr>
        <w:t>14 días naturales</w:t>
      </w:r>
      <w:r>
        <w:rPr>
          <w:rFonts w:ascii="Arial" w:hAnsi="Arial" w:cs="Arial"/>
          <w:sz w:val="22"/>
        </w:rPr>
        <w:t xml:space="preserve"> si concurre familia numerosa, monoparentalidad, nacimiento/adopción/guarda/acogimiento múltiple o discapacidad igual o superior al 65 por ciento del beneficiario o del menor. Aunque concurran varias circunstancias, cada beneficiario solo suma 14 días.</w:t>
      </w:r>
    </w:p>
    <w:p>
      <w:pPr>
        <w:jc w:val="both"/>
      </w:pPr>
      <w:r>
        <w:rPr>
          <w:rFonts w:ascii="Arial" w:hAnsi="Arial" w:cs="Arial"/>
          <w:sz w:val="22"/>
        </w:rPr>
        <w:t>No debe confundirse con el pago único de 1.000 euros por familia numerosa, monoparental o discapacidad parental. Uno sustituye renta durante descanso obligatorio; el otro es prestación familiar de pago único y tiene límite de ingresos.</w:t>
      </w:r>
    </w:p>
    <w:p>
      <w:pPr>
        <w:pStyle w:val="Heading1"/>
        <w:keepNext/>
      </w:pPr>
      <w:r>
        <w:rPr>
          <w:rFonts w:ascii="Arial" w:hAnsi="Arial" w:cs="Arial"/>
          <w:sz w:val="30"/>
        </w:rPr>
        <w:t>6. Nacimiento, suspensión y pérdida del subsidio</w:t>
      </w:r>
    </w:p>
    <w:p>
      <w:pPr>
        <w:jc w:val="both"/>
      </w:pPr>
      <w:r>
        <w:rPr>
          <w:rFonts w:ascii="Arial" w:hAnsi="Arial" w:cs="Arial"/>
          <w:sz w:val="22"/>
        </w:rPr>
        <w:t>El derecho nace con cada período de suspensión que se disfruta y dura lo mismo que ese tramo. El fraude para obtener o conservar el subsidio y el trabajo por cuenta propia o ajena durante el descanso permiten denegar, anular o suspender. No hay incompatibilidad cuando el trabajo forma parte del régimen válido de disfrute parcial autorizado.</w:t>
      </w:r>
    </w:p>
    <w:p>
      <w:pPr>
        <w:jc w:val="both"/>
      </w:pPr>
      <w:r>
        <w:rPr>
          <w:rFonts w:ascii="Arial" w:hAnsi="Arial" w:cs="Arial"/>
          <w:sz w:val="22"/>
        </w:rPr>
        <w:t>La persona debe solicitar los períodos flexibles y acreditar la suspensión. El INSS gestiona y paga directamente; la empresa certifica las fechas y bases, pero no reconoce el derecho.</w:t>
      </w:r>
    </w:p>
    <w:p>
      <w:pPr>
        <w:jc w:val="both"/>
      </w:pPr>
      <w:r>
        <w:rPr>
          <w:rFonts w:ascii="Arial" w:hAnsi="Arial" w:cs="Arial"/>
          <w:sz w:val="22"/>
        </w:rPr>
        <w:t>La prestación se coordina con IT. Como regla, durante el descanso no nace una IT por una patología sobrevenida; si la IT era anterior, se interrumpe o coordina y puede reanudarse después. Deben aplicarse las reglas del Real Decreto 295/2009 según jornada completa o parcial y situación contractual.</w:t>
      </w:r>
    </w:p>
    <w:p>
      <w:pPr>
        <w:pStyle w:val="Heading1"/>
        <w:keepNext/>
      </w:pPr>
      <w:r>
        <w:rPr>
          <w:rFonts w:ascii="Arial" w:hAnsi="Arial" w:cs="Arial"/>
          <w:sz w:val="30"/>
        </w:rPr>
        <w:t>7. Ejercicio corresponsable del cuidado del lactante</w:t>
      </w:r>
    </w:p>
    <w:p>
      <w:pPr>
        <w:jc w:val="both"/>
      </w:pPr>
      <w:r>
        <w:rPr>
          <w:rFonts w:ascii="Arial" w:hAnsi="Arial" w:cs="Arial"/>
          <w:sz w:val="22"/>
        </w:rPr>
        <w:t xml:space="preserve">La prestación no cubre todo permiso de lactancia. La situación protegida es la reducción de jornada en </w:t>
      </w:r>
      <w:r>
        <w:rPr>
          <w:rFonts w:ascii="Arial" w:hAnsi="Arial" w:cs="Arial"/>
          <w:b/>
          <w:sz w:val="22"/>
        </w:rPr>
        <w:t>media hora</w:t>
      </w:r>
      <w:r>
        <w:rPr>
          <w:rFonts w:ascii="Arial" w:hAnsi="Arial" w:cs="Arial"/>
          <w:sz w:val="22"/>
        </w:rPr>
        <w:t>, desde que el menor cumple 9 meses hasta los 12, ejercida:</w:t>
      </w:r>
    </w:p>
    <w:p>
      <w:pPr>
        <w:pStyle w:val="ListBullet"/>
      </w:pPr>
      <w:r>
        <w:rPr>
          <w:rFonts w:ascii="Arial" w:hAnsi="Arial" w:cs="Arial"/>
          <w:sz w:val="22"/>
        </w:rPr>
        <w:t>por ambos progenitores, adoptantes, guardadores o acogedores permanentes;</w:t>
      </w:r>
    </w:p>
    <w:p>
      <w:pPr>
        <w:pStyle w:val="ListBullet"/>
      </w:pPr>
      <w:r>
        <w:rPr>
          <w:rFonts w:ascii="Arial" w:hAnsi="Arial" w:cs="Arial"/>
          <w:sz w:val="22"/>
        </w:rPr>
        <w:t>con la misma duración y régimen;</w:t>
      </w:r>
    </w:p>
    <w:p>
      <w:pPr>
        <w:pStyle w:val="ListBullet"/>
      </w:pPr>
      <w:r>
        <w:rPr>
          <w:rFonts w:ascii="Arial" w:hAnsi="Arial" w:cs="Arial"/>
          <w:sz w:val="22"/>
        </w:rPr>
        <w:t>cuando ambos trabajan;</w:t>
      </w:r>
    </w:p>
    <w:p>
      <w:pPr>
        <w:pStyle w:val="ListBullet"/>
      </w:pPr>
      <w:r>
        <w:rPr>
          <w:rFonts w:ascii="Arial" w:hAnsi="Arial" w:cs="Arial"/>
          <w:sz w:val="22"/>
        </w:rPr>
        <w:t>acreditada por certificación de las empresas.</w:t>
      </w:r>
    </w:p>
    <w:p>
      <w:pPr>
        <w:jc w:val="both"/>
      </w:pPr>
      <w:r>
        <w:rPr>
          <w:rFonts w:ascii="Arial" w:hAnsi="Arial" w:cs="Arial"/>
          <w:sz w:val="22"/>
        </w:rPr>
        <w:t>Si ambos cumplen, solo uno puede ser beneficiario del subsidio. La otra persona conserva su derecho laboral a reducir jornada, pero no existe doble prestación.</w:t>
      </w:r>
    </w:p>
    <w:p>
      <w:pPr>
        <w:jc w:val="both"/>
      </w:pPr>
      <w:r>
        <w:rPr>
          <w:rFonts w:ascii="Arial" w:hAnsi="Arial" w:cs="Arial"/>
          <w:sz w:val="22"/>
        </w:rPr>
        <w:t xml:space="preserve">La cuantía es el </w:t>
      </w:r>
      <w:r>
        <w:rPr>
          <w:rFonts w:ascii="Arial" w:hAnsi="Arial" w:cs="Arial"/>
          <w:b/>
          <w:sz w:val="22"/>
        </w:rPr>
        <w:t>100 por ciento</w:t>
      </w:r>
      <w:r>
        <w:rPr>
          <w:rFonts w:ascii="Arial" w:hAnsi="Arial" w:cs="Arial"/>
          <w:sz w:val="22"/>
        </w:rPr>
        <w:t xml:space="preserve"> de la base reguladora de IT por contingencias comunes, en proporción a la reducción de jornada. Se extingue al cumplir el menor 12 meses. No se aplica a funcionarios públicos incluidos en su régimen estatutario, que siguen el EBEP.</w:t>
      </w:r>
    </w:p>
    <w:tbl>
      <w:tblPr>
        <w:tblStyle w:val="TableGrid"/>
        <w:tblW w:type="dxa" w:w="9026"/>
        <w:jc w:val="left"/>
        <w:tblLayout w:type="fixed"/>
        <w:tblLook w:firstColumn="1" w:firstRow="1" w:lastColumn="0" w:lastRow="0" w:noHBand="0" w:noVBand="1" w:val="04A0"/>
        <w:tblInd w:w="120" w:type="dxa"/>
      </w:tblPr>
      <w:tblGrid>
        <w:gridCol w:w="4033"/>
        <w:gridCol w:w="4993"/>
      </w:tblGrid>
      <w:tr>
        <w:trPr>
          <w:tblHeader w:val="true"/>
        </w:trPr>
        <w:tc>
          <w:tcPr>
            <w:tcW w:type="dxa" w:w="403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499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w:t>
            </w:r>
          </w:p>
        </w:tc>
      </w:tr>
      <w:tr>
        <w:tc>
          <w:tcPr>
            <w:tcW w:type="dxa" w:w="4033"/>
            <w:tcMar>
              <w:top w:w="80" w:type="dxa"/>
              <w:start w:w="120" w:type="dxa"/>
              <w:bottom w:w="80" w:type="dxa"/>
              <w:end w:w="120" w:type="dxa"/>
            </w:tcMar>
            <w:vAlign w:val="center"/>
          </w:tcPr>
          <w:p>
            <w:pPr>
              <w:spacing w:before="0" w:after="0" w:line="240" w:lineRule="auto"/>
              <w:jc w:val="left"/>
            </w:pPr>
            <w:r/>
            <w:r>
              <w:rPr>
                <w:rFonts w:ascii="Arial" w:hAnsi="Arial" w:cs="Arial"/>
                <w:sz w:val="18"/>
              </w:rPr>
              <w:t>Inicio</w:t>
            </w:r>
          </w:p>
        </w:tc>
        <w:tc>
          <w:tcPr>
            <w:tcW w:type="dxa" w:w="4993"/>
            <w:tcMar>
              <w:top w:w="80" w:type="dxa"/>
              <w:start w:w="120" w:type="dxa"/>
              <w:bottom w:w="80" w:type="dxa"/>
              <w:end w:w="120" w:type="dxa"/>
            </w:tcMar>
            <w:vAlign w:val="center"/>
          </w:tcPr>
          <w:p>
            <w:pPr>
              <w:spacing w:before="0" w:after="0" w:line="240" w:lineRule="auto"/>
              <w:jc w:val="left"/>
            </w:pPr>
            <w:r/>
            <w:r>
              <w:rPr>
                <w:rFonts w:ascii="Arial" w:hAnsi="Arial" w:cs="Arial"/>
                <w:sz w:val="18"/>
              </w:rPr>
              <w:t>Al cumplir 9 meses</w:t>
            </w:r>
          </w:p>
        </w:tc>
      </w:tr>
      <w:tr>
        <w:tc>
          <w:tcPr>
            <w:tcW w:type="dxa" w:w="4033"/>
            <w:tcMar>
              <w:top w:w="80" w:type="dxa"/>
              <w:start w:w="120" w:type="dxa"/>
              <w:bottom w:w="80" w:type="dxa"/>
              <w:end w:w="120" w:type="dxa"/>
            </w:tcMar>
            <w:vAlign w:val="center"/>
          </w:tcPr>
          <w:p>
            <w:pPr>
              <w:spacing w:before="0" w:after="0" w:line="240" w:lineRule="auto"/>
              <w:jc w:val="left"/>
            </w:pPr>
            <w:r/>
            <w:r>
              <w:rPr>
                <w:rFonts w:ascii="Arial" w:hAnsi="Arial" w:cs="Arial"/>
                <w:sz w:val="18"/>
              </w:rPr>
              <w:t>Fin</w:t>
            </w:r>
          </w:p>
        </w:tc>
        <w:tc>
          <w:tcPr>
            <w:tcW w:type="dxa" w:w="4993"/>
            <w:tcMar>
              <w:top w:w="80" w:type="dxa"/>
              <w:start w:w="120" w:type="dxa"/>
              <w:bottom w:w="80" w:type="dxa"/>
              <w:end w:w="120" w:type="dxa"/>
            </w:tcMar>
            <w:vAlign w:val="center"/>
          </w:tcPr>
          <w:p>
            <w:pPr>
              <w:spacing w:before="0" w:after="0" w:line="240" w:lineRule="auto"/>
              <w:jc w:val="left"/>
            </w:pPr>
            <w:r/>
            <w:r>
              <w:rPr>
                <w:rFonts w:ascii="Arial" w:hAnsi="Arial" w:cs="Arial"/>
                <w:sz w:val="18"/>
              </w:rPr>
              <w:t>Al cumplir 12 meses</w:t>
            </w:r>
          </w:p>
        </w:tc>
      </w:tr>
      <w:tr>
        <w:tc>
          <w:tcPr>
            <w:tcW w:type="dxa" w:w="4033"/>
            <w:tcMar>
              <w:top w:w="80" w:type="dxa"/>
              <w:start w:w="120" w:type="dxa"/>
              <w:bottom w:w="80" w:type="dxa"/>
              <w:end w:w="120" w:type="dxa"/>
            </w:tcMar>
            <w:vAlign w:val="center"/>
          </w:tcPr>
          <w:p>
            <w:pPr>
              <w:spacing w:before="0" w:after="0" w:line="240" w:lineRule="auto"/>
              <w:jc w:val="left"/>
            </w:pPr>
            <w:r/>
            <w:r>
              <w:rPr>
                <w:rFonts w:ascii="Arial" w:hAnsi="Arial" w:cs="Arial"/>
                <w:sz w:val="18"/>
              </w:rPr>
              <w:t>Reducción protegida</w:t>
            </w:r>
          </w:p>
        </w:tc>
        <w:tc>
          <w:tcPr>
            <w:tcW w:type="dxa" w:w="4993"/>
            <w:tcMar>
              <w:top w:w="80" w:type="dxa"/>
              <w:start w:w="120" w:type="dxa"/>
              <w:bottom w:w="80" w:type="dxa"/>
              <w:end w:w="120" w:type="dxa"/>
            </w:tcMar>
            <w:vAlign w:val="center"/>
          </w:tcPr>
          <w:p>
            <w:pPr>
              <w:spacing w:before="0" w:after="0" w:line="240" w:lineRule="auto"/>
              <w:jc w:val="center"/>
            </w:pPr>
            <w:r/>
            <w:r>
              <w:rPr>
                <w:rFonts w:ascii="Arial" w:hAnsi="Arial" w:cs="Arial"/>
                <w:sz w:val="18"/>
              </w:rPr>
              <w:t>Media hora</w:t>
            </w:r>
          </w:p>
        </w:tc>
      </w:tr>
      <w:tr>
        <w:tc>
          <w:tcPr>
            <w:tcW w:type="dxa" w:w="4033"/>
            <w:tcMar>
              <w:top w:w="80" w:type="dxa"/>
              <w:start w:w="120" w:type="dxa"/>
              <w:bottom w:w="80" w:type="dxa"/>
              <w:end w:w="120" w:type="dxa"/>
            </w:tcMar>
            <w:vAlign w:val="center"/>
          </w:tcPr>
          <w:p>
            <w:pPr>
              <w:spacing w:before="0" w:after="0" w:line="240" w:lineRule="auto"/>
              <w:jc w:val="left"/>
            </w:pPr>
            <w:r/>
            <w:r>
              <w:rPr>
                <w:rFonts w:ascii="Arial" w:hAnsi="Arial" w:cs="Arial"/>
                <w:sz w:val="18"/>
              </w:rPr>
              <w:t>Ejercicio</w:t>
            </w:r>
          </w:p>
        </w:tc>
        <w:tc>
          <w:tcPr>
            <w:tcW w:type="dxa" w:w="4993"/>
            <w:tcMar>
              <w:top w:w="80" w:type="dxa"/>
              <w:start w:w="120" w:type="dxa"/>
              <w:bottom w:w="80" w:type="dxa"/>
              <w:end w:w="120" w:type="dxa"/>
            </w:tcMar>
            <w:vAlign w:val="center"/>
          </w:tcPr>
          <w:p>
            <w:pPr>
              <w:spacing w:before="0" w:after="0" w:line="240" w:lineRule="auto"/>
              <w:jc w:val="left"/>
            </w:pPr>
            <w:r/>
            <w:r>
              <w:rPr>
                <w:rFonts w:ascii="Arial" w:hAnsi="Arial" w:cs="Arial"/>
                <w:sz w:val="18"/>
              </w:rPr>
              <w:t>Ambos, igual duración y régimen</w:t>
            </w:r>
          </w:p>
        </w:tc>
      </w:tr>
      <w:tr>
        <w:tc>
          <w:tcPr>
            <w:tcW w:type="dxa" w:w="4033"/>
            <w:tcMar>
              <w:top w:w="80" w:type="dxa"/>
              <w:start w:w="120" w:type="dxa"/>
              <w:bottom w:w="80" w:type="dxa"/>
              <w:end w:w="120" w:type="dxa"/>
            </w:tcMar>
            <w:vAlign w:val="center"/>
          </w:tcPr>
          <w:p>
            <w:pPr>
              <w:spacing w:before="0" w:after="0" w:line="240" w:lineRule="auto"/>
              <w:jc w:val="left"/>
            </w:pPr>
            <w:r/>
            <w:r>
              <w:rPr>
                <w:rFonts w:ascii="Arial" w:hAnsi="Arial" w:cs="Arial"/>
                <w:sz w:val="18"/>
              </w:rPr>
              <w:t>Beneficiario económico</w:t>
            </w:r>
          </w:p>
        </w:tc>
        <w:tc>
          <w:tcPr>
            <w:tcW w:type="dxa" w:w="4993"/>
            <w:tcMar>
              <w:top w:w="80" w:type="dxa"/>
              <w:start w:w="120" w:type="dxa"/>
              <w:bottom w:w="80" w:type="dxa"/>
              <w:end w:w="120" w:type="dxa"/>
            </w:tcMar>
            <w:vAlign w:val="center"/>
          </w:tcPr>
          <w:p>
            <w:pPr>
              <w:spacing w:before="0" w:after="0" w:line="240" w:lineRule="auto"/>
              <w:jc w:val="center"/>
            </w:pPr>
            <w:r/>
            <w:r>
              <w:rPr>
                <w:rFonts w:ascii="Arial" w:hAnsi="Arial" w:cs="Arial"/>
                <w:sz w:val="18"/>
              </w:rPr>
              <w:t>Solo uno</w:t>
            </w:r>
          </w:p>
        </w:tc>
      </w:tr>
      <w:tr>
        <w:tc>
          <w:tcPr>
            <w:tcW w:type="dxa" w:w="4033"/>
            <w:tcMar>
              <w:top w:w="80" w:type="dxa"/>
              <w:start w:w="120" w:type="dxa"/>
              <w:bottom w:w="80" w:type="dxa"/>
              <w:end w:w="120" w:type="dxa"/>
            </w:tcMar>
            <w:vAlign w:val="center"/>
          </w:tcPr>
          <w:p>
            <w:pPr>
              <w:spacing w:before="0" w:after="0" w:line="240" w:lineRule="auto"/>
              <w:jc w:val="left"/>
            </w:pPr>
            <w:r/>
            <w:r>
              <w:rPr>
                <w:rFonts w:ascii="Arial" w:hAnsi="Arial" w:cs="Arial"/>
                <w:sz w:val="18"/>
              </w:rPr>
              <w:t>Cuantía</w:t>
            </w:r>
          </w:p>
        </w:tc>
        <w:tc>
          <w:tcPr>
            <w:tcW w:type="dxa" w:w="4993"/>
            <w:tcMar>
              <w:top w:w="80" w:type="dxa"/>
              <w:start w:w="120" w:type="dxa"/>
              <w:bottom w:w="80" w:type="dxa"/>
              <w:end w:w="120" w:type="dxa"/>
            </w:tcMar>
            <w:vAlign w:val="center"/>
          </w:tcPr>
          <w:p>
            <w:pPr>
              <w:spacing w:before="0" w:after="0" w:line="240" w:lineRule="auto"/>
              <w:jc w:val="left"/>
            </w:pPr>
            <w:r/>
            <w:r>
              <w:rPr>
                <w:rFonts w:ascii="Arial" w:hAnsi="Arial" w:cs="Arial"/>
                <w:sz w:val="18"/>
              </w:rPr>
              <w:t>100 % BR común proporcional</w:t>
            </w:r>
          </w:p>
        </w:tc>
      </w:tr>
    </w:tbl>
    <w:p>
      <w:pPr>
        <w:spacing w:after="40"/>
      </w:pPr>
    </w:p>
    <w:p>
      <w:pPr>
        <w:pStyle w:val="Heading1"/>
        <w:keepNext/>
      </w:pPr>
      <w:r>
        <w:rPr>
          <w:rFonts w:ascii="Arial" w:hAnsi="Arial" w:cs="Arial"/>
          <w:sz w:val="30"/>
        </w:rPr>
        <w:t>8. Riesgo durante el embarazo</w:t>
      </w:r>
    </w:p>
    <w:p>
      <w:pPr>
        <w:jc w:val="both"/>
      </w:pPr>
      <w:r>
        <w:rPr>
          <w:rFonts w:ascii="Arial" w:hAnsi="Arial" w:cs="Arial"/>
          <w:sz w:val="22"/>
        </w:rPr>
        <w:t xml:space="preserve">No protege una enfermedad del embarazo por sí misma. Protege el riesgo derivado de agentes, procedimientos o condiciones del </w:t>
      </w:r>
      <w:r>
        <w:rPr>
          <w:rFonts w:ascii="Arial" w:hAnsi="Arial" w:cs="Arial"/>
          <w:b/>
          <w:sz w:val="22"/>
        </w:rPr>
        <w:t>puesto</w:t>
      </w:r>
      <w:r>
        <w:rPr>
          <w:rFonts w:ascii="Arial" w:hAnsi="Arial" w:cs="Arial"/>
          <w:sz w:val="22"/>
        </w:rPr>
        <w:t xml:space="preserve"> cuando:</w:t>
      </w:r>
    </w:p>
    <w:p>
      <w:pPr>
        <w:spacing w:after="40"/>
        <w:ind w:left="369" w:hanging="227"/>
      </w:pPr>
      <w:r>
        <w:rPr>
          <w:rFonts w:ascii="Arial" w:hAnsi="Arial" w:cs="Arial"/>
          <w:sz w:val="22"/>
        </w:rPr>
        <w:t>1. el puesto puede influir negativamente en la salud de la trabajadora o del feto;</w:t>
      </w:r>
    </w:p>
    <w:p>
      <w:pPr>
        <w:spacing w:after="40"/>
        <w:ind w:left="369" w:hanging="227"/>
      </w:pPr>
      <w:r>
        <w:rPr>
          <w:rFonts w:ascii="Arial" w:hAnsi="Arial" w:cs="Arial"/>
          <w:sz w:val="22"/>
        </w:rPr>
        <w:t>2. la evaluación exige cambio a otro puesto compatible;</w:t>
      </w:r>
    </w:p>
    <w:p>
      <w:pPr>
        <w:spacing w:after="40"/>
        <w:ind w:left="369" w:hanging="227"/>
      </w:pPr>
      <w:r>
        <w:rPr>
          <w:rFonts w:ascii="Arial" w:hAnsi="Arial" w:cs="Arial"/>
          <w:sz w:val="22"/>
        </w:rPr>
        <w:t>3. el cambio no resulta técnica u objetivamente posible o no puede razonablemente exigirse;</w:t>
      </w:r>
    </w:p>
    <w:p>
      <w:pPr>
        <w:spacing w:after="40"/>
        <w:ind w:left="369" w:hanging="227"/>
      </w:pPr>
      <w:r>
        <w:rPr>
          <w:rFonts w:ascii="Arial" w:hAnsi="Arial" w:cs="Arial"/>
          <w:sz w:val="22"/>
        </w:rPr>
        <w:t>4. se suspende el contrato.</w:t>
      </w:r>
    </w:p>
    <w:p>
      <w:pPr>
        <w:jc w:val="both"/>
      </w:pPr>
      <w:r>
        <w:rPr>
          <w:rFonts w:ascii="Arial" w:hAnsi="Arial" w:cs="Arial"/>
          <w:sz w:val="22"/>
        </w:rPr>
        <w:t>Si la causa del impedimento es clínica y no laboral, procede valorar IT. Si existe puesto compatible, debe adaptarse o cambiarse antes de suspender.</w:t>
      </w:r>
    </w:p>
    <w:p>
      <w:pPr>
        <w:jc w:val="both"/>
      </w:pPr>
      <w:r>
        <w:rPr>
          <w:rFonts w:ascii="Arial" w:hAnsi="Arial" w:cs="Arial"/>
          <w:sz w:val="22"/>
        </w:rPr>
        <w:t xml:space="preserve">La prestación tiene naturaleza profesional, pero no exige accidente ni enfermedad profesional. La cuantía es </w:t>
      </w:r>
      <w:r>
        <w:rPr>
          <w:rFonts w:ascii="Arial" w:hAnsi="Arial" w:cs="Arial"/>
          <w:b/>
          <w:sz w:val="22"/>
        </w:rPr>
        <w:t>100 por ciento</w:t>
      </w:r>
      <w:r>
        <w:rPr>
          <w:rFonts w:ascii="Arial" w:hAnsi="Arial" w:cs="Arial"/>
          <w:sz w:val="22"/>
        </w:rPr>
        <w:t xml:space="preserve"> de la base reguladora de IT profesional. Nace el mismo día en que se inicia la suspensión y termina el día anterior:</w:t>
      </w:r>
    </w:p>
    <w:p>
      <w:pPr>
        <w:pStyle w:val="ListBullet"/>
      </w:pPr>
      <w:r>
        <w:rPr>
          <w:rFonts w:ascii="Arial" w:hAnsi="Arial" w:cs="Arial"/>
          <w:sz w:val="22"/>
        </w:rPr>
        <w:t>al inicio de nacimiento y cuidado;</w:t>
      </w:r>
    </w:p>
    <w:p>
      <w:pPr>
        <w:pStyle w:val="ListBullet"/>
      </w:pPr>
      <w:r>
        <w:rPr>
          <w:rFonts w:ascii="Arial" w:hAnsi="Arial" w:cs="Arial"/>
          <w:sz w:val="22"/>
        </w:rPr>
        <w:t>a la reincorporación al puesto anterior o compatible;</w:t>
      </w:r>
    </w:p>
    <w:p>
      <w:pPr>
        <w:pStyle w:val="ListBullet"/>
      </w:pPr>
      <w:r>
        <w:rPr>
          <w:rFonts w:ascii="Arial" w:hAnsi="Arial" w:cs="Arial"/>
          <w:sz w:val="22"/>
        </w:rPr>
        <w:t>a la extinción contractual;</w:t>
      </w:r>
    </w:p>
    <w:p>
      <w:pPr>
        <w:pStyle w:val="ListBullet"/>
      </w:pPr>
      <w:r>
        <w:rPr>
          <w:rFonts w:ascii="Arial" w:hAnsi="Arial" w:cs="Arial"/>
          <w:sz w:val="22"/>
        </w:rPr>
        <w:t>a la interrupción del embarazo;</w:t>
      </w:r>
    </w:p>
    <w:p>
      <w:pPr>
        <w:pStyle w:val="ListBullet"/>
      </w:pPr>
      <w:r>
        <w:rPr>
          <w:rFonts w:ascii="Arial" w:hAnsi="Arial" w:cs="Arial"/>
          <w:sz w:val="22"/>
        </w:rPr>
        <w:t>o por fallecimiento.</w:t>
      </w:r>
    </w:p>
    <w:p>
      <w:pPr>
        <w:jc w:val="both"/>
      </w:pPr>
      <w:r>
        <w:rPr>
          <w:rFonts w:ascii="Arial" w:hAnsi="Arial" w:cs="Arial"/>
          <w:sz w:val="22"/>
        </w:rPr>
        <w:t>La gestiona y paga el INSS/ISM o la mutua con la que estén cubiertas las contingencias profesionales. La empresa no realiza pago delegado.</w:t>
      </w:r>
    </w:p>
    <w:p>
      <w:pPr>
        <w:pStyle w:val="Heading2"/>
        <w:keepNext/>
      </w:pPr>
      <w:r>
        <w:rPr>
          <w:rFonts w:ascii="Arial" w:hAnsi="Arial" w:cs="Arial"/>
          <w:sz w:val="25"/>
        </w:rPr>
        <w:t>8.1. Procedimiento</w:t>
      </w:r>
    </w:p>
    <w:p>
      <w:pPr>
        <w:jc w:val="both"/>
      </w:pPr>
      <w:r>
        <w:rPr>
          <w:rFonts w:ascii="Arial" w:hAnsi="Arial" w:cs="Arial"/>
          <w:sz w:val="22"/>
        </w:rPr>
        <w:t>La interesada obtiene informe del servicio público de salud sobre embarazo y fecha probable de parto. La empresa certifica tareas y condiciones. La entidad gestora o mutua certifica si existe riesgo. Si no cabe cambio de puesto, la empresa declara la suspensión y se presenta solicitud con la documentación.</w:t>
      </w:r>
    </w:p>
    <w:p>
      <w:pPr>
        <w:jc w:val="both"/>
      </w:pPr>
      <w:r>
        <w:rPr>
          <w:rFonts w:ascii="Arial" w:hAnsi="Arial" w:cs="Arial"/>
          <w:sz w:val="22"/>
        </w:rPr>
        <w:t>Si la trabajadora está en IT cuando pide riesgo, este no se reconoce hasta extinguirse la IT. Si ya está en riesgo y solicita IT, esta no nace hasta finalizar el riesgo. No se cobran simultáneamente por el mismo período.</w:t>
      </w:r>
    </w:p>
    <w:p>
      <w:pPr>
        <w:jc w:val="both"/>
      </w:pPr>
      <w:r>
        <w:rPr>
          <w:rFonts w:ascii="Arial" w:hAnsi="Arial" w:cs="Arial"/>
          <w:sz w:val="22"/>
        </w:rPr>
        <w:t>En pluriactividad, si el riesgo afecta a todas las actividades puede existir subsidio en cada régimen si se cumplen requisitos de forma independiente; si afecta solo a una, se protege esa actividad y puede mantenerse la otra.</w:t>
      </w:r>
    </w:p>
    <w:p>
      <w:pPr>
        <w:pStyle w:val="Heading1"/>
        <w:keepNext/>
      </w:pPr>
      <w:r>
        <w:rPr>
          <w:rFonts w:ascii="Arial" w:hAnsi="Arial" w:cs="Arial"/>
          <w:sz w:val="30"/>
        </w:rPr>
        <w:t>9. Riesgo durante la lactancia natural</w:t>
      </w:r>
    </w:p>
    <w:p>
      <w:pPr>
        <w:jc w:val="both"/>
      </w:pPr>
      <w:r>
        <w:rPr>
          <w:rFonts w:ascii="Arial" w:hAnsi="Arial" w:cs="Arial"/>
          <w:sz w:val="22"/>
        </w:rPr>
        <w:t>La estructura es paralela. Debe existir lactancia natural y riesgo laboral para la mujer o el hijo, imposibilidad de adaptación o cambio y suspensión del contrato o interrupción de la actividad.</w:t>
      </w:r>
    </w:p>
    <w:p>
      <w:pPr>
        <w:jc w:val="both"/>
      </w:pPr>
      <w:r>
        <w:rPr>
          <w:rFonts w:ascii="Arial" w:hAnsi="Arial" w:cs="Arial"/>
          <w:sz w:val="22"/>
        </w:rPr>
        <w:t>No son situación protegida los riesgos o patologías ajenos al puesto. La cuantía es el 100 por ciento de BR profesional; gestión y procedimiento siguen el régimen de riesgo durante el embarazo.</w:t>
      </w:r>
    </w:p>
    <w:p>
      <w:pPr>
        <w:jc w:val="both"/>
      </w:pPr>
      <w:r>
        <w:rPr>
          <w:rFonts w:ascii="Arial" w:hAnsi="Arial" w:cs="Arial"/>
          <w:sz w:val="22"/>
        </w:rPr>
        <w:t>Se extingue:</w:t>
      </w:r>
    </w:p>
    <w:p>
      <w:pPr>
        <w:pStyle w:val="ListBullet"/>
      </w:pPr>
      <w:r>
        <w:rPr>
          <w:rFonts w:ascii="Arial" w:hAnsi="Arial" w:cs="Arial"/>
          <w:sz w:val="22"/>
        </w:rPr>
        <w:t xml:space="preserve">cuando el hijo cumple </w:t>
      </w:r>
      <w:r>
        <w:rPr>
          <w:rFonts w:ascii="Arial" w:hAnsi="Arial" w:cs="Arial"/>
          <w:b/>
          <w:sz w:val="22"/>
        </w:rPr>
        <w:t>9 meses</w:t>
      </w:r>
      <w:r>
        <w:rPr>
          <w:rFonts w:ascii="Arial" w:hAnsi="Arial" w:cs="Arial"/>
          <w:sz w:val="22"/>
        </w:rPr>
        <w:t>;</w:t>
      </w:r>
    </w:p>
    <w:p>
      <w:pPr>
        <w:pStyle w:val="ListBullet"/>
      </w:pPr>
      <w:r>
        <w:rPr>
          <w:rFonts w:ascii="Arial" w:hAnsi="Arial" w:cs="Arial"/>
          <w:sz w:val="22"/>
        </w:rPr>
        <w:t>el día anterior a la reincorporación al puesto anterior o compatible;</w:t>
      </w:r>
    </w:p>
    <w:p>
      <w:pPr>
        <w:pStyle w:val="ListBullet"/>
      </w:pPr>
      <w:r>
        <w:rPr>
          <w:rFonts w:ascii="Arial" w:hAnsi="Arial" w:cs="Arial"/>
          <w:sz w:val="22"/>
        </w:rPr>
        <w:t>por extinción del contrato;</w:t>
      </w:r>
    </w:p>
    <w:p>
      <w:pPr>
        <w:pStyle w:val="ListBullet"/>
      </w:pPr>
      <w:r>
        <w:rPr>
          <w:rFonts w:ascii="Arial" w:hAnsi="Arial" w:cs="Arial"/>
          <w:sz w:val="22"/>
        </w:rPr>
        <w:t>por interrupción de la lactancia natural;</w:t>
      </w:r>
    </w:p>
    <w:p>
      <w:pPr>
        <w:pStyle w:val="ListBullet"/>
      </w:pPr>
      <w:r>
        <w:rPr>
          <w:rFonts w:ascii="Arial" w:hAnsi="Arial" w:cs="Arial"/>
          <w:sz w:val="22"/>
        </w:rPr>
        <w:t>por fallecimiento de beneficiaria o lactante.</w:t>
      </w:r>
    </w:p>
    <w:p>
      <w:pPr>
        <w:jc w:val="both"/>
      </w:pPr>
      <w:r>
        <w:rPr>
          <w:rFonts w:ascii="Arial" w:hAnsi="Arial" w:cs="Arial"/>
          <w:sz w:val="22"/>
        </w:rPr>
        <w:t>El límite de 9 meses diferencia esta prestación del ejercicio corresponsable del cuidado del lactante, que precisamente opera de 9 a 12 meses.</w:t>
      </w:r>
    </w:p>
    <w:p>
      <w:pPr>
        <w:pStyle w:val="Heading1"/>
        <w:keepNext/>
      </w:pPr>
      <w:r>
        <w:rPr>
          <w:rFonts w:ascii="Arial" w:hAnsi="Arial" w:cs="Arial"/>
          <w:sz w:val="30"/>
        </w:rPr>
        <w:t>10. Comparación de cuatro figuras</w:t>
      </w:r>
    </w:p>
    <w:tbl>
      <w:tblPr>
        <w:tblStyle w:val="TableGrid"/>
        <w:tblW w:type="dxa" w:w="9026"/>
        <w:jc w:val="left"/>
        <w:tblLayout w:type="fixed"/>
        <w:tblLook w:firstColumn="1" w:firstRow="1" w:lastColumn="0" w:lastRow="0" w:noHBand="0" w:noVBand="1" w:val="04A0"/>
        <w:tblInd w:w="120" w:type="dxa"/>
      </w:tblPr>
      <w:tblGrid>
        <w:gridCol w:w="1676"/>
        <w:gridCol w:w="2450"/>
        <w:gridCol w:w="2192"/>
        <w:gridCol w:w="1418"/>
        <w:gridCol w:w="1290"/>
      </w:tblGrid>
      <w:tr>
        <w:trPr>
          <w:tblHeader w:val="true"/>
        </w:trPr>
        <w:tc>
          <w:tcPr>
            <w:tcW w:type="dxa" w:w="167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245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Causa</w:t>
            </w:r>
          </w:p>
        </w:tc>
        <w:tc>
          <w:tcPr>
            <w:tcW w:type="dxa" w:w="219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Jornada/contrato</w:t>
            </w:r>
          </w:p>
        </w:tc>
        <w:tc>
          <w:tcPr>
            <w:tcW w:type="dxa" w:w="141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Cuantía</w:t>
            </w:r>
          </w:p>
        </w:tc>
        <w:tc>
          <w:tcPr>
            <w:tcW w:type="dxa" w:w="129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Límite</w:t>
            </w:r>
          </w:p>
        </w:tc>
      </w:tr>
      <w:tr>
        <w:tc>
          <w:tcPr>
            <w:tcW w:type="dxa" w:w="1676"/>
            <w:tcMar>
              <w:top w:w="80" w:type="dxa"/>
              <w:start w:w="120" w:type="dxa"/>
              <w:bottom w:w="80" w:type="dxa"/>
              <w:end w:w="120" w:type="dxa"/>
            </w:tcMar>
            <w:vAlign w:val="center"/>
          </w:tcPr>
          <w:p>
            <w:pPr>
              <w:spacing w:before="0" w:after="0" w:line="240" w:lineRule="auto"/>
              <w:jc w:val="left"/>
            </w:pPr>
            <w:r/>
            <w:r>
              <w:rPr>
                <w:rFonts w:ascii="Arial" w:hAnsi="Arial" w:cs="Arial"/>
                <w:sz w:val="18"/>
              </w:rPr>
              <w:t>Nacimiento y cuidado</w:t>
            </w:r>
          </w:p>
        </w:tc>
        <w:tc>
          <w:tcPr>
            <w:tcW w:type="dxa" w:w="2450"/>
            <w:tcMar>
              <w:top w:w="80" w:type="dxa"/>
              <w:start w:w="120" w:type="dxa"/>
              <w:bottom w:w="80" w:type="dxa"/>
              <w:end w:w="120" w:type="dxa"/>
            </w:tcMar>
            <w:vAlign w:val="center"/>
          </w:tcPr>
          <w:p>
            <w:pPr>
              <w:spacing w:before="0" w:after="0" w:line="240" w:lineRule="auto"/>
              <w:jc w:val="center"/>
            </w:pPr>
            <w:r/>
            <w:r>
              <w:rPr>
                <w:rFonts w:ascii="Arial" w:hAnsi="Arial" w:cs="Arial"/>
                <w:sz w:val="18"/>
              </w:rPr>
              <w:t>Hecho familiar</w:t>
            </w:r>
          </w:p>
        </w:tc>
        <w:tc>
          <w:tcPr>
            <w:tcW w:type="dxa" w:w="2192"/>
            <w:tcMar>
              <w:top w:w="80" w:type="dxa"/>
              <w:start w:w="120" w:type="dxa"/>
              <w:bottom w:w="80" w:type="dxa"/>
              <w:end w:w="120" w:type="dxa"/>
            </w:tcMar>
            <w:vAlign w:val="center"/>
          </w:tcPr>
          <w:p>
            <w:pPr>
              <w:spacing w:before="0" w:after="0" w:line="240" w:lineRule="auto"/>
              <w:jc w:val="center"/>
            </w:pPr>
            <w:r/>
            <w:r>
              <w:rPr>
                <w:rFonts w:ascii="Arial" w:hAnsi="Arial" w:cs="Arial"/>
                <w:sz w:val="18"/>
              </w:rPr>
              <w:t>Suspensión</w:t>
            </w:r>
          </w:p>
        </w:tc>
        <w:tc>
          <w:tcPr>
            <w:tcW w:type="dxa" w:w="1418"/>
            <w:tcMar>
              <w:top w:w="80" w:type="dxa"/>
              <w:start w:w="120" w:type="dxa"/>
              <w:bottom w:w="80" w:type="dxa"/>
              <w:end w:w="120" w:type="dxa"/>
            </w:tcMar>
            <w:vAlign w:val="center"/>
          </w:tcPr>
          <w:p>
            <w:pPr>
              <w:spacing w:before="0" w:after="0" w:line="240" w:lineRule="auto"/>
              <w:jc w:val="center"/>
            </w:pPr>
            <w:r/>
            <w:r>
              <w:rPr>
                <w:rFonts w:ascii="Arial" w:hAnsi="Arial" w:cs="Arial"/>
                <w:sz w:val="18"/>
              </w:rPr>
              <w:t>100 % BR común</w:t>
            </w:r>
          </w:p>
        </w:tc>
        <w:tc>
          <w:tcPr>
            <w:tcW w:type="dxa" w:w="1290"/>
            <w:tcMar>
              <w:top w:w="80" w:type="dxa"/>
              <w:start w:w="120" w:type="dxa"/>
              <w:bottom w:w="80" w:type="dxa"/>
              <w:end w:w="120" w:type="dxa"/>
            </w:tcMar>
            <w:vAlign w:val="center"/>
          </w:tcPr>
          <w:p>
            <w:pPr>
              <w:spacing w:before="0" w:after="0" w:line="240" w:lineRule="auto"/>
              <w:jc w:val="center"/>
            </w:pPr>
            <w:r/>
            <w:r>
              <w:rPr>
                <w:rFonts w:ascii="Arial" w:hAnsi="Arial" w:cs="Arial"/>
                <w:sz w:val="18"/>
              </w:rPr>
              <w:t>19/32 semanas</w:t>
            </w:r>
          </w:p>
        </w:tc>
      </w:tr>
      <w:tr>
        <w:tc>
          <w:tcPr>
            <w:tcW w:type="dxa" w:w="1676"/>
            <w:tcMar>
              <w:top w:w="80" w:type="dxa"/>
              <w:start w:w="120" w:type="dxa"/>
              <w:bottom w:w="80" w:type="dxa"/>
              <w:end w:w="120" w:type="dxa"/>
            </w:tcMar>
            <w:vAlign w:val="center"/>
          </w:tcPr>
          <w:p>
            <w:pPr>
              <w:spacing w:before="0" w:after="0" w:line="240" w:lineRule="auto"/>
              <w:jc w:val="left"/>
            </w:pPr>
            <w:r/>
            <w:r>
              <w:rPr>
                <w:rFonts w:ascii="Arial" w:hAnsi="Arial" w:cs="Arial"/>
                <w:sz w:val="18"/>
              </w:rPr>
              <w:t>Corresponsabilidad lactante</w:t>
            </w:r>
          </w:p>
        </w:tc>
        <w:tc>
          <w:tcPr>
            <w:tcW w:type="dxa" w:w="2450"/>
            <w:tcMar>
              <w:top w:w="80" w:type="dxa"/>
              <w:start w:w="120" w:type="dxa"/>
              <w:bottom w:w="80" w:type="dxa"/>
              <w:end w:w="120" w:type="dxa"/>
            </w:tcMar>
            <w:vAlign w:val="center"/>
          </w:tcPr>
          <w:p>
            <w:pPr>
              <w:spacing w:before="0" w:after="0" w:line="240" w:lineRule="auto"/>
              <w:jc w:val="left"/>
            </w:pPr>
            <w:r/>
            <w:r>
              <w:rPr>
                <w:rFonts w:ascii="Arial" w:hAnsi="Arial" w:cs="Arial"/>
                <w:sz w:val="18"/>
              </w:rPr>
              <w:t>Cuidado de 9 a 12 meses</w:t>
            </w:r>
          </w:p>
        </w:tc>
        <w:tc>
          <w:tcPr>
            <w:tcW w:type="dxa" w:w="2192"/>
            <w:tcMar>
              <w:top w:w="80" w:type="dxa"/>
              <w:start w:w="120" w:type="dxa"/>
              <w:bottom w:w="80" w:type="dxa"/>
              <w:end w:w="120" w:type="dxa"/>
            </w:tcMar>
            <w:vAlign w:val="center"/>
          </w:tcPr>
          <w:p>
            <w:pPr>
              <w:spacing w:before="0" w:after="0" w:line="240" w:lineRule="auto"/>
              <w:jc w:val="left"/>
            </w:pPr>
            <w:r/>
            <w:r>
              <w:rPr>
                <w:rFonts w:ascii="Arial" w:hAnsi="Arial" w:cs="Arial"/>
                <w:sz w:val="18"/>
              </w:rPr>
              <w:t>Reducción media hora de ambos</w:t>
            </w:r>
          </w:p>
        </w:tc>
        <w:tc>
          <w:tcPr>
            <w:tcW w:type="dxa" w:w="1418"/>
            <w:tcMar>
              <w:top w:w="80" w:type="dxa"/>
              <w:start w:w="120" w:type="dxa"/>
              <w:bottom w:w="80" w:type="dxa"/>
              <w:end w:w="120" w:type="dxa"/>
            </w:tcMar>
            <w:vAlign w:val="center"/>
          </w:tcPr>
          <w:p>
            <w:pPr>
              <w:spacing w:before="0" w:after="0" w:line="240" w:lineRule="auto"/>
              <w:jc w:val="left"/>
            </w:pPr>
            <w:r/>
            <w:r>
              <w:rPr>
                <w:rFonts w:ascii="Arial" w:hAnsi="Arial" w:cs="Arial"/>
                <w:sz w:val="18"/>
              </w:rPr>
              <w:t>100 % BR común proporcional</w:t>
            </w:r>
          </w:p>
        </w:tc>
        <w:tc>
          <w:tcPr>
            <w:tcW w:type="dxa" w:w="1290"/>
            <w:tcMar>
              <w:top w:w="80" w:type="dxa"/>
              <w:start w:w="120" w:type="dxa"/>
              <w:bottom w:w="80" w:type="dxa"/>
              <w:end w:w="120" w:type="dxa"/>
            </w:tcMar>
            <w:vAlign w:val="center"/>
          </w:tcPr>
          <w:p>
            <w:pPr>
              <w:spacing w:before="0" w:after="0" w:line="240" w:lineRule="auto"/>
              <w:jc w:val="center"/>
            </w:pPr>
            <w:r/>
            <w:r>
              <w:rPr>
                <w:rFonts w:ascii="Arial" w:hAnsi="Arial" w:cs="Arial"/>
                <w:sz w:val="18"/>
              </w:rPr>
              <w:t>12 meses</w:t>
            </w:r>
          </w:p>
        </w:tc>
      </w:tr>
      <w:tr>
        <w:tc>
          <w:tcPr>
            <w:tcW w:type="dxa" w:w="1676"/>
            <w:tcMar>
              <w:top w:w="80" w:type="dxa"/>
              <w:start w:w="120" w:type="dxa"/>
              <w:bottom w:w="80" w:type="dxa"/>
              <w:end w:w="120" w:type="dxa"/>
            </w:tcMar>
            <w:vAlign w:val="center"/>
          </w:tcPr>
          <w:p>
            <w:pPr>
              <w:spacing w:before="0" w:after="0" w:line="240" w:lineRule="auto"/>
              <w:jc w:val="left"/>
            </w:pPr>
            <w:r/>
            <w:r>
              <w:rPr>
                <w:rFonts w:ascii="Arial" w:hAnsi="Arial" w:cs="Arial"/>
                <w:sz w:val="18"/>
              </w:rPr>
              <w:t>Riesgo embarazo</w:t>
            </w:r>
          </w:p>
        </w:tc>
        <w:tc>
          <w:tcPr>
            <w:tcW w:type="dxa" w:w="2450"/>
            <w:tcMar>
              <w:top w:w="80" w:type="dxa"/>
              <w:start w:w="120" w:type="dxa"/>
              <w:bottom w:w="80" w:type="dxa"/>
              <w:end w:w="120" w:type="dxa"/>
            </w:tcMar>
            <w:vAlign w:val="center"/>
          </w:tcPr>
          <w:p>
            <w:pPr>
              <w:spacing w:before="0" w:after="0" w:line="240" w:lineRule="auto"/>
              <w:jc w:val="left"/>
            </w:pPr>
            <w:r/>
            <w:r>
              <w:rPr>
                <w:rFonts w:ascii="Arial" w:hAnsi="Arial" w:cs="Arial"/>
                <w:sz w:val="18"/>
              </w:rPr>
              <w:t>Riesgo del puesto</w:t>
            </w:r>
          </w:p>
        </w:tc>
        <w:tc>
          <w:tcPr>
            <w:tcW w:type="dxa" w:w="2192"/>
            <w:tcMar>
              <w:top w:w="80" w:type="dxa"/>
              <w:start w:w="120" w:type="dxa"/>
              <w:bottom w:w="80" w:type="dxa"/>
              <w:end w:w="120" w:type="dxa"/>
            </w:tcMar>
            <w:vAlign w:val="center"/>
          </w:tcPr>
          <w:p>
            <w:pPr>
              <w:spacing w:before="0" w:after="0" w:line="240" w:lineRule="auto"/>
              <w:jc w:val="left"/>
            </w:pPr>
            <w:r/>
            <w:r>
              <w:rPr>
                <w:rFonts w:ascii="Arial" w:hAnsi="Arial" w:cs="Arial"/>
                <w:sz w:val="18"/>
              </w:rPr>
              <w:t>Suspensión por imposibilidad de cambio</w:t>
            </w:r>
          </w:p>
        </w:tc>
        <w:tc>
          <w:tcPr>
            <w:tcW w:type="dxa" w:w="1418"/>
            <w:tcMar>
              <w:top w:w="80" w:type="dxa"/>
              <w:start w:w="120" w:type="dxa"/>
              <w:bottom w:w="80" w:type="dxa"/>
              <w:end w:w="120" w:type="dxa"/>
            </w:tcMar>
            <w:vAlign w:val="center"/>
          </w:tcPr>
          <w:p>
            <w:pPr>
              <w:spacing w:before="0" w:after="0" w:line="240" w:lineRule="auto"/>
              <w:jc w:val="left"/>
            </w:pPr>
            <w:r/>
            <w:r>
              <w:rPr>
                <w:rFonts w:ascii="Arial" w:hAnsi="Arial" w:cs="Arial"/>
                <w:sz w:val="18"/>
              </w:rPr>
              <w:t>100 % BR profesional</w:t>
            </w:r>
          </w:p>
        </w:tc>
        <w:tc>
          <w:tcPr>
            <w:tcW w:type="dxa" w:w="1290"/>
            <w:tcMar>
              <w:top w:w="80" w:type="dxa"/>
              <w:start w:w="120" w:type="dxa"/>
              <w:bottom w:w="80" w:type="dxa"/>
              <w:end w:w="120" w:type="dxa"/>
            </w:tcMar>
            <w:vAlign w:val="center"/>
          </w:tcPr>
          <w:p>
            <w:pPr>
              <w:spacing w:before="0" w:after="0" w:line="240" w:lineRule="auto"/>
              <w:jc w:val="left"/>
            </w:pPr>
            <w:r/>
            <w:r>
              <w:rPr>
                <w:rFonts w:ascii="Arial" w:hAnsi="Arial" w:cs="Arial"/>
                <w:sz w:val="18"/>
              </w:rPr>
              <w:t>Parto/reincorporación</w:t>
            </w:r>
          </w:p>
        </w:tc>
      </w:tr>
      <w:tr>
        <w:tc>
          <w:tcPr>
            <w:tcW w:type="dxa" w:w="1676"/>
            <w:tcMar>
              <w:top w:w="80" w:type="dxa"/>
              <w:start w:w="120" w:type="dxa"/>
              <w:bottom w:w="80" w:type="dxa"/>
              <w:end w:w="120" w:type="dxa"/>
            </w:tcMar>
            <w:vAlign w:val="center"/>
          </w:tcPr>
          <w:p>
            <w:pPr>
              <w:spacing w:before="0" w:after="0" w:line="240" w:lineRule="auto"/>
              <w:jc w:val="left"/>
            </w:pPr>
            <w:r/>
            <w:r>
              <w:rPr>
                <w:rFonts w:ascii="Arial" w:hAnsi="Arial" w:cs="Arial"/>
                <w:sz w:val="18"/>
              </w:rPr>
              <w:t>Riesgo lactancia</w:t>
            </w:r>
          </w:p>
        </w:tc>
        <w:tc>
          <w:tcPr>
            <w:tcW w:type="dxa" w:w="2450"/>
            <w:tcMar>
              <w:top w:w="80" w:type="dxa"/>
              <w:start w:w="120" w:type="dxa"/>
              <w:bottom w:w="80" w:type="dxa"/>
              <w:end w:w="120" w:type="dxa"/>
            </w:tcMar>
            <w:vAlign w:val="center"/>
          </w:tcPr>
          <w:p>
            <w:pPr>
              <w:spacing w:before="0" w:after="0" w:line="240" w:lineRule="auto"/>
              <w:jc w:val="left"/>
            </w:pPr>
            <w:r/>
            <w:r>
              <w:rPr>
                <w:rFonts w:ascii="Arial" w:hAnsi="Arial" w:cs="Arial"/>
                <w:sz w:val="18"/>
              </w:rPr>
              <w:t>Riesgo del puesto durante lactancia natural</w:t>
            </w:r>
          </w:p>
        </w:tc>
        <w:tc>
          <w:tcPr>
            <w:tcW w:type="dxa" w:w="2192"/>
            <w:tcMar>
              <w:top w:w="80" w:type="dxa"/>
              <w:start w:w="120" w:type="dxa"/>
              <w:bottom w:w="80" w:type="dxa"/>
              <w:end w:w="120" w:type="dxa"/>
            </w:tcMar>
            <w:vAlign w:val="center"/>
          </w:tcPr>
          <w:p>
            <w:pPr>
              <w:spacing w:before="0" w:after="0" w:line="240" w:lineRule="auto"/>
              <w:jc w:val="center"/>
            </w:pPr>
            <w:r/>
            <w:r>
              <w:rPr>
                <w:rFonts w:ascii="Arial" w:hAnsi="Arial" w:cs="Arial"/>
                <w:sz w:val="18"/>
              </w:rPr>
              <w:t>Suspensión</w:t>
            </w:r>
          </w:p>
        </w:tc>
        <w:tc>
          <w:tcPr>
            <w:tcW w:type="dxa" w:w="1418"/>
            <w:tcMar>
              <w:top w:w="80" w:type="dxa"/>
              <w:start w:w="120" w:type="dxa"/>
              <w:bottom w:w="80" w:type="dxa"/>
              <w:end w:w="120" w:type="dxa"/>
            </w:tcMar>
            <w:vAlign w:val="center"/>
          </w:tcPr>
          <w:p>
            <w:pPr>
              <w:spacing w:before="0" w:after="0" w:line="240" w:lineRule="auto"/>
              <w:jc w:val="left"/>
            </w:pPr>
            <w:r/>
            <w:r>
              <w:rPr>
                <w:rFonts w:ascii="Arial" w:hAnsi="Arial" w:cs="Arial"/>
                <w:sz w:val="18"/>
              </w:rPr>
              <w:t>100 % BR profesional</w:t>
            </w:r>
          </w:p>
        </w:tc>
        <w:tc>
          <w:tcPr>
            <w:tcW w:type="dxa" w:w="1290"/>
            <w:tcMar>
              <w:top w:w="80" w:type="dxa"/>
              <w:start w:w="120" w:type="dxa"/>
              <w:bottom w:w="80" w:type="dxa"/>
              <w:end w:w="120" w:type="dxa"/>
            </w:tcMar>
            <w:vAlign w:val="center"/>
          </w:tcPr>
          <w:p>
            <w:pPr>
              <w:spacing w:before="0" w:after="0" w:line="240" w:lineRule="auto"/>
              <w:jc w:val="center"/>
            </w:pPr>
            <w:r/>
            <w:r>
              <w:rPr>
                <w:rFonts w:ascii="Arial" w:hAnsi="Arial" w:cs="Arial"/>
                <w:sz w:val="18"/>
              </w:rPr>
              <w:t>9 meses</w:t>
            </w:r>
          </w:p>
        </w:tc>
      </w:tr>
    </w:tbl>
    <w:p>
      <w:pPr>
        <w:spacing w:after="40"/>
      </w:pPr>
    </w:p>
    <w:p>
      <w:pPr>
        <w:pStyle w:val="Heading1"/>
        <w:keepNext/>
      </w:pPr>
      <w:r>
        <w:rPr>
          <w:rFonts w:ascii="Arial" w:hAnsi="Arial" w:cs="Arial"/>
          <w:sz w:val="30"/>
        </w:rPr>
        <w:t>11. Asignación económica por hijo o menor a cargo</w:t>
      </w:r>
    </w:p>
    <w:p>
      <w:pPr>
        <w:jc w:val="both"/>
      </w:pPr>
      <w:r>
        <w:rPr>
          <w:rFonts w:ascii="Arial" w:hAnsi="Arial" w:cs="Arial"/>
          <w:sz w:val="22"/>
        </w:rPr>
        <w:t>Desde la implantación del ingreso mínimo vital, la asignación general por hijo sin discapacidad quedó suprimida salvo regímenes transitorios. El régimen ordinario vigente protege:</w:t>
      </w:r>
    </w:p>
    <w:p>
      <w:pPr>
        <w:pStyle w:val="ListBullet"/>
      </w:pPr>
      <w:r>
        <w:rPr>
          <w:rFonts w:ascii="Arial" w:hAnsi="Arial" w:cs="Arial"/>
          <w:sz w:val="22"/>
        </w:rPr>
        <w:t xml:space="preserve">hijo o menor de 18 años con discapacidad igual o superior al </w:t>
      </w:r>
      <w:r>
        <w:rPr>
          <w:rFonts w:ascii="Arial" w:hAnsi="Arial" w:cs="Arial"/>
          <w:b/>
          <w:sz w:val="22"/>
        </w:rPr>
        <w:t>33 por ciento</w:t>
      </w:r>
      <w:r>
        <w:rPr>
          <w:rFonts w:ascii="Arial" w:hAnsi="Arial" w:cs="Arial"/>
          <w:sz w:val="22"/>
        </w:rPr>
        <w:t>;</w:t>
      </w:r>
    </w:p>
    <w:p>
      <w:pPr>
        <w:pStyle w:val="ListBullet"/>
      </w:pPr>
      <w:r>
        <w:rPr>
          <w:rFonts w:ascii="Arial" w:hAnsi="Arial" w:cs="Arial"/>
          <w:sz w:val="22"/>
        </w:rPr>
        <w:t xml:space="preserve">hijo mayor de 18 años con discapacidad igual o superior al </w:t>
      </w:r>
      <w:r>
        <w:rPr>
          <w:rFonts w:ascii="Arial" w:hAnsi="Arial" w:cs="Arial"/>
          <w:b/>
          <w:sz w:val="22"/>
        </w:rPr>
        <w:t>65 por ciento</w:t>
      </w:r>
      <w:r>
        <w:rPr>
          <w:rFonts w:ascii="Arial" w:hAnsi="Arial" w:cs="Arial"/>
          <w:sz w:val="22"/>
        </w:rPr>
        <w:t>;</w:t>
      </w:r>
    </w:p>
    <w:p>
      <w:pPr>
        <w:pStyle w:val="ListBullet"/>
      </w:pPr>
      <w:r>
        <w:rPr>
          <w:rFonts w:ascii="Arial" w:hAnsi="Arial" w:cs="Arial"/>
          <w:sz w:val="22"/>
        </w:rPr>
        <w:t>menores en acogimiento familiar permanente o guarda con fines de adopción con los mismos requisitos.</w:t>
      </w:r>
    </w:p>
    <w:p>
      <w:pPr>
        <w:jc w:val="both"/>
      </w:pPr>
      <w:r>
        <w:rPr>
          <w:rFonts w:ascii="Arial" w:hAnsi="Arial" w:cs="Arial"/>
          <w:sz w:val="22"/>
        </w:rPr>
        <w:t>El beneficiario debe residir legalmente en España, tener al causante a cargo y no tener —ni él ni el otro progenitor— derecho a prestación equivalente en otro régimen público. También pueden ser beneficiarios directos los huérfanos de ambos progenitores, abandonados y determinados hijos mayores con discapacidad.</w:t>
      </w:r>
    </w:p>
    <w:p>
      <w:pPr>
        <w:jc w:val="both"/>
      </w:pPr>
      <w:r>
        <w:rPr>
          <w:rFonts w:ascii="Arial" w:hAnsi="Arial" w:cs="Arial"/>
          <w:sz w:val="22"/>
        </w:rPr>
        <w:t xml:space="preserve">El trabajo del causante no elimina por sí solo la condición de «a cargo» si convive con el beneficiario y sus rendimientos de trabajo anuales no superan el </w:t>
      </w:r>
      <w:r>
        <w:rPr>
          <w:rFonts w:ascii="Arial" w:hAnsi="Arial" w:cs="Arial"/>
          <w:b/>
          <w:sz w:val="22"/>
        </w:rPr>
        <w:t>100 por ciento del SMI anual</w:t>
      </w:r>
      <w:r>
        <w:rPr>
          <w:rFonts w:ascii="Arial" w:hAnsi="Arial" w:cs="Arial"/>
          <w:sz w:val="22"/>
        </w:rPr>
        <w:t>. El eventual encuadramiento del hijo en otro régimen tampoco rompe automáticamente esa condición.</w:t>
      </w:r>
    </w:p>
    <w:p>
      <w:pPr>
        <w:pStyle w:val="Heading2"/>
        <w:keepNext/>
      </w:pPr>
      <w:r>
        <w:rPr>
          <w:rFonts w:ascii="Arial" w:hAnsi="Arial" w:cs="Arial"/>
          <w:sz w:val="25"/>
        </w:rPr>
        <w:t>11.1. Cuantía y grado</w:t>
      </w:r>
    </w:p>
    <w:p>
      <w:pPr>
        <w:jc w:val="both"/>
      </w:pPr>
      <w:r>
        <w:rPr>
          <w:rFonts w:ascii="Arial" w:hAnsi="Arial" w:cs="Arial"/>
          <w:sz w:val="22"/>
        </w:rPr>
        <w:t>La cuantía anual se fija presupuestariamente y varía por edad y grado. Para mayores de 18 años con al menos 75 por ciento y necesidad de ayuda de otra persona existe cuantía reforzada. El grado y la necesidad de tercera persona se determinan con el baremo reglamentario.</w:t>
      </w:r>
    </w:p>
    <w:p>
      <w:pPr>
        <w:jc w:val="both"/>
      </w:pPr>
      <w:r>
        <w:rPr>
          <w:rFonts w:ascii="Arial" w:hAnsi="Arial" w:cs="Arial"/>
          <w:sz w:val="22"/>
        </w:rPr>
        <w:t>No debe memorizarse una cifra anual sin comprobar el ejercicio, porque se revaloriza. En cambio, los umbrales estructurales 33, 65 y 75 por ciento son estables.</w:t>
      </w:r>
    </w:p>
    <w:p>
      <w:pPr>
        <w:pStyle w:val="Heading2"/>
        <w:keepNext/>
      </w:pPr>
      <w:r>
        <w:rPr>
          <w:rFonts w:ascii="Arial" w:hAnsi="Arial" w:cs="Arial"/>
          <w:sz w:val="25"/>
        </w:rPr>
        <w:t>11.2. Efectos de variaciones</w:t>
      </w:r>
    </w:p>
    <w:p>
      <w:pPr>
        <w:jc w:val="both"/>
      </w:pPr>
      <w:r>
        <w:rPr>
          <w:rFonts w:ascii="Arial" w:hAnsi="Arial" w:cs="Arial"/>
          <w:sz w:val="22"/>
        </w:rPr>
        <w:t>El beneficiario debe declarar variaciones familiares relevantes. No está obligado a aportar documentos que la Administración ya conoce directamente. El nacimiento de derecho por variación produce efectos desde el primer día del trimestre natural siguiente a la solicitud; la extinción, desde el último día del trimestre en que ocurre la variación.</w:t>
      </w:r>
    </w:p>
    <w:p>
      <w:pPr>
        <w:jc w:val="both"/>
      </w:pPr>
      <w:r>
        <w:rPr>
          <w:rFonts w:ascii="Arial" w:hAnsi="Arial" w:cs="Arial"/>
          <w:sz w:val="22"/>
        </w:rPr>
        <w:t>La asignación por hijo es incompatible con que ese hijo sea pensionista no contributivo de incapacidad o jubilación y con una prestación análoga de otro régimen público.</w:t>
      </w:r>
    </w:p>
    <w:p>
      <w:pPr>
        <w:pStyle w:val="Heading1"/>
        <w:keepNext/>
      </w:pPr>
      <w:r>
        <w:rPr>
          <w:rFonts w:ascii="Arial" w:hAnsi="Arial" w:cs="Arial"/>
          <w:sz w:val="30"/>
        </w:rPr>
        <w:t>12. Pago único por nacimiento o adopción en familias protegidas</w:t>
      </w:r>
    </w:p>
    <w:p>
      <w:pPr>
        <w:jc w:val="both"/>
      </w:pPr>
      <w:r>
        <w:rPr>
          <w:rFonts w:ascii="Arial" w:hAnsi="Arial" w:cs="Arial"/>
          <w:sz w:val="22"/>
        </w:rPr>
        <w:t>Existe una prestación de pago único cuando el nacimiento o adopción en España se produce:</w:t>
      </w:r>
    </w:p>
    <w:p>
      <w:pPr>
        <w:pStyle w:val="ListBullet"/>
      </w:pPr>
      <w:r>
        <w:rPr>
          <w:rFonts w:ascii="Arial" w:hAnsi="Arial" w:cs="Arial"/>
          <w:sz w:val="22"/>
        </w:rPr>
        <w:t>en una familia numerosa o que adquiere esa condición;</w:t>
      </w:r>
    </w:p>
    <w:p>
      <w:pPr>
        <w:pStyle w:val="ListBullet"/>
      </w:pPr>
      <w:r>
        <w:rPr>
          <w:rFonts w:ascii="Arial" w:hAnsi="Arial" w:cs="Arial"/>
          <w:sz w:val="22"/>
        </w:rPr>
        <w:t>en una familia monoparental;</w:t>
      </w:r>
    </w:p>
    <w:p>
      <w:pPr>
        <w:pStyle w:val="ListBullet"/>
      </w:pPr>
      <w:r>
        <w:rPr>
          <w:rFonts w:ascii="Arial" w:hAnsi="Arial" w:cs="Arial"/>
          <w:sz w:val="22"/>
        </w:rPr>
        <w:t>siendo la madre o el padre persona con discapacidad igual o superior al 65 por ciento.</w:t>
      </w:r>
    </w:p>
    <w:p>
      <w:pPr>
        <w:jc w:val="both"/>
      </w:pPr>
      <w:r>
        <w:rPr>
          <w:rFonts w:ascii="Arial" w:hAnsi="Arial" w:cs="Arial"/>
          <w:sz w:val="22"/>
        </w:rPr>
        <w:t>Familia monoparental es, a estos efectos, la formada por un solo progenitor que convive con el hijo nacido o adoptado y es el único sustentador. No basta una separación de hecho si hay dos sustentadores en los términos de la prestación.</w:t>
      </w:r>
    </w:p>
    <w:p>
      <w:pPr>
        <w:jc w:val="both"/>
      </w:pPr>
      <w:r>
        <w:rPr>
          <w:rFonts w:ascii="Arial" w:hAnsi="Arial" w:cs="Arial"/>
          <w:sz w:val="22"/>
        </w:rPr>
        <w:t>Se exige:</w:t>
      </w:r>
    </w:p>
    <w:p>
      <w:pPr>
        <w:pStyle w:val="ListBullet"/>
      </w:pPr>
      <w:r>
        <w:rPr>
          <w:rFonts w:ascii="Arial" w:hAnsi="Arial" w:cs="Arial"/>
          <w:sz w:val="22"/>
        </w:rPr>
        <w:t>residencia legal en España;</w:t>
      </w:r>
    </w:p>
    <w:p>
      <w:pPr>
        <w:pStyle w:val="ListBullet"/>
      </w:pPr>
      <w:r>
        <w:rPr>
          <w:rFonts w:ascii="Arial" w:hAnsi="Arial" w:cs="Arial"/>
          <w:sz w:val="22"/>
        </w:rPr>
        <w:t>no tener derecho a prestación de la misma naturaleza en otro régimen público;</w:t>
      </w:r>
    </w:p>
    <w:p>
      <w:pPr>
        <w:pStyle w:val="ListBullet"/>
      </w:pPr>
      <w:r>
        <w:rPr>
          <w:rFonts w:ascii="Arial" w:hAnsi="Arial" w:cs="Arial"/>
          <w:sz w:val="22"/>
        </w:rPr>
        <w:t>no superar el límite anual de ingresos que establezca la ley presupuestaria.</w:t>
      </w:r>
    </w:p>
    <w:p>
      <w:pPr>
        <w:jc w:val="both"/>
      </w:pPr>
      <w:r>
        <w:rPr>
          <w:rFonts w:ascii="Arial" w:hAnsi="Arial" w:cs="Arial"/>
          <w:sz w:val="22"/>
        </w:rPr>
        <w:t>El límite general aumenta un 15 por ciento por cada hijo a cargo desde el segundo. Para familias numerosas existe umbral específico por tres hijos y aumento por cada hijo desde el cuarto.</w:t>
      </w:r>
    </w:p>
    <w:p>
      <w:pPr>
        <w:jc w:val="both"/>
      </w:pPr>
      <w:r>
        <w:rPr>
          <w:rFonts w:ascii="Arial" w:hAnsi="Arial" w:cs="Arial"/>
          <w:sz w:val="22"/>
        </w:rPr>
        <w:t xml:space="preserve">La cuantía íntegra es </w:t>
      </w:r>
      <w:r>
        <w:rPr>
          <w:rFonts w:ascii="Arial" w:hAnsi="Arial" w:cs="Arial"/>
          <w:b/>
          <w:sz w:val="22"/>
        </w:rPr>
        <w:t>1.000 euros</w:t>
      </w:r>
      <w:r>
        <w:rPr>
          <w:rFonts w:ascii="Arial" w:hAnsi="Arial" w:cs="Arial"/>
          <w:sz w:val="22"/>
        </w:rPr>
        <w:t>. Si los ingresos superan el límite pero son inferiores a límite + 1.000, se reconoce la diferencia entre esa suma y los ingresos, siempre que alcance el mínimo legal. Esta prestación no exige cotización previa.</w:t>
      </w:r>
    </w:p>
    <w:p>
      <w:pPr>
        <w:jc w:val="both"/>
      </w:pPr>
      <w:r>
        <w:rPr>
          <w:rFonts w:ascii="Arial" w:hAnsi="Arial" w:cs="Arial"/>
          <w:b/>
          <w:sz w:val="22"/>
        </w:rPr>
        <w:t>Ejemplo:</w:t>
      </w:r>
      <w:r>
        <w:rPr>
          <w:rFonts w:ascii="Arial" w:hAnsi="Arial" w:cs="Arial"/>
          <w:sz w:val="22"/>
        </w:rPr>
        <w:t xml:space="preserve"> límite aplicable L e ingresos L + 300. La cuantía diferencial es 1.000 − 300 = 700 euros, salvo que el mínimo presupuestario impida el reconocimiento. Si los ingresos son L + 1.100, no existe derecho.</w:t>
      </w:r>
    </w:p>
    <w:p>
      <w:pPr>
        <w:jc w:val="both"/>
      </w:pPr>
      <w:r>
        <w:rPr>
          <w:rFonts w:ascii="Arial" w:hAnsi="Arial" w:cs="Arial"/>
          <w:sz w:val="22"/>
        </w:rPr>
        <w:t>Cuando ambos progenitores cumplen, solo se reconoce a uno. El reglamento establece preferencias y, a falta de acuerdo, las reglas de atribución correspondientes.</w:t>
      </w:r>
    </w:p>
    <w:p>
      <w:pPr>
        <w:pStyle w:val="Heading1"/>
        <w:keepNext/>
      </w:pPr>
      <w:r>
        <w:rPr>
          <w:rFonts w:ascii="Arial" w:hAnsi="Arial" w:cs="Arial"/>
          <w:sz w:val="30"/>
        </w:rPr>
        <w:t>13. Prestación por parto o adopción múltiples</w:t>
      </w:r>
    </w:p>
    <w:p>
      <w:pPr>
        <w:jc w:val="both"/>
      </w:pPr>
      <w:r>
        <w:rPr>
          <w:rFonts w:ascii="Arial" w:hAnsi="Arial" w:cs="Arial"/>
          <w:sz w:val="22"/>
        </w:rPr>
        <w:t xml:space="preserve">Existe parto o adopción múltiple cuando nacen o se adoptan </w:t>
      </w:r>
      <w:r>
        <w:rPr>
          <w:rFonts w:ascii="Arial" w:hAnsi="Arial" w:cs="Arial"/>
          <w:b/>
          <w:sz w:val="22"/>
        </w:rPr>
        <w:t>dos o más</w:t>
      </w:r>
      <w:r>
        <w:rPr>
          <w:rFonts w:ascii="Arial" w:hAnsi="Arial" w:cs="Arial"/>
          <w:sz w:val="22"/>
        </w:rPr>
        <w:t xml:space="preserve"> hijos en España. El beneficiario debe residir legalmente y no tener derecho a prestación análoga en otro régimen público. No existe límite de ingresos.</w:t>
      </w:r>
    </w:p>
    <w:p>
      <w:pPr>
        <w:jc w:val="both"/>
      </w:pPr>
      <w:r>
        <w:rPr>
          <w:rFonts w:ascii="Arial" w:hAnsi="Arial" w:cs="Arial"/>
          <w:sz w:val="22"/>
        </w:rPr>
        <w:t>La cuantía se calcula con el salario mínimo interprofesional mensual vigente al hecho causante:</w:t>
      </w:r>
    </w:p>
    <w:tbl>
      <w:tblPr>
        <w:tblStyle w:val="TableGrid"/>
        <w:tblW w:type="dxa" w:w="9026"/>
        <w:jc w:val="left"/>
        <w:tblLayout w:type="fixed"/>
        <w:tblLook w:firstColumn="1" w:firstRow="1" w:lastColumn="0" w:lastRow="0" w:noHBand="0" w:noVBand="1" w:val="04A0"/>
        <w:tblInd w:w="120" w:type="dxa"/>
      </w:tblPr>
      <w:tblGrid>
        <w:gridCol w:w="4843"/>
        <w:gridCol w:w="4183"/>
      </w:tblGrid>
      <w:tr>
        <w:trPr>
          <w:tblHeader w:val="true"/>
        </w:trPr>
        <w:tc>
          <w:tcPr>
            <w:tcW w:type="dxa" w:w="484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Hijos nacidos o adoptados</w:t>
            </w:r>
          </w:p>
        </w:tc>
        <w:tc>
          <w:tcPr>
            <w:tcW w:type="dxa" w:w="418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Cuantía</w:t>
            </w:r>
          </w:p>
        </w:tc>
      </w:tr>
      <w:tr>
        <w:tc>
          <w:tcPr>
            <w:tcW w:type="dxa" w:w="4843"/>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4183"/>
            <w:tcMar>
              <w:top w:w="80" w:type="dxa"/>
              <w:start w:w="120" w:type="dxa"/>
              <w:bottom w:w="80" w:type="dxa"/>
              <w:end w:w="120" w:type="dxa"/>
            </w:tcMar>
            <w:vAlign w:val="center"/>
          </w:tcPr>
          <w:p>
            <w:pPr>
              <w:spacing w:before="0" w:after="0" w:line="240" w:lineRule="auto"/>
              <w:jc w:val="left"/>
            </w:pPr>
            <w:r/>
            <w:r>
              <w:rPr>
                <w:rFonts w:ascii="Arial" w:hAnsi="Arial" w:cs="Arial"/>
                <w:sz w:val="18"/>
              </w:rPr>
              <w:t>4 veces el SMI mensual</w:t>
            </w:r>
          </w:p>
        </w:tc>
      </w:tr>
      <w:tr>
        <w:tc>
          <w:tcPr>
            <w:tcW w:type="dxa" w:w="4843"/>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4183"/>
            <w:tcMar>
              <w:top w:w="80" w:type="dxa"/>
              <w:start w:w="120" w:type="dxa"/>
              <w:bottom w:w="80" w:type="dxa"/>
              <w:end w:w="120" w:type="dxa"/>
            </w:tcMar>
            <w:vAlign w:val="center"/>
          </w:tcPr>
          <w:p>
            <w:pPr>
              <w:spacing w:before="0" w:after="0" w:line="240" w:lineRule="auto"/>
              <w:jc w:val="left"/>
            </w:pPr>
            <w:r/>
            <w:r>
              <w:rPr>
                <w:rFonts w:ascii="Arial" w:hAnsi="Arial" w:cs="Arial"/>
                <w:sz w:val="18"/>
              </w:rPr>
              <w:t>8 veces el SMI mensual</w:t>
            </w:r>
          </w:p>
        </w:tc>
      </w:tr>
      <w:tr>
        <w:tc>
          <w:tcPr>
            <w:tcW w:type="dxa" w:w="4843"/>
            <w:tcMar>
              <w:top w:w="80" w:type="dxa"/>
              <w:start w:w="120" w:type="dxa"/>
              <w:bottom w:w="80" w:type="dxa"/>
              <w:end w:w="120" w:type="dxa"/>
            </w:tcMar>
            <w:vAlign w:val="center"/>
          </w:tcPr>
          <w:p>
            <w:pPr>
              <w:spacing w:before="0" w:after="0" w:line="240" w:lineRule="auto"/>
              <w:jc w:val="left"/>
            </w:pPr>
            <w:r/>
            <w:r>
              <w:rPr>
                <w:rFonts w:ascii="Arial" w:hAnsi="Arial" w:cs="Arial"/>
                <w:sz w:val="18"/>
              </w:rPr>
              <w:t>4 o más</w:t>
            </w:r>
          </w:p>
        </w:tc>
        <w:tc>
          <w:tcPr>
            <w:tcW w:type="dxa" w:w="4183"/>
            <w:tcMar>
              <w:top w:w="80" w:type="dxa"/>
              <w:start w:w="120" w:type="dxa"/>
              <w:bottom w:w="80" w:type="dxa"/>
              <w:end w:w="120" w:type="dxa"/>
            </w:tcMar>
            <w:vAlign w:val="center"/>
          </w:tcPr>
          <w:p>
            <w:pPr>
              <w:spacing w:before="0" w:after="0" w:line="240" w:lineRule="auto"/>
              <w:jc w:val="left"/>
            </w:pPr>
            <w:r/>
            <w:r>
              <w:rPr>
                <w:rFonts w:ascii="Arial" w:hAnsi="Arial" w:cs="Arial"/>
                <w:sz w:val="18"/>
              </w:rPr>
              <w:t>12 veces el SMI mensual</w:t>
            </w:r>
          </w:p>
        </w:tc>
      </w:tr>
    </w:tbl>
    <w:p>
      <w:pPr>
        <w:spacing w:after="40"/>
      </w:pPr>
    </w:p>
    <w:p>
      <w:pPr>
        <w:jc w:val="both"/>
      </w:pPr>
      <w:r>
        <w:rPr>
          <w:rFonts w:ascii="Arial" w:hAnsi="Arial" w:cs="Arial"/>
          <w:sz w:val="22"/>
        </w:rPr>
        <w:t>Los hijos con discapacidad igual o superior al 33 por ciento computan doble para determinar el número a efectos reglamentarios.</w:t>
      </w:r>
    </w:p>
    <w:p>
      <w:pPr>
        <w:jc w:val="both"/>
      </w:pPr>
      <w:r>
        <w:rPr>
          <w:rFonts w:ascii="Arial" w:hAnsi="Arial" w:cs="Arial"/>
          <w:sz w:val="22"/>
        </w:rPr>
        <w:t>La prestación múltiple es compatible con la prestación por nacimiento o adopción de 1.000 euros si se reúnen separadamente sus requisitos, y también con la asignación por hijo y el subsidio por nacimiento y cuidado. La incompatibilidad opera frente a otra prestación análoga del mismo hecho en otro régimen público, no entre figuras de distinta finalidad salvo regla expresa.</w:t>
      </w:r>
    </w:p>
    <w:p>
      <w:pPr>
        <w:pStyle w:val="Heading1"/>
        <w:keepNext/>
      </w:pPr>
      <w:r>
        <w:rPr>
          <w:rFonts w:ascii="Arial" w:hAnsi="Arial" w:cs="Arial"/>
          <w:sz w:val="30"/>
        </w:rPr>
        <w:t>14. Subsidio por cuidado de menores afectados por cáncer u otra enfermedad grave</w:t>
      </w:r>
    </w:p>
    <w:p>
      <w:pPr>
        <w:jc w:val="both"/>
      </w:pPr>
      <w:r>
        <w:rPr>
          <w:rFonts w:ascii="Arial" w:hAnsi="Arial" w:cs="Arial"/>
          <w:sz w:val="22"/>
        </w:rPr>
        <w:t>Su finalidad es compensar la pérdida salarial causada por reducir jornada para atender de forma directa, continua y permanente a un hijo o persona en guarda o acogimiento permanente.</w:t>
      </w:r>
    </w:p>
    <w:p>
      <w:pPr>
        <w:pStyle w:val="Heading2"/>
        <w:keepNext/>
      </w:pPr>
      <w:r>
        <w:rPr>
          <w:rFonts w:ascii="Arial" w:hAnsi="Arial" w:cs="Arial"/>
          <w:sz w:val="25"/>
        </w:rPr>
        <w:t>14.1. Situación protegida</w:t>
      </w:r>
    </w:p>
    <w:p>
      <w:pPr>
        <w:jc w:val="both"/>
      </w:pPr>
      <w:r>
        <w:rPr>
          <w:rFonts w:ascii="Arial" w:hAnsi="Arial" w:cs="Arial"/>
          <w:sz w:val="22"/>
        </w:rPr>
        <w:t>Se requiere:</w:t>
      </w:r>
    </w:p>
    <w:p>
      <w:pPr>
        <w:spacing w:after="40"/>
        <w:ind w:left="369" w:hanging="227"/>
      </w:pPr>
      <w:r>
        <w:rPr>
          <w:rFonts w:ascii="Arial" w:hAnsi="Arial" w:cs="Arial"/>
          <w:sz w:val="22"/>
        </w:rPr>
        <w:t>1. cáncer o enfermedad grave incluida en el anexo del Real Decreto 1148/2011;</w:t>
      </w:r>
    </w:p>
    <w:p>
      <w:pPr>
        <w:spacing w:after="40"/>
        <w:ind w:left="369" w:hanging="227"/>
      </w:pPr>
      <w:r>
        <w:rPr>
          <w:rFonts w:ascii="Arial" w:hAnsi="Arial" w:cs="Arial"/>
          <w:sz w:val="22"/>
        </w:rPr>
        <w:t>2. diagnóstico antes de los 18 años;</w:t>
      </w:r>
    </w:p>
    <w:p>
      <w:pPr>
        <w:spacing w:after="40"/>
        <w:ind w:left="369" w:hanging="227"/>
      </w:pPr>
      <w:r>
        <w:rPr>
          <w:rFonts w:ascii="Arial" w:hAnsi="Arial" w:cs="Arial"/>
          <w:sz w:val="22"/>
        </w:rPr>
        <w:t>3. ingreso hospitalario de larga duración y tratamiento continuado;</w:t>
      </w:r>
    </w:p>
    <w:p>
      <w:pPr>
        <w:spacing w:after="40"/>
        <w:ind w:left="369" w:hanging="227"/>
      </w:pPr>
      <w:r>
        <w:rPr>
          <w:rFonts w:ascii="Arial" w:hAnsi="Arial" w:cs="Arial"/>
          <w:sz w:val="22"/>
        </w:rPr>
        <w:t>4. necesidad de cuidado directo, continuo y permanente;</w:t>
      </w:r>
    </w:p>
    <w:p>
      <w:pPr>
        <w:spacing w:after="40"/>
        <w:ind w:left="369" w:hanging="227"/>
      </w:pPr>
      <w:r>
        <w:rPr>
          <w:rFonts w:ascii="Arial" w:hAnsi="Arial" w:cs="Arial"/>
          <w:sz w:val="22"/>
        </w:rPr>
        <w:t xml:space="preserve">5. reducción de jornada de al menos </w:t>
      </w:r>
      <w:r>
        <w:rPr>
          <w:rFonts w:ascii="Arial" w:hAnsi="Arial" w:cs="Arial"/>
          <w:b/>
          <w:sz w:val="22"/>
        </w:rPr>
        <w:t>50 por ciento</w:t>
      </w:r>
      <w:r>
        <w:rPr>
          <w:rFonts w:ascii="Arial" w:hAnsi="Arial" w:cs="Arial"/>
          <w:sz w:val="22"/>
        </w:rPr>
        <w:t>;</w:t>
      </w:r>
    </w:p>
    <w:p>
      <w:pPr>
        <w:spacing w:after="40"/>
        <w:ind w:left="369" w:hanging="227"/>
      </w:pPr>
      <w:r>
        <w:rPr>
          <w:rFonts w:ascii="Arial" w:hAnsi="Arial" w:cs="Arial"/>
          <w:sz w:val="22"/>
        </w:rPr>
        <w:t>6. trabajo de ambos progenitores, salvo monoparentalidad y excepciones legales.</w:t>
      </w:r>
    </w:p>
    <w:p>
      <w:pPr>
        <w:jc w:val="both"/>
      </w:pPr>
      <w:r>
        <w:rPr>
          <w:rFonts w:ascii="Arial" w:hAnsi="Arial" w:cs="Arial"/>
          <w:sz w:val="22"/>
        </w:rPr>
        <w:t>La continuación del tratamiento o cuidado en domicilio tras diagnóstico y hospitalización cuenta como ingreso de larga duración. En recaída no se exige nueva hospitalización, pero sí nueva declaración médica que acredite tratamiento y cuidado.</w:t>
      </w:r>
    </w:p>
    <w:p>
      <w:pPr>
        <w:jc w:val="both"/>
      </w:pPr>
      <w:r>
        <w:rPr>
          <w:rFonts w:ascii="Arial" w:hAnsi="Arial" w:cs="Arial"/>
          <w:sz w:val="22"/>
        </w:rPr>
        <w:t>El informe corresponde al servicio público de salud u órgano sanitario autonómico. Si el tratamiento se lleva por sanidad privada, también informa el médico del centro, pero sigue siendo necesaria la validación pública.</w:t>
      </w:r>
    </w:p>
    <w:p>
      <w:pPr>
        <w:pStyle w:val="Heading2"/>
        <w:keepNext/>
      </w:pPr>
      <w:r>
        <w:rPr>
          <w:rFonts w:ascii="Arial" w:hAnsi="Arial" w:cs="Arial"/>
          <w:sz w:val="25"/>
        </w:rPr>
        <w:t>14.2. Edad del causante</w:t>
      </w:r>
    </w:p>
    <w:p>
      <w:pPr>
        <w:jc w:val="both"/>
      </w:pPr>
      <w:r>
        <w:rPr>
          <w:rFonts w:ascii="Arial" w:hAnsi="Arial" w:cs="Arial"/>
          <w:sz w:val="22"/>
        </w:rPr>
        <w:t>La prestación:</w:t>
      </w:r>
    </w:p>
    <w:p>
      <w:pPr>
        <w:pStyle w:val="ListBullet"/>
      </w:pPr>
      <w:r>
        <w:rPr>
          <w:rFonts w:ascii="Arial" w:hAnsi="Arial" w:cs="Arial"/>
          <w:sz w:val="22"/>
        </w:rPr>
        <w:t xml:space="preserve">se mantiene o puede reconocerse hasta los </w:t>
      </w:r>
      <w:r>
        <w:rPr>
          <w:rFonts w:ascii="Arial" w:hAnsi="Arial" w:cs="Arial"/>
          <w:b/>
          <w:sz w:val="22"/>
        </w:rPr>
        <w:t>23 años</w:t>
      </w:r>
      <w:r>
        <w:rPr>
          <w:rFonts w:ascii="Arial" w:hAnsi="Arial" w:cs="Arial"/>
          <w:sz w:val="22"/>
        </w:rPr>
        <w:t xml:space="preserve"> si la enfermedad fue diagnosticada antes de los 18 y persisten los requisitos;</w:t>
      </w:r>
    </w:p>
    <w:p>
      <w:pPr>
        <w:pStyle w:val="ListBullet"/>
      </w:pPr>
      <w:r>
        <w:rPr>
          <w:rFonts w:ascii="Arial" w:hAnsi="Arial" w:cs="Arial"/>
          <w:sz w:val="22"/>
        </w:rPr>
        <w:t xml:space="preserve">puede mantenerse hasta los </w:t>
      </w:r>
      <w:r>
        <w:rPr>
          <w:rFonts w:ascii="Arial" w:hAnsi="Arial" w:cs="Arial"/>
          <w:b/>
          <w:sz w:val="22"/>
        </w:rPr>
        <w:t>26 años</w:t>
      </w:r>
      <w:r>
        <w:rPr>
          <w:rFonts w:ascii="Arial" w:hAnsi="Arial" w:cs="Arial"/>
          <w:sz w:val="22"/>
        </w:rPr>
        <w:t xml:space="preserve"> si antes de cumplir 23 se acredita además discapacidad igual o superior al </w:t>
      </w:r>
      <w:r>
        <w:rPr>
          <w:rFonts w:ascii="Arial" w:hAnsi="Arial" w:cs="Arial"/>
          <w:b/>
          <w:sz w:val="22"/>
        </w:rPr>
        <w:t>65 por ciento</w:t>
      </w:r>
      <w:r>
        <w:rPr>
          <w:rFonts w:ascii="Arial" w:hAnsi="Arial" w:cs="Arial"/>
          <w:sz w:val="22"/>
        </w:rPr>
        <w:t>.</w:t>
      </w:r>
    </w:p>
    <w:p>
      <w:pPr>
        <w:jc w:val="both"/>
      </w:pPr>
      <w:r>
        <w:rPr>
          <w:rFonts w:ascii="Arial" w:hAnsi="Arial" w:cs="Arial"/>
          <w:sz w:val="22"/>
        </w:rPr>
        <w:t>No se exige que la persona siga siendo «menor» tras los 18; la extensión legal usa la edad del causante y mantiene la situación protegida. Cuando la persona enferma mayor de edad contrae matrimonio o constituye pareja de hecho, su cónyuge o pareja puede ser beneficiario si cumple las condiciones.</w:t>
      </w:r>
    </w:p>
    <w:p>
      <w:pPr>
        <w:pStyle w:val="Heading2"/>
        <w:keepNext/>
      </w:pPr>
      <w:r>
        <w:rPr>
          <w:rFonts w:ascii="Arial" w:hAnsi="Arial" w:cs="Arial"/>
          <w:sz w:val="25"/>
        </w:rPr>
        <w:t>14.3. Beneficiarios</w:t>
      </w:r>
    </w:p>
    <w:p>
      <w:pPr>
        <w:jc w:val="both"/>
      </w:pPr>
      <w:r>
        <w:rPr>
          <w:rFonts w:ascii="Arial" w:hAnsi="Arial" w:cs="Arial"/>
          <w:sz w:val="22"/>
        </w:rPr>
        <w:t>Se exigen los mismos requisitos de alta y cotización que para nacimiento y cuidado. Cuando ambos progenitores cumplen, solo uno percibe, aunque ambos deban trabajar. Pueden alternarse por acuerdo en períodos no inferiores a un mes; al reconocer uno, se suspende el otro.</w:t>
      </w:r>
    </w:p>
    <w:p>
      <w:pPr>
        <w:jc w:val="both"/>
      </w:pPr>
      <w:r>
        <w:rPr>
          <w:rFonts w:ascii="Arial" w:hAnsi="Arial" w:cs="Arial"/>
          <w:sz w:val="22"/>
        </w:rPr>
        <w:t>En nulidad, separación, divorcio, extinción de pareja de hecho o violencia de género, el derecho puede corresponder a quien convive con la persona enferma aunque el otro no trabaje, si se reúnen los restantes requisitos.</w:t>
      </w:r>
    </w:p>
    <w:p>
      <w:pPr>
        <w:jc w:val="both"/>
      </w:pPr>
      <w:r>
        <w:rPr>
          <w:rFonts w:ascii="Arial" w:hAnsi="Arial" w:cs="Arial"/>
          <w:sz w:val="22"/>
        </w:rPr>
        <w:t>Para autónomos, la reducción se articula como cese parcial de actividad. Deben estar al corriente y formalizar la reducción en los términos reglamentarios.</w:t>
      </w:r>
    </w:p>
    <w:p>
      <w:pPr>
        <w:pStyle w:val="Heading2"/>
        <w:keepNext/>
      </w:pPr>
      <w:r>
        <w:rPr>
          <w:rFonts w:ascii="Arial" w:hAnsi="Arial" w:cs="Arial"/>
          <w:sz w:val="25"/>
        </w:rPr>
        <w:t>14.4. Cuantía</w:t>
      </w:r>
    </w:p>
    <w:p>
      <w:pPr>
        <w:jc w:val="both"/>
      </w:pPr>
      <w:r>
        <w:rPr>
          <w:rFonts w:ascii="Arial" w:hAnsi="Arial" w:cs="Arial"/>
          <w:sz w:val="22"/>
        </w:rPr>
        <w:t xml:space="preserve">El subsidio equivale al </w:t>
      </w:r>
      <w:r>
        <w:rPr>
          <w:rFonts w:ascii="Arial" w:hAnsi="Arial" w:cs="Arial"/>
          <w:b/>
          <w:sz w:val="22"/>
        </w:rPr>
        <w:t>100 por ciento</w:t>
      </w:r>
      <w:r>
        <w:rPr>
          <w:rFonts w:ascii="Arial" w:hAnsi="Arial" w:cs="Arial"/>
          <w:sz w:val="22"/>
        </w:rPr>
        <w:t xml:space="preserve"> de la base reguladora de IT derivada de contingencias profesionales, o de contingencias comunes si no existe cobertura profesional, en proporción a la reducción de jornada.</w:t>
      </w:r>
    </w:p>
    <w:p>
      <w:pPr>
        <w:jc w:val="both"/>
      </w:pPr>
      <w:r>
        <w:rPr>
          <w:rFonts w:ascii="Arial" w:hAnsi="Arial" w:cs="Arial"/>
          <w:sz w:val="22"/>
        </w:rPr>
        <w:t>Si la reducción es del 50 por ciento, se paga la mitad de la BR; si es 80, se paga 80 por ciento. El subsidio no remunera el tiempo trabajado, sino la renta perdida.</w:t>
      </w:r>
    </w:p>
    <w:p>
      <w:pPr>
        <w:jc w:val="both"/>
      </w:pPr>
      <w:r>
        <w:rPr>
          <w:rFonts w:ascii="Arial" w:hAnsi="Arial" w:cs="Arial"/>
          <w:sz w:val="22"/>
        </w:rPr>
        <w:t>La mutua o entidad con la que se cubren los riesgos profesionales gestiona y paga directamente. Aunque se calcule sobre base profesional, la enfermedad del hijo no se convierte en contingencia profesional del progenitor.</w:t>
      </w:r>
    </w:p>
    <w:p>
      <w:pPr>
        <w:pStyle w:val="Heading2"/>
        <w:keepNext/>
      </w:pPr>
      <w:r>
        <w:rPr>
          <w:rFonts w:ascii="Arial" w:hAnsi="Arial" w:cs="Arial"/>
          <w:sz w:val="25"/>
        </w:rPr>
        <w:t>14.5. Nacimiento, períodos y efectos</w:t>
      </w:r>
    </w:p>
    <w:p>
      <w:pPr>
        <w:jc w:val="both"/>
      </w:pPr>
      <w:r>
        <w:rPr>
          <w:rFonts w:ascii="Arial" w:hAnsi="Arial" w:cs="Arial"/>
          <w:sz w:val="22"/>
        </w:rPr>
        <w:t xml:space="preserve">El derecho nace el día en que empieza la reducción si se solicita dentro de </w:t>
      </w:r>
      <w:r>
        <w:rPr>
          <w:rFonts w:ascii="Arial" w:hAnsi="Arial" w:cs="Arial"/>
          <w:b/>
          <w:sz w:val="22"/>
        </w:rPr>
        <w:t>tres meses</w:t>
      </w:r>
      <w:r>
        <w:rPr>
          <w:rFonts w:ascii="Arial" w:hAnsi="Arial" w:cs="Arial"/>
          <w:sz w:val="22"/>
        </w:rPr>
        <w:t>. Si se solicita después, la retroactividad económica máxima es de tres meses.</w:t>
      </w:r>
    </w:p>
    <w:p>
      <w:pPr>
        <w:jc w:val="both"/>
      </w:pPr>
      <w:r>
        <w:rPr>
          <w:rFonts w:ascii="Arial" w:hAnsi="Arial" w:cs="Arial"/>
          <w:sz w:val="22"/>
        </w:rPr>
        <w:t>Se reconoce:</w:t>
      </w:r>
    </w:p>
    <w:p>
      <w:pPr>
        <w:pStyle w:val="ListBullet"/>
      </w:pPr>
      <w:r>
        <w:rPr>
          <w:rFonts w:ascii="Arial" w:hAnsi="Arial" w:cs="Arial"/>
          <w:sz w:val="22"/>
        </w:rPr>
        <w:t>inicialmente por 1 mes;</w:t>
      </w:r>
    </w:p>
    <w:p>
      <w:pPr>
        <w:pStyle w:val="ListBullet"/>
      </w:pPr>
      <w:r>
        <w:rPr>
          <w:rFonts w:ascii="Arial" w:hAnsi="Arial" w:cs="Arial"/>
          <w:sz w:val="22"/>
        </w:rPr>
        <w:t>una primera prórroga de 2 meses;</w:t>
      </w:r>
    </w:p>
    <w:p>
      <w:pPr>
        <w:pStyle w:val="ListBullet"/>
      </w:pPr>
      <w:r>
        <w:rPr>
          <w:rFonts w:ascii="Arial" w:hAnsi="Arial" w:cs="Arial"/>
          <w:sz w:val="22"/>
        </w:rPr>
        <w:t>prórrogas sucesivas de 4 meses;</w:t>
      </w:r>
    </w:p>
    <w:p>
      <w:pPr>
        <w:pStyle w:val="ListBullet"/>
      </w:pPr>
      <w:r>
        <w:rPr>
          <w:rFonts w:ascii="Arial" w:hAnsi="Arial" w:cs="Arial"/>
          <w:sz w:val="22"/>
        </w:rPr>
        <w:t>o por el período inferior que indique el informe médico.</w:t>
      </w:r>
    </w:p>
    <w:p>
      <w:pPr>
        <w:jc w:val="both"/>
      </w:pPr>
      <w:r>
        <w:rPr>
          <w:rFonts w:ascii="Arial" w:hAnsi="Arial" w:cs="Arial"/>
          <w:sz w:val="22"/>
        </w:rPr>
        <w:t>Esta secuencia fue actualizada y es muy preguntable. Cada prórroga exige acreditar que continúa el cuidado.</w:t>
      </w:r>
    </w:p>
    <w:p>
      <w:pPr>
        <w:pStyle w:val="Heading2"/>
        <w:keepNext/>
      </w:pPr>
      <w:r>
        <w:rPr>
          <w:rFonts w:ascii="Arial" w:hAnsi="Arial" w:cs="Arial"/>
          <w:sz w:val="25"/>
        </w:rPr>
        <w:t>14.6. Suspensión y extinción</w:t>
      </w:r>
    </w:p>
    <w:p>
      <w:pPr>
        <w:jc w:val="both"/>
      </w:pPr>
      <w:r>
        <w:rPr>
          <w:rFonts w:ascii="Arial" w:hAnsi="Arial" w:cs="Arial"/>
          <w:sz w:val="22"/>
        </w:rPr>
        <w:t>Se suspende durante IT, nacimiento y cuidado, riesgo durante el embarazo o lactancia y, en general, otra suspensión laboral incompatible. Si quien cuidaba enferma o entra en las seis semanas obligatorias por nuevo nacimiento, puede reconocerse al otro si cumple requisitos.</w:t>
      </w:r>
    </w:p>
    <w:p>
      <w:pPr>
        <w:jc w:val="both"/>
      </w:pPr>
      <w:r>
        <w:rPr>
          <w:rFonts w:ascii="Arial" w:hAnsi="Arial" w:cs="Arial"/>
          <w:sz w:val="22"/>
        </w:rPr>
        <w:t>Se extingue por:</w:t>
      </w:r>
    </w:p>
    <w:p>
      <w:pPr>
        <w:pStyle w:val="ListBullet"/>
      </w:pPr>
      <w:r>
        <w:rPr>
          <w:rFonts w:ascii="Arial" w:hAnsi="Arial" w:cs="Arial"/>
          <w:sz w:val="22"/>
        </w:rPr>
        <w:t>reincorporación plena o fin de la reducción;</w:t>
      </w:r>
    </w:p>
    <w:p>
      <w:pPr>
        <w:pStyle w:val="ListBullet"/>
      </w:pPr>
      <w:r>
        <w:rPr>
          <w:rFonts w:ascii="Arial" w:hAnsi="Arial" w:cs="Arial"/>
          <w:sz w:val="22"/>
        </w:rPr>
        <w:t>desaparición de la necesidad de cuidado;</w:t>
      </w:r>
    </w:p>
    <w:p>
      <w:pPr>
        <w:pStyle w:val="ListBullet"/>
      </w:pPr>
      <w:r>
        <w:rPr>
          <w:rFonts w:ascii="Arial" w:hAnsi="Arial" w:cs="Arial"/>
          <w:sz w:val="22"/>
        </w:rPr>
        <w:t>cese laboral de uno de los progenitores, con las excepciones de convivencia ya indicadas;</w:t>
      </w:r>
    </w:p>
    <w:p>
      <w:pPr>
        <w:pStyle w:val="ListBullet"/>
      </w:pPr>
      <w:r>
        <w:rPr>
          <w:rFonts w:ascii="Arial" w:hAnsi="Arial" w:cs="Arial"/>
          <w:sz w:val="22"/>
        </w:rPr>
        <w:t>alcanzar 23 años, o 26 en el supuesto de discapacidad;</w:t>
      </w:r>
    </w:p>
    <w:p>
      <w:pPr>
        <w:pStyle w:val="ListBullet"/>
      </w:pPr>
      <w:r>
        <w:rPr>
          <w:rFonts w:ascii="Arial" w:hAnsi="Arial" w:cs="Arial"/>
          <w:sz w:val="22"/>
        </w:rPr>
        <w:t>fallecimiento del causante o del beneficiario;</w:t>
      </w:r>
    </w:p>
    <w:p>
      <w:pPr>
        <w:pStyle w:val="ListBullet"/>
      </w:pPr>
      <w:r>
        <w:rPr>
          <w:rFonts w:ascii="Arial" w:hAnsi="Arial" w:cs="Arial"/>
          <w:sz w:val="22"/>
        </w:rPr>
        <w:t>cualquier otra causa reglamentaria que termine la situación.</w:t>
      </w:r>
    </w:p>
    <w:p>
      <w:pPr>
        <w:pStyle w:val="Heading1"/>
        <w:keepNext/>
      </w:pPr>
      <w:r>
        <w:rPr>
          <w:rFonts w:ascii="Arial" w:hAnsi="Arial" w:cs="Arial"/>
          <w:sz w:val="30"/>
        </w:rPr>
        <w:t>15. Prestaciones familiares contributivas</w:t>
      </w:r>
    </w:p>
    <w:p>
      <w:pPr>
        <w:jc w:val="both"/>
      </w:pPr>
      <w:r>
        <w:rPr>
          <w:rFonts w:ascii="Arial" w:hAnsi="Arial" w:cs="Arial"/>
          <w:sz w:val="22"/>
        </w:rPr>
        <w:t>Además de las prestaciones económicas anteriores, el TRLGSS considera cotización efectiva determinados períodos de cuidado:</w:t>
      </w:r>
    </w:p>
    <w:p>
      <w:pPr>
        <w:pStyle w:val="ListBullet"/>
      </w:pPr>
      <w:r>
        <w:rPr>
          <w:rFonts w:ascii="Arial" w:hAnsi="Arial" w:cs="Arial"/>
          <w:sz w:val="22"/>
        </w:rPr>
        <w:t>los tres primeros años de excedencia por cuidado de cada hijo o menor acogido;</w:t>
      </w:r>
    </w:p>
    <w:p>
      <w:pPr>
        <w:pStyle w:val="ListBullet"/>
      </w:pPr>
      <w:r>
        <w:rPr>
          <w:rFonts w:ascii="Arial" w:hAnsi="Arial" w:cs="Arial"/>
          <w:sz w:val="22"/>
        </w:rPr>
        <w:t>el primer año de excedencia por cuidado de otros familiares, ampliable en familia numerosa según la norma;</w:t>
      </w:r>
    </w:p>
    <w:p>
      <w:pPr>
        <w:pStyle w:val="ListBullet"/>
      </w:pPr>
      <w:r>
        <w:rPr>
          <w:rFonts w:ascii="Arial" w:hAnsi="Arial" w:cs="Arial"/>
          <w:sz w:val="22"/>
        </w:rPr>
        <w:t>determinados períodos de reducción de jornada, con incremento de las cotizaciones hasta el 100 por ciento a efectos de prestaciones;</w:t>
      </w:r>
    </w:p>
    <w:p>
      <w:pPr>
        <w:pStyle w:val="ListBullet"/>
      </w:pPr>
      <w:r>
        <w:rPr>
          <w:rFonts w:ascii="Arial" w:hAnsi="Arial" w:cs="Arial"/>
          <w:sz w:val="22"/>
        </w:rPr>
        <w:t>beneficios por cuidado de hijos cuando la interrupción de cotización se conecta con nacimiento o adopción.</w:t>
      </w:r>
    </w:p>
    <w:p>
      <w:pPr>
        <w:jc w:val="both"/>
      </w:pPr>
      <w:r>
        <w:rPr>
          <w:rFonts w:ascii="Arial" w:hAnsi="Arial" w:cs="Arial"/>
          <w:sz w:val="22"/>
        </w:rPr>
        <w:t>Son prestaciones familiares en modalidad contributiva porque mejoran carreras de seguro; no generan necesariamente un pago directo. Deben distinguirse de la asignación no contributiva y de los subsidios del título II.</w:t>
      </w:r>
    </w:p>
    <w:p>
      <w:pPr>
        <w:pStyle w:val="Heading1"/>
        <w:keepNext/>
      </w:pPr>
      <w:r>
        <w:rPr>
          <w:rFonts w:ascii="Arial" w:hAnsi="Arial" w:cs="Arial"/>
          <w:sz w:val="30"/>
        </w:rPr>
        <w:t>16. Supuestos prácticos</w:t>
      </w:r>
    </w:p>
    <w:p>
      <w:pPr>
        <w:pStyle w:val="Heading2"/>
        <w:keepNext/>
      </w:pPr>
      <w:r>
        <w:rPr>
          <w:rFonts w:ascii="Arial" w:hAnsi="Arial" w:cs="Arial"/>
          <w:sz w:val="25"/>
        </w:rPr>
        <w:t>Caso 1. Persona de 25 años</w:t>
      </w:r>
    </w:p>
    <w:p>
      <w:pPr>
        <w:jc w:val="both"/>
      </w:pPr>
      <w:r>
        <w:rPr>
          <w:rFonts w:ascii="Arial" w:hAnsi="Arial" w:cs="Arial"/>
          <w:sz w:val="22"/>
        </w:rPr>
        <w:t>Tiene 120 días cotizados en los siete años anteriores. Supera los 90 exigidos y recibe 100 por ciento de BR durante los períodos disfrutados. No necesita alcanzar los 180 de toda la vida porque las vías son alternativas.</w:t>
      </w:r>
    </w:p>
    <w:p>
      <w:pPr>
        <w:pStyle w:val="Heading2"/>
        <w:keepNext/>
      </w:pPr>
      <w:r>
        <w:rPr>
          <w:rFonts w:ascii="Arial" w:hAnsi="Arial" w:cs="Arial"/>
          <w:sz w:val="25"/>
        </w:rPr>
        <w:t>Caso 2. Tramo hasta ocho años</w:t>
      </w:r>
    </w:p>
    <w:p>
      <w:pPr>
        <w:jc w:val="both"/>
      </w:pPr>
      <w:r>
        <w:rPr>
          <w:rFonts w:ascii="Arial" w:hAnsi="Arial" w:cs="Arial"/>
          <w:sz w:val="22"/>
        </w:rPr>
        <w:t>Un nacimiento ocurrió el 15 de agosto de 2024. En febrero de 2026 se pide una de las dos semanas añadidas. El hecho está dentro de la retroactividad desde 2 de agosto de 2024 y la solicitud es posible desde enero de 2026. Al inicio del tramo la persona debe estar en alta o asimilada.</w:t>
      </w:r>
    </w:p>
    <w:p>
      <w:pPr>
        <w:pStyle w:val="Heading2"/>
        <w:keepNext/>
      </w:pPr>
      <w:r>
        <w:rPr>
          <w:rFonts w:ascii="Arial" w:hAnsi="Arial" w:cs="Arial"/>
          <w:sz w:val="25"/>
        </w:rPr>
        <w:t>Caso 3. Sin carencia</w:t>
      </w:r>
    </w:p>
    <w:p>
      <w:pPr>
        <w:jc w:val="both"/>
      </w:pPr>
      <w:r>
        <w:rPr>
          <w:rFonts w:ascii="Arial" w:hAnsi="Arial" w:cs="Arial"/>
          <w:sz w:val="22"/>
        </w:rPr>
        <w:t>Una persona de 27 años solo tiene 100 días, pero cumple alta y demás requisitos. No accede al subsidio contributivo, pero sí al especial no contributivo durante seis semanas, con 100 por ciento de IPREM o su BR si es inferior. No recibe 19 semanas con esa modalidad.</w:t>
      </w:r>
    </w:p>
    <w:p>
      <w:pPr>
        <w:pStyle w:val="Heading2"/>
        <w:keepNext/>
      </w:pPr>
      <w:r>
        <w:rPr>
          <w:rFonts w:ascii="Arial" w:hAnsi="Arial" w:cs="Arial"/>
          <w:sz w:val="25"/>
        </w:rPr>
        <w:t>Caso 4. Riesgo frente a IT</w:t>
      </w:r>
    </w:p>
    <w:p>
      <w:pPr>
        <w:jc w:val="both"/>
      </w:pPr>
      <w:r>
        <w:rPr>
          <w:rFonts w:ascii="Arial" w:hAnsi="Arial" w:cs="Arial"/>
          <w:sz w:val="22"/>
        </w:rPr>
        <w:t>Una trabajadora embarazada tiene una complicación médica incompatible con cualquier empleo: corresponde IT. Otra está sana, pero manipula un agente tóxico; si no cabe adaptar ni cambiar puesto, corresponde riesgo durante el embarazo al 100 por ciento de BR profesional.</w:t>
      </w:r>
    </w:p>
    <w:p>
      <w:pPr>
        <w:pStyle w:val="Heading2"/>
        <w:keepNext/>
      </w:pPr>
      <w:r>
        <w:rPr>
          <w:rFonts w:ascii="Arial" w:hAnsi="Arial" w:cs="Arial"/>
          <w:sz w:val="25"/>
        </w:rPr>
        <w:t>Caso 5. Lactancia</w:t>
      </w:r>
    </w:p>
    <w:p>
      <w:pPr>
        <w:jc w:val="both"/>
      </w:pPr>
      <w:r>
        <w:rPr>
          <w:rFonts w:ascii="Arial" w:hAnsi="Arial" w:cs="Arial"/>
          <w:sz w:val="22"/>
        </w:rPr>
        <w:t>Una exposición química impide lactancia natural. Tras evaluar, no hay puesto compatible y se suspende contrato: subsidio por riesgo hasta los nueve meses. Desde 9 a 12 meses, una eventual reducción corresponsable es otra figura y requiere ejercicio de ambos.</w:t>
      </w:r>
    </w:p>
    <w:p>
      <w:pPr>
        <w:pStyle w:val="Heading2"/>
        <w:keepNext/>
      </w:pPr>
      <w:r>
        <w:rPr>
          <w:rFonts w:ascii="Arial" w:hAnsi="Arial" w:cs="Arial"/>
          <w:sz w:val="25"/>
        </w:rPr>
        <w:t>Caso 6. Parto múltiple</w:t>
      </w:r>
    </w:p>
    <w:p>
      <w:pPr>
        <w:jc w:val="both"/>
      </w:pPr>
      <w:r>
        <w:rPr>
          <w:rFonts w:ascii="Arial" w:hAnsi="Arial" w:cs="Arial"/>
          <w:sz w:val="22"/>
        </w:rPr>
        <w:t>Nacen trillizos. La prestación múltiple es 8 veces el SMI mensual. Puede coexistir con el descanso ampliado y, si la familia reúne condiciones e ingresos, con el pago único de 1.000 euros. No se sustituyen entre sí.</w:t>
      </w:r>
    </w:p>
    <w:p>
      <w:pPr>
        <w:pStyle w:val="Heading2"/>
        <w:keepNext/>
      </w:pPr>
      <w:r>
        <w:rPr>
          <w:rFonts w:ascii="Arial" w:hAnsi="Arial" w:cs="Arial"/>
          <w:sz w:val="25"/>
        </w:rPr>
        <w:t>Caso 7. Cuidado por enfermedad grave</w:t>
      </w:r>
    </w:p>
    <w:p>
      <w:pPr>
        <w:jc w:val="both"/>
      </w:pPr>
      <w:r>
        <w:rPr>
          <w:rFonts w:ascii="Arial" w:hAnsi="Arial" w:cs="Arial"/>
          <w:sz w:val="22"/>
        </w:rPr>
        <w:t>Dos progenitores trabajan. Uno reduce 60 por ciento para cuidado directo tras hospitalización. Si la patología está en el anexo y el informe acredita continuidad, el subsidio es 60 por ciento de la BR profesional, inicialmente por un mes, luego dos y después cuatro.</w:t>
      </w:r>
    </w:p>
    <w:p>
      <w:pPr>
        <w:pStyle w:val="Heading1"/>
        <w:keepNext/>
      </w:pPr>
      <w:r>
        <w:rPr>
          <w:rFonts w:ascii="Arial" w:hAnsi="Arial" w:cs="Arial"/>
          <w:sz w:val="30"/>
        </w:rPr>
        <w:t>17. Errores frecuentes</w:t>
      </w:r>
    </w:p>
    <w:p>
      <w:pPr>
        <w:spacing w:after="40"/>
        <w:ind w:left="369" w:hanging="227"/>
      </w:pPr>
      <w:r>
        <w:rPr>
          <w:rFonts w:ascii="Arial" w:hAnsi="Arial" w:cs="Arial"/>
          <w:sz w:val="22"/>
        </w:rPr>
        <w:t xml:space="preserve">1. </w:t>
      </w:r>
      <w:r>
        <w:rPr>
          <w:rFonts w:ascii="Arial" w:hAnsi="Arial" w:cs="Arial"/>
          <w:b/>
          <w:sz w:val="22"/>
        </w:rPr>
        <w:t>Memorizar 16 semanas como duración vigente.</w:t>
      </w:r>
      <w:r>
        <w:rPr>
          <w:rFonts w:ascii="Arial" w:hAnsi="Arial" w:cs="Arial"/>
          <w:sz w:val="22"/>
        </w:rPr>
        <w:t xml:space="preserve"> Desde julio de 2025 son 19 y 32 en monoparentalidad.</w:t>
      </w:r>
    </w:p>
    <w:p>
      <w:pPr>
        <w:spacing w:after="40"/>
        <w:ind w:left="369" w:hanging="227"/>
      </w:pPr>
      <w:r>
        <w:rPr>
          <w:rFonts w:ascii="Arial" w:hAnsi="Arial" w:cs="Arial"/>
          <w:sz w:val="22"/>
        </w:rPr>
        <w:t xml:space="preserve">2. </w:t>
      </w:r>
      <w:r>
        <w:rPr>
          <w:rFonts w:ascii="Arial" w:hAnsi="Arial" w:cs="Arial"/>
          <w:b/>
          <w:sz w:val="22"/>
        </w:rPr>
        <w:t>Atribuir retroactividad a toda la ampliación.</w:t>
      </w:r>
      <w:r>
        <w:rPr>
          <w:rFonts w:ascii="Arial" w:hAnsi="Arial" w:cs="Arial"/>
          <w:sz w:val="22"/>
        </w:rPr>
        <w:t xml:space="preserve"> Solo el tramo de 2/4 semanas hasta ocho años alcanza hechos desde 2 de agosto de 2024.</w:t>
      </w:r>
    </w:p>
    <w:p>
      <w:pPr>
        <w:spacing w:after="40"/>
        <w:ind w:left="369" w:hanging="227"/>
      </w:pPr>
      <w:r>
        <w:rPr>
          <w:rFonts w:ascii="Arial" w:hAnsi="Arial" w:cs="Arial"/>
          <w:sz w:val="22"/>
        </w:rPr>
        <w:t xml:space="preserve">3. </w:t>
      </w:r>
      <w:r>
        <w:rPr>
          <w:rFonts w:ascii="Arial" w:hAnsi="Arial" w:cs="Arial"/>
          <w:b/>
          <w:sz w:val="22"/>
        </w:rPr>
        <w:t>Permitir transferir semanas.</w:t>
      </w:r>
      <w:r>
        <w:rPr>
          <w:rFonts w:ascii="Arial" w:hAnsi="Arial" w:cs="Arial"/>
          <w:sz w:val="22"/>
        </w:rPr>
        <w:t xml:space="preserve"> El derecho es individual.</w:t>
      </w:r>
    </w:p>
    <w:p>
      <w:pPr>
        <w:spacing w:after="40"/>
        <w:ind w:left="369" w:hanging="227"/>
      </w:pPr>
      <w:r>
        <w:rPr>
          <w:rFonts w:ascii="Arial" w:hAnsi="Arial" w:cs="Arial"/>
          <w:sz w:val="22"/>
        </w:rPr>
        <w:t xml:space="preserve">4. </w:t>
      </w:r>
      <w:r>
        <w:rPr>
          <w:rFonts w:ascii="Arial" w:hAnsi="Arial" w:cs="Arial"/>
          <w:b/>
          <w:sz w:val="22"/>
        </w:rPr>
        <w:t>Olvidar el alta al inicio de cada período fraccionado.</w:t>
      </w:r>
    </w:p>
    <w:p>
      <w:pPr>
        <w:spacing w:after="40"/>
        <w:ind w:left="369" w:hanging="227"/>
      </w:pPr>
      <w:r>
        <w:rPr>
          <w:rFonts w:ascii="Arial" w:hAnsi="Arial" w:cs="Arial"/>
          <w:sz w:val="22"/>
        </w:rPr>
        <w:t xml:space="preserve">5. </w:t>
      </w:r>
      <w:r>
        <w:rPr>
          <w:rFonts w:ascii="Arial" w:hAnsi="Arial" w:cs="Arial"/>
          <w:b/>
          <w:sz w:val="22"/>
        </w:rPr>
        <w:t>Tomar la base del mes inmediatamente anterior.</w:t>
      </w:r>
      <w:r>
        <w:rPr>
          <w:rFonts w:ascii="Arial" w:hAnsi="Arial" w:cs="Arial"/>
          <w:sz w:val="22"/>
        </w:rPr>
        <w:t xml:space="preserve"> La regla general toma el mes anterior al mes previo.</w:t>
      </w:r>
    </w:p>
    <w:p>
      <w:pPr>
        <w:spacing w:after="40"/>
        <w:ind w:left="369" w:hanging="227"/>
      </w:pPr>
      <w:r>
        <w:rPr>
          <w:rFonts w:ascii="Arial" w:hAnsi="Arial" w:cs="Arial"/>
          <w:sz w:val="22"/>
        </w:rPr>
        <w:t xml:space="preserve">6. </w:t>
      </w:r>
      <w:r>
        <w:rPr>
          <w:rFonts w:ascii="Arial" w:hAnsi="Arial" w:cs="Arial"/>
          <w:b/>
          <w:sz w:val="22"/>
        </w:rPr>
        <w:t>Confundir subsidio especial con pago único de 1.000 euros.</w:t>
      </w:r>
    </w:p>
    <w:p>
      <w:pPr>
        <w:spacing w:after="40"/>
        <w:ind w:left="369" w:hanging="227"/>
      </w:pPr>
      <w:r>
        <w:rPr>
          <w:rFonts w:ascii="Arial" w:hAnsi="Arial" w:cs="Arial"/>
          <w:sz w:val="22"/>
        </w:rPr>
        <w:t xml:space="preserve">7. </w:t>
      </w:r>
      <w:r>
        <w:rPr>
          <w:rFonts w:ascii="Arial" w:hAnsi="Arial" w:cs="Arial"/>
          <w:b/>
          <w:sz w:val="22"/>
        </w:rPr>
        <w:t>Conceder las 19 semanas sin carencia en el subsidio especial.</w:t>
      </w:r>
      <w:r>
        <w:rPr>
          <w:rFonts w:ascii="Arial" w:hAnsi="Arial" w:cs="Arial"/>
          <w:sz w:val="22"/>
        </w:rPr>
        <w:t xml:space="preserve"> Se limita al tramo obligatorio.</w:t>
      </w:r>
    </w:p>
    <w:p>
      <w:pPr>
        <w:spacing w:after="40"/>
        <w:ind w:left="369" w:hanging="227"/>
      </w:pPr>
      <w:r>
        <w:rPr>
          <w:rFonts w:ascii="Arial" w:hAnsi="Arial" w:cs="Arial"/>
          <w:sz w:val="22"/>
        </w:rPr>
        <w:t xml:space="preserve">8. </w:t>
      </w:r>
      <w:r>
        <w:rPr>
          <w:rFonts w:ascii="Arial" w:hAnsi="Arial" w:cs="Arial"/>
          <w:b/>
          <w:sz w:val="22"/>
        </w:rPr>
        <w:t>Pagar a ambos por corresponsabilidad del lactante.</w:t>
      </w:r>
      <w:r>
        <w:rPr>
          <w:rFonts w:ascii="Arial" w:hAnsi="Arial" w:cs="Arial"/>
          <w:sz w:val="22"/>
        </w:rPr>
        <w:t xml:space="preserve"> Solo uno es beneficiario.</w:t>
      </w:r>
    </w:p>
    <w:p>
      <w:pPr>
        <w:spacing w:after="40"/>
        <w:ind w:left="369" w:hanging="227"/>
      </w:pPr>
      <w:r>
        <w:rPr>
          <w:rFonts w:ascii="Arial" w:hAnsi="Arial" w:cs="Arial"/>
          <w:sz w:val="22"/>
        </w:rPr>
        <w:t xml:space="preserve">9. </w:t>
      </w:r>
      <w:r>
        <w:rPr>
          <w:rFonts w:ascii="Arial" w:hAnsi="Arial" w:cs="Arial"/>
          <w:b/>
          <w:sz w:val="22"/>
        </w:rPr>
        <w:t>Confundir permiso de lactancia ordinario con prestación de 9 a 12 meses.</w:t>
      </w:r>
    </w:p>
    <w:p>
      <w:pPr>
        <w:spacing w:after="40"/>
        <w:ind w:left="369" w:hanging="227"/>
      </w:pPr>
      <w:r>
        <w:rPr>
          <w:rFonts w:ascii="Arial" w:hAnsi="Arial" w:cs="Arial"/>
          <w:sz w:val="22"/>
        </w:rPr>
        <w:t xml:space="preserve">10. </w:t>
      </w:r>
      <w:r>
        <w:rPr>
          <w:rFonts w:ascii="Arial" w:hAnsi="Arial" w:cs="Arial"/>
          <w:b/>
          <w:sz w:val="22"/>
        </w:rPr>
        <w:t>Tratar una enfermedad del embarazo como riesgo laboral.</w:t>
      </w:r>
      <w:r>
        <w:rPr>
          <w:rFonts w:ascii="Arial" w:hAnsi="Arial" w:cs="Arial"/>
          <w:sz w:val="22"/>
        </w:rPr>
        <w:t xml:space="preserve"> Si no deriva del puesto, es IT.</w:t>
      </w:r>
    </w:p>
    <w:p>
      <w:pPr>
        <w:spacing w:after="40"/>
        <w:ind w:left="369" w:hanging="227"/>
      </w:pPr>
      <w:r>
        <w:rPr>
          <w:rFonts w:ascii="Arial" w:hAnsi="Arial" w:cs="Arial"/>
          <w:sz w:val="22"/>
        </w:rPr>
        <w:t xml:space="preserve">11. </w:t>
      </w:r>
      <w:r>
        <w:rPr>
          <w:rFonts w:ascii="Arial" w:hAnsi="Arial" w:cs="Arial"/>
          <w:b/>
          <w:sz w:val="22"/>
        </w:rPr>
        <w:t>Suspender por riesgo sin intentar adaptación o cambio.</w:t>
      </w:r>
    </w:p>
    <w:p>
      <w:pPr>
        <w:spacing w:after="40"/>
        <w:ind w:left="369" w:hanging="227"/>
      </w:pPr>
      <w:r>
        <w:rPr>
          <w:rFonts w:ascii="Arial" w:hAnsi="Arial" w:cs="Arial"/>
          <w:sz w:val="22"/>
        </w:rPr>
        <w:t xml:space="preserve">12. </w:t>
      </w:r>
      <w:r>
        <w:rPr>
          <w:rFonts w:ascii="Arial" w:hAnsi="Arial" w:cs="Arial"/>
          <w:b/>
          <w:sz w:val="22"/>
        </w:rPr>
        <w:t>Aplicar BR común al riesgo.</w:t>
      </w:r>
      <w:r>
        <w:rPr>
          <w:rFonts w:ascii="Arial" w:hAnsi="Arial" w:cs="Arial"/>
          <w:sz w:val="22"/>
        </w:rPr>
        <w:t xml:space="preserve"> Se usa BR profesional.</w:t>
      </w:r>
    </w:p>
    <w:p>
      <w:pPr>
        <w:spacing w:after="40"/>
        <w:ind w:left="369" w:hanging="227"/>
      </w:pPr>
      <w:r>
        <w:rPr>
          <w:rFonts w:ascii="Arial" w:hAnsi="Arial" w:cs="Arial"/>
          <w:sz w:val="22"/>
        </w:rPr>
        <w:t xml:space="preserve">13. </w:t>
      </w:r>
      <w:r>
        <w:rPr>
          <w:rFonts w:ascii="Arial" w:hAnsi="Arial" w:cs="Arial"/>
          <w:b/>
          <w:sz w:val="22"/>
        </w:rPr>
        <w:t>Extender riesgo en lactancia hasta 12 meses.</w:t>
      </w:r>
      <w:r>
        <w:rPr>
          <w:rFonts w:ascii="Arial" w:hAnsi="Arial" w:cs="Arial"/>
          <w:sz w:val="22"/>
        </w:rPr>
        <w:t xml:space="preserve"> Finaliza a los 9.</w:t>
      </w:r>
    </w:p>
    <w:p>
      <w:pPr>
        <w:spacing w:after="40"/>
        <w:ind w:left="369" w:hanging="227"/>
      </w:pPr>
      <w:r>
        <w:rPr>
          <w:rFonts w:ascii="Arial" w:hAnsi="Arial" w:cs="Arial"/>
          <w:sz w:val="22"/>
        </w:rPr>
        <w:t xml:space="preserve">14. </w:t>
      </w:r>
      <w:r>
        <w:rPr>
          <w:rFonts w:ascii="Arial" w:hAnsi="Arial" w:cs="Arial"/>
          <w:b/>
          <w:sz w:val="22"/>
        </w:rPr>
        <w:t>Reconocer asignación ordinaria por menor sin discapacidad.</w:t>
      </w:r>
      <w:r>
        <w:rPr>
          <w:rFonts w:ascii="Arial" w:hAnsi="Arial" w:cs="Arial"/>
          <w:sz w:val="22"/>
        </w:rPr>
        <w:t xml:space="preserve"> Fue absorbida por el IMV salvo transición.</w:t>
      </w:r>
    </w:p>
    <w:p>
      <w:pPr>
        <w:spacing w:after="40"/>
        <w:ind w:left="369" w:hanging="227"/>
      </w:pPr>
      <w:r>
        <w:rPr>
          <w:rFonts w:ascii="Arial" w:hAnsi="Arial" w:cs="Arial"/>
          <w:sz w:val="22"/>
        </w:rPr>
        <w:t xml:space="preserve">15. </w:t>
      </w:r>
      <w:r>
        <w:rPr>
          <w:rFonts w:ascii="Arial" w:hAnsi="Arial" w:cs="Arial"/>
          <w:b/>
          <w:sz w:val="22"/>
        </w:rPr>
        <w:t>Aplicar límite de ingresos a la asignación por discapacidad.</w:t>
      </w:r>
      <w:r>
        <w:rPr>
          <w:rFonts w:ascii="Arial" w:hAnsi="Arial" w:cs="Arial"/>
          <w:sz w:val="22"/>
        </w:rPr>
        <w:t xml:space="preserve"> El esquema actual no usa ese límite para esta asignación.</w:t>
      </w:r>
    </w:p>
    <w:p>
      <w:pPr>
        <w:spacing w:after="40"/>
        <w:ind w:left="369" w:hanging="227"/>
      </w:pPr>
      <w:r>
        <w:rPr>
          <w:rFonts w:ascii="Arial" w:hAnsi="Arial" w:cs="Arial"/>
          <w:sz w:val="22"/>
        </w:rPr>
        <w:t xml:space="preserve">16. </w:t>
      </w:r>
      <w:r>
        <w:rPr>
          <w:rFonts w:ascii="Arial" w:hAnsi="Arial" w:cs="Arial"/>
          <w:b/>
          <w:sz w:val="22"/>
        </w:rPr>
        <w:t>Olvidar que el trabajo del hijo no elimina automáticamente “a cargo”.</w:t>
      </w:r>
    </w:p>
    <w:p>
      <w:pPr>
        <w:spacing w:after="40"/>
        <w:ind w:left="369" w:hanging="227"/>
      </w:pPr>
      <w:r>
        <w:rPr>
          <w:rFonts w:ascii="Arial" w:hAnsi="Arial" w:cs="Arial"/>
          <w:sz w:val="22"/>
        </w:rPr>
        <w:t xml:space="preserve">17. </w:t>
      </w:r>
      <w:r>
        <w:rPr>
          <w:rFonts w:ascii="Arial" w:hAnsi="Arial" w:cs="Arial"/>
          <w:b/>
          <w:sz w:val="22"/>
        </w:rPr>
        <w:t>Exigir límite de ingresos en parto múltiple.</w:t>
      </w:r>
      <w:r>
        <w:rPr>
          <w:rFonts w:ascii="Arial" w:hAnsi="Arial" w:cs="Arial"/>
          <w:sz w:val="22"/>
        </w:rPr>
        <w:t xml:space="preserve"> No existe.</w:t>
      </w:r>
    </w:p>
    <w:p>
      <w:pPr>
        <w:spacing w:after="40"/>
        <w:ind w:left="369" w:hanging="227"/>
      </w:pPr>
      <w:r>
        <w:rPr>
          <w:rFonts w:ascii="Arial" w:hAnsi="Arial" w:cs="Arial"/>
          <w:sz w:val="22"/>
        </w:rPr>
        <w:t xml:space="preserve">18. </w:t>
      </w:r>
      <w:r>
        <w:rPr>
          <w:rFonts w:ascii="Arial" w:hAnsi="Arial" w:cs="Arial"/>
          <w:b/>
          <w:sz w:val="22"/>
        </w:rPr>
        <w:t>Confundir 4/8/12 veces SMI con número de semanas.</w:t>
      </w:r>
    </w:p>
    <w:p>
      <w:pPr>
        <w:spacing w:after="40"/>
        <w:ind w:left="369" w:hanging="227"/>
      </w:pPr>
      <w:r>
        <w:rPr>
          <w:rFonts w:ascii="Arial" w:hAnsi="Arial" w:cs="Arial"/>
          <w:sz w:val="22"/>
        </w:rPr>
        <w:t xml:space="preserve">19. </w:t>
      </w:r>
      <w:r>
        <w:rPr>
          <w:rFonts w:ascii="Arial" w:hAnsi="Arial" w:cs="Arial"/>
          <w:b/>
          <w:sz w:val="22"/>
        </w:rPr>
        <w:t>Exigir una nueva hospitalización en recaída de enfermedad grave.</w:t>
      </w:r>
    </w:p>
    <w:p>
      <w:pPr>
        <w:spacing w:after="40"/>
        <w:ind w:left="369" w:hanging="227"/>
      </w:pPr>
      <w:r>
        <w:rPr>
          <w:rFonts w:ascii="Arial" w:hAnsi="Arial" w:cs="Arial"/>
          <w:sz w:val="22"/>
        </w:rPr>
        <w:t xml:space="preserve">20. </w:t>
      </w:r>
      <w:r>
        <w:rPr>
          <w:rFonts w:ascii="Arial" w:hAnsi="Arial" w:cs="Arial"/>
          <w:b/>
          <w:sz w:val="22"/>
        </w:rPr>
        <w:t>Aplicar prórrogas antiguas de dos meses indefinidamente.</w:t>
      </w:r>
      <w:r>
        <w:rPr>
          <w:rFonts w:ascii="Arial" w:hAnsi="Arial" w:cs="Arial"/>
          <w:sz w:val="22"/>
        </w:rPr>
        <w:t xml:space="preserve"> Tras el mes inicial y una prórroga de dos, son períodos sucesivos de cuatro.</w:t>
      </w:r>
    </w:p>
    <w:p>
      <w:pPr>
        <w:spacing w:after="40"/>
        <w:ind w:left="369" w:hanging="227"/>
      </w:pPr>
      <w:r>
        <w:rPr>
          <w:rFonts w:ascii="Arial" w:hAnsi="Arial" w:cs="Arial"/>
          <w:sz w:val="22"/>
        </w:rPr>
        <w:t xml:space="preserve">21. </w:t>
      </w:r>
      <w:r>
        <w:rPr>
          <w:rFonts w:ascii="Arial" w:hAnsi="Arial" w:cs="Arial"/>
          <w:b/>
          <w:sz w:val="22"/>
        </w:rPr>
        <w:t>Pagar el 100 por ciento completo con reducción del 50.</w:t>
      </w:r>
      <w:r>
        <w:rPr>
          <w:rFonts w:ascii="Arial" w:hAnsi="Arial" w:cs="Arial"/>
          <w:sz w:val="22"/>
        </w:rPr>
        <w:t xml:space="preserve"> La cuantía es proporcional.</w:t>
      </w:r>
    </w:p>
    <w:p>
      <w:pPr>
        <w:spacing w:after="40"/>
        <w:ind w:left="369" w:hanging="227"/>
      </w:pPr>
      <w:r>
        <w:rPr>
          <w:rFonts w:ascii="Arial" w:hAnsi="Arial" w:cs="Arial"/>
          <w:sz w:val="22"/>
        </w:rPr>
        <w:t xml:space="preserve">22. </w:t>
      </w:r>
      <w:r>
        <w:rPr>
          <w:rFonts w:ascii="Arial" w:hAnsi="Arial" w:cs="Arial"/>
          <w:b/>
          <w:sz w:val="22"/>
        </w:rPr>
        <w:t>Exigir que el causante tenga menos de 18 en todo momento.</w:t>
      </w:r>
      <w:r>
        <w:rPr>
          <w:rFonts w:ascii="Arial" w:hAnsi="Arial" w:cs="Arial"/>
          <w:sz w:val="22"/>
        </w:rPr>
        <w:t xml:space="preserve"> Puede mantenerse o reconocerse hasta 23 y, con discapacidad, 26.</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S09</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6, 2025: 20, 2026: 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19 / 11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texto refundido de la Ley General de la Seguridad Social (11); Real Decreto 295/2009 (3); Real Decreto 1148/2011 (1); Texto Refundido de la Ley General de la Seguridad Social (1).</w:t>
      </w:r>
    </w:p>
    <w:p>
      <w:pPr>
        <w:jc w:val="both"/>
      </w:pPr>
      <w:r>
        <w:rPr>
          <w:rFonts w:ascii="Arial" w:hAnsi="Arial" w:cs="Arial"/>
          <w:b/>
          <w:sz w:val="22"/>
        </w:rPr>
        <w:t>Artículos o preceptos más repetidos:</w:t>
      </w:r>
      <w:r>
        <w:rPr>
          <w:rFonts w:ascii="Arial" w:hAnsi="Arial" w:cs="Arial"/>
          <w:sz w:val="22"/>
        </w:rPr>
        <w:t xml:space="preserve"> 185 (2); 48 (2); 7 (1); 360 (1); 358 (1); 182 (1); 183 (1); 189 (1).</w:t>
      </w:r>
    </w:p>
    <w:p>
      <w:pPr>
        <w:jc w:val="both"/>
      </w:pPr>
      <w:r>
        <w:rPr>
          <w:rFonts w:ascii="Arial" w:hAnsi="Arial" w:cs="Arial"/>
          <w:b/>
          <w:sz w:val="22"/>
        </w:rPr>
        <w:t>Formas de pregunta predominantes:</w:t>
      </w:r>
      <w:r>
        <w:rPr>
          <w:rFonts w:ascii="Arial" w:hAnsi="Arial" w:cs="Arial"/>
          <w:sz w:val="22"/>
        </w:rPr>
        <w:t xml:space="preserve"> Prestaciones familiares (15); Cálculos (6); Personas beneficiarias (4); Plazos (3); Requisitos (2).</w:t>
      </w:r>
    </w:p>
    <w:p>
      <w:pPr>
        <w:pStyle w:val="Heading2"/>
        <w:keepNext/>
      </w:pPr>
      <w:r>
        <w:rPr>
          <w:rFonts w:ascii="Arial" w:hAnsi="Arial" w:cs="Arial"/>
          <w:sz w:val="25"/>
        </w:rPr>
        <w:t>Patrones observados</w:t>
      </w:r>
    </w:p>
    <w:p>
      <w:pPr>
        <w:pStyle w:val="ListBullet"/>
      </w:pPr>
      <w:r>
        <w:rPr>
          <w:rFonts w:ascii="Arial" w:hAnsi="Arial" w:cs="Arial"/>
          <w:b/>
          <w:sz w:val="22"/>
        </w:rPr>
        <w:t>2024, supuesto 18, reserva:</w:t>
      </w:r>
      <w:r>
        <w:rPr>
          <w:rFonts w:ascii="Arial" w:hAnsi="Arial" w:cs="Arial"/>
          <w:sz w:val="22"/>
        </w:rPr>
        <w:t xml:space="preserve"> La base de cotización por contingencias comunes ¿de qué mes se toma para calcular la base reguladora de la prestación por nacimiento y cuidado de menor de la trabajadora Carolina Martos?</w:t>
      </w:r>
    </w:p>
    <w:p>
      <w:pPr>
        <w:pStyle w:val="ListBullet"/>
      </w:pPr>
      <w:r>
        <w:rPr>
          <w:rFonts w:ascii="Arial" w:hAnsi="Arial" w:cs="Arial"/>
          <w:b/>
          <w:sz w:val="22"/>
        </w:rPr>
        <w:t>2025, supuesto 18, reserva:</w:t>
      </w:r>
      <w:r>
        <w:rPr>
          <w:rFonts w:ascii="Arial" w:hAnsi="Arial" w:cs="Arial"/>
          <w:sz w:val="22"/>
        </w:rPr>
        <w:t xml:space="preserve"> Adriana y Martín han sido padres con fecha 5 de abril de 2025. Ambos tienen derecho a la prestación económica por nacimiento y cuidado del menor. ¿Es posible que Martín ceda a Adriana el derecho de disfrute…</w:t>
      </w:r>
    </w:p>
    <w:p>
      <w:pPr>
        <w:pStyle w:val="ListBullet"/>
      </w:pPr>
      <w:r>
        <w:rPr>
          <w:rFonts w:ascii="Arial" w:hAnsi="Arial" w:cs="Arial"/>
          <w:b/>
          <w:sz w:val="22"/>
        </w:rPr>
        <w:t>2024, supuesto 8:</w:t>
      </w:r>
      <w:r>
        <w:rPr>
          <w:rFonts w:ascii="Arial" w:hAnsi="Arial" w:cs="Arial"/>
          <w:sz w:val="22"/>
        </w:rPr>
        <w:t xml:space="preserve"> ¿Hasta qué día podrá disfrutar la prestación por nacimiento y cuidado de menor, como máximo, Carolina Martos?</w:t>
      </w:r>
    </w:p>
    <w:p>
      <w:pPr>
        <w:pStyle w:val="ListBullet"/>
      </w:pPr>
      <w:r>
        <w:rPr>
          <w:rFonts w:ascii="Arial" w:hAnsi="Arial" w:cs="Arial"/>
          <w:b/>
          <w:sz w:val="22"/>
        </w:rPr>
        <w:t>2025, supuesto 7:</w:t>
      </w:r>
      <w:r>
        <w:rPr>
          <w:rFonts w:ascii="Arial" w:hAnsi="Arial" w:cs="Arial"/>
          <w:sz w:val="22"/>
        </w:rPr>
        <w:t xml:space="preserve"> A efectos de reconocer el derecho al subsidio por nacimiento y cuidado de menor de Dña . FÁTIMA ESPINOSA, al ser responsable del ingreso de las cuotas del RETA ¿se presumen ingresadas sus cotizaciones a la…</w:t>
      </w:r>
    </w:p>
    <w:p>
      <w:pPr>
        <w:pStyle w:val="ListBullet"/>
      </w:pPr>
      <w:r>
        <w:rPr>
          <w:rFonts w:ascii="Arial" w:hAnsi="Arial" w:cs="Arial"/>
          <w:b/>
          <w:sz w:val="22"/>
        </w:rPr>
        <w:t>2025, supuesto 8:</w:t>
      </w:r>
      <w:r>
        <w:rPr>
          <w:rFonts w:ascii="Arial" w:hAnsi="Arial" w:cs="Arial"/>
          <w:sz w:val="22"/>
        </w:rPr>
        <w:t xml:space="preserve"> ¿Tienen Dña. FÁTIMA y D. CARLOS derecho a la ampliación de la prestación por nacimiento y cuidado de menor por ingreso hospitalario?</w:t>
      </w:r>
    </w:p>
    <w:p>
      <w:pPr>
        <w:pStyle w:val="ListBullet"/>
      </w:pPr>
      <w:r>
        <w:rPr>
          <w:rFonts w:ascii="Arial" w:hAnsi="Arial" w:cs="Arial"/>
          <w:b/>
          <w:sz w:val="22"/>
        </w:rPr>
        <w:t>2025, supuesto 8:</w:t>
      </w:r>
      <w:r>
        <w:rPr>
          <w:rFonts w:ascii="Arial" w:hAnsi="Arial" w:cs="Arial"/>
          <w:sz w:val="22"/>
        </w:rPr>
        <w:t xml:space="preserve"> ¿Qué duración tendrá la prestación de nacimiento y cuidado del menor para cada uno de los progenitores?</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18. Tabla final de cifras</w:t>
      </w:r>
    </w:p>
    <w:tbl>
      <w:tblPr>
        <w:tblStyle w:val="TableGrid"/>
        <w:tblW w:type="dxa" w:w="9026"/>
        <w:jc w:val="left"/>
        <w:tblLayout w:type="fixed"/>
        <w:tblLook w:firstColumn="1" w:firstRow="1" w:lastColumn="0" w:lastRow="0" w:noHBand="0" w:noVBand="1" w:val="04A0"/>
        <w:tblInd w:w="120" w:type="dxa"/>
      </w:tblPr>
      <w:tblGrid>
        <w:gridCol w:w="2059"/>
        <w:gridCol w:w="6967"/>
      </w:tblGrid>
      <w:tr>
        <w:trPr>
          <w:tblHeader w:val="true"/>
        </w:trPr>
        <w:tc>
          <w:tcPr>
            <w:tcW w:type="dxa" w:w="205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Cifra</w:t>
            </w:r>
          </w:p>
        </w:tc>
        <w:tc>
          <w:tcPr>
            <w:tcW w:type="dxa" w:w="696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19 / 32 semanas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Nacimiento y cuidado general / monoparental</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6 + 11 + 2</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individual</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6 + 22 + 4</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monoparental</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15 días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Preaviso empresarial general</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90/7 o 180 total</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Carencia entre 21 y 25</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180/7 o 360 total</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Carencia desde 26</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100 % BR</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Subsidio contributivo</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6 semanas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Subsidio especial sin carencia</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14 días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Única ampliación posible del especial</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9 a 12 meses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Corresponsabilidad del lactante</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9 meses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Fin de riesgo durante lactancia</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33 % / 65 %</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Discapacidad menor / adulto para asignación</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1.000 €</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Pago único de familia protegida</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4 / 8 / 12 SMI</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Parto o adopción de 2 / 3 / 4 o más</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50 %</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Reducción mínima por enfermedad grave</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23 / 26 años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Límites del causante</w:t>
            </w:r>
          </w:p>
        </w:tc>
      </w:tr>
      <w:tr>
        <w:tc>
          <w:tcPr>
            <w:tcW w:type="dxa" w:w="2059"/>
            <w:tcMar>
              <w:top w:w="80" w:type="dxa"/>
              <w:start w:w="120" w:type="dxa"/>
              <w:bottom w:w="80" w:type="dxa"/>
              <w:end w:w="120" w:type="dxa"/>
            </w:tcMar>
            <w:vAlign w:val="center"/>
          </w:tcPr>
          <w:p>
            <w:pPr>
              <w:spacing w:before="0" w:after="0" w:line="240" w:lineRule="auto"/>
              <w:jc w:val="left"/>
            </w:pPr>
            <w:r/>
            <w:r>
              <w:rPr>
                <w:rFonts w:ascii="Arial" w:hAnsi="Arial" w:cs="Arial"/>
                <w:sz w:val="18"/>
              </w:rPr>
              <w:t>1 + 2 + 4 meses</w:t>
            </w:r>
          </w:p>
        </w:tc>
        <w:tc>
          <w:tcPr>
            <w:tcW w:type="dxa" w:w="6967"/>
            <w:tcMar>
              <w:top w:w="80" w:type="dxa"/>
              <w:start w:w="120" w:type="dxa"/>
              <w:bottom w:w="80" w:type="dxa"/>
              <w:end w:w="120" w:type="dxa"/>
            </w:tcMar>
            <w:vAlign w:val="center"/>
          </w:tcPr>
          <w:p>
            <w:pPr>
              <w:spacing w:before="0" w:after="0" w:line="240" w:lineRule="auto"/>
              <w:jc w:val="left"/>
            </w:pPr>
            <w:r/>
            <w:r>
              <w:rPr>
                <w:rFonts w:ascii="Arial" w:hAnsi="Arial" w:cs="Arial"/>
                <w:sz w:val="18"/>
              </w:rPr>
              <w:t>Reconocimiento y prórrogas del subsidio de cuidado</w:t>
            </w:r>
          </w:p>
        </w:tc>
      </w:tr>
    </w:tbl>
    <w:p>
      <w:pPr>
        <w:spacing w:after="40"/>
      </w:pPr>
    </w:p>
    <w:p>
      <w:pPr>
        <w:pStyle w:val="Heading1"/>
        <w:keepNext/>
      </w:pPr>
      <w:r>
        <w:rPr>
          <w:rFonts w:ascii="Arial" w:hAnsi="Arial" w:cs="Arial"/>
          <w:sz w:val="30"/>
        </w:rPr>
        <w:t>19. Gestión, solicitud y comprobación documental</w:t>
      </w:r>
    </w:p>
    <w:p>
      <w:pPr>
        <w:jc w:val="both"/>
      </w:pPr>
      <w:r>
        <w:rPr>
          <w:rFonts w:ascii="Arial" w:hAnsi="Arial" w:cs="Arial"/>
          <w:sz w:val="22"/>
        </w:rPr>
        <w:t xml:space="preserve">La documentación cambia según la figura, pero puede ordenarse en tres grupos. Primero se acredita la </w:t>
      </w:r>
      <w:r>
        <w:rPr>
          <w:rFonts w:ascii="Arial" w:hAnsi="Arial" w:cs="Arial"/>
          <w:b/>
          <w:sz w:val="22"/>
        </w:rPr>
        <w:t>identidad y el hecho familiar</w:t>
      </w:r>
      <w:r>
        <w:rPr>
          <w:rFonts w:ascii="Arial" w:hAnsi="Arial" w:cs="Arial"/>
          <w:sz w:val="22"/>
        </w:rPr>
        <w:t xml:space="preserve">: inscripción registral del nacimiento, resolución de adopción o decisión de guarda o acogimiento. Segundo se acredita la </w:t>
      </w:r>
      <w:r>
        <w:rPr>
          <w:rFonts w:ascii="Arial" w:hAnsi="Arial" w:cs="Arial"/>
          <w:b/>
          <w:sz w:val="22"/>
        </w:rPr>
        <w:t>situación profesional</w:t>
      </w:r>
      <w:r>
        <w:rPr>
          <w:rFonts w:ascii="Arial" w:hAnsi="Arial" w:cs="Arial"/>
          <w:sz w:val="22"/>
        </w:rPr>
        <w:t xml:space="preserve">: certificado empresarial con fechas de suspensión o reducción, base de cotización y, cuando proceda, descripción del puesto y declaración de imposibilidad de adaptación. Tercero se prueba el </w:t>
      </w:r>
      <w:r>
        <w:rPr>
          <w:rFonts w:ascii="Arial" w:hAnsi="Arial" w:cs="Arial"/>
          <w:b/>
          <w:sz w:val="22"/>
        </w:rPr>
        <w:t>requisito específico</w:t>
      </w:r>
      <w:r>
        <w:rPr>
          <w:rFonts w:ascii="Arial" w:hAnsi="Arial" w:cs="Arial"/>
          <w:sz w:val="22"/>
        </w:rPr>
        <w:t>: discapacidad, familia numerosa, monoparentalidad, ingresos, informe médico o necesidad de cuidado.</w:t>
      </w:r>
    </w:p>
    <w:p>
      <w:pPr>
        <w:jc w:val="both"/>
      </w:pPr>
      <w:r>
        <w:rPr>
          <w:rFonts w:ascii="Arial" w:hAnsi="Arial" w:cs="Arial"/>
          <w:sz w:val="22"/>
        </w:rPr>
        <w:t>El INSS puede consultar de oficio datos que ya obren en las administraciones; exigir otra vez un documento disponible electrónicamente no debe confundirse con la obligación del interesado de comunicar hechos que la entidad desconoce. Las variaciones relevantes —reincorporación, fin de lactancia, cese del otro progenitor, desaparición del cuidado o cambio de convivencia— han de comunicarse porque pueden suspender, modificar o extinguir.</w:t>
      </w:r>
    </w:p>
    <w:p>
      <w:pPr>
        <w:jc w:val="both"/>
      </w:pPr>
      <w:r>
        <w:rPr>
          <w:rFonts w:ascii="Arial" w:hAnsi="Arial" w:cs="Arial"/>
          <w:sz w:val="22"/>
        </w:rPr>
        <w:t>En nacimiento y cuidado, la solicitud de cada tramo flexible debe concordar con el certificado empresarial. La resolución puede ser provisional si todavía no consta la base definitiva. El fraccionamiento no convierte cada semana en un derecho nuevo: es ejercicio sucesivo de la misma situación, pero el artículo 178.4 obliga a comprobar alta o situación asimilada al iniciar cada período.</w:t>
      </w:r>
    </w:p>
    <w:p>
      <w:pPr>
        <w:jc w:val="both"/>
      </w:pPr>
      <w:r>
        <w:rPr>
          <w:rFonts w:ascii="Arial" w:hAnsi="Arial" w:cs="Arial"/>
          <w:sz w:val="22"/>
        </w:rPr>
        <w:t xml:space="preserve">En riesgo durante embarazo o lactancia no basta un parte clínico. La secuencia correcta es </w:t>
      </w:r>
      <w:r>
        <w:rPr>
          <w:rFonts w:ascii="Arial" w:hAnsi="Arial" w:cs="Arial"/>
          <w:b/>
          <w:sz w:val="22"/>
        </w:rPr>
        <w:t>informe sanitario → certificado de tareas y riesgo → evaluación por entidad → intento de adaptación o cambio → suspensión → solicitud</w:t>
      </w:r>
      <w:r>
        <w:rPr>
          <w:rFonts w:ascii="Arial" w:hAnsi="Arial" w:cs="Arial"/>
          <w:sz w:val="22"/>
        </w:rPr>
        <w:t>. Omitir el examen del puesto transforma indebidamente una prestación preventiva en una baja médica.</w:t>
      </w:r>
    </w:p>
    <w:p>
      <w:pPr>
        <w:jc w:val="both"/>
      </w:pPr>
      <w:r>
        <w:rPr>
          <w:rFonts w:ascii="Arial" w:hAnsi="Arial" w:cs="Arial"/>
          <w:sz w:val="22"/>
        </w:rPr>
        <w:t>Para la asignación familiar se comprueban residencia, convivencia o dependencia, grado y ausencia de prestación análoga. En el pago único se añaden ingresos y condición familiar. En parto múltiple, el número de hijos y el SMI del hecho causante determinan la cuantía; no se investiga renta.</w:t>
      </w:r>
    </w:p>
    <w:p>
      <w:pPr>
        <w:jc w:val="both"/>
      </w:pPr>
      <w:r>
        <w:rPr>
          <w:rFonts w:ascii="Arial" w:hAnsi="Arial" w:cs="Arial"/>
          <w:sz w:val="22"/>
        </w:rPr>
        <w:t>Para enfermedad grave, la reducción debe ser real y alcanzar al menos el 50 por ciento. El informe sanitario no solo nombra la patología: debe justificar hospitalización o tratamiento continuado y cuidado directo, continuo y permanente. La entidad puede comprobar en cualquier momento que persisten requisitos. La falta de renovación no debe tratarse como curación automática, pero sí impide prorrogar sin acreditación.</w:t>
      </w:r>
    </w:p>
    <w:p>
      <w:pPr>
        <w:pStyle w:val="Heading2"/>
        <w:keepNext/>
      </w:pPr>
      <w:r>
        <w:rPr>
          <w:rFonts w:ascii="Arial" w:hAnsi="Arial" w:cs="Arial"/>
          <w:sz w:val="25"/>
        </w:rPr>
        <w:t>19.1. Regla de elección ante un supuesto</w:t>
      </w:r>
    </w:p>
    <w:p>
      <w:pPr>
        <w:spacing w:after="100"/>
        <w:ind w:left="340" w:right="227"/>
        <w:shd w:fill="EAF2F8"/>
      </w:pPr>
      <w:r>
        <w:rPr>
          <w:rFonts w:ascii="Arial" w:hAnsi="Arial" w:cs="Arial"/>
          <w:sz w:val="20"/>
        </w:rPr>
        <w:t>hecho familiar sin riesgo → nacimiento y cuidado; riesgo del puesto → riesgo embarazo/lactancia; patología propia → IT; reducción conjunta de 9 a 12 meses → corresponsabilidad; discapacidad y dependencia económica → asignación; hecho familiar protegido e ingresos bajos → pago único; multiplicidad → prestación por parto/adopción múltiple; enfermedad grave del hijo y reducción ≥50 % → subsidio de cuidado.</w:t>
      </w:r>
    </w:p>
    <w:p>
      <w:pPr>
        <w:jc w:val="both"/>
      </w:pPr>
      <w:r>
        <w:rPr>
          <w:rFonts w:ascii="Arial" w:hAnsi="Arial" w:cs="Arial"/>
          <w:sz w:val="22"/>
        </w:rPr>
        <w:t>Una misma familia puede reunir varias figuras porque protegen necesidades diferentes. La compatibilidad no se presume ni se niega en bloque: se revisan sujeto, período, renta sustituida y norma específica. Así, parto múltiple y nacimiento y cuidado pueden coexistir; riesgo durante embarazo termina al iniciarse nacimiento; y el subsidio por enfermedad grave se suspende si su beneficiario entra en una suspensión laboral incompatible.</w:t>
      </w:r>
    </w:p>
    <w:p>
      <w:pPr>
        <w:pStyle w:val="Heading1"/>
        <w:keepNext/>
      </w:pPr>
      <w:r>
        <w:rPr>
          <w:rFonts w:ascii="Arial" w:hAnsi="Arial" w:cs="Arial"/>
          <w:sz w:val="30"/>
        </w:rPr>
        <w:t>20. Coordinación temporal y casos de concurrencia</w:t>
      </w:r>
    </w:p>
    <w:p>
      <w:pPr>
        <w:pStyle w:val="Heading2"/>
        <w:keepNext/>
      </w:pPr>
      <w:r>
        <w:rPr>
          <w:rFonts w:ascii="Arial" w:hAnsi="Arial" w:cs="Arial"/>
          <w:sz w:val="25"/>
        </w:rPr>
        <w:t>20.1. Embarazo, incapacidad temporal y nacimiento</w:t>
      </w:r>
    </w:p>
    <w:p>
      <w:pPr>
        <w:jc w:val="both"/>
      </w:pPr>
      <w:r>
        <w:rPr>
          <w:rFonts w:ascii="Arial" w:hAnsi="Arial" w:cs="Arial"/>
          <w:sz w:val="22"/>
        </w:rPr>
        <w:t>La cronología evita pagos incompatibles. Si durante una IT la trabajadora alcanza una situación de riesgo del puesto, continúa primero la IT; el subsidio de riesgo solo podrá comenzar cuando aquella termine y todavía subsistan riesgo e imposibilidad de cambio. Si ya percibe riesgo y aparece una enfermedad común, la IT no se reconoce hasta terminar el riesgo. Al producirse el nacimiento, la prestación por riesgo finaliza y comienza el descanso por nacimiento si concurren sus requisitos.</w:t>
      </w:r>
    </w:p>
    <w:p>
      <w:pPr>
        <w:jc w:val="both"/>
      </w:pPr>
      <w:r>
        <w:rPr>
          <w:rFonts w:ascii="Arial" w:hAnsi="Arial" w:cs="Arial"/>
          <w:sz w:val="22"/>
        </w:rPr>
        <w:t>La IT especial de semana 39 tampoco desplaza un riesgo durante el embarazo iniciado antes. La interesada sigue con el subsidio de riesgo hasta que termina por parto o por otra causa legal. Este orden importa porque cambian base reguladora, entidad pagadora y cuantía.</w:t>
      </w:r>
    </w:p>
    <w:p>
      <w:pPr>
        <w:pStyle w:val="Heading2"/>
        <w:keepNext/>
      </w:pPr>
      <w:r>
        <w:rPr>
          <w:rFonts w:ascii="Arial" w:hAnsi="Arial" w:cs="Arial"/>
          <w:sz w:val="25"/>
        </w:rPr>
        <w:t>20.2. Disfrute parcial y nueva situación</w:t>
      </w:r>
    </w:p>
    <w:p>
      <w:pPr>
        <w:jc w:val="both"/>
      </w:pPr>
      <w:r>
        <w:rPr>
          <w:rFonts w:ascii="Arial" w:hAnsi="Arial" w:cs="Arial"/>
          <w:sz w:val="22"/>
        </w:rPr>
        <w:t>Los períodos voluntarios de nacimiento pueden disfrutarse a tiempo parcial mediante acuerdo. Durante el descanso parcial se trabaja una fracción y se percibe subsidio por la restante. Si aparece una IT, las reglas reglamentarias coordinan ambos derechos y conservan los cálculos propios de la jornada parcial; no procede pagar dos subsidios íntegros sobre el mismo tiempo.</w:t>
      </w:r>
    </w:p>
    <w:p>
      <w:pPr>
        <w:jc w:val="both"/>
      </w:pPr>
      <w:r>
        <w:rPr>
          <w:rFonts w:ascii="Arial" w:hAnsi="Arial" w:cs="Arial"/>
          <w:sz w:val="22"/>
        </w:rPr>
        <w:t>Si se extingue el contrato durante un tramo parcial, el subsidio por nacimiento pasa a percibirse íntegramente por el período pendiente reconocido. Al terminar, se examina desempleo. La extinción contractual no acorta el descanso ya causado.</w:t>
      </w:r>
    </w:p>
    <w:p>
      <w:pPr>
        <w:pStyle w:val="Heading2"/>
        <w:keepNext/>
      </w:pPr>
      <w:r>
        <w:rPr>
          <w:rFonts w:ascii="Arial" w:hAnsi="Arial" w:cs="Arial"/>
          <w:sz w:val="25"/>
        </w:rPr>
        <w:t>20.3. Dos empleos y pluriactividad</w:t>
      </w:r>
    </w:p>
    <w:p>
      <w:pPr>
        <w:jc w:val="both"/>
      </w:pPr>
      <w:r>
        <w:rPr>
          <w:rFonts w:ascii="Arial" w:hAnsi="Arial" w:cs="Arial"/>
          <w:sz w:val="22"/>
        </w:rPr>
        <w:t>En pluriempleo puede existir un único subsidio calculado con las bases de los distintos empleos dentro del tope. En pluriactividad pueden causarse prestaciones en cada régimen si se cumplen separadamente los requisitos. La suspensión debe corresponder a las actividades afectadas.</w:t>
      </w:r>
    </w:p>
    <w:p>
      <w:pPr>
        <w:jc w:val="both"/>
      </w:pPr>
      <w:r>
        <w:rPr>
          <w:rFonts w:ascii="Arial" w:hAnsi="Arial" w:cs="Arial"/>
          <w:sz w:val="22"/>
        </w:rPr>
        <w:t>Para riesgo durante embarazo o lactancia, la protección puede limitarse a la actividad peligrosa. Si otra actividad ya desarrollada es compatible con el estado, puede mantenerse y cobrar el subsidio solo por la suspendida. Empezar una actividad nueva exige revisar que no contradiga el riesgo certificado ni la normativa de compatibilidad.</w:t>
      </w:r>
    </w:p>
    <w:p>
      <w:pPr>
        <w:pStyle w:val="Heading2"/>
        <w:keepNext/>
      </w:pPr>
      <w:r>
        <w:rPr>
          <w:rFonts w:ascii="Arial" w:hAnsi="Arial" w:cs="Arial"/>
          <w:sz w:val="25"/>
        </w:rPr>
        <w:t>20.4. Múltiples derechos por un mismo nacimiento</w:t>
      </w:r>
    </w:p>
    <w:p>
      <w:pPr>
        <w:jc w:val="both"/>
      </w:pPr>
      <w:r>
        <w:rPr>
          <w:rFonts w:ascii="Arial" w:hAnsi="Arial" w:cs="Arial"/>
          <w:sz w:val="22"/>
        </w:rPr>
        <w:t>Un nacimiento múltiple puede producir, sin duplicación ilícita:</w:t>
      </w:r>
    </w:p>
    <w:p>
      <w:pPr>
        <w:pStyle w:val="ListBullet"/>
      </w:pPr>
      <w:r>
        <w:rPr>
          <w:rFonts w:ascii="Arial" w:hAnsi="Arial" w:cs="Arial"/>
          <w:sz w:val="22"/>
        </w:rPr>
        <w:t>suspensión y subsidio de nacimiento para cada persona beneficiaria;</w:t>
      </w:r>
    </w:p>
    <w:p>
      <w:pPr>
        <w:pStyle w:val="ListBullet"/>
      </w:pPr>
      <w:r>
        <w:rPr>
          <w:rFonts w:ascii="Arial" w:hAnsi="Arial" w:cs="Arial"/>
          <w:sz w:val="22"/>
        </w:rPr>
        <w:t>ampliaciones temporales del descanso;</w:t>
      </w:r>
    </w:p>
    <w:p>
      <w:pPr>
        <w:pStyle w:val="ListBullet"/>
      </w:pPr>
      <w:r>
        <w:rPr>
          <w:rFonts w:ascii="Arial" w:hAnsi="Arial" w:cs="Arial"/>
          <w:sz w:val="22"/>
        </w:rPr>
        <w:t>pago único por parto múltiple;</w:t>
      </w:r>
    </w:p>
    <w:p>
      <w:pPr>
        <w:pStyle w:val="ListBullet"/>
      </w:pPr>
      <w:r>
        <w:rPr>
          <w:rFonts w:ascii="Arial" w:hAnsi="Arial" w:cs="Arial"/>
          <w:sz w:val="22"/>
        </w:rPr>
        <w:t>pago único de 1.000 euros si además existe familia numerosa, monoparentalidad o discapacidad y se cumple renta;</w:t>
      </w:r>
    </w:p>
    <w:p>
      <w:pPr>
        <w:pStyle w:val="ListBullet"/>
      </w:pPr>
      <w:r>
        <w:rPr>
          <w:rFonts w:ascii="Arial" w:hAnsi="Arial" w:cs="Arial"/>
          <w:sz w:val="22"/>
        </w:rPr>
        <w:t>asignación por cada hijo que tenga el grado de discapacidad exigido.</w:t>
      </w:r>
    </w:p>
    <w:p>
      <w:pPr>
        <w:jc w:val="both"/>
      </w:pPr>
      <w:r>
        <w:rPr>
          <w:rFonts w:ascii="Arial" w:hAnsi="Arial" w:cs="Arial"/>
          <w:sz w:val="22"/>
        </w:rPr>
        <w:t>Cada derecho protege una necesidad distinta. Para comprobar compatibilidad se revisa si la otra prestación es realmente «análoga» en otro régimen público. Una prestación idéntica por el mismo hecho no se duplica; una indemnización múltiple y un subsidio de sustitución salarial sí pueden coexistir.</w:t>
      </w:r>
    </w:p>
    <w:p>
      <w:pPr>
        <w:pStyle w:val="Heading2"/>
        <w:keepNext/>
      </w:pPr>
      <w:r>
        <w:rPr>
          <w:rFonts w:ascii="Arial" w:hAnsi="Arial" w:cs="Arial"/>
          <w:sz w:val="25"/>
        </w:rPr>
        <w:t>20.5. Fallecimiento y mantenimiento</w:t>
      </w:r>
    </w:p>
    <w:p>
      <w:pPr>
        <w:jc w:val="both"/>
      </w:pPr>
      <w:r>
        <w:rPr>
          <w:rFonts w:ascii="Arial" w:hAnsi="Arial" w:cs="Arial"/>
          <w:sz w:val="22"/>
        </w:rPr>
        <w:t>El fallecimiento del menor no reduce automáticamente el período de nacimiento o adopción. Después de las seis semanas obligatorias, la persona puede pedir reincorporación. Si fallece una de las personas titulares, la otra puede usar el período total o el resto conforme al ET.</w:t>
      </w:r>
    </w:p>
    <w:p>
      <w:pPr>
        <w:jc w:val="both"/>
      </w:pPr>
      <w:r>
        <w:rPr>
          <w:rFonts w:ascii="Arial" w:hAnsi="Arial" w:cs="Arial"/>
          <w:sz w:val="22"/>
        </w:rPr>
        <w:t>Estas reglas no convierten el derecho individual en transferible ordinariamente: son respuestas legales específicas al fallecimiento. Fuera de ese supuesto, las semanas no utilizadas por una persona no pasan a la otra.</w:t>
      </w:r>
    </w:p>
    <w:p>
      <w:pPr>
        <w:pStyle w:val="Heading2"/>
        <w:keepNext/>
      </w:pPr>
      <w:r>
        <w:rPr>
          <w:rFonts w:ascii="Arial" w:hAnsi="Arial" w:cs="Arial"/>
          <w:sz w:val="25"/>
        </w:rPr>
        <w:t>20.6. Protección de la persona autónoma</w:t>
      </w:r>
    </w:p>
    <w:p>
      <w:pPr>
        <w:jc w:val="both"/>
      </w:pPr>
      <w:r>
        <w:rPr>
          <w:rFonts w:ascii="Arial" w:hAnsi="Arial" w:cs="Arial"/>
          <w:sz w:val="22"/>
        </w:rPr>
        <w:t>Las personas trabajadoras por cuenta propia acceden a nacimiento y cuidado con carencia por edad, alta y requisito de estar al corriente. El cese temporal de actividad sustituye a la suspensión contractual y debe comunicarse la situación de la actividad en el plazo reglamentario. El subsidio es 100 por ciento de la base reguladora determinada con las reglas especiales del RETA.</w:t>
      </w:r>
    </w:p>
    <w:p>
      <w:pPr>
        <w:jc w:val="both"/>
      </w:pPr>
      <w:r>
        <w:rPr>
          <w:rFonts w:ascii="Arial" w:hAnsi="Arial" w:cs="Arial"/>
          <w:sz w:val="22"/>
        </w:rPr>
        <w:t>En riesgo durante embarazo o lactancia se exige interrupción de la actividad peligrosa y certificación de que influye negativamente. En enfermedad grave, la reducción se traduce en cese parcial de al menos 50 por ciento. No basta declarar menos facturación: debe existir reducción real y organización de la actividad compatible con el cuidado.</w:t>
      </w:r>
    </w:p>
    <w:p>
      <w:pPr>
        <w:pStyle w:val="Heading2"/>
        <w:keepNext/>
      </w:pPr>
      <w:r>
        <w:rPr>
          <w:rFonts w:ascii="Arial" w:hAnsi="Arial" w:cs="Arial"/>
          <w:sz w:val="25"/>
        </w:rPr>
        <w:t>20.7. Diferencia entre causante y beneficiario</w:t>
      </w:r>
    </w:p>
    <w:p>
      <w:pPr>
        <w:jc w:val="both"/>
      </w:pPr>
      <w:r>
        <w:rPr>
          <w:rFonts w:ascii="Arial" w:hAnsi="Arial" w:cs="Arial"/>
          <w:sz w:val="22"/>
        </w:rPr>
        <w:t xml:space="preserve">En prestaciones familiares, </w:t>
      </w:r>
      <w:r>
        <w:rPr>
          <w:rFonts w:ascii="Arial" w:hAnsi="Arial" w:cs="Arial"/>
          <w:b/>
          <w:sz w:val="22"/>
        </w:rPr>
        <w:t>causante</w:t>
      </w:r>
      <w:r>
        <w:rPr>
          <w:rFonts w:ascii="Arial" w:hAnsi="Arial" w:cs="Arial"/>
          <w:sz w:val="22"/>
        </w:rPr>
        <w:t xml:space="preserve"> es el hijo o menor cuyas condiciones originan protección; </w:t>
      </w:r>
      <w:r>
        <w:rPr>
          <w:rFonts w:ascii="Arial" w:hAnsi="Arial" w:cs="Arial"/>
          <w:b/>
          <w:sz w:val="22"/>
        </w:rPr>
        <w:t>beneficiario</w:t>
      </w:r>
      <w:r>
        <w:rPr>
          <w:rFonts w:ascii="Arial" w:hAnsi="Arial" w:cs="Arial"/>
          <w:sz w:val="22"/>
        </w:rPr>
        <w:t xml:space="preserve"> es quien recibe la prestación o, en casos legales, el propio causante. En nacimiento y cuidado, la persona que suspende es beneficiaria y el hecho familiar delimita la situación. En cuidado por enfermedad grave, el hijo enfermo es causante y quien reduce jornada es beneficiario.</w:t>
      </w:r>
    </w:p>
    <w:p>
      <w:pPr>
        <w:jc w:val="both"/>
      </w:pPr>
      <w:r>
        <w:rPr>
          <w:rFonts w:ascii="Arial" w:hAnsi="Arial" w:cs="Arial"/>
          <w:sz w:val="22"/>
        </w:rPr>
        <w:t>Esta distinción resuelve enunciados sobre edad, residencia, trabajo o discapacidad. El límite de 23/26 se refiere al causante; la carencia por edad, al beneficiario; el 65 por ciento del pago único puede referirse al padre o madre; y el 33/65 de la asignación corresponde al hijo según sea menor o mayor de edad.</w:t>
      </w:r>
    </w:p>
    <w:p>
      <w:pPr>
        <w:pStyle w:val="Heading2"/>
        <w:keepNext/>
      </w:pPr>
      <w:r>
        <w:rPr>
          <w:rFonts w:ascii="Arial" w:hAnsi="Arial" w:cs="Arial"/>
          <w:sz w:val="25"/>
        </w:rPr>
        <w:t>20.8. Control final de un expediente</w:t>
      </w:r>
    </w:p>
    <w:p>
      <w:pPr>
        <w:jc w:val="both"/>
      </w:pPr>
      <w:r>
        <w:rPr>
          <w:rFonts w:ascii="Arial" w:hAnsi="Arial" w:cs="Arial"/>
          <w:sz w:val="22"/>
        </w:rPr>
        <w:t>Antes de resolver conviene completar esta matriz:</w:t>
      </w:r>
    </w:p>
    <w:tbl>
      <w:tblPr>
        <w:tblStyle w:val="TableGrid"/>
        <w:tblW w:type="dxa" w:w="9026"/>
        <w:jc w:val="left"/>
        <w:tblLayout w:type="fixed"/>
        <w:tblLook w:firstColumn="1" w:firstRow="1" w:lastColumn="0" w:lastRow="0" w:noHBand="0" w:noVBand="1" w:val="04A0"/>
        <w:tblInd w:w="120" w:type="dxa"/>
      </w:tblPr>
      <w:tblGrid>
        <w:gridCol w:w="3009"/>
        <w:gridCol w:w="6017"/>
      </w:tblGrid>
      <w:tr>
        <w:trPr>
          <w:tblHeader w:val="true"/>
        </w:trPr>
        <w:tc>
          <w:tcPr>
            <w:tcW w:type="dxa" w:w="30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w:t>
            </w:r>
          </w:p>
        </w:tc>
        <w:tc>
          <w:tcPr>
            <w:tcW w:type="dxa" w:w="601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Verificación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¿Qué hecho ocurrió?</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Parto, adopción, riesgo, discapacidad, multiplicidad o enfermedad grave</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¿Quién deja de trabajar o reduce?</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Identifica beneficiario y régimen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¿Qué edad y carencia tiene?</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Aplica tramo correcto</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¿Existe alta al empezar cada período?</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Especialmente en semanas fraccionadas</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¿Qué base corresponde?</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Común, profesional, IPREM o SMI</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¿Hay límite de ingresos?</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Solo en las figuras que lo exigen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¿Qué entidad gestiona?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INSS/ISM, mutua o régimen estatutario</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¿Concurre otra prestación?</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Compatibilidad, suspensión o sucesión temporal</w:t>
            </w:r>
          </w:p>
        </w:tc>
      </w:tr>
    </w:tbl>
    <w:p>
      <w:pPr>
        <w:spacing w:after="40"/>
      </w:pPr>
    </w:p>
    <w:p>
      <w:pPr>
        <w:jc w:val="both"/>
      </w:pPr>
      <w:r>
        <w:rPr>
          <w:rFonts w:ascii="Arial" w:hAnsi="Arial" w:cs="Arial"/>
          <w:sz w:val="22"/>
        </w:rPr>
        <w:t>El análisis ordenado es más fiable que comenzar por la cuantía. Una respuesta numérica puede ser correcta en abstracto y, sin embargo, inaplicable porque la situación es otra, falta alta al iniciar el tramo o la persona elegida no es beneficiaria.</w:t>
      </w:r>
    </w:p>
    <w:p>
      <w:pPr>
        <w:pStyle w:val="Heading1"/>
        <w:keepNext/>
      </w:pPr>
      <w:r>
        <w:rPr>
          <w:rFonts w:ascii="Arial" w:hAnsi="Arial" w:cs="Arial"/>
          <w:sz w:val="30"/>
        </w:rPr>
        <w:t>21. Normativa y fuentes oficiales</w:t>
      </w:r>
    </w:p>
    <w:p>
      <w:pPr>
        <w:pStyle w:val="ListBullet"/>
      </w:pPr>
      <w:r>
        <w:rPr>
          <w:rFonts w:ascii="Arial" w:hAnsi="Arial" w:cs="Arial"/>
          <w:sz w:val="22"/>
        </w:rPr>
        <w:t>Real Decreto Legislativo 8/2015, de 30 de octubre, TRLGSS, artículos 177 a 192, 235 a 237 y 351 a 362: BOE, texto consolidado (https://www.boe.es/buscar/act.php?id=BOE-A-2015-11724).</w:t>
      </w:r>
    </w:p>
    <w:p>
      <w:pPr>
        <w:pStyle w:val="ListBullet"/>
      </w:pPr>
      <w:r>
        <w:rPr>
          <w:rFonts w:ascii="Arial" w:hAnsi="Arial" w:cs="Arial"/>
          <w:sz w:val="22"/>
        </w:rPr>
        <w:t>Real Decreto Legislativo 2/2015, Estatuto de los Trabajadores, artículos 37 y 48: BOE, texto consolidado (https://www.boe.es/buscar/act.php?id=BOE-A-2015-11430).</w:t>
      </w:r>
    </w:p>
    <w:p>
      <w:pPr>
        <w:pStyle w:val="ListBullet"/>
      </w:pPr>
      <w:r>
        <w:rPr>
          <w:rFonts w:ascii="Arial" w:hAnsi="Arial" w:cs="Arial"/>
          <w:sz w:val="22"/>
        </w:rPr>
        <w:t>Real Decreto-ley 9/2025, de 29 de julio, ampliación del permiso: BOE-A-2025-15741 (https://www.boe.es/buscar/doc.php?id=BOE-A-2025-15741).</w:t>
      </w:r>
    </w:p>
    <w:p>
      <w:pPr>
        <w:pStyle w:val="ListBullet"/>
      </w:pPr>
      <w:r>
        <w:rPr>
          <w:rFonts w:ascii="Arial" w:hAnsi="Arial" w:cs="Arial"/>
          <w:sz w:val="22"/>
        </w:rPr>
        <w:t>Resolución de 9 de septiembre de 2025, convalidación del Real Decreto-ley 9/2025: BOE-A-2025-17999 (https://www.boe.es/buscar/doc.php?id=BOE-A-2025-17999).</w:t>
      </w:r>
    </w:p>
    <w:p>
      <w:pPr>
        <w:pStyle w:val="ListBullet"/>
      </w:pPr>
      <w:r>
        <w:rPr>
          <w:rFonts w:ascii="Arial" w:hAnsi="Arial" w:cs="Arial"/>
          <w:sz w:val="22"/>
        </w:rPr>
        <w:t>Real Decreto 295/2009, de 6 de marzo, nacimiento y riesgos: BOE, texto consolidado (https://www.boe.es/buscar/act.php?id=BOE-A-2009-4724).</w:t>
      </w:r>
    </w:p>
    <w:p>
      <w:pPr>
        <w:pStyle w:val="ListBullet"/>
      </w:pPr>
      <w:r>
        <w:rPr>
          <w:rFonts w:ascii="Arial" w:hAnsi="Arial" w:cs="Arial"/>
          <w:sz w:val="22"/>
        </w:rPr>
        <w:t>Ley 31/1995, de 8 de noviembre, prevención de riesgos laborales, artículo 26: BOE, texto consolidado (https://www.boe.es/buscar/act.php?id=BOE-A-1995-24292).</w:t>
      </w:r>
    </w:p>
    <w:p>
      <w:pPr>
        <w:pStyle w:val="ListBullet"/>
      </w:pPr>
      <w:r>
        <w:rPr>
          <w:rFonts w:ascii="Arial" w:hAnsi="Arial" w:cs="Arial"/>
          <w:sz w:val="22"/>
        </w:rPr>
        <w:t>Real Decreto 1148/2011, de 29 de julio, cuidado por cáncer u otra enfermedad grave: BOE, texto consolidado (https://www.boe.es/buscar/act.php?id=BOE-A-2011-13119).</w:t>
      </w:r>
    </w:p>
    <w:p>
      <w:pPr>
        <w:pStyle w:val="ListBullet"/>
      </w:pPr>
      <w:r>
        <w:rPr>
          <w:rFonts w:ascii="Arial" w:hAnsi="Arial" w:cs="Arial"/>
          <w:sz w:val="22"/>
        </w:rPr>
        <w:t>Real Decreto 1335/2005, de 11 de noviembre, prestaciones familiares: BOE, texto consolidado (https://www.boe.es/buscar/act.php?id=BOE-A-2005-18935).</w:t>
      </w:r>
    </w:p>
    <w:p>
      <w:pPr>
        <w:pStyle w:val="ListBullet"/>
      </w:pPr>
      <w:r>
        <w:rPr>
          <w:rFonts w:ascii="Arial" w:hAnsi="Arial" w:cs="Arial"/>
          <w:sz w:val="22"/>
        </w:rPr>
        <w:t>Ley 40/2003, de 18 de noviembre, protección a las familias numerosas: BOE, texto consolidado (https://www.boe.es/buscar/act.php?id=BOE-A-2003-21052).</w:t>
      </w:r>
    </w:p>
    <w:p>
      <w:pPr>
        <w:pStyle w:val="ListBullet"/>
      </w:pPr>
      <w:r>
        <w:rPr>
          <w:rFonts w:ascii="Arial" w:hAnsi="Arial" w:cs="Arial"/>
          <w:sz w:val="22"/>
        </w:rPr>
        <w:t>Portal oficial de prestaciones: Seguridad Social (https://www.seg-social.es/wps/portal/wss/internet/Trabajadores/PrestacionesPensionesTrabajadores).</w:t>
      </w:r>
    </w:p>
    <w:p>
      <w:pPr>
        <w:pStyle w:val="ListBullet"/>
      </w:pPr>
      <w:r>
        <w:rPr>
          <w:rFonts w:ascii="Arial" w:hAnsi="Arial" w:cs="Arial"/>
          <w:sz w:val="22"/>
        </w:rPr>
        <w:t>Convocatoria y programa: BOE-A-2025-27158 (https://www.boe.es/diario_boe/txt.php?id=BOE-A-2025-27158).</w:t>
      </w:r>
    </w:p>
    <w:p>
      <w:pPr>
        <w:pStyle w:val="ListBullet"/>
      </w:pPr>
      <w:r>
        <w:rPr>
          <w:rFonts w:ascii="Arial" w:hAnsi="Arial" w:cs="Arial"/>
          <w:sz w:val="22"/>
        </w:rPr>
        <w:t>Cuestionarios y plantillas: Seguridad Social (https://www.seg-social.es/wps/portal/wss/internet/InformacionUtil/9950/88beb45d-ca83-4bab-8162-f94ef2894562/e0c83707-3358-47a9-94d7-508221dad233).</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S09 · Tema 9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9. Nacimiento y cuidado de menor. Ejercicio corresponsable del cuidado del lactante. Prestación por riesgo durante el embarazo. Prestación por r…</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