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40" w:after="80"/>
      </w:pPr>
      <w:r>
        <w:rPr>
          <w:rFonts w:ascii="Arial" w:hAnsi="Arial" w:cs="Arial"/>
          <w:b/>
          <w:color w:val="2F75B5"/>
          <w:sz w:val="18"/>
        </w:rPr>
        <w:t>TEMARIO GENERAL</w:t>
      </w:r>
    </w:p>
    <w:p>
      <w:pPr>
        <w:spacing w:before="0" w:after="160"/>
      </w:pPr>
      <w:r>
        <w:rPr>
          <w:rFonts w:ascii="Arial" w:hAnsi="Arial" w:cs="Arial"/>
          <w:b/>
          <w:color w:val="1F4E79"/>
          <w:sz w:val="26"/>
        </w:rPr>
        <w:t>TEST · TEMA 13</w:t>
      </w:r>
    </w:p>
    <w:p>
      <w:pPr>
        <w:keepNext/>
        <w:spacing w:before="0" w:after="280"/>
        <w:pBdr>
          <w:bottom w:val="single" w:sz="12" w:space="1" w:color="2F75B5"/>
        </w:pBdr>
      </w:pPr>
      <w:r>
        <w:rPr>
          <w:rFonts w:ascii="Arial" w:hAnsi="Arial" w:cs="Arial"/>
          <w:b/>
          <w:color w:val="17365D"/>
          <w:sz w:val="40"/>
        </w:rPr>
        <w:t>Las fuentes del Derecho Administrativo. Concepto y clases. La jerarquía de las fuentes.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Cuerpo: </w:t>
      </w:r>
      <w:r>
        <w:rPr>
          <w:rFonts w:ascii="Arial" w:hAnsi="Arial" w:cs="Arial"/>
          <w:color w:val="333333"/>
          <w:sz w:val="19"/>
        </w:rPr>
        <w:t>Cuerpo Administrativo de la Administración de la Seguridad Social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Subgrupo y acceso: </w:t>
      </w:r>
      <w:r>
        <w:rPr>
          <w:rFonts w:ascii="Arial" w:hAnsi="Arial" w:cs="Arial"/>
          <w:color w:val="333333"/>
          <w:sz w:val="19"/>
        </w:rPr>
        <w:t>C1 · sistema general de acceso libre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Actualización: </w:t>
      </w:r>
      <w:r>
        <w:rPr>
          <w:rFonts w:ascii="Arial" w:hAnsi="Arial" w:cs="Arial"/>
          <w:color w:val="333333"/>
          <w:sz w:val="19"/>
        </w:rPr>
        <w:t>30 de julio de 2026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Programa: </w:t>
      </w:r>
      <w:r>
        <w:rPr>
          <w:rFonts w:ascii="Arial" w:hAnsi="Arial" w:cs="Arial"/>
          <w:color w:val="333333"/>
          <w:sz w:val="19"/>
        </w:rPr>
        <w:t>Anexo I de la Resolución de 22 de diciembre de 2025</w:t>
      </w:r>
    </w:p>
    <w:p>
      <w:pPr>
        <w:spacing w:before="320" w:after="100"/>
      </w:pPr>
      <w:r>
        <w:rPr>
          <w:rFonts w:ascii="Arial" w:hAnsi="Arial" w:cs="Arial"/>
          <w:b/>
          <w:color w:val="1F4E79"/>
          <w:sz w:val="17"/>
        </w:rPr>
        <w:t>AVISO DE PROPIEDAD INTELECTUAL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/>
          <w:color w:val="333333"/>
          <w:sz w:val="16"/>
        </w:rPr>
        <w:t>© 2026 ACADEMIA LORMAN. Todos los derechos reservados.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 w:val="0"/>
          <w:color w:val="333333"/>
          <w:sz w:val="16"/>
        </w:rPr>
        <w:t>Material protegido por el Real Decreto Legislativo 1/1996, de 12 de abril, por el que se aprueba el texto refundido de la Ley de Propiedad Intelectual.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 w:val="0"/>
          <w:color w:val="333333"/>
          <w:sz w:val="16"/>
        </w:rPr>
        <w:t>Queda prohibida su reproducción, distribución, comunicación pública, modificación, venta, cesión, publicación o difusión, total o parcial, sin autorización previa y por escrito de su titular.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 w:val="0"/>
          <w:color w:val="333333"/>
          <w:sz w:val="16"/>
        </w:rPr>
        <w:t>No está permitida su publicación en páginas web, plataformas digitales, redes sociales, grupos de mensajería, aplicaciones, repositorios o servicios de intercambio de archivos.</w:t>
      </w:r>
    </w:p>
    <w:p>
      <w:r>
        <w:br w:type="page"/>
      </w:r>
    </w:p>
    <w:p>
      <w:pPr>
        <w:spacing w:after="160"/>
      </w:pPr>
      <w:r>
        <w:rPr>
          <w:rFonts w:ascii="Arial" w:hAnsi="Arial" w:cs="Arial"/>
          <w:i/>
          <w:color w:val="666666"/>
          <w:sz w:val="19"/>
        </w:rPr>
        <w:t>30 preguntas · cuatro alternativas · una sola respuesta correcta, marcada en negrita.</w:t>
      </w:r>
    </w:p>
    <w:p>
      <w:pPr>
        <w:pStyle w:val="Heading1"/>
        <w:keepNext/>
      </w:pPr>
      <w:r>
        <w:rPr>
          <w:rFonts w:ascii="Arial" w:hAnsi="Arial" w:cs="Arial"/>
          <w:sz w:val="30"/>
        </w:rPr>
        <w:t>Preguntas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1. Conforme al artículo 1.1 del Código Civil, son fuentes del ordenamiento jurídico español: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La ley, la costumbre y los principios generales del Derecho.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La ley, la jurisprudencia y la doctrina científica.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La Constitución, el reglamento y el precedente administrativo exclusivamente.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La ley, los tratados no publicados y las instrucciones internas.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BÁSICA · respuesta a): </w:t>
      </w:r>
      <w:r>
        <w:rPr>
          <w:rFonts w:ascii="Arial" w:hAnsi="Arial" w:cs="Arial"/>
          <w:color w:val="333333"/>
          <w:sz w:val="17"/>
        </w:rPr>
        <w:t>«La ley, la costumbre y los principios generales del Derecho.» es correcta porque coincide con Código Civil/artículo 1.1.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2. Según el artículo 1.2 del Código Civil: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La norma inferior posterior deroga siempre a la superior anterior.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Carecen de validez las disposiciones que contradigan otra de rango superior.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Toda contradicción entre normas se resuelve por especialidad.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La jerarquía solo se aplica a las leyes parlamentarias.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BÁSICA · respuesta b): </w:t>
      </w:r>
      <w:r>
        <w:rPr>
          <w:rFonts w:ascii="Arial" w:hAnsi="Arial" w:cs="Arial"/>
          <w:color w:val="333333"/>
          <w:sz w:val="17"/>
        </w:rPr>
        <w:t>«Carecen de validez las disposiciones que contradigan otra de rango superior.» es correcta porque coincide con Código Civil/artículo 1.2.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3. Dentro del ordenamiento interno, la norma suprema 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La ley orgánica.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El tratado internacional.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La Constitución.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El real decreto-ley.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BÁSICA · respuesta c): </w:t>
      </w:r>
      <w:r>
        <w:rPr>
          <w:rFonts w:ascii="Arial" w:hAnsi="Arial" w:cs="Arial"/>
          <w:color w:val="333333"/>
          <w:sz w:val="17"/>
        </w:rPr>
        <w:t>«La Constitución.» es correcta porque coincide con Constitución Española/artículos 9.1 y 161.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4. Un reglamento de la Unión Europea, conforme al artículo 288 TFUE: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Solo vincula al Estado destinatario en cuanto al resultado.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Requiere siempre una ley nacional de transposición.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Es una recomendación sin fuerza vinculante.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Es obligatorio en todos sus elementos y directamente aplicable en cada Estado miembro.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BÁSICA · respuesta d): </w:t>
      </w:r>
      <w:r>
        <w:rPr>
          <w:rFonts w:ascii="Arial" w:hAnsi="Arial" w:cs="Arial"/>
          <w:color w:val="333333"/>
          <w:sz w:val="17"/>
        </w:rPr>
        <w:t>«Es obligatorio en todos sus elementos y directamente aplicable en cada Estado miembro.» es correcta porque coincide con TFUE/artículo 288.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5. Para que un tratado válidamente celebrado forme parte del ordenamiento interno español se exige: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Su publicación oficial en España.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Una sentencia previa del Tribunal Supremo.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Una orden ministerial de recepción en cada departamento.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Siempre una ley orgánica posterior que reproduzca su texto.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BÁSICA · respuesta a): </w:t>
      </w:r>
      <w:r>
        <w:rPr>
          <w:rFonts w:ascii="Arial" w:hAnsi="Arial" w:cs="Arial"/>
          <w:color w:val="333333"/>
          <w:sz w:val="17"/>
        </w:rPr>
        <w:t>«Su publicación oficial en España.» es correcta porque coincide con Constitución Española/artículo 96.1; Código Civil/artículo 1.5.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6. El reglamento administrativo se caracteriza por ser: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Un acto singular con fuerza de ley.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Una norma escrita subordinada a la ley dictada por quien posee potestad reglamentaria.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Una costumbre interna de cumplimiento voluntario.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Una resolución judicial de alcance general.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BÁSICA · respuesta b): </w:t>
      </w:r>
      <w:r>
        <w:rPr>
          <w:rFonts w:ascii="Arial" w:hAnsi="Arial" w:cs="Arial"/>
          <w:color w:val="333333"/>
          <w:sz w:val="17"/>
        </w:rPr>
        <w:t>«Una norma escrita subordinada a la ley dictada por quien posee potestad reglamentaria.» es correcta porque coincide con Constitución Española/artículo 97; Ley 39/2015/artículo 128.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7. La costumbre rige, según el artículo 1.3 del Código Civil: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Aunque contradiga una ley, si es muy antigua.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Sin necesidad de prueba cuando la invoque una Administración.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En defecto de ley aplicable, si no es contraria a moral u orden público y resulta probada.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Únicamente cuando la recoge una instrucción.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BÁSICA · respuesta c): </w:t>
      </w:r>
      <w:r>
        <w:rPr>
          <w:rFonts w:ascii="Arial" w:hAnsi="Arial" w:cs="Arial"/>
          <w:color w:val="333333"/>
          <w:sz w:val="17"/>
        </w:rPr>
        <w:t>«En defecto de ley aplicable, si no es contraria a moral u orden público y resulta probada.» es correcta porque coincide con Código Civil/artículo 1.3.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8. Los principios generales del Derecho: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Solo se aplican si una ley los enumera.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Derogan por sí mismos cualquier ley que se considere injusta.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Son simples recomendaciones doctrinales.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Se aplican en defecto de ley o costumbre y, además, informan el ordenamiento.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BÁSICA · respuesta d): </w:t>
      </w:r>
      <w:r>
        <w:rPr>
          <w:rFonts w:ascii="Arial" w:hAnsi="Arial" w:cs="Arial"/>
          <w:color w:val="333333"/>
          <w:sz w:val="17"/>
        </w:rPr>
        <w:t>«Se aplican en defecto de ley o costumbre y, además, informan el ordenamiento.» es correcta porque coincide con Código Civil/artículo 1.4.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9. ¿Qué describe correctamente la primacía del Derecho de la Unión?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En su ámbito, exige aplicar preferentemente la norma de la Unión e inaplicar la interna incompatible en el caso.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Anula automáticamente y con efectos generales toda ley nacional incompatible.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Convierte al Tribunal de Justicia en legislador estatal.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Solo funciona frente a reglamentos, nunca frente a leyes.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a): </w:t>
      </w:r>
      <w:r>
        <w:rPr>
          <w:rFonts w:ascii="Arial" w:hAnsi="Arial" w:cs="Arial"/>
          <w:color w:val="333333"/>
          <w:sz w:val="17"/>
        </w:rPr>
        <w:t>«En su ámbito, exige aplicar preferentemente la norma de la Unión e inaplicar la interna incompatible en el caso.» es correcta porque coincide con TJUE/Sentencias Costa y Simmenthal.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10. Conforme al artículo 31 de la Ley 25/2014, las normas de tratados válidamente celebrados y publicados: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Prevalecen incluso sobre la Constitución.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Prevalecen, en caso de conflicto, sobre cualquier otra norma interna salvo las de rango constitucional.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Solo prevalecen sobre órdenes ministeriales.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Se subordinan siempre a cualquier ley posterior.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b): </w:t>
      </w:r>
      <w:r>
        <w:rPr>
          <w:rFonts w:ascii="Arial" w:hAnsi="Arial" w:cs="Arial"/>
          <w:color w:val="333333"/>
          <w:sz w:val="17"/>
        </w:rPr>
        <w:t>«Prevalecen, en caso de conflicto, sobre cualquier otra norma interna salvo las de rango constitucional.» es correcta porque coincide con Ley 25/2014/artículo 31.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11. Ante una contradicción entre una ley estatal y una autonómica válidamente promulgadas, el criterio inicial decisivo 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La población del territorio que aprobó cada una.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La antigüedad del estatuto de autonomía.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La distribución de competencias según Constitución, estatuto y bloque de constitucionalidad.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La superioridad jerárquica universal de toda ley estatal.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c): </w:t>
      </w:r>
      <w:r>
        <w:rPr>
          <w:rFonts w:ascii="Arial" w:hAnsi="Arial" w:cs="Arial"/>
          <w:color w:val="333333"/>
          <w:sz w:val="17"/>
        </w:rPr>
        <w:t>«La distribución de competencias según Constitución, estatuto y bloque de constitucionalidad.» es correcta porque coincide con Constitución Española/artículos 147 a 149.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12. La legislación básica estatal: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Es siempre ley orgánica.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impide cualquier desarrollo autonómico.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Tiene rango constitucional.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Fija bases en una materia cuando existe título estatal, dejando el desarrollo que corresponda a la comunidad.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d): </w:t>
      </w:r>
      <w:r>
        <w:rPr>
          <w:rFonts w:ascii="Arial" w:hAnsi="Arial" w:cs="Arial"/>
          <w:color w:val="333333"/>
          <w:sz w:val="17"/>
        </w:rPr>
        <w:t>«Fija bases en una materia cuando existe título estatal, dejando el desarrollo que corresponda a la comunidad.» es correcta porque coincide con Constitución Española/artículo 149.1.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13. La relación general entre ley orgánica y ley ordinaria se explica principalmente por: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La reserva material y el principio de competencia, no por una superioridad orgánica universal.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La libre elección del legislador para cualquier materia.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La prevalencia temporal de la ley orgánica aunque sea anterior.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La subordinación de toda ley ordinaria a cualquier precepto orgánico.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a): </w:t>
      </w:r>
      <w:r>
        <w:rPr>
          <w:rFonts w:ascii="Arial" w:hAnsi="Arial" w:cs="Arial"/>
          <w:color w:val="333333"/>
          <w:sz w:val="17"/>
        </w:rPr>
        <w:t>«La reserva material y el principio de competencia, no por una superioridad orgánica universal.» es correcta porque coincide con Constitución Española/artículo 81; Tribunal Constitucional/doctrina sobre reserva orgánica.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14. Según el artículo 6 de la Ley 40/2015, el incumplimiento de una instrucción u orden de servicio: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Anula siempre el acto administrativo resultante.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No afecta por sí solo a la validez del acto, sin perjuicio de posible responsabilidad disciplinaria.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Convierte la instrucción en reglamento.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Solo tiene efecto si nunca se publicó.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b): </w:t>
      </w:r>
      <w:r>
        <w:rPr>
          <w:rFonts w:ascii="Arial" w:hAnsi="Arial" w:cs="Arial"/>
          <w:color w:val="333333"/>
          <w:sz w:val="17"/>
        </w:rPr>
        <w:t>«No afecta por sí solo a la validez del acto, sin perjuicio de posible responsabilidad disciplinaria.» es correcta porque coincide con Ley 40/2015/artículo 6.2.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15. Un acto que se separa del criterio seguido en actuaciones precedentes: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Es necesariamente nulo.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Debe reproducir el precedente aunque fuese ilegal.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Debe motivarse, conforme al artículo 35.1.c LPAC.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Solo puede dictarlo un juez.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c): </w:t>
      </w:r>
      <w:r>
        <w:rPr>
          <w:rFonts w:ascii="Arial" w:hAnsi="Arial" w:cs="Arial"/>
          <w:color w:val="333333"/>
          <w:sz w:val="17"/>
        </w:rPr>
        <w:t>«Debe motivarse, conforme al artículo 35.1.c LPAC.» es correcta porque coincide con Ley 39/2015/artículo 35.1.c.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16. La falta prolongada de aplicación de una norma administrativa vigente: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Produce su derogación automática al año.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La transforma en costumbre.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Permite a cada órgano decidir si la aplica.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No la deroga por sí sola, pues la desuetudo no es una forma general de derogación.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d): </w:t>
      </w:r>
      <w:r>
        <w:rPr>
          <w:rFonts w:ascii="Arial" w:hAnsi="Arial" w:cs="Arial"/>
          <w:color w:val="333333"/>
          <w:sz w:val="17"/>
        </w:rPr>
        <w:t>«No la deroga por sí sola, pues la desuetudo no es una forma general de derogación.» es correcta porque coincide con Código Civil/artículo 2.2.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17. Conforme al artículo 1.6 del Código Civil, la jurisprudencia: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Complementa el ordenamiento con la doctrina reiterada del Tribunal Supremo al interpretar y aplicar sus fuentes.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Sustituye a la ley desde la primera sentencia de cualquier juzgado.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Es una costumbre judicial de rango constitucional.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Solo existe en procesos penales.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a): </w:t>
      </w:r>
      <w:r>
        <w:rPr>
          <w:rFonts w:ascii="Arial" w:hAnsi="Arial" w:cs="Arial"/>
          <w:color w:val="333333"/>
          <w:sz w:val="17"/>
        </w:rPr>
        <w:t>«Complementa el ordenamiento con la doctrina reiterada del Tribunal Supremo al interpretar y aplicar sus fuentes.» es correcta porque coincide con Código Civil/artículo 1.6.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18. Las sentencias recaídas en procedimientos de inconstitucionalidad: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Vinculan únicamente a las partes del proceso.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Tienen cosa juzgada, vinculan a todos los poderes públicos y producen efectos generales desde su publicación en el BOE.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Necesitan confirmación del Tribunal Supremo.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Carecen de efectos sobre la interpretación judicial.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b): </w:t>
      </w:r>
      <w:r>
        <w:rPr>
          <w:rFonts w:ascii="Arial" w:hAnsi="Arial" w:cs="Arial"/>
          <w:color w:val="333333"/>
          <w:sz w:val="17"/>
        </w:rPr>
        <w:t>«Tienen cosa juzgada, vinculan a todos los poderes públicos y producen efectos generales desde su publicación en el BOE.» es correcta porque coincide con Ley Orgánica 2/1979/artículo 38.1.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19. Una circular denominada «interna» contiene mandatos abstractos, innovadores, permanentes y dirigidos a terceros. Para calificarla jurídicamente debe: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Atenderse solo al título elegido por el órgano.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Considerarse siempre un acto administrativo plural.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Examinarse su contenido y efectos, pues materialmente puede ser una disposición general.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Entenderse válida aunque el órgano carezca de potestad reglamentaria.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c): </w:t>
      </w:r>
      <w:r>
        <w:rPr>
          <w:rFonts w:ascii="Arial" w:hAnsi="Arial" w:cs="Arial"/>
          <w:color w:val="333333"/>
          <w:sz w:val="17"/>
        </w:rPr>
        <w:t>«Examinarse su contenido y efectos, pues materialmente puede ser una disposición general.» es correcta porque coincide con Ley 40/2015/artículo 6; jurisprudencia contencioso-administrativa sobre circulares.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20. Si una ley no fija otra fecha, entra en vigor: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El día de su aprobación parlamentaria.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A los quince días de su sanción.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Al mes de su publicación parcial.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A los veinte días de su completa publicación en el BOE.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d): </w:t>
      </w:r>
      <w:r>
        <w:rPr>
          <w:rFonts w:ascii="Arial" w:hAnsi="Arial" w:cs="Arial"/>
          <w:color w:val="333333"/>
          <w:sz w:val="17"/>
        </w:rPr>
        <w:t>«A los veinte días de su completa publicación en el BOE.» es correcta porque coincide con Código Civil/artículo 2.1.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21. La derogación de una norma derogatoria: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No hace recobrar vigencia a la norma inicialmente derogada salvo que se establezca expresamente.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Revive siempre toda legislación anterior.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Solo puede producirse por reglamento.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Convierte la norma derogada en costumbre.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a): </w:t>
      </w:r>
      <w:r>
        <w:rPr>
          <w:rFonts w:ascii="Arial" w:hAnsi="Arial" w:cs="Arial"/>
          <w:color w:val="333333"/>
          <w:sz w:val="17"/>
        </w:rPr>
        <w:t>«No hace recobrar vigencia a la norma inicialmente derogada salvo que se establezca expresamente.» es correcta porque coincide con Código Civil/artículo 2.2.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22. De acuerdo con el artículo 6 LOPJ, los jueces y tribunales: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Deben aplicar todo reglamento hasta que el Tribunal Constitucional lo anule.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No aplicarán reglamentos o disposiciones contrarios a la Constitución, la ley o la jerarquía normativa.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Pueden inaplicar leyes nacionales por mera duda constitucional.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Solo controlan reglamentos si el Gobierno lo autoriza.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b): </w:t>
      </w:r>
      <w:r>
        <w:rPr>
          <w:rFonts w:ascii="Arial" w:hAnsi="Arial" w:cs="Arial"/>
          <w:color w:val="333333"/>
          <w:sz w:val="17"/>
        </w:rPr>
        <w:t>«No aplicarán reglamentos o disposiciones contrarios a la Constitución, la ley o la jerarquía normativa.» es correcta porque coincide con Ley Orgánica 6/1985/artículo 6.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23. Una ley española posterior contradice un reglamento de la Unión válido y aplicable al litigio. El órgano nacional debe: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Aplicar la ley por ser posterior.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Esperar obligatoriamente a que el legislador la derogue.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Aplicar el reglamento de la Unión e inaplicar la ley interna incompatible en el caso.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Plantear siempre cuestión de inconstitucionalidad antes de actuar.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ALTA · respuesta c): </w:t>
      </w:r>
      <w:r>
        <w:rPr>
          <w:rFonts w:ascii="Arial" w:hAnsi="Arial" w:cs="Arial"/>
          <w:color w:val="333333"/>
          <w:sz w:val="17"/>
        </w:rPr>
        <w:t>«Aplicar el reglamento de la Unión e inaplicar la ley interna incompatible en el caso.» es correcta porque coincide con TFUE/artículo 288; TJUE/Sentencia Simmenthal, asunto 106/77.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24. Un juzgado estima por sentencia firme un recurso indirecto porque el reglamento aplicado es ilegal, pero no es competente para conocer del recurso directo. Debe: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Declarar inconstitucional la ley habilitante.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Derogar el reglamento en el boletín oficial.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Remitir el asunto al Consejo de Estado.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Plantear cuestión de ilegalidad ante el tribunal competente para el recurso directo.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ALTA · respuesta d): </w:t>
      </w:r>
      <w:r>
        <w:rPr>
          <w:rFonts w:ascii="Arial" w:hAnsi="Arial" w:cs="Arial"/>
          <w:color w:val="333333"/>
          <w:sz w:val="17"/>
        </w:rPr>
        <w:t>«Plantear cuestión de ilegalidad ante el tribunal competente para el recurso directo.» es correcta porque coincide con Ley 29/1998/artículo 27.1.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25. Para declarar de oficio la nulidad de una disposición administrativa, el artículo 106.2 LPAC exige: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Dictamen favorable previo del Consejo de Estado u órgano consultivo autonómico equivalente.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Autorización por mayoría absoluta del Congreso.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Sentencia penal firme contra el autor.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Que no hayan transcurrido cuatro años.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ALTA · respuesta a): </w:t>
      </w:r>
      <w:r>
        <w:rPr>
          <w:rFonts w:ascii="Arial" w:hAnsi="Arial" w:cs="Arial"/>
          <w:color w:val="333333"/>
          <w:sz w:val="17"/>
        </w:rPr>
        <w:t>«Dictamen favorable previo del Consejo de Estado u órgano consultivo autonómico equivalente.» es correcta porque coincide con Ley 39/2015/artículo 106.2.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26. Un tratado publicado contiene una cláusula que expresamente requiere medidas legislativas internas para producir el derecho invocado. La respuesta correcta 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Toda cláusula publicada es necesariamente autoejecutiva.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La cláusula puede no ser directamente aplicable hasta que se adopten las medidas exigidas.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El tratado carece por ello de toda vigencia internacional.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Una instrucción ministerial puede siempre sustituir la ley requerida.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ALTA · respuesta b): </w:t>
      </w:r>
      <w:r>
        <w:rPr>
          <w:rFonts w:ascii="Arial" w:hAnsi="Arial" w:cs="Arial"/>
          <w:color w:val="333333"/>
          <w:sz w:val="17"/>
        </w:rPr>
        <w:t>«La cláusula puede no ser directamente aplicable hasta que se adopten las medidas exigidas.» es correcta porque coincide con Ley 25/2014/artículo 30.1.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27. Una ordenanza local y un reglamento autonómico parecen incompatibles en una materia de interés municipal. El análisis correcto comienza por: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Presumir que la norma autonómica vence por territorio mayor.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Aplicar automáticamente la norma más reciente.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Examinar competencia, cobertura legal y rango de cada norma.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Considerar que la autonomía local atribuye potestad legislativa.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ALTA · respuesta c): </w:t>
      </w:r>
      <w:r>
        <w:rPr>
          <w:rFonts w:ascii="Arial" w:hAnsi="Arial" w:cs="Arial"/>
          <w:color w:val="333333"/>
          <w:sz w:val="17"/>
        </w:rPr>
        <w:t>«Examinar competencia, cobertura legal y rango de cada norma.» es correcta porque coincide con Constitución Española/artículos 137 y 140; Ley 7/1985.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28. Dos reglamentos válidos del mismo rango y ordenamiento regulan, uno en general y otro específicamente, el mismo supuesto. Antes de afirmar derogación total debe: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Aplicarse siempre el general posterior, sin interpretación.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Elevarse cuestión de inconstitucionalidad.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Tratarse ambos como instrucciones.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Intentarse una interpretación sistemática y valorar especialidad y temporalidad.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ALTA · respuesta d): </w:t>
      </w:r>
      <w:r>
        <w:rPr>
          <w:rFonts w:ascii="Arial" w:hAnsi="Arial" w:cs="Arial"/>
          <w:color w:val="333333"/>
          <w:sz w:val="17"/>
        </w:rPr>
        <w:t>«Intentarse una interpretación sistemática y valorar especialidad y temporalidad.» es correcta porque coincide con Código Civil/artículo 2.2; principios lex specialis y lex posterior.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29. Tras la STC 55/2018, respecto del título VI de la Ley 39/2015: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No cabe afirmar que todos sus detalles procedimentales se impongan con idéntico alcance a las iniciativas autonómicas.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Quedaron anulados todos los principios de buena regulación.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La Ley del Gobierno dejó de aplicarse a la AGE.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Las comunidades perdieron toda potestad reglamentaria.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ALTA · respuesta a): </w:t>
      </w:r>
      <w:r>
        <w:rPr>
          <w:rFonts w:ascii="Arial" w:hAnsi="Arial" w:cs="Arial"/>
          <w:color w:val="333333"/>
          <w:sz w:val="17"/>
        </w:rPr>
        <w:t>«No cabe afirmar que todos sus detalles procedimentales se impongan con idéntico alcance a las iniciativas autonómicas.» es correcta porque coincide con Tribunal Constitucional/STC 55/2018, fundamentos jurídicos 7 y 8.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30. ¿Qué pareja está correctamente clasificada?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Real decreto legislativo: reglamento; orden ministerial: ley.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Real decreto legislativo: norma con fuerza de ley; orden ministerial normativa: reglamento.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Ambos son leyes parlamentarias.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Ambos tienen siempre el mismo rango.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ALTA · respuesta b): </w:t>
      </w:r>
      <w:r>
        <w:rPr>
          <w:rFonts w:ascii="Arial" w:hAnsi="Arial" w:cs="Arial"/>
          <w:color w:val="333333"/>
          <w:sz w:val="17"/>
        </w:rPr>
        <w:t>«Real decreto legislativo: norma con fuerza de ley; orden ministerial normativa: reglamento.» es correcta porque coincide con Constitución Española/artículos 82 y 97; Ley 50/1997/artículo 24. Las demás alternativas modifican, omiten o contradicen el dato jurídico aplicable.</w:t>
      </w: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440" w:right="1440" w:bottom="1440" w:left="1440" w:header="709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20"/>
      <w:jc w:val="both"/>
    </w:pPr>
    <w:r>
      <w:rPr>
        <w:rFonts w:ascii="Arial" w:hAnsi="Arial" w:cs="Arial"/>
        <w:color w:val="666666"/>
        <w:sz w:val="13"/>
      </w:rPr>
      <w:t>© 2026 ACADEMIA LORMAN. Todos los derechos reservados. Material protegido por el Real Decreto Legislativo 1/1996. Prohibida su reproducción, distribución, comunicación pública, modificación, venta, cesión, publicación o difusión total o parcial sin autorización escrita. No se permite su publicación en webs, plataformas, redes, mensajería, aplicaciones, repositorios ni servicios de intercambio.</w:t>
    </w:r>
  </w:p>
  <w:p>
    <w:pPr>
      <w:spacing w:before="0" w:after="0"/>
      <w:jc w:val="right"/>
    </w:pPr>
    <w:r>
      <w:rPr>
        <w:rFonts w:ascii="Arial" w:hAnsi="Arial" w:cs="Arial"/>
        <w:color w:val="666666"/>
        <w:sz w:val="14"/>
      </w:rPr>
      <w:t xml:space="preserve">Página </w:t>
    </w:r>
    <w:r>
      <w:rPr>
        <w:rFonts w:ascii="Arial" w:hAnsi="Arial" w:cs="Arial"/>
        <w:color w:val="666666"/>
        <w:sz w:val="14"/>
      </w:rP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cs="Arial"/>
        <w:color w:val="666666"/>
        <w:sz w:val="14"/>
      </w:rPr>
      <w:t>© 2026 ACADEMIA LORMAN. Todos los derechos reservados.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left"/>
      <w:pBdr>
        <w:bottom w:val="single" w:sz="6" w:space="1" w:color="B4C7E7"/>
      </w:pBdr>
    </w:pPr>
    <w:r>
      <w:rPr>
        <w:rFonts w:ascii="Arial" w:hAnsi="Arial" w:cs="Arial"/>
        <w:b/>
        <w:color w:val="1F4E79"/>
        <w:sz w:val="16"/>
      </w:rPr>
      <w:t>Test G13 · Tema 13 · Actualizado 30-07-2026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69" w:lineRule="auto"/>
      <w:jc w:val="both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2F75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6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333333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69" w:lineRule="auto"/>
      <w:ind w:left="539" w:hanging="272"/>
      <w:contextualSpacing/>
    </w:pPr>
    <w:rPr>
      <w:rFonts w:ascii="Arial" w:hAnsi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69" w:lineRule="auto"/>
      <w:ind w:left="539" w:hanging="272"/>
      <w:contextualSpacing/>
    </w:pPr>
    <w:rPr>
      <w:rFonts w:ascii="Arial" w:hAnsi="Arial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ion">
    <w:name w:val="Question"/>
    <w:pPr>
      <w:keepNext/>
      <w:spacing w:before="200" w:after="80"/>
    </w:pPr>
    <w:rPr>
      <w:rFonts w:ascii="Arial" w:hAnsi="Arial"/>
      <w:b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Tema 13. Las fuentes del Derecho Administrativo. Concepto y clases. La jerarquía de las fuentes</dc:title>
  <dc:subject>Cuerpo Administrativo de la Administración de la Seguridad Social, subgrupo C1, acceso libre</dc:subject>
  <dc:creator>ACADEMIA LORMAN</dc:creator>
  <cp:keywords/>
  <dc:description>generated by python-docx</dc:description>
  <cp:lastModifiedBy>ACADEMIA LORMAN</cp:lastModifiedBy>
  <cp:revision>1</cp:revision>
  <dcterms:created xsi:type="dcterms:W3CDTF">2013-12-23T23:15:00Z</dcterms:created>
  <dcterms:modified xsi:type="dcterms:W3CDTF">2013-12-23T23:15:00Z</dcterms:modified>
  <cp:category/>
</cp:coreProperties>
</file>