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TEST · TEMA 10</w:t>
      </w:r>
    </w:p>
    <w:p>
      <w:pPr>
        <w:keepNext/>
        <w:spacing w:before="0" w:after="280"/>
        <w:pBdr>
          <w:bottom w:val="single" w:sz="12" w:space="1" w:color="2F75B5"/>
        </w:pBdr>
      </w:pPr>
      <w:r>
        <w:rPr>
          <w:rFonts w:ascii="Arial" w:hAnsi="Arial" w:cs="Arial"/>
          <w:b/>
          <w:color w:val="17365D"/>
          <w:sz w:val="40"/>
        </w:rPr>
        <w:t>Jubilación en la modalidad contributiva: concepto. Jubilación ordinaria: requisitos: especial referencia a la edad de jubilación. Determinación de la cuantía de la prestación: base reguladora y porcentaje. Jubilación anticipada, jubilación parcial y jubilación flexible. Compatibilidad de la pensión de jubilación y el trabajo. Suspensión y extinción de la prestación. Especial referencia a la aplicación de la normativa anterior a la Ley 27/2011.</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60"/>
      </w:pPr>
      <w:r>
        <w:rPr>
          <w:rFonts w:ascii="Arial" w:hAnsi="Arial" w:cs="Arial"/>
          <w:i/>
          <w:color w:val="666666"/>
          <w:sz w:val="19"/>
        </w:rPr>
        <w:t>30 preguntas · cuatro alternativas · una sola respuesta correcta, marcada en negrita.</w:t>
      </w:r>
    </w:p>
    <w:p>
      <w:pPr>
        <w:pStyle w:val="Heading1"/>
        <w:keepNext/>
      </w:pPr>
      <w:r>
        <w:rPr>
          <w:rFonts w:ascii="Arial" w:hAnsi="Arial" w:cs="Arial"/>
          <w:sz w:val="30"/>
        </w:rPr>
        <w:t>Preguntas</w:t>
      </w:r>
    </w:p>
    <w:p>
      <w:pPr>
        <w:pStyle w:val="Question"/>
        <w:keepNext/>
      </w:pPr>
      <w:r>
        <w:rPr>
          <w:rFonts w:ascii="Arial" w:hAnsi="Arial" w:cs="Arial"/>
          <w:sz w:val="22"/>
        </w:rPr>
        <w:t>1. ¿Qué contingencia protege, con carácter general, la pensión contributiva de jubilación?</w:t>
      </w:r>
    </w:p>
    <w:p>
      <w:pPr>
        <w:keepNext/>
        <w:keepLines/>
        <w:spacing w:after="40"/>
        <w:ind w:left="369" w:hanging="198"/>
      </w:pPr>
      <w:r>
        <w:rPr>
          <w:rFonts w:ascii="Arial" w:hAnsi="Arial" w:cs="Arial"/>
          <w:b/>
          <w:sz w:val="21"/>
        </w:rPr>
        <w:t>a) La pérdida de ingresos profesionales vinculada al cese o reducción del trabajo por razón de edad.</w:t>
      </w:r>
    </w:p>
    <w:p>
      <w:pPr>
        <w:keepNext/>
        <w:keepLines/>
        <w:spacing w:after="40"/>
        <w:ind w:left="369" w:hanging="198"/>
      </w:pPr>
      <w:r>
        <w:rPr>
          <w:rFonts w:ascii="Arial" w:hAnsi="Arial" w:cs="Arial"/>
          <w:b w:val="0"/>
          <w:sz w:val="21"/>
        </w:rPr>
        <w:t>b) Cualquier disminución patrimonial producida después de los sesenta años.</w:t>
      </w:r>
    </w:p>
    <w:p>
      <w:pPr>
        <w:keepNext/>
        <w:keepLines/>
        <w:spacing w:after="40"/>
        <w:ind w:left="369" w:hanging="198"/>
      </w:pPr>
      <w:r>
        <w:rPr>
          <w:rFonts w:ascii="Arial" w:hAnsi="Arial" w:cs="Arial"/>
          <w:b w:val="0"/>
          <w:sz w:val="21"/>
        </w:rPr>
        <w:t>c) Exclusivamente la incapacidad para desempeñar la profesión habitual.</w:t>
      </w:r>
    </w:p>
    <w:p>
      <w:pPr>
        <w:keepNext/>
        <w:keepLines/>
        <w:spacing w:after="40"/>
        <w:ind w:left="369" w:hanging="198"/>
      </w:pPr>
      <w:r>
        <w:rPr>
          <w:rFonts w:ascii="Arial" w:hAnsi="Arial" w:cs="Arial"/>
          <w:b w:val="0"/>
          <w:sz w:val="21"/>
        </w:rPr>
        <w:t>d) La falta de empleo durante los dos años anteriores a la edad ordinaria.</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«La pérdida de ingresos profesionales vinculada al cese o reducción del trabajo por razón de edad.» es correcta porque coincide con TRLGSS, artículo 204. Las demás alternativas modifican, omiten o contradicen el dato jurídico aplicable.</w:t>
      </w:r>
    </w:p>
    <w:p>
      <w:pPr>
        <w:pStyle w:val="Question"/>
        <w:keepNext/>
      </w:pPr>
      <w:r>
        <w:rPr>
          <w:rFonts w:ascii="Arial" w:hAnsi="Arial" w:cs="Arial"/>
          <w:sz w:val="22"/>
        </w:rPr>
        <w:t>2. En 2026, ¿qué edad ordinaria corresponde a quien acredita 38 años y 3 meses cotizados?</w:t>
      </w:r>
    </w:p>
    <w:p>
      <w:pPr>
        <w:keepNext/>
        <w:keepLines/>
        <w:spacing w:after="40"/>
        <w:ind w:left="369" w:hanging="198"/>
      </w:pPr>
      <w:r>
        <w:rPr>
          <w:rFonts w:ascii="Arial" w:hAnsi="Arial" w:cs="Arial"/>
          <w:b w:val="0"/>
          <w:sz w:val="21"/>
        </w:rPr>
        <w:t>a) 64 años.</w:t>
      </w:r>
    </w:p>
    <w:p>
      <w:pPr>
        <w:keepNext/>
        <w:keepLines/>
        <w:spacing w:after="40"/>
        <w:ind w:left="369" w:hanging="198"/>
      </w:pPr>
      <w:r>
        <w:rPr>
          <w:rFonts w:ascii="Arial" w:hAnsi="Arial" w:cs="Arial"/>
          <w:b/>
          <w:sz w:val="21"/>
        </w:rPr>
        <w:t>b) 65 años.</w:t>
      </w:r>
    </w:p>
    <w:p>
      <w:pPr>
        <w:keepNext/>
        <w:keepLines/>
        <w:spacing w:after="40"/>
        <w:ind w:left="369" w:hanging="198"/>
      </w:pPr>
      <w:r>
        <w:rPr>
          <w:rFonts w:ascii="Arial" w:hAnsi="Arial" w:cs="Arial"/>
          <w:b w:val="0"/>
          <w:sz w:val="21"/>
        </w:rPr>
        <w:t>c) 66 años y 8 meses.</w:t>
      </w:r>
    </w:p>
    <w:p>
      <w:pPr>
        <w:keepNext/>
        <w:keepLines/>
        <w:spacing w:after="40"/>
        <w:ind w:left="369" w:hanging="198"/>
      </w:pPr>
      <w:r>
        <w:rPr>
          <w:rFonts w:ascii="Arial" w:hAnsi="Arial" w:cs="Arial"/>
          <w:b w:val="0"/>
          <w:sz w:val="21"/>
        </w:rPr>
        <w:t>d) 66 años y 10 meses.</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«65 años.» es correcta porque coincide con TRLGSS, disposición transitoria séptima. Las demás alternativas modifican, omiten o contradicen el dato jurídico aplicable.</w:t>
      </w:r>
    </w:p>
    <w:p>
      <w:pPr>
        <w:pStyle w:val="Question"/>
        <w:keepNext/>
      </w:pPr>
      <w:r>
        <w:rPr>
          <w:rFonts w:ascii="Arial" w:hAnsi="Arial" w:cs="Arial"/>
          <w:sz w:val="22"/>
        </w:rPr>
        <w:t>3. ¿Cuál es la carencia general exigida para la jubilación ordinaria?</w:t>
      </w:r>
    </w:p>
    <w:p>
      <w:pPr>
        <w:keepNext/>
        <w:keepLines/>
        <w:spacing w:after="40"/>
        <w:ind w:left="369" w:hanging="198"/>
      </w:pPr>
      <w:r>
        <w:rPr>
          <w:rFonts w:ascii="Arial" w:hAnsi="Arial" w:cs="Arial"/>
          <w:b w:val="0"/>
          <w:sz w:val="21"/>
        </w:rPr>
        <w:t>a) Diez años, uno de ellos dentro de los cinco anteriores.</w:t>
      </w:r>
    </w:p>
    <w:p>
      <w:pPr>
        <w:keepNext/>
        <w:keepLines/>
        <w:spacing w:after="40"/>
        <w:ind w:left="369" w:hanging="198"/>
      </w:pPr>
      <w:r>
        <w:rPr>
          <w:rFonts w:ascii="Arial" w:hAnsi="Arial" w:cs="Arial"/>
          <w:b w:val="0"/>
          <w:sz w:val="21"/>
        </w:rPr>
        <w:t>b) Veinte años, sin carencia específica.</w:t>
      </w:r>
    </w:p>
    <w:p>
      <w:pPr>
        <w:keepNext/>
        <w:keepLines/>
        <w:spacing w:after="40"/>
        <w:ind w:left="369" w:hanging="198"/>
      </w:pPr>
      <w:r>
        <w:rPr>
          <w:rFonts w:ascii="Arial" w:hAnsi="Arial" w:cs="Arial"/>
          <w:b/>
          <w:sz w:val="21"/>
        </w:rPr>
        <w:t>c) Quince años, de los que dos deben estar comprendidos dentro de los quince anteriores.</w:t>
      </w:r>
    </w:p>
    <w:p>
      <w:pPr>
        <w:keepNext/>
        <w:keepLines/>
        <w:spacing w:after="40"/>
        <w:ind w:left="369" w:hanging="198"/>
      </w:pPr>
      <w:r>
        <w:rPr>
          <w:rFonts w:ascii="Arial" w:hAnsi="Arial" w:cs="Arial"/>
          <w:b w:val="0"/>
          <w:sz w:val="21"/>
        </w:rPr>
        <w:t>d) Treinta y tres años, de los que cinco deben ser inmediatamente anteriores.</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«Quince años, de los que dos deben estar comprendidos dentro de los quince anteriores.» es correcta porque coincide con TRLGSS, artículo 205.1.b. Las demás alternativas modifican, omiten o contradicen el dato jurídico aplicable.</w:t>
      </w:r>
    </w:p>
    <w:p>
      <w:pPr>
        <w:pStyle w:val="Question"/>
        <w:keepNext/>
      </w:pPr>
      <w:r>
        <w:rPr>
          <w:rFonts w:ascii="Arial" w:hAnsi="Arial" w:cs="Arial"/>
          <w:sz w:val="22"/>
        </w:rPr>
        <w:t>4. ¿Qué entidad gestora reconoce con carácter general la pensión de jubilación del Régimen General?</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Servicio Público de Empleo Estatal.</w:t>
      </w:r>
    </w:p>
    <w:p>
      <w:pPr>
        <w:keepNext/>
        <w:keepLines/>
        <w:spacing w:after="40"/>
        <w:ind w:left="369" w:hanging="198"/>
      </w:pPr>
      <w:r>
        <w:rPr>
          <w:rFonts w:ascii="Arial" w:hAnsi="Arial" w:cs="Arial"/>
          <w:b w:val="0"/>
          <w:sz w:val="21"/>
        </w:rPr>
        <w:t>c) La Agencia Estatal de Administración Tributaria.</w:t>
      </w:r>
    </w:p>
    <w:p>
      <w:pPr>
        <w:keepNext/>
        <w:keepLines/>
        <w:spacing w:after="40"/>
        <w:ind w:left="369" w:hanging="198"/>
      </w:pPr>
      <w:r>
        <w:rPr>
          <w:rFonts w:ascii="Arial" w:hAnsi="Arial" w:cs="Arial"/>
          <w:b/>
          <w:sz w:val="21"/>
        </w:rPr>
        <w:t>d) El Instituto Nacional de la Seguridad Social.</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«El Instituto Nacional de la Seguridad Social.» es correcta porque coincide con TRLGSS, artículos 66 y 204. Las demás alternativas modifican, omiten o contradicen el dato jurídico aplicable.</w:t>
      </w:r>
    </w:p>
    <w:p>
      <w:pPr>
        <w:pStyle w:val="Question"/>
        <w:keepNext/>
      </w:pPr>
      <w:r>
        <w:rPr>
          <w:rFonts w:ascii="Arial" w:hAnsi="Arial" w:cs="Arial"/>
          <w:sz w:val="22"/>
        </w:rPr>
        <w:t>5. ¿Cómo se abona normalmente una pensión contributiva de jubilación?</w:t>
      </w:r>
    </w:p>
    <w:p>
      <w:pPr>
        <w:keepNext/>
        <w:keepLines/>
        <w:spacing w:after="40"/>
        <w:ind w:left="369" w:hanging="198"/>
      </w:pPr>
      <w:r>
        <w:rPr>
          <w:rFonts w:ascii="Arial" w:hAnsi="Arial" w:cs="Arial"/>
          <w:b/>
          <w:sz w:val="21"/>
        </w:rPr>
        <w:t>a) En catorce pagas, salvo reglas específicas de devengo de extraordinarias.</w:t>
      </w:r>
    </w:p>
    <w:p>
      <w:pPr>
        <w:keepNext/>
        <w:keepLines/>
        <w:spacing w:after="40"/>
        <w:ind w:left="369" w:hanging="198"/>
      </w:pPr>
      <w:r>
        <w:rPr>
          <w:rFonts w:ascii="Arial" w:hAnsi="Arial" w:cs="Arial"/>
          <w:b w:val="0"/>
          <w:sz w:val="21"/>
        </w:rPr>
        <w:t>b) En doce pagas sin extraordinarias en todo caso.</w:t>
      </w:r>
    </w:p>
    <w:p>
      <w:pPr>
        <w:keepNext/>
        <w:keepLines/>
        <w:spacing w:after="40"/>
        <w:ind w:left="369" w:hanging="198"/>
      </w:pPr>
      <w:r>
        <w:rPr>
          <w:rFonts w:ascii="Arial" w:hAnsi="Arial" w:cs="Arial"/>
          <w:b w:val="0"/>
          <w:sz w:val="21"/>
        </w:rPr>
        <w:t>c) En trece pagas, con una extraordinaria anual.</w:t>
      </w:r>
    </w:p>
    <w:p>
      <w:pPr>
        <w:keepNext/>
        <w:keepLines/>
        <w:spacing w:after="40"/>
        <w:ind w:left="369" w:hanging="198"/>
      </w:pPr>
      <w:r>
        <w:rPr>
          <w:rFonts w:ascii="Arial" w:hAnsi="Arial" w:cs="Arial"/>
          <w:b w:val="0"/>
          <w:sz w:val="21"/>
        </w:rPr>
        <w:t>d) En un pago único al inicio de cada ejercicio.</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«En catorce pagas, salvo reglas específicas de devengo de extraordinarias.» es correcta porque coincide con TRLGSS, artículo 46. Las demás alternativas modifican, omiten o contradicen el dato jurídico aplicable.</w:t>
      </w:r>
    </w:p>
    <w:p>
      <w:pPr>
        <w:pStyle w:val="Question"/>
        <w:keepNext/>
      </w:pPr>
      <w:r>
        <w:rPr>
          <w:rFonts w:ascii="Arial" w:hAnsi="Arial" w:cs="Arial"/>
          <w:sz w:val="22"/>
        </w:rPr>
        <w:t>6. ¿Qué porcentaje de la base reguladora corresponde a los primeros quince años cotizados?</w:t>
      </w:r>
    </w:p>
    <w:p>
      <w:pPr>
        <w:keepNext/>
        <w:keepLines/>
        <w:spacing w:after="40"/>
        <w:ind w:left="369" w:hanging="198"/>
      </w:pPr>
      <w:r>
        <w:rPr>
          <w:rFonts w:ascii="Arial" w:hAnsi="Arial" w:cs="Arial"/>
          <w:b w:val="0"/>
          <w:sz w:val="21"/>
        </w:rPr>
        <w:t>a) El 45 %.</w:t>
      </w:r>
    </w:p>
    <w:p>
      <w:pPr>
        <w:keepNext/>
        <w:keepLines/>
        <w:spacing w:after="40"/>
        <w:ind w:left="369" w:hanging="198"/>
      </w:pPr>
      <w:r>
        <w:rPr>
          <w:rFonts w:ascii="Arial" w:hAnsi="Arial" w:cs="Arial"/>
          <w:b/>
          <w:sz w:val="21"/>
        </w:rPr>
        <w:t>b) El 50 %.</w:t>
      </w:r>
    </w:p>
    <w:p>
      <w:pPr>
        <w:keepNext/>
        <w:keepLines/>
        <w:spacing w:after="40"/>
        <w:ind w:left="369" w:hanging="198"/>
      </w:pPr>
      <w:r>
        <w:rPr>
          <w:rFonts w:ascii="Arial" w:hAnsi="Arial" w:cs="Arial"/>
          <w:b w:val="0"/>
          <w:sz w:val="21"/>
        </w:rPr>
        <w:t>c) El 60 %.</w:t>
      </w:r>
    </w:p>
    <w:p>
      <w:pPr>
        <w:keepNext/>
        <w:keepLines/>
        <w:spacing w:after="40"/>
        <w:ind w:left="369" w:hanging="198"/>
      </w:pPr>
      <w:r>
        <w:rPr>
          <w:rFonts w:ascii="Arial" w:hAnsi="Arial" w:cs="Arial"/>
          <w:b w:val="0"/>
          <w:sz w:val="21"/>
        </w:rPr>
        <w:t>d) El 75 %.</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«El 50 %.» es correcta porque coincide con TRLGSS, artículo 210.1. Las demás alternativas modifican, omiten o contradicen el dato jurídico aplicable.</w:t>
      </w:r>
    </w:p>
    <w:p>
      <w:pPr>
        <w:pStyle w:val="Question"/>
        <w:keepNext/>
      </w:pPr>
      <w:r>
        <w:rPr>
          <w:rFonts w:ascii="Arial" w:hAnsi="Arial" w:cs="Arial"/>
          <w:sz w:val="22"/>
        </w:rPr>
        <w:t>7.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sz w:val="21"/>
        </w:rPr>
        <w:t>c) La incompatibilidad, sin perjuicio de las excepciones expresamente previstas.</w:t>
      </w:r>
    </w:p>
    <w:p>
      <w:pPr>
        <w:keepNext/>
        <w:keepLines/>
        <w:spacing w:after="40"/>
        <w:ind w:left="369" w:hanging="198"/>
      </w:pPr>
      <w:r>
        <w:rPr>
          <w:rFonts w:ascii="Arial" w:hAnsi="Arial" w:cs="Arial"/>
          <w:b w:val="0"/>
          <w:sz w:val="21"/>
        </w:rPr>
        <w:t>d) La compatibilidad solo cuando el trabajo sea por cuenta ajena.</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«La incompatibilidad, sin perjuicio de las excepciones expresamente previstas.» es correcta porque coincide con TRLGSS, artículo 213. Las demás alternativas modifican, omiten o contradicen el dato jurídico aplicable.</w:t>
      </w:r>
    </w:p>
    <w:p>
      <w:pPr>
        <w:pStyle w:val="Question"/>
        <w:keepNext/>
      </w:pPr>
      <w:r>
        <w:rPr>
          <w:rFonts w:ascii="Arial" w:hAnsi="Arial" w:cs="Arial"/>
          <w:sz w:val="22"/>
        </w:rPr>
        <w:t>8. ¿Qué rasgo distingue la jubilación flexible de la parcial?</w:t>
      </w:r>
    </w:p>
    <w:p>
      <w:pPr>
        <w:keepNext/>
        <w:keepLines/>
        <w:spacing w:after="40"/>
        <w:ind w:left="369" w:hanging="198"/>
      </w:pPr>
      <w:r>
        <w:rPr>
          <w:rFonts w:ascii="Arial" w:hAnsi="Arial" w:cs="Arial"/>
          <w:b w:val="0"/>
          <w:sz w:val="21"/>
        </w:rPr>
        <w:t>a) La flexible solo puede iniciarse antes de la edad ordinaria.</w:t>
      </w:r>
    </w:p>
    <w:p>
      <w:pPr>
        <w:keepNext/>
        <w:keepLines/>
        <w:spacing w:after="40"/>
        <w:ind w:left="369" w:hanging="198"/>
      </w:pPr>
      <w:r>
        <w:rPr>
          <w:rFonts w:ascii="Arial" w:hAnsi="Arial" w:cs="Arial"/>
          <w:b w:val="0"/>
          <w:sz w:val="21"/>
        </w:rPr>
        <w:t>b) La flexible exige siempre contrato de relevo.</w:t>
      </w:r>
    </w:p>
    <w:p>
      <w:pPr>
        <w:keepNext/>
        <w:keepLines/>
        <w:spacing w:after="40"/>
        <w:ind w:left="369" w:hanging="198"/>
      </w:pPr>
      <w:r>
        <w:rPr>
          <w:rFonts w:ascii="Arial" w:hAnsi="Arial" w:cs="Arial"/>
          <w:b w:val="0"/>
          <w:sz w:val="21"/>
        </w:rPr>
        <w:t>c) La flexible impide toda nueva cotización.</w:t>
      </w:r>
    </w:p>
    <w:p>
      <w:pPr>
        <w:keepNext/>
        <w:keepLines/>
        <w:spacing w:after="40"/>
        <w:ind w:left="369" w:hanging="198"/>
      </w:pPr>
      <w:r>
        <w:rPr>
          <w:rFonts w:ascii="Arial" w:hAnsi="Arial" w:cs="Arial"/>
          <w:b/>
          <w:sz w:val="21"/>
        </w:rPr>
        <w:t>d) La flexible parte de una pensión ya causada y permite un trabajo a tiempo parcial con reducción proporcional.</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«La flexible parte de una pensión ya causada y permite un trabajo a tiempo parcial con reducción proporcional.» es correcta porque coincide con Real Decreto 1132/2002, artículos 4 a 9. Las demás alternativas modifican, omiten o contradicen el dato jurídico aplicable.</w:t>
      </w:r>
    </w:p>
    <w:p>
      <w:pPr>
        <w:pStyle w:val="Question"/>
        <w:keepNext/>
      </w:pPr>
      <w:r>
        <w:rPr>
          <w:rFonts w:ascii="Arial" w:hAnsi="Arial" w:cs="Arial"/>
          <w:sz w:val="22"/>
        </w:rPr>
        <w:t>9. Para un hecho causante producido en 2026, ¿qué regla se aplica a la base reguladora?</w:t>
      </w:r>
    </w:p>
    <w:p>
      <w:pPr>
        <w:keepNext/>
        <w:keepLines/>
        <w:spacing w:after="40"/>
        <w:ind w:left="369" w:hanging="198"/>
      </w:pPr>
      <w:r>
        <w:rPr>
          <w:rFonts w:ascii="Arial" w:hAnsi="Arial" w:cs="Arial"/>
          <w:b/>
          <w:sz w:val="21"/>
        </w:rPr>
        <w:t>a) Se compara de oficio el cálculo 300/350 con el de las 302 bases más altas de una ventana de 304, dividido entre 352,33, y se aplica el más favorable.</w:t>
      </w:r>
    </w:p>
    <w:p>
      <w:pPr>
        <w:keepNext/>
        <w:keepLines/>
        <w:spacing w:after="40"/>
        <w:ind w:left="369" w:hanging="198"/>
      </w:pPr>
      <w:r>
        <w:rPr>
          <w:rFonts w:ascii="Arial" w:hAnsi="Arial" w:cs="Arial"/>
          <w:b w:val="0"/>
          <w:sz w:val="21"/>
        </w:rPr>
        <w:t>b) Se toman siempre las 324 mejores bases de los últimos 348 meses.</w:t>
      </w:r>
    </w:p>
    <w:p>
      <w:pPr>
        <w:keepNext/>
        <w:keepLines/>
        <w:spacing w:after="40"/>
        <w:ind w:left="369" w:hanging="198"/>
      </w:pPr>
      <w:r>
        <w:rPr>
          <w:rFonts w:ascii="Arial" w:hAnsi="Arial" w:cs="Arial"/>
          <w:b w:val="0"/>
          <w:sz w:val="21"/>
        </w:rPr>
        <w:t>c) Se utilizan necesariamente los últimos quince años.</w:t>
      </w:r>
    </w:p>
    <w:p>
      <w:pPr>
        <w:keepNext/>
        <w:keepLines/>
        <w:spacing w:after="40"/>
        <w:ind w:left="369" w:hanging="198"/>
      </w:pPr>
      <w:r>
        <w:rPr>
          <w:rFonts w:ascii="Arial" w:hAnsi="Arial" w:cs="Arial"/>
          <w:b w:val="0"/>
          <w:sz w:val="21"/>
        </w:rPr>
        <w:t>d) El interesado elige libremente una de cuatro fórmulas sin comparación administrativa.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«Se compara de oficio el cálculo 300/350 con el de las 302 bases más altas de una ventana de 304, dividido entre 352,33, y se aplica el más favorable.» es correcta porque coincide con TRLGSS, artículo 209 y disposiciones transitorias cuarta.7 y cuadragésima. Las demás alternativas modifican, omiten o contradicen el dato jurídico aplicable.</w:t>
      </w:r>
    </w:p>
    <w:p>
      <w:pPr>
        <w:pStyle w:val="Question"/>
        <w:keepNext/>
      </w:pPr>
      <w:r>
        <w:rPr>
          <w:rFonts w:ascii="Arial" w:hAnsi="Arial" w:cs="Arial"/>
          <w:sz w:val="22"/>
        </w:rPr>
        <w:t>10. En 2026, quien no alcanza 38 años y 3 meses cotizados accede ordinariamente a los:</w:t>
      </w:r>
    </w:p>
    <w:p>
      <w:pPr>
        <w:keepNext/>
        <w:keepLines/>
        <w:spacing w:after="40"/>
        <w:ind w:left="369" w:hanging="198"/>
      </w:pPr>
      <w:r>
        <w:rPr>
          <w:rFonts w:ascii="Arial" w:hAnsi="Arial" w:cs="Arial"/>
          <w:b w:val="0"/>
          <w:sz w:val="21"/>
        </w:rPr>
        <w:t>a) 65 años y 10 meses.</w:t>
      </w:r>
    </w:p>
    <w:p>
      <w:pPr>
        <w:keepNext/>
        <w:keepLines/>
        <w:spacing w:after="40"/>
        <w:ind w:left="369" w:hanging="198"/>
      </w:pPr>
      <w:r>
        <w:rPr>
          <w:rFonts w:ascii="Arial" w:hAnsi="Arial" w:cs="Arial"/>
          <w:b/>
          <w:sz w:val="21"/>
        </w:rPr>
        <w:t>b) 66 años y 10 meses.</w:t>
      </w:r>
    </w:p>
    <w:p>
      <w:pPr>
        <w:keepNext/>
        <w:keepLines/>
        <w:spacing w:after="40"/>
        <w:ind w:left="369" w:hanging="198"/>
      </w:pPr>
      <w:r>
        <w:rPr>
          <w:rFonts w:ascii="Arial" w:hAnsi="Arial" w:cs="Arial"/>
          <w:b w:val="0"/>
          <w:sz w:val="21"/>
        </w:rPr>
        <w:t>c) 66 años y 8 meses.</w:t>
      </w:r>
    </w:p>
    <w:p>
      <w:pPr>
        <w:keepNext/>
        <w:keepLines/>
        <w:spacing w:after="40"/>
        <w:ind w:left="369" w:hanging="198"/>
      </w:pPr>
      <w:r>
        <w:rPr>
          <w:rFonts w:ascii="Arial" w:hAnsi="Arial" w:cs="Arial"/>
          <w:b w:val="0"/>
          <w:sz w:val="21"/>
        </w:rPr>
        <w:t>d) 67 años.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«66 años y 10 meses.» es correcta porque coincide con TRLGSS, disposición transitoria séptima. Las demás alternativas modifican, omiten o contradicen el dato jurídico aplicable.</w:t>
      </w:r>
    </w:p>
    <w:p>
      <w:pPr>
        <w:pStyle w:val="Question"/>
        <w:keepNext/>
      </w:pPr>
      <w:r>
        <w:rPr>
          <w:rFonts w:ascii="Arial" w:hAnsi="Arial" w:cs="Arial"/>
          <w:sz w:val="22"/>
        </w:rPr>
        <w:t>11. ¿Cuánto puede anticiparse, como máximo, la jubilación anticipada por voluntad del interesado?</w:t>
      </w:r>
    </w:p>
    <w:p>
      <w:pPr>
        <w:keepNext/>
        <w:keepLines/>
        <w:spacing w:after="40"/>
        <w:ind w:left="369" w:hanging="198"/>
      </w:pPr>
      <w:r>
        <w:rPr>
          <w:rFonts w:ascii="Arial" w:hAnsi="Arial" w:cs="Arial"/>
          <w:b w:val="0"/>
          <w:sz w:val="21"/>
        </w:rPr>
        <w:t>a) Seis meses.</w:t>
      </w:r>
    </w:p>
    <w:p>
      <w:pPr>
        <w:keepNext/>
        <w:keepLines/>
        <w:spacing w:after="40"/>
        <w:ind w:left="369" w:hanging="198"/>
      </w:pPr>
      <w:r>
        <w:rPr>
          <w:rFonts w:ascii="Arial" w:hAnsi="Arial" w:cs="Arial"/>
          <w:b w:val="0"/>
          <w:sz w:val="21"/>
        </w:rPr>
        <w:t>b) Un año.</w:t>
      </w:r>
    </w:p>
    <w:p>
      <w:pPr>
        <w:keepNext/>
        <w:keepLines/>
        <w:spacing w:after="40"/>
        <w:ind w:left="369" w:hanging="198"/>
      </w:pPr>
      <w:r>
        <w:rPr>
          <w:rFonts w:ascii="Arial" w:hAnsi="Arial" w:cs="Arial"/>
          <w:b/>
          <w:sz w:val="21"/>
        </w:rPr>
        <w:t>c) Dos años respecto de la edad ordinaria que corresponda.</w:t>
      </w:r>
    </w:p>
    <w:p>
      <w:pPr>
        <w:keepNext/>
        <w:keepLines/>
        <w:spacing w:after="40"/>
        <w:ind w:left="369" w:hanging="198"/>
      </w:pPr>
      <w:r>
        <w:rPr>
          <w:rFonts w:ascii="Arial" w:hAnsi="Arial" w:cs="Arial"/>
          <w:b w:val="0"/>
          <w:sz w:val="21"/>
        </w:rPr>
        <w:t>d) Cuatro años respecto de una edad fija de 65 años.</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«Dos años respecto de la edad ordinaria que corresponda.» es correcta porque coincide con TRLGSS, artículo 208.1.a. Las demás alternativas modifican, omiten o contradicen el dato jurídico aplicable.</w:t>
      </w:r>
    </w:p>
    <w:p>
      <w:pPr>
        <w:pStyle w:val="Question"/>
        <w:keepNext/>
      </w:pPr>
      <w:r>
        <w:rPr>
          <w:rFonts w:ascii="Arial" w:hAnsi="Arial" w:cs="Arial"/>
          <w:sz w:val="22"/>
        </w:rPr>
        <w:t>12. ¿Cuánto puede anticiparse, como máximo, la jubilación por causa no imputable al trabajador?</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Dos años.</w:t>
      </w:r>
    </w:p>
    <w:p>
      <w:pPr>
        <w:keepNext/>
        <w:keepLines/>
        <w:spacing w:after="40"/>
        <w:ind w:left="369" w:hanging="198"/>
      </w:pPr>
      <w:r>
        <w:rPr>
          <w:rFonts w:ascii="Arial" w:hAnsi="Arial" w:cs="Arial"/>
          <w:b w:val="0"/>
          <w:sz w:val="21"/>
        </w:rPr>
        <w:t>c) Tres años.</w:t>
      </w:r>
    </w:p>
    <w:p>
      <w:pPr>
        <w:keepNext/>
        <w:keepLines/>
        <w:spacing w:after="40"/>
        <w:ind w:left="369" w:hanging="198"/>
      </w:pPr>
      <w:r>
        <w:rPr>
          <w:rFonts w:ascii="Arial" w:hAnsi="Arial" w:cs="Arial"/>
          <w:b/>
          <w:sz w:val="21"/>
        </w:rPr>
        <w:t>d) Cuatro años respecto de la edad ordinaria aplicable.</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«Cuatro años respecto de la edad ordinaria aplicable.» es correcta porque coincide con TRLGSS, artículo 207.1.a. Las demás alternativas modifican, omiten o contradicen el dato jurídico aplicable.</w:t>
      </w:r>
    </w:p>
    <w:p>
      <w:pPr>
        <w:pStyle w:val="Question"/>
        <w:keepNext/>
      </w:pPr>
      <w:r>
        <w:rPr>
          <w:rFonts w:ascii="Arial" w:hAnsi="Arial" w:cs="Arial"/>
          <w:sz w:val="22"/>
        </w:rPr>
        <w:t>13. ¿Qué período mínimo de cotización exige la jubilación anticipada voluntaria?</w:t>
      </w:r>
    </w:p>
    <w:p>
      <w:pPr>
        <w:keepNext/>
        <w:keepLines/>
        <w:spacing w:after="40"/>
        <w:ind w:left="369" w:hanging="198"/>
      </w:pPr>
      <w:r>
        <w:rPr>
          <w:rFonts w:ascii="Arial" w:hAnsi="Arial" w:cs="Arial"/>
          <w:b/>
          <w:sz w:val="21"/>
        </w:rPr>
        <w:t>a) Treinta y cinco años.</w:t>
      </w:r>
    </w:p>
    <w:p>
      <w:pPr>
        <w:keepNext/>
        <w:keepLines/>
        <w:spacing w:after="40"/>
        <w:ind w:left="369" w:hanging="198"/>
      </w:pPr>
      <w:r>
        <w:rPr>
          <w:rFonts w:ascii="Arial" w:hAnsi="Arial" w:cs="Arial"/>
          <w:b w:val="0"/>
          <w:sz w:val="21"/>
        </w:rPr>
        <w:t>b) Treinta y tres años.</w:t>
      </w:r>
    </w:p>
    <w:p>
      <w:pPr>
        <w:keepNext/>
        <w:keepLines/>
        <w:spacing w:after="40"/>
        <w:ind w:left="369" w:hanging="198"/>
      </w:pPr>
      <w:r>
        <w:rPr>
          <w:rFonts w:ascii="Arial" w:hAnsi="Arial" w:cs="Arial"/>
          <w:b w:val="0"/>
          <w:sz w:val="21"/>
        </w:rPr>
        <w:t>c) Treinta años.</w:t>
      </w:r>
    </w:p>
    <w:p>
      <w:pPr>
        <w:keepNext/>
        <w:keepLines/>
        <w:spacing w:after="40"/>
        <w:ind w:left="369" w:hanging="198"/>
      </w:pPr>
      <w:r>
        <w:rPr>
          <w:rFonts w:ascii="Arial" w:hAnsi="Arial" w:cs="Arial"/>
          <w:b w:val="0"/>
          <w:sz w:val="21"/>
        </w:rPr>
        <w:t>d) Quince años.</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«Treinta y cinco años.» es correcta porque coincide con TRLGSS, artículo 208.1.b. Las demás alternativas modifican, omiten o contradicen el dato jurídico aplicable.</w:t>
      </w:r>
    </w:p>
    <w:p>
      <w:pPr>
        <w:pStyle w:val="Question"/>
        <w:keepNext/>
      </w:pPr>
      <w:r>
        <w:rPr>
          <w:rFonts w:ascii="Arial" w:hAnsi="Arial" w:cs="Arial"/>
          <w:sz w:val="22"/>
        </w:rPr>
        <w:t>14. Además de 33 años cotizados y una causa legal de cese, la jubilación anticipada involuntaria exige, con carácter general:</w:t>
      </w:r>
    </w:p>
    <w:p>
      <w:pPr>
        <w:keepNext/>
        <w:keepLines/>
        <w:spacing w:after="40"/>
        <w:ind w:left="369" w:hanging="198"/>
      </w:pPr>
      <w:r>
        <w:rPr>
          <w:rFonts w:ascii="Arial" w:hAnsi="Arial" w:cs="Arial"/>
          <w:b w:val="0"/>
          <w:sz w:val="21"/>
        </w:rPr>
        <w:t>a) Haber cumplido necesariamente 65 años.</w:t>
      </w:r>
    </w:p>
    <w:p>
      <w:pPr>
        <w:keepNext/>
        <w:keepLines/>
        <w:spacing w:after="40"/>
        <w:ind w:left="369" w:hanging="198"/>
      </w:pPr>
      <w:r>
        <w:rPr>
          <w:rFonts w:ascii="Arial" w:hAnsi="Arial" w:cs="Arial"/>
          <w:b/>
          <w:sz w:val="21"/>
        </w:rPr>
        <w:t>b) Estar inscrito como demandante de empleo durante al menos los seis meses inmediatamente anteriores a la solicitud.</w:t>
      </w:r>
    </w:p>
    <w:p>
      <w:pPr>
        <w:keepNext/>
        <w:keepLines/>
        <w:spacing w:after="40"/>
        <w:ind w:left="369" w:hanging="198"/>
      </w:pPr>
      <w:r>
        <w:rPr>
          <w:rFonts w:ascii="Arial" w:hAnsi="Arial" w:cs="Arial"/>
          <w:b w:val="0"/>
          <w:sz w:val="21"/>
        </w:rPr>
        <w:t>c) Haber agotado siempre una incapacidad temporal.</w:t>
      </w:r>
    </w:p>
    <w:p>
      <w:pPr>
        <w:keepNext/>
        <w:keepLines/>
        <w:spacing w:after="40"/>
        <w:ind w:left="369" w:hanging="198"/>
      </w:pPr>
      <w:r>
        <w:rPr>
          <w:rFonts w:ascii="Arial" w:hAnsi="Arial" w:cs="Arial"/>
          <w:b w:val="0"/>
          <w:sz w:val="21"/>
        </w:rPr>
        <w:t>d) Que el último contrato fuera a tiempo completo durante diez años.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«Estar inscrito como demandante de empleo durante al menos los seis meses inmediatamente anteriores a la solicitud.» es correcta porque coincide con TRLGSS, artículo 207.1.b. Las demás alternativas modifican, omiten o contradicen el dato jurídico aplicable.</w:t>
      </w:r>
    </w:p>
    <w:p>
      <w:pPr>
        <w:pStyle w:val="Question"/>
        <w:keepNext/>
      </w:pPr>
      <w:r>
        <w:rPr>
          <w:rFonts w:ascii="Arial" w:hAnsi="Arial" w:cs="Arial"/>
          <w:sz w:val="22"/>
        </w:rPr>
        <w:t>15. En la jubilación parcial anticipada regulada tras la reforma de 2025, el contrato del relevista debe celebrarse:</w:t>
      </w:r>
    </w:p>
    <w:p>
      <w:pPr>
        <w:keepNext/>
        <w:keepLines/>
        <w:spacing w:after="40"/>
        <w:ind w:left="369" w:hanging="198"/>
      </w:pPr>
      <w:r>
        <w:rPr>
          <w:rFonts w:ascii="Arial" w:hAnsi="Arial" w:cs="Arial"/>
          <w:b w:val="0"/>
          <w:sz w:val="21"/>
        </w:rPr>
        <w:t>a) Solo a tiempo parcial y por seis meses.</w:t>
      </w:r>
    </w:p>
    <w:p>
      <w:pPr>
        <w:keepNext/>
        <w:keepLines/>
        <w:spacing w:after="40"/>
        <w:ind w:left="369" w:hanging="198"/>
      </w:pPr>
      <w:r>
        <w:rPr>
          <w:rFonts w:ascii="Arial" w:hAnsi="Arial" w:cs="Arial"/>
          <w:b w:val="0"/>
          <w:sz w:val="21"/>
        </w:rPr>
        <w:t>b) Con duración libre, incluso inferior a la jubilación parcial.</w:t>
      </w:r>
    </w:p>
    <w:p>
      <w:pPr>
        <w:keepNext/>
        <w:keepLines/>
        <w:spacing w:after="40"/>
        <w:ind w:left="369" w:hanging="198"/>
      </w:pPr>
      <w:r>
        <w:rPr>
          <w:rFonts w:ascii="Arial" w:hAnsi="Arial" w:cs="Arial"/>
          <w:b/>
          <w:sz w:val="21"/>
        </w:rPr>
        <w:t>c) Con carácter indefinido y a tiempo completo, manteniéndose el tiempo legalmente exigido.</w:t>
      </w:r>
    </w:p>
    <w:p>
      <w:pPr>
        <w:keepNext/>
        <w:keepLines/>
        <w:spacing w:after="40"/>
        <w:ind w:left="369" w:hanging="198"/>
      </w:pPr>
      <w:r>
        <w:rPr>
          <w:rFonts w:ascii="Arial" w:hAnsi="Arial" w:cs="Arial"/>
          <w:b w:val="0"/>
          <w:sz w:val="21"/>
        </w:rPr>
        <w:t>d) Únicamente con una persona ya empleada a jornada completa.</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«Con carácter indefinido y a tiempo completo, manteniéndose el tiempo legalmente exigido.» es correcta porque coincide con TRLGSS, artículo 215.2 y Real Decreto-ley 11/2024. Las demás alternativas modifican, omiten o contradicen el dato jurídico aplicable.</w:t>
      </w:r>
    </w:p>
    <w:p>
      <w:pPr>
        <w:pStyle w:val="Question"/>
        <w:keepNext/>
      </w:pPr>
      <w:r>
        <w:rPr>
          <w:rFonts w:ascii="Arial" w:hAnsi="Arial" w:cs="Arial"/>
          <w:sz w:val="22"/>
        </w:rPr>
        <w:t>16. A 30 de julio de 2026, ¿qué norma regula todavía el núcleo de la jubilación flexible?</w:t>
      </w:r>
    </w:p>
    <w:p>
      <w:pPr>
        <w:keepNext/>
        <w:keepLines/>
        <w:spacing w:after="40"/>
        <w:ind w:left="369" w:hanging="198"/>
      </w:pPr>
      <w:r>
        <w:rPr>
          <w:rFonts w:ascii="Arial" w:hAnsi="Arial" w:cs="Arial"/>
          <w:b w:val="0"/>
          <w:sz w:val="21"/>
        </w:rPr>
        <w:t>a) Exclusivamente el Real Decreto 416/2026, ya vigente desde su publicación.</w:t>
      </w:r>
    </w:p>
    <w:p>
      <w:pPr>
        <w:keepNext/>
        <w:keepLines/>
        <w:spacing w:after="40"/>
        <w:ind w:left="369" w:hanging="198"/>
      </w:pPr>
      <w:r>
        <w:rPr>
          <w:rFonts w:ascii="Arial" w:hAnsi="Arial" w:cs="Arial"/>
          <w:b w:val="0"/>
          <w:sz w:val="21"/>
        </w:rPr>
        <w:t>b) La Ley 27/2011 sin desarrollo reglamentario.</w:t>
      </w:r>
    </w:p>
    <w:p>
      <w:pPr>
        <w:keepNext/>
        <w:keepLines/>
        <w:spacing w:after="40"/>
        <w:ind w:left="369" w:hanging="198"/>
      </w:pPr>
      <w:r>
        <w:rPr>
          <w:rFonts w:ascii="Arial" w:hAnsi="Arial" w:cs="Arial"/>
          <w:b w:val="0"/>
          <w:sz w:val="21"/>
        </w:rPr>
        <w:t>c) El Real Decreto 1449/2018.</w:t>
      </w:r>
    </w:p>
    <w:p>
      <w:pPr>
        <w:keepNext/>
        <w:keepLines/>
        <w:spacing w:after="40"/>
        <w:ind w:left="369" w:hanging="198"/>
      </w:pPr>
      <w:r>
        <w:rPr>
          <w:rFonts w:ascii="Arial" w:hAnsi="Arial" w:cs="Arial"/>
          <w:b/>
          <w:sz w:val="21"/>
        </w:rPr>
        <w:t>d) El Real Decreto 1132/2002, pues el régimen general del Real Decreto 416/2026 entra en vigor el 28 de agosto de 2026.</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«El Real Decreto 1132/2002, pues el régimen general del Real Decreto 416/2026 entra en vigor el 28 de agosto de 2026.» es correcta porque coincide con Real Decreto 416/2026, disposición final cuarta. Las demás alternativas modifican, omiten o contradicen el dato jurídico aplicable.</w:t>
      </w:r>
    </w:p>
    <w:p>
      <w:pPr>
        <w:pStyle w:val="Question"/>
        <w:keepNext/>
      </w:pPr>
      <w:r>
        <w:rPr>
          <w:rFonts w:ascii="Arial" w:hAnsi="Arial" w:cs="Arial"/>
          <w:sz w:val="22"/>
        </w:rPr>
        <w:t>17. En la jubilación demorada, si el interesado no ejerce opción entre los incentivos legales:</w:t>
      </w:r>
    </w:p>
    <w:p>
      <w:pPr>
        <w:keepNext/>
        <w:keepLines/>
        <w:spacing w:after="40"/>
        <w:ind w:left="369" w:hanging="198"/>
      </w:pPr>
      <w:r>
        <w:rPr>
          <w:rFonts w:ascii="Arial" w:hAnsi="Arial" w:cs="Arial"/>
          <w:b/>
          <w:sz w:val="21"/>
        </w:rPr>
        <w:t>a) Se aplica el porcentaje adicional.</w:t>
      </w:r>
    </w:p>
    <w:p>
      <w:pPr>
        <w:keepNext/>
        <w:keepLines/>
        <w:spacing w:after="40"/>
        <w:ind w:left="369" w:hanging="198"/>
      </w:pPr>
      <w:r>
        <w:rPr>
          <w:rFonts w:ascii="Arial" w:hAnsi="Arial" w:cs="Arial"/>
          <w:b w:val="0"/>
          <w:sz w:val="21"/>
        </w:rPr>
        <w:t>b) Se reconoce necesariamente una cantidad a tanto alzado.</w:t>
      </w:r>
    </w:p>
    <w:p>
      <w:pPr>
        <w:keepNext/>
        <w:keepLines/>
        <w:spacing w:after="40"/>
        <w:ind w:left="369" w:hanging="198"/>
      </w:pPr>
      <w:r>
        <w:rPr>
          <w:rFonts w:ascii="Arial" w:hAnsi="Arial" w:cs="Arial"/>
          <w:b w:val="0"/>
          <w:sz w:val="21"/>
        </w:rPr>
        <w:t>c) Se pierde todo incentivo por demora.</w:t>
      </w:r>
    </w:p>
    <w:p>
      <w:pPr>
        <w:keepNext/>
        <w:keepLines/>
        <w:spacing w:after="40"/>
        <w:ind w:left="369" w:hanging="198"/>
      </w:pPr>
      <w:r>
        <w:rPr>
          <w:rFonts w:ascii="Arial" w:hAnsi="Arial" w:cs="Arial"/>
          <w:b w:val="0"/>
          <w:sz w:val="21"/>
        </w:rPr>
        <w:t>d) La TGSS decide entre pago único y fórmula mixta.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«Se aplica el porcentaje adicional.» es correcta porque coincide con TRLGSS, artículo 210.2. Las demás alternativas modifican, omiten o contradicen el dato jurídico aplicable.</w:t>
      </w:r>
    </w:p>
    <w:p>
      <w:pPr>
        <w:pStyle w:val="Question"/>
        <w:keepNext/>
      </w:pPr>
      <w:r>
        <w:rPr>
          <w:rFonts w:ascii="Arial" w:hAnsi="Arial" w:cs="Arial"/>
          <w:sz w:val="22"/>
        </w:rPr>
        <w:t>18. En la jubilación flexible vigente el 30 de julio de 2026, si se trabaja el 40 % de la jornada comparable:</w:t>
      </w:r>
    </w:p>
    <w:p>
      <w:pPr>
        <w:keepNext/>
        <w:keepLines/>
        <w:spacing w:after="40"/>
        <w:ind w:left="369" w:hanging="198"/>
      </w:pPr>
      <w:r>
        <w:rPr>
          <w:rFonts w:ascii="Arial" w:hAnsi="Arial" w:cs="Arial"/>
          <w:b w:val="0"/>
          <w:sz w:val="21"/>
        </w:rPr>
        <w:t>a) Se suspende íntegramente la pensión.</w:t>
      </w:r>
    </w:p>
    <w:p>
      <w:pPr>
        <w:keepNext/>
        <w:keepLines/>
        <w:spacing w:after="40"/>
        <w:ind w:left="369" w:hanging="198"/>
      </w:pPr>
      <w:r>
        <w:rPr>
          <w:rFonts w:ascii="Arial" w:hAnsi="Arial" w:cs="Arial"/>
          <w:b/>
          <w:sz w:val="21"/>
        </w:rPr>
        <w:t>b) Se percibe, con carácter general, el 60 % de la pensión.</w:t>
      </w:r>
    </w:p>
    <w:p>
      <w:pPr>
        <w:keepNext/>
        <w:keepLines/>
        <w:spacing w:after="40"/>
        <w:ind w:left="369" w:hanging="198"/>
      </w:pPr>
      <w:r>
        <w:rPr>
          <w:rFonts w:ascii="Arial" w:hAnsi="Arial" w:cs="Arial"/>
          <w:b w:val="0"/>
          <w:sz w:val="21"/>
        </w:rPr>
        <w:t>c) Se percibe el 40 % de la pensión.</w:t>
      </w:r>
    </w:p>
    <w:p>
      <w:pPr>
        <w:keepNext/>
        <w:keepLines/>
        <w:spacing w:after="40"/>
        <w:ind w:left="369" w:hanging="198"/>
      </w:pPr>
      <w:r>
        <w:rPr>
          <w:rFonts w:ascii="Arial" w:hAnsi="Arial" w:cs="Arial"/>
          <w:b w:val="0"/>
          <w:sz w:val="21"/>
        </w:rPr>
        <w:t>d) Se mantiene el 100 % y no se cotiza.</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«Se percibe, con carácter general, el 60 % de la pensión.» es correcta porque coincide con Real Decreto 1132/2002, artículo 5. Las demás alternativas modifican, omiten o contradicen el dato jurídico aplicable.</w:t>
      </w:r>
    </w:p>
    <w:p>
      <w:pPr>
        <w:pStyle w:val="Question"/>
        <w:keepNext/>
      </w:pPr>
      <w:r>
        <w:rPr>
          <w:rFonts w:ascii="Arial" w:hAnsi="Arial" w:cs="Arial"/>
          <w:sz w:val="22"/>
        </w:rPr>
        <w:t>19. El inicio de un trabajo incompatible con la jubilación, sin acogerse a una modalidad legal de compatibilidad:</w:t>
      </w:r>
    </w:p>
    <w:p>
      <w:pPr>
        <w:keepNext/>
        <w:keepLines/>
        <w:spacing w:after="40"/>
        <w:ind w:left="369" w:hanging="198"/>
      </w:pPr>
      <w:r>
        <w:rPr>
          <w:rFonts w:ascii="Arial" w:hAnsi="Arial" w:cs="Arial"/>
          <w:b w:val="0"/>
          <w:sz w:val="21"/>
        </w:rPr>
        <w:t>a) Convierte la pensión en una indemnización.</w:t>
      </w:r>
    </w:p>
    <w:p>
      <w:pPr>
        <w:keepNext/>
        <w:keepLines/>
        <w:spacing w:after="40"/>
        <w:ind w:left="369" w:hanging="198"/>
      </w:pPr>
      <w:r>
        <w:rPr>
          <w:rFonts w:ascii="Arial" w:hAnsi="Arial" w:cs="Arial"/>
          <w:b w:val="0"/>
          <w:sz w:val="21"/>
        </w:rPr>
        <w:t>b) Aumenta el porcentaje por demora mientras se cobra.</w:t>
      </w:r>
    </w:p>
    <w:p>
      <w:pPr>
        <w:keepNext/>
        <w:keepLines/>
        <w:spacing w:after="40"/>
        <w:ind w:left="369" w:hanging="198"/>
      </w:pPr>
      <w:r>
        <w:rPr>
          <w:rFonts w:ascii="Arial" w:hAnsi="Arial" w:cs="Arial"/>
          <w:b/>
          <w:sz w:val="21"/>
        </w:rPr>
        <w:t>c) Suspende el abono durante la actividad y puede originar reintegro de lo indebidamente percibido.</w:t>
      </w:r>
    </w:p>
    <w:p>
      <w:pPr>
        <w:keepNext/>
        <w:keepLines/>
        <w:spacing w:after="40"/>
        <w:ind w:left="369" w:hanging="198"/>
      </w:pPr>
      <w:r>
        <w:rPr>
          <w:rFonts w:ascii="Arial" w:hAnsi="Arial" w:cs="Arial"/>
          <w:b w:val="0"/>
          <w:sz w:val="21"/>
        </w:rPr>
        <w:t>d) Extingue irrevocablemente el derecho desde el primer día.</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«Suspende el abono durante la actividad y puede originar reintegro de lo indebidamente percibido.» es correcta porque coincide con TRLGSS, artículo 213 y régimen de prestaciones indebidas. Las demás alternativas modifican, omiten o contradicen el dato jurídico aplicable.</w:t>
      </w:r>
    </w:p>
    <w:p>
      <w:pPr>
        <w:pStyle w:val="Question"/>
        <w:keepNext/>
      </w:pPr>
      <w:r>
        <w:rPr>
          <w:rFonts w:ascii="Arial" w:hAnsi="Arial" w:cs="Arial"/>
          <w:sz w:val="22"/>
        </w:rPr>
        <w:t>20. ¿Cuál es la causa ordinaria de extinción de la pensión de jubilación?</w:t>
      </w:r>
    </w:p>
    <w:p>
      <w:pPr>
        <w:keepNext/>
        <w:keepLines/>
        <w:spacing w:after="40"/>
        <w:ind w:left="369" w:hanging="198"/>
      </w:pPr>
      <w:r>
        <w:rPr>
          <w:rFonts w:ascii="Arial" w:hAnsi="Arial" w:cs="Arial"/>
          <w:b w:val="0"/>
          <w:sz w:val="21"/>
        </w:rPr>
        <w:t>a) El cambio de domicilio.</w:t>
      </w:r>
    </w:p>
    <w:p>
      <w:pPr>
        <w:keepNext/>
        <w:keepLines/>
        <w:spacing w:after="40"/>
        <w:ind w:left="369" w:hanging="198"/>
      </w:pPr>
      <w:r>
        <w:rPr>
          <w:rFonts w:ascii="Arial" w:hAnsi="Arial" w:cs="Arial"/>
          <w:b w:val="0"/>
          <w:sz w:val="21"/>
        </w:rPr>
        <w:t>b) La realización de cualquier trabajo de un día.</w:t>
      </w:r>
    </w:p>
    <w:p>
      <w:pPr>
        <w:keepNext/>
        <w:keepLines/>
        <w:spacing w:after="40"/>
        <w:ind w:left="369" w:hanging="198"/>
      </w:pPr>
      <w:r>
        <w:rPr>
          <w:rFonts w:ascii="Arial" w:hAnsi="Arial" w:cs="Arial"/>
          <w:b w:val="0"/>
          <w:sz w:val="21"/>
        </w:rPr>
        <w:t>c) El matrimonio del pensionista.</w:t>
      </w:r>
    </w:p>
    <w:p>
      <w:pPr>
        <w:keepNext/>
        <w:keepLines/>
        <w:spacing w:after="40"/>
        <w:ind w:left="369" w:hanging="198"/>
      </w:pPr>
      <w:r>
        <w:rPr>
          <w:rFonts w:ascii="Arial" w:hAnsi="Arial" w:cs="Arial"/>
          <w:b/>
          <w:sz w:val="21"/>
        </w:rPr>
        <w:t>d) El fallecimiento del titular.</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«El fallecimiento del titular.» es correcta porque coincide con TRLGSS, naturaleza vitalicia de la prestación y artículo 213. Las demás alternativas modifican, omiten o contradicen el dato jurídico aplicable.</w:t>
      </w:r>
    </w:p>
    <w:p>
      <w:pPr>
        <w:pStyle w:val="Question"/>
        <w:keepNext/>
      </w:pPr>
      <w:r>
        <w:rPr>
          <w:rFonts w:ascii="Arial" w:hAnsi="Arial" w:cs="Arial"/>
          <w:sz w:val="22"/>
        </w:rPr>
        <w:t>21. La disposición transitoria cuarta del TRLGSS respecto de la normativa anterior a la Ley 27/2011:</w:t>
      </w:r>
    </w:p>
    <w:p>
      <w:pPr>
        <w:keepNext/>
        <w:keepLines/>
        <w:spacing w:after="40"/>
        <w:ind w:left="369" w:hanging="198"/>
      </w:pPr>
      <w:r>
        <w:rPr>
          <w:rFonts w:ascii="Arial" w:hAnsi="Arial" w:cs="Arial"/>
          <w:b/>
          <w:sz w:val="21"/>
        </w:rPr>
        <w:t>a) Delimita colectivos concretos; no establece una opción general para cualquier interesado.</w:t>
      </w:r>
    </w:p>
    <w:p>
      <w:pPr>
        <w:keepNext/>
        <w:keepLines/>
        <w:spacing w:after="40"/>
        <w:ind w:left="369" w:hanging="198"/>
      </w:pPr>
      <w:r>
        <w:rPr>
          <w:rFonts w:ascii="Arial" w:hAnsi="Arial" w:cs="Arial"/>
          <w:b w:val="0"/>
          <w:sz w:val="21"/>
        </w:rPr>
        <w:t>b) Permite a toda persona elegir la legislación que produzca mayor pensión.</w:t>
      </w:r>
    </w:p>
    <w:p>
      <w:pPr>
        <w:keepNext/>
        <w:keepLines/>
        <w:spacing w:after="40"/>
        <w:ind w:left="369" w:hanging="198"/>
      </w:pPr>
      <w:r>
        <w:rPr>
          <w:rFonts w:ascii="Arial" w:hAnsi="Arial" w:cs="Arial"/>
          <w:b w:val="0"/>
          <w:sz w:val="21"/>
        </w:rPr>
        <w:t>c) Deroga las condiciones incorporadas en acuerdos colectivos.</w:t>
      </w:r>
    </w:p>
    <w:p>
      <w:pPr>
        <w:keepNext/>
        <w:keepLines/>
        <w:spacing w:after="40"/>
        <w:ind w:left="369" w:hanging="198"/>
      </w:pPr>
      <w:r>
        <w:rPr>
          <w:rFonts w:ascii="Arial" w:hAnsi="Arial" w:cs="Arial"/>
          <w:b w:val="0"/>
          <w:sz w:val="21"/>
        </w:rPr>
        <w:t>d) Se aplica solo a hechos causantes posteriores a 2035.</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«Delimita colectivos concretos; no establece una opción general para cualquier interesado.» es correcta porque coincide con TRLGSS, disposición transitoria cuarta.5. Las demás alternativas modifican, omiten o contradicen el dato jurídico aplicable.</w:t>
      </w:r>
    </w:p>
    <w:p>
      <w:pPr>
        <w:pStyle w:val="Question"/>
        <w:keepNext/>
      </w:pPr>
      <w:r>
        <w:rPr>
          <w:rFonts w:ascii="Arial" w:hAnsi="Arial" w:cs="Arial"/>
          <w:sz w:val="22"/>
        </w:rPr>
        <w:t>22. Para causar jubilación ordinaria desde una situación de no alta:</w:t>
      </w:r>
    </w:p>
    <w:p>
      <w:pPr>
        <w:keepNext/>
        <w:keepLines/>
        <w:spacing w:after="40"/>
        <w:ind w:left="369" w:hanging="198"/>
      </w:pPr>
      <w:r>
        <w:rPr>
          <w:rFonts w:ascii="Arial" w:hAnsi="Arial" w:cs="Arial"/>
          <w:b w:val="0"/>
          <w:sz w:val="21"/>
        </w:rPr>
        <w:t>a) Basta cumplir la carencia, aunque no se alcance la edad.</w:t>
      </w:r>
    </w:p>
    <w:p>
      <w:pPr>
        <w:keepNext/>
        <w:keepLines/>
        <w:spacing w:after="40"/>
        <w:ind w:left="369" w:hanging="198"/>
      </w:pPr>
      <w:r>
        <w:rPr>
          <w:rFonts w:ascii="Arial" w:hAnsi="Arial" w:cs="Arial"/>
          <w:b/>
          <w:sz w:val="21"/>
        </w:rPr>
        <w:t>b) Deben cumplirse edad y cotización, sin posibilidad de anticipar la edad por esa vía.</w:t>
      </w:r>
    </w:p>
    <w:p>
      <w:pPr>
        <w:keepNext/>
        <w:keepLines/>
        <w:spacing w:after="40"/>
        <w:ind w:left="369" w:hanging="198"/>
      </w:pPr>
      <w:r>
        <w:rPr>
          <w:rFonts w:ascii="Arial" w:hAnsi="Arial" w:cs="Arial"/>
          <w:b w:val="0"/>
          <w:sz w:val="21"/>
        </w:rPr>
        <w:t>c) Se exige siempre inscripción previa de seis meses como demandante de empleo.</w:t>
      </w:r>
    </w:p>
    <w:p>
      <w:pPr>
        <w:keepNext/>
        <w:keepLines/>
        <w:spacing w:after="40"/>
        <w:ind w:left="369" w:hanging="198"/>
      </w:pPr>
      <w:r>
        <w:rPr>
          <w:rFonts w:ascii="Arial" w:hAnsi="Arial" w:cs="Arial"/>
          <w:b w:val="0"/>
          <w:sz w:val="21"/>
        </w:rPr>
        <w:t>d) Solo es posible si el último régimen fue el de autónomos.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«Deben cumplirse edad y cotización, sin posibilidad de anticipar la edad por esa vía.» es correcta porque coincide con TRLGSS, artículo 205.3. Las demás alternativas modifican, omiten o contradicen el dato jurídico aplicable.</w:t>
      </w:r>
    </w:p>
    <w:p>
      <w:pPr>
        <w:pStyle w:val="Question"/>
        <w:keepNext/>
      </w:pPr>
      <w:r>
        <w:rPr>
          <w:rFonts w:ascii="Arial" w:hAnsi="Arial" w:cs="Arial"/>
          <w:sz w:val="22"/>
        </w:rPr>
        <w:t>23. En 2026, tras los primeros quince años, la escala transitoria añade:</w:t>
      </w:r>
    </w:p>
    <w:p>
      <w:pPr>
        <w:keepNext/>
        <w:keepLines/>
        <w:spacing w:after="40"/>
        <w:ind w:left="369" w:hanging="198"/>
      </w:pPr>
      <w:r>
        <w:rPr>
          <w:rFonts w:ascii="Arial" w:hAnsi="Arial" w:cs="Arial"/>
          <w:b w:val="0"/>
          <w:sz w:val="21"/>
        </w:rPr>
        <w:t>a) Un 0,19 % durante 248 meses y un 0,18 % durante 16.</w:t>
      </w:r>
    </w:p>
    <w:p>
      <w:pPr>
        <w:keepNext/>
        <w:keepLines/>
        <w:spacing w:after="40"/>
        <w:ind w:left="369" w:hanging="198"/>
      </w:pPr>
      <w:r>
        <w:rPr>
          <w:rFonts w:ascii="Arial" w:hAnsi="Arial" w:cs="Arial"/>
          <w:b w:val="0"/>
          <w:sz w:val="21"/>
        </w:rPr>
        <w:t>b) Un 0,21 % durante 209 meses y un 0,19 % durante 49.</w:t>
      </w:r>
    </w:p>
    <w:p>
      <w:pPr>
        <w:keepNext/>
        <w:keepLines/>
        <w:spacing w:after="40"/>
        <w:ind w:left="369" w:hanging="198"/>
      </w:pPr>
      <w:r>
        <w:rPr>
          <w:rFonts w:ascii="Arial" w:hAnsi="Arial" w:cs="Arial"/>
          <w:b/>
          <w:sz w:val="21"/>
        </w:rPr>
        <w:t>c) Un 0,21 % durante 49 meses y un 0,19 % durante 209.</w:t>
      </w:r>
    </w:p>
    <w:p>
      <w:pPr>
        <w:keepNext/>
        <w:keepLines/>
        <w:spacing w:after="40"/>
        <w:ind w:left="369" w:hanging="198"/>
      </w:pPr>
      <w:r>
        <w:rPr>
          <w:rFonts w:ascii="Arial" w:hAnsi="Arial" w:cs="Arial"/>
          <w:b w:val="0"/>
          <w:sz w:val="21"/>
        </w:rPr>
        <w:t>d) Un 0,25 % uniforme por cada mes adicional.</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«Un 0,21 % durante 49 meses y un 0,19 % durante 209.» es correcta porque coincide con TRLGSS, disposición transitoria novena. Las demás alternativas modifican, omiten o contradicen el dato jurídico aplicable.</w:t>
      </w:r>
    </w:p>
    <w:p>
      <w:pPr>
        <w:pStyle w:val="Question"/>
        <w:keepNext/>
      </w:pPr>
      <w:r>
        <w:rPr>
          <w:rFonts w:ascii="Arial" w:hAnsi="Arial" w:cs="Arial"/>
          <w:sz w:val="22"/>
        </w:rPr>
        <w:t>24. ¿Con qué carrera de cotización se alcanza en 2026 el 100 % de la base reguladora, antes de otros ajustes?</w:t>
      </w:r>
    </w:p>
    <w:p>
      <w:pPr>
        <w:keepNext/>
        <w:keepLines/>
        <w:spacing w:after="40"/>
        <w:ind w:left="369" w:hanging="198"/>
      </w:pPr>
      <w:r>
        <w:rPr>
          <w:rFonts w:ascii="Arial" w:hAnsi="Arial" w:cs="Arial"/>
          <w:b w:val="0"/>
          <w:sz w:val="21"/>
        </w:rPr>
        <w:t>a) 35 años.</w:t>
      </w:r>
    </w:p>
    <w:p>
      <w:pPr>
        <w:keepNext/>
        <w:keepLines/>
        <w:spacing w:after="40"/>
        <w:ind w:left="369" w:hanging="198"/>
      </w:pPr>
      <w:r>
        <w:rPr>
          <w:rFonts w:ascii="Arial" w:hAnsi="Arial" w:cs="Arial"/>
          <w:b w:val="0"/>
          <w:sz w:val="21"/>
        </w:rPr>
        <w:t>b) 37 años.</w:t>
      </w:r>
    </w:p>
    <w:p>
      <w:pPr>
        <w:keepNext/>
        <w:keepLines/>
        <w:spacing w:after="40"/>
        <w:ind w:left="369" w:hanging="198"/>
      </w:pPr>
      <w:r>
        <w:rPr>
          <w:rFonts w:ascii="Arial" w:hAnsi="Arial" w:cs="Arial"/>
          <w:b w:val="0"/>
          <w:sz w:val="21"/>
        </w:rPr>
        <w:t>c) 38 años y 3 meses.</w:t>
      </w:r>
    </w:p>
    <w:p>
      <w:pPr>
        <w:keepNext/>
        <w:keepLines/>
        <w:spacing w:after="40"/>
        <w:ind w:left="369" w:hanging="198"/>
      </w:pPr>
      <w:r>
        <w:rPr>
          <w:rFonts w:ascii="Arial" w:hAnsi="Arial" w:cs="Arial"/>
          <w:b/>
          <w:sz w:val="21"/>
        </w:rPr>
        <w:t>d) 36 años y 6 meses.</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«36 años y 6 meses.» es correcta porque coincide con TRLGSS, artículo 210.1 y disposición transitoria novena. Las demás alternativas modifican, omiten o contradicen el dato jurídico aplicable.</w:t>
      </w:r>
    </w:p>
    <w:p>
      <w:pPr>
        <w:pStyle w:val="Question"/>
        <w:keepNext/>
      </w:pPr>
      <w:r>
        <w:rPr>
          <w:rFonts w:ascii="Arial" w:hAnsi="Arial" w:cs="Arial"/>
          <w:sz w:val="22"/>
        </w:rPr>
        <w:t>25. Una persona cumple 65 años en 2026 y acredita 38 años y 2 meses. Sin coeficientes reductores de edad, su edad ordinaria es:</w:t>
      </w:r>
    </w:p>
    <w:p>
      <w:pPr>
        <w:keepNext/>
        <w:keepLines/>
        <w:spacing w:after="40"/>
        <w:ind w:left="369" w:hanging="198"/>
      </w:pPr>
      <w:r>
        <w:rPr>
          <w:rFonts w:ascii="Arial" w:hAnsi="Arial" w:cs="Arial"/>
          <w:b/>
          <w:sz w:val="21"/>
        </w:rPr>
        <w:t>a) 66 años y 10 meses, porque no alcanza por un mes el umbral de 38 años y 3 meses.</w:t>
      </w:r>
    </w:p>
    <w:p>
      <w:pPr>
        <w:keepNext/>
        <w:keepLines/>
        <w:spacing w:after="40"/>
        <w:ind w:left="369" w:hanging="198"/>
      </w:pPr>
      <w:r>
        <w:rPr>
          <w:rFonts w:ascii="Arial" w:hAnsi="Arial" w:cs="Arial"/>
          <w:b w:val="0"/>
          <w:sz w:val="21"/>
        </w:rPr>
        <w:t>b) 65 años, porque basta haber cotizado 38 años.</w:t>
      </w:r>
    </w:p>
    <w:p>
      <w:pPr>
        <w:keepNext/>
        <w:keepLines/>
        <w:spacing w:after="40"/>
        <w:ind w:left="369" w:hanging="198"/>
      </w:pPr>
      <w:r>
        <w:rPr>
          <w:rFonts w:ascii="Arial" w:hAnsi="Arial" w:cs="Arial"/>
          <w:b w:val="0"/>
          <w:sz w:val="21"/>
        </w:rPr>
        <w:t>c) 65 años y 2 meses.</w:t>
      </w:r>
    </w:p>
    <w:p>
      <w:pPr>
        <w:keepNext/>
        <w:keepLines/>
        <w:spacing w:after="40"/>
        <w:ind w:left="369" w:hanging="198"/>
      </w:pPr>
      <w:r>
        <w:rPr>
          <w:rFonts w:ascii="Arial" w:hAnsi="Arial" w:cs="Arial"/>
          <w:b w:val="0"/>
          <w:sz w:val="21"/>
        </w:rPr>
        <w:t>d) 67 años en todo caso.</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«66 años y 10 meses, porque no alcanza por un mes el umbral de 38 años y 3 meses.» es correcta porque coincide con TRLGSS, disposición transitoria séptima. Las demás alternativas modifican, omiten o contradicen el dato jurídico aplicable.</w:t>
      </w:r>
    </w:p>
    <w:p>
      <w:pPr>
        <w:pStyle w:val="Question"/>
        <w:keepNext/>
      </w:pPr>
      <w:r>
        <w:rPr>
          <w:rFonts w:ascii="Arial" w:hAnsi="Arial" w:cs="Arial"/>
          <w:sz w:val="22"/>
        </w:rPr>
        <w:t>26. Si el cálculo 300/350 arroja 1.520 euros y el cálculo transitorio 302/352,33 arroja 1.490 euros para un hecho causante de 2026:</w:t>
      </w:r>
    </w:p>
    <w:p>
      <w:pPr>
        <w:keepNext/>
        <w:keepLines/>
        <w:spacing w:after="40"/>
        <w:ind w:left="369" w:hanging="198"/>
      </w:pPr>
      <w:r>
        <w:rPr>
          <w:rFonts w:ascii="Arial" w:hAnsi="Arial" w:cs="Arial"/>
          <w:b w:val="0"/>
          <w:sz w:val="21"/>
        </w:rPr>
        <w:t>a) Se promedian ambos resultados.</w:t>
      </w:r>
    </w:p>
    <w:p>
      <w:pPr>
        <w:keepNext/>
        <w:keepLines/>
        <w:spacing w:after="40"/>
        <w:ind w:left="369" w:hanging="198"/>
      </w:pPr>
      <w:r>
        <w:rPr>
          <w:rFonts w:ascii="Arial" w:hAnsi="Arial" w:cs="Arial"/>
          <w:b/>
          <w:sz w:val="21"/>
        </w:rPr>
        <w:t>b) Se aplica 1.520 euros como base reguladora, por ser el método más favorable.</w:t>
      </w:r>
    </w:p>
    <w:p>
      <w:pPr>
        <w:keepNext/>
        <w:keepLines/>
        <w:spacing w:after="40"/>
        <w:ind w:left="369" w:hanging="198"/>
      </w:pPr>
      <w:r>
        <w:rPr>
          <w:rFonts w:ascii="Arial" w:hAnsi="Arial" w:cs="Arial"/>
          <w:b w:val="0"/>
          <w:sz w:val="21"/>
        </w:rPr>
        <w:t>c) Se aplica 1.490 euros por ser la fórmula más reciente.</w:t>
      </w:r>
    </w:p>
    <w:p>
      <w:pPr>
        <w:keepNext/>
        <w:keepLines/>
        <w:spacing w:after="40"/>
        <w:ind w:left="369" w:hanging="198"/>
      </w:pPr>
      <w:r>
        <w:rPr>
          <w:rFonts w:ascii="Arial" w:hAnsi="Arial" w:cs="Arial"/>
          <w:b w:val="0"/>
          <w:sz w:val="21"/>
        </w:rPr>
        <w:t>d) El interesado debe renunciar previamente a una fórmula.</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«Se aplica 1.520 euros como base reguladora, por ser el método más favorable.» es correcta porque coincide con TRLGSS, disposiciones transitorias cuarta.7 y cuadragésima. Las demás alternativas modifican, omiten o contradicen el dato jurídico aplicable.</w:t>
      </w:r>
    </w:p>
    <w:p>
      <w:pPr>
        <w:pStyle w:val="Question"/>
        <w:keepNext/>
      </w:pPr>
      <w:r>
        <w:rPr>
          <w:rFonts w:ascii="Arial" w:hAnsi="Arial" w:cs="Arial"/>
          <w:sz w:val="22"/>
        </w:rPr>
        <w:t>27. Para acceder a la jubilación anticipada voluntaria, el importe de la pensión resultante debe:</w:t>
      </w:r>
    </w:p>
    <w:p>
      <w:pPr>
        <w:keepNext/>
        <w:keepLines/>
        <w:spacing w:after="40"/>
        <w:ind w:left="369" w:hanging="198"/>
      </w:pPr>
      <w:r>
        <w:rPr>
          <w:rFonts w:ascii="Arial" w:hAnsi="Arial" w:cs="Arial"/>
          <w:b w:val="0"/>
          <w:sz w:val="21"/>
        </w:rPr>
        <w:t>a) Ser inferior a la pensión mínima para generar complemento.</w:t>
      </w:r>
    </w:p>
    <w:p>
      <w:pPr>
        <w:keepNext/>
        <w:keepLines/>
        <w:spacing w:after="40"/>
        <w:ind w:left="369" w:hanging="198"/>
      </w:pPr>
      <w:r>
        <w:rPr>
          <w:rFonts w:ascii="Arial" w:hAnsi="Arial" w:cs="Arial"/>
          <w:b w:val="0"/>
          <w:sz w:val="21"/>
        </w:rPr>
        <w:t>b) Coincidir con el salario mínimo interprofesional.</w:t>
      </w:r>
    </w:p>
    <w:p>
      <w:pPr>
        <w:keepNext/>
        <w:keepLines/>
        <w:spacing w:after="40"/>
        <w:ind w:left="369" w:hanging="198"/>
      </w:pPr>
      <w:r>
        <w:rPr>
          <w:rFonts w:ascii="Arial" w:hAnsi="Arial" w:cs="Arial"/>
          <w:b/>
          <w:sz w:val="21"/>
        </w:rPr>
        <w:t>c) Superar la cuantía de la pensión mínima que correspondería al interesado al cumplir 65 años.</w:t>
      </w:r>
    </w:p>
    <w:p>
      <w:pPr>
        <w:keepNext/>
        <w:keepLines/>
        <w:spacing w:after="40"/>
        <w:ind w:left="369" w:hanging="198"/>
      </w:pPr>
      <w:r>
        <w:rPr>
          <w:rFonts w:ascii="Arial" w:hAnsi="Arial" w:cs="Arial"/>
          <w:b w:val="0"/>
          <w:sz w:val="21"/>
        </w:rPr>
        <w:t>d) Alcanzar necesariamente la pensión máxima.</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«Superar la cuantía de la pensión mínima que correspondería al interesado al cumplir 65 años.» es correcta porque coincide con TRLGSS, artículo 208.1.c. Las demás alternativas modifican, omiten o contradicen el dato jurídico aplicable.</w:t>
      </w:r>
    </w:p>
    <w:p>
      <w:pPr>
        <w:pStyle w:val="Question"/>
        <w:keepNext/>
      </w:pPr>
      <w:r>
        <w:rPr>
          <w:rFonts w:ascii="Arial" w:hAnsi="Arial" w:cs="Arial"/>
          <w:sz w:val="22"/>
        </w:rPr>
        <w:t>28. ¿Cuál de estos ceses puede integrar, si concurren los demás requisitos, el acceso a la jubilación anticipada involuntaria?</w:t>
      </w:r>
    </w:p>
    <w:p>
      <w:pPr>
        <w:keepNext/>
        <w:keepLines/>
        <w:spacing w:after="40"/>
        <w:ind w:left="369" w:hanging="198"/>
      </w:pPr>
      <w:r>
        <w:rPr>
          <w:rFonts w:ascii="Arial" w:hAnsi="Arial" w:cs="Arial"/>
          <w:b w:val="0"/>
          <w:sz w:val="21"/>
        </w:rPr>
        <w:t>a) La dimisión libre sin causa adicional.</w:t>
      </w:r>
    </w:p>
    <w:p>
      <w:pPr>
        <w:keepNext/>
        <w:keepLines/>
        <w:spacing w:after="40"/>
        <w:ind w:left="369" w:hanging="198"/>
      </w:pPr>
      <w:r>
        <w:rPr>
          <w:rFonts w:ascii="Arial" w:hAnsi="Arial" w:cs="Arial"/>
          <w:b w:val="0"/>
          <w:sz w:val="21"/>
        </w:rPr>
        <w:t>b) El abandono del puesto sin comunicación.</w:t>
      </w:r>
    </w:p>
    <w:p>
      <w:pPr>
        <w:keepNext/>
        <w:keepLines/>
        <w:spacing w:after="40"/>
        <w:ind w:left="369" w:hanging="198"/>
      </w:pPr>
      <w:r>
        <w:rPr>
          <w:rFonts w:ascii="Arial" w:hAnsi="Arial" w:cs="Arial"/>
          <w:b w:val="0"/>
          <w:sz w:val="21"/>
        </w:rPr>
        <w:t>c) La finalización voluntaria de una excedencia.</w:t>
      </w:r>
    </w:p>
    <w:p>
      <w:pPr>
        <w:keepNext/>
        <w:keepLines/>
        <w:spacing w:after="40"/>
        <w:ind w:left="369" w:hanging="198"/>
      </w:pPr>
      <w:r>
        <w:rPr>
          <w:rFonts w:ascii="Arial" w:hAnsi="Arial" w:cs="Arial"/>
          <w:b/>
          <w:sz w:val="21"/>
        </w:rPr>
        <w:t>d) La extinción por despido colectivo fundada en causas económicas, técnicas, organizativas o de producción.</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«La extinción por despido colectivo fundada en causas económicas, técnicas, organizativas o de producción.» es correcta porque coincide con TRLGSS, artículo 207.1.d. Las demás alternativas modifican, omiten o contradicen el dato jurídico aplicable.</w:t>
      </w:r>
    </w:p>
    <w:p>
      <w:pPr>
        <w:pStyle w:val="Question"/>
        <w:keepNext/>
      </w:pPr>
      <w:r>
        <w:rPr>
          <w:rFonts w:ascii="Arial" w:hAnsi="Arial" w:cs="Arial"/>
          <w:sz w:val="22"/>
        </w:rPr>
        <w:t>29.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sz w:val="21"/>
        </w:rPr>
        <w:t>a) El 45 % de la pensión, sin complemento a mínimos durante la compatibilidad.</w:t>
      </w:r>
    </w:p>
    <w:p>
      <w:pPr>
        <w:keepNext/>
        <w:keepLines/>
        <w:spacing w:after="40"/>
        <w:ind w:left="369" w:hanging="198"/>
      </w:pPr>
      <w:r>
        <w:rPr>
          <w:rFonts w:ascii="Arial" w:hAnsi="Arial" w:cs="Arial"/>
          <w:b w:val="0"/>
          <w:sz w:val="21"/>
        </w:rPr>
        <w:t>b) El 25 % de la pensión, incluido siempre el complemento a mínimos.</w:t>
      </w:r>
    </w:p>
    <w:p>
      <w:pPr>
        <w:keepNext/>
        <w:keepLines/>
        <w:spacing w:after="40"/>
        <w:ind w:left="369" w:hanging="198"/>
      </w:pPr>
      <w:r>
        <w:rPr>
          <w:rFonts w:ascii="Arial" w:hAnsi="Arial" w:cs="Arial"/>
          <w:b w:val="0"/>
          <w:sz w:val="21"/>
        </w:rPr>
        <w:t>c) El 50 % invariable cualquiera que sea la demora.</w:t>
      </w:r>
    </w:p>
    <w:p>
      <w:pPr>
        <w:keepNext/>
        <w:keepLines/>
        <w:spacing w:after="40"/>
        <w:ind w:left="369" w:hanging="198"/>
      </w:pPr>
      <w:r>
        <w:rPr>
          <w:rFonts w:ascii="Arial" w:hAnsi="Arial" w:cs="Arial"/>
          <w:b w:val="0"/>
          <w:sz w:val="21"/>
        </w:rPr>
        <w:t>d) El 100 % desde el primer año en todos los casos.</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«El 45 % de la pensión, sin complemento a mínimos durante la compatibilidad.» es correcta porque coincide con TRLGSS, artículo 214, redacción del Real Decreto-ley 11/2024. Las demás alternativas modifican, omiten o contradicen el dato jurídico aplicable.</w:t>
      </w:r>
    </w:p>
    <w:p>
      <w:pPr>
        <w:pStyle w:val="Question"/>
        <w:keepNext/>
      </w:pPr>
      <w:r>
        <w:rPr>
          <w:rFonts w:ascii="Arial" w:hAnsi="Arial" w:cs="Arial"/>
          <w:sz w:val="22"/>
        </w:rPr>
        <w:t>30. Una persona incluida en uno de los colectivos cerrados de la disposición transitoria cuarta.5 solicita la jubilación. ¿Qué afirmación es correcta?</w:t>
      </w:r>
    </w:p>
    <w:p>
      <w:pPr>
        <w:keepNext/>
        <w:keepLines/>
        <w:spacing w:after="40"/>
        <w:ind w:left="369" w:hanging="198"/>
      </w:pPr>
      <w:r>
        <w:rPr>
          <w:rFonts w:ascii="Arial" w:hAnsi="Arial" w:cs="Arial"/>
          <w:b w:val="0"/>
          <w:sz w:val="21"/>
        </w:rPr>
        <w:t>a) La legislación anterior se aplica siempre aunque la vigente sea más favorable.</w:t>
      </w:r>
    </w:p>
    <w:p>
      <w:pPr>
        <w:keepNext/>
        <w:keepLines/>
        <w:spacing w:after="40"/>
        <w:ind w:left="369" w:hanging="198"/>
      </w:pPr>
      <w:r>
        <w:rPr>
          <w:rFonts w:ascii="Arial" w:hAnsi="Arial" w:cs="Arial"/>
          <w:b/>
          <w:sz w:val="21"/>
        </w:rPr>
        <w:t>b) Se comprueba el encaje en el colectivo y, cuando la disposición lo ordena, se aplica la legislación vigente en la fecha del hecho causante si resulta más favorable.</w:t>
      </w:r>
    </w:p>
    <w:p>
      <w:pPr>
        <w:keepNext/>
        <w:keepLines/>
        <w:spacing w:after="40"/>
        <w:ind w:left="369" w:hanging="198"/>
      </w:pPr>
      <w:r>
        <w:rPr>
          <w:rFonts w:ascii="Arial" w:hAnsi="Arial" w:cs="Arial"/>
          <w:b w:val="0"/>
          <w:sz w:val="21"/>
        </w:rPr>
        <w:t>c) Puede escoger cualquier norma publicada desde 1985.</w:t>
      </w:r>
    </w:p>
    <w:p>
      <w:pPr>
        <w:keepNext/>
        <w:keepLines/>
        <w:spacing w:after="40"/>
        <w:ind w:left="369" w:hanging="198"/>
      </w:pPr>
      <w:r>
        <w:rPr>
          <w:rFonts w:ascii="Arial" w:hAnsi="Arial" w:cs="Arial"/>
          <w:b w:val="0"/>
          <w:sz w:val="21"/>
        </w:rPr>
        <w:t>d) La TGSS reconoce la pensión sin intervención de la entidad gestora.</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«Se comprueba el encaje en el colectivo y, cuando la disposición lo ordena, se aplica la legislación vigente en la fecha del hecho causante si resulta más favorable.» es correcta porque coincide con TRLGSS, disposición transitoria cuarta.5. Las demás alternativas modifican, omiten o contradicen el dato jurídico aplicable.</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Test S10 · Tema 10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Tema 10. Jubilación en la modalidad contributiva - concepto. Jubilación ordinaria - requisitos - especial referencia a la edad de jubilación. De…</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