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TEST · TEMA 12</w:t>
      </w:r>
    </w:p>
    <w:p>
      <w:pPr>
        <w:keepNext/>
        <w:spacing w:before="0" w:after="280"/>
        <w:pBdr>
          <w:bottom w:val="single" w:sz="12" w:space="1" w:color="2F75B5"/>
        </w:pBdr>
      </w:pPr>
      <w:r>
        <w:rPr>
          <w:rFonts w:ascii="Arial" w:hAnsi="Arial" w:cs="Arial"/>
          <w:b/>
          <w:color w:val="17365D"/>
          <w:sz w:val="40"/>
        </w:rPr>
        <w:t>Prestaciones no contributivas y asistenciales. El ingreso mínimo vital: beneficiarios, requisitos y duración. Obligaciones de las personas beneficiarias. Cuantía, pago, reintegro de prestaciones indebidas. Prestaciones familiares múltiples. Prestaciones familiares en la modalidad contributiva. Las pensiones no contributivas: Invalidez no contributiva: Jubilación no contributiva.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60"/>
      </w:pPr>
      <w:r>
        <w:rPr>
          <w:rFonts w:ascii="Arial" w:hAnsi="Arial" w:cs="Arial"/>
          <w:i/>
          <w:color w:val="666666"/>
          <w:sz w:val="19"/>
        </w:rPr>
        <w:t>30 preguntas · cuatro alternativas · una sola respuesta correcta, marcada en negrita.</w:t>
      </w:r>
    </w:p>
    <w:p>
      <w:pPr>
        <w:pStyle w:val="Heading1"/>
        <w:keepNext/>
      </w:pPr>
      <w:r>
        <w:rPr>
          <w:rFonts w:ascii="Arial" w:hAnsi="Arial" w:cs="Arial"/>
          <w:sz w:val="30"/>
        </w:rPr>
        <w:t>Preguntas</w:t>
      </w:r>
    </w:p>
    <w:p>
      <w:pPr>
        <w:pStyle w:val="Question"/>
        <w:keepNext/>
      </w:pPr>
      <w:r>
        <w:rPr>
          <w:rFonts w:ascii="Arial" w:hAnsi="Arial" w:cs="Arial"/>
          <w:sz w:val="22"/>
        </w:rPr>
        <w:t>1. ¿Qué finalidad tiene el ingreso mínimo vital?</w:t>
      </w:r>
    </w:p>
    <w:p>
      <w:pPr>
        <w:keepNext/>
        <w:keepLines/>
        <w:spacing w:after="40"/>
        <w:ind w:left="369" w:hanging="198"/>
      </w:pPr>
      <w:r>
        <w:rPr>
          <w:rFonts w:ascii="Arial" w:hAnsi="Arial" w:cs="Arial"/>
          <w:b/>
          <w:sz w:val="21"/>
        </w:rPr>
        <w:t>a) Garantizar un nivel mínimo de renta a personas solas o unidades de convivencia en situación de vulnerabilidad económica.</w:t>
      </w:r>
    </w:p>
    <w:p>
      <w:pPr>
        <w:keepNext/>
        <w:keepLines/>
        <w:spacing w:after="40"/>
        <w:ind w:left="369" w:hanging="198"/>
      </w:pPr>
      <w:r>
        <w:rPr>
          <w:rFonts w:ascii="Arial" w:hAnsi="Arial" w:cs="Arial"/>
          <w:b w:val="0"/>
          <w:sz w:val="21"/>
        </w:rPr>
        <w:t>b) Sustituir cualquier salario inferior al promedio nacional.</w:t>
      </w:r>
    </w:p>
    <w:p>
      <w:pPr>
        <w:keepNext/>
        <w:keepLines/>
        <w:spacing w:after="40"/>
        <w:ind w:left="369" w:hanging="198"/>
      </w:pPr>
      <w:r>
        <w:rPr>
          <w:rFonts w:ascii="Arial" w:hAnsi="Arial" w:cs="Arial"/>
          <w:b w:val="0"/>
          <w:sz w:val="21"/>
        </w:rPr>
        <w:t>c) Financiar exclusivamente los gastos de vivienda.</w:t>
      </w:r>
    </w:p>
    <w:p>
      <w:pPr>
        <w:keepNext/>
        <w:keepLines/>
        <w:spacing w:after="40"/>
        <w:ind w:left="369" w:hanging="198"/>
      </w:pPr>
      <w:r>
        <w:rPr>
          <w:rFonts w:ascii="Arial" w:hAnsi="Arial" w:cs="Arial"/>
          <w:b w:val="0"/>
          <w:sz w:val="21"/>
        </w:rPr>
        <w:t>d) Premiar una carrera mínima de quince años de cotización.</w:t>
      </w:r>
    </w:p>
    <w:p>
      <w:pPr>
        <w:keepLines/>
        <w:spacing w:before="40" w:after="140"/>
        <w:ind w:left="198" w:right="113"/>
        <w:shd w:fill="F2F4F7"/>
      </w:pPr>
      <w:r>
        <w:rPr>
          <w:rFonts w:ascii="Arial" w:hAnsi="Arial" w:cs="Arial"/>
          <w:b/>
          <w:color w:val="1F4E79"/>
          <w:sz w:val="17"/>
        </w:rPr>
        <w:t xml:space="preserve">Justificación · dificultad BÁSICA · respuesta a): </w:t>
      </w:r>
      <w:r>
        <w:rPr>
          <w:rFonts w:ascii="Arial" w:hAnsi="Arial" w:cs="Arial"/>
          <w:color w:val="333333"/>
          <w:sz w:val="17"/>
        </w:rPr>
        <w:t>«Garantizar un nivel mínimo de renta a personas solas o unidades de convivencia en situación de vulnerabilidad económica.» es correcta porque coincide con Ley 19/2021, artículos 1 y 3. Las demás alternativas modifican, omiten o contradicen el dato jurídico aplicable.</w:t>
      </w:r>
    </w:p>
    <w:p>
      <w:pPr>
        <w:pStyle w:val="Question"/>
        <w:keepNext/>
      </w:pPr>
      <w:r>
        <w:rPr>
          <w:rFonts w:ascii="Arial" w:hAnsi="Arial" w:cs="Arial"/>
          <w:sz w:val="22"/>
        </w:rPr>
        <w:t>2. ¿Qué entidad reconoce y controla el ingreso mínimo vital?</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sz w:val="21"/>
        </w:rPr>
        <w:t>b) El Instituto Nacional de la Seguridad Social.</w:t>
      </w:r>
    </w:p>
    <w:p>
      <w:pPr>
        <w:keepNext/>
        <w:keepLines/>
        <w:spacing w:after="40"/>
        <w:ind w:left="369" w:hanging="198"/>
      </w:pPr>
      <w:r>
        <w:rPr>
          <w:rFonts w:ascii="Arial" w:hAnsi="Arial" w:cs="Arial"/>
          <w:b w:val="0"/>
          <w:sz w:val="21"/>
        </w:rPr>
        <w:t>c) El Servicio Público de Empleo Estatal.</w:t>
      </w:r>
    </w:p>
    <w:p>
      <w:pPr>
        <w:keepNext/>
        <w:keepLines/>
        <w:spacing w:after="40"/>
        <w:ind w:left="369" w:hanging="198"/>
      </w:pPr>
      <w:r>
        <w:rPr>
          <w:rFonts w:ascii="Arial" w:hAnsi="Arial" w:cs="Arial"/>
          <w:b w:val="0"/>
          <w:sz w:val="21"/>
        </w:rPr>
        <w:t>d) La Agencia Estatal de Administración Tributaria.</w:t>
      </w:r>
    </w:p>
    <w:p>
      <w:pPr>
        <w:keepLines/>
        <w:spacing w:before="40" w:after="140"/>
        <w:ind w:left="198" w:right="113"/>
        <w:shd w:fill="F2F4F7"/>
      </w:pPr>
      <w:r>
        <w:rPr>
          <w:rFonts w:ascii="Arial" w:hAnsi="Arial" w:cs="Arial"/>
          <w:b/>
          <w:color w:val="1F4E79"/>
          <w:sz w:val="17"/>
        </w:rPr>
        <w:t xml:space="preserve">Justificación · dificultad BÁSICA · respuesta b): </w:t>
      </w:r>
      <w:r>
        <w:rPr>
          <w:rFonts w:ascii="Arial" w:hAnsi="Arial" w:cs="Arial"/>
          <w:color w:val="333333"/>
          <w:sz w:val="17"/>
        </w:rPr>
        <w:t>«El Instituto Nacional de la Seguridad Social.» es correcta porque coincide con Ley 19/2021, artículo 25. Las demás alternativas modifican, omiten o contradicen el dato jurídico aplicable.</w:t>
      </w:r>
    </w:p>
    <w:p>
      <w:pPr>
        <w:pStyle w:val="Question"/>
        <w:keepNext/>
      </w:pPr>
      <w:r>
        <w:rPr>
          <w:rFonts w:ascii="Arial" w:hAnsi="Arial" w:cs="Arial"/>
          <w:sz w:val="22"/>
        </w:rPr>
        <w:t>3. El derecho al IMV nace, con carácter general:</w:t>
      </w:r>
    </w:p>
    <w:p>
      <w:pPr>
        <w:keepNext/>
        <w:keepLines/>
        <w:spacing w:after="40"/>
        <w:ind w:left="369" w:hanging="198"/>
      </w:pPr>
      <w:r>
        <w:rPr>
          <w:rFonts w:ascii="Arial" w:hAnsi="Arial" w:cs="Arial"/>
          <w:b w:val="0"/>
          <w:sz w:val="21"/>
        </w:rPr>
        <w:t>a) El mismo día de la solicitud.</w:t>
      </w:r>
    </w:p>
    <w:p>
      <w:pPr>
        <w:keepNext/>
        <w:keepLines/>
        <w:spacing w:after="40"/>
        <w:ind w:left="369" w:hanging="198"/>
      </w:pPr>
      <w:r>
        <w:rPr>
          <w:rFonts w:ascii="Arial" w:hAnsi="Arial" w:cs="Arial"/>
          <w:b w:val="0"/>
          <w:sz w:val="21"/>
        </w:rPr>
        <w:t>b) El primer día del trimestre siguiente.</w:t>
      </w:r>
    </w:p>
    <w:p>
      <w:pPr>
        <w:keepNext/>
        <w:keepLines/>
        <w:spacing w:after="40"/>
        <w:ind w:left="369" w:hanging="198"/>
      </w:pPr>
      <w:r>
        <w:rPr>
          <w:rFonts w:ascii="Arial" w:hAnsi="Arial" w:cs="Arial"/>
          <w:b/>
          <w:sz w:val="21"/>
        </w:rPr>
        <w:t>c) El primer día del mes siguiente al de presentación de la solicitud.</w:t>
      </w:r>
    </w:p>
    <w:p>
      <w:pPr>
        <w:keepNext/>
        <w:keepLines/>
        <w:spacing w:after="40"/>
        <w:ind w:left="369" w:hanging="198"/>
      </w:pPr>
      <w:r>
        <w:rPr>
          <w:rFonts w:ascii="Arial" w:hAnsi="Arial" w:cs="Arial"/>
          <w:b w:val="0"/>
          <w:sz w:val="21"/>
        </w:rPr>
        <w:t>d) El 1 de enero del ejercicio posterior.</w:t>
      </w:r>
    </w:p>
    <w:p>
      <w:pPr>
        <w:keepLines/>
        <w:spacing w:before="40" w:after="140"/>
        <w:ind w:left="198" w:right="113"/>
        <w:shd w:fill="F2F4F7"/>
      </w:pPr>
      <w:r>
        <w:rPr>
          <w:rFonts w:ascii="Arial" w:hAnsi="Arial" w:cs="Arial"/>
          <w:b/>
          <w:color w:val="1F4E79"/>
          <w:sz w:val="17"/>
        </w:rPr>
        <w:t xml:space="preserve">Justificación · dificultad BÁSICA · respuesta c): </w:t>
      </w:r>
      <w:r>
        <w:rPr>
          <w:rFonts w:ascii="Arial" w:hAnsi="Arial" w:cs="Arial"/>
          <w:color w:val="333333"/>
          <w:sz w:val="17"/>
        </w:rPr>
        <w:t>«El primer día del mes siguiente al de presentación de la solicitud.» es correcta porque coincide con Ley 19/2021, artículo 11. Las demás alternativas modifican, omiten o contradicen el dato jurídico aplicable.</w:t>
      </w:r>
    </w:p>
    <w:p>
      <w:pPr>
        <w:pStyle w:val="Question"/>
        <w:keepNext/>
      </w:pPr>
      <w:r>
        <w:rPr>
          <w:rFonts w:ascii="Arial" w:hAnsi="Arial" w:cs="Arial"/>
          <w:sz w:val="22"/>
        </w:rPr>
        <w:t>4. ¿Durante cuánto tiempo se mantiene el IMV?</w:t>
      </w:r>
    </w:p>
    <w:p>
      <w:pPr>
        <w:keepNext/>
        <w:keepLines/>
        <w:spacing w:after="40"/>
        <w:ind w:left="369" w:hanging="198"/>
      </w:pPr>
      <w:r>
        <w:rPr>
          <w:rFonts w:ascii="Arial" w:hAnsi="Arial" w:cs="Arial"/>
          <w:b w:val="0"/>
          <w:sz w:val="21"/>
        </w:rPr>
        <w:t>a) Seis meses improrrogables.</w:t>
      </w:r>
    </w:p>
    <w:p>
      <w:pPr>
        <w:keepNext/>
        <w:keepLines/>
        <w:spacing w:after="40"/>
        <w:ind w:left="369" w:hanging="198"/>
      </w:pPr>
      <w:r>
        <w:rPr>
          <w:rFonts w:ascii="Arial" w:hAnsi="Arial" w:cs="Arial"/>
          <w:b w:val="0"/>
          <w:sz w:val="21"/>
        </w:rPr>
        <w:t>b) Un año, sin posibilidad de renovación.</w:t>
      </w:r>
    </w:p>
    <w:p>
      <w:pPr>
        <w:keepNext/>
        <w:keepLines/>
        <w:spacing w:after="40"/>
        <w:ind w:left="369" w:hanging="198"/>
      </w:pPr>
      <w:r>
        <w:rPr>
          <w:rFonts w:ascii="Arial" w:hAnsi="Arial" w:cs="Arial"/>
          <w:b w:val="0"/>
          <w:sz w:val="21"/>
        </w:rPr>
        <w:t>c) Cuatro años desde la resolución.</w:t>
      </w:r>
    </w:p>
    <w:p>
      <w:pPr>
        <w:keepNext/>
        <w:keepLines/>
        <w:spacing w:after="40"/>
        <w:ind w:left="369" w:hanging="198"/>
      </w:pPr>
      <w:r>
        <w:rPr>
          <w:rFonts w:ascii="Arial" w:hAnsi="Arial" w:cs="Arial"/>
          <w:b/>
          <w:sz w:val="21"/>
        </w:rPr>
        <w:t>d) Mientras subsistan los motivos que dieron lugar a su concesión y se cumplan requisitos y obligaciones.</w:t>
      </w:r>
    </w:p>
    <w:p>
      <w:pPr>
        <w:keepLines/>
        <w:spacing w:before="40" w:after="140"/>
        <w:ind w:left="198" w:right="113"/>
        <w:shd w:fill="F2F4F7"/>
      </w:pPr>
      <w:r>
        <w:rPr>
          <w:rFonts w:ascii="Arial" w:hAnsi="Arial" w:cs="Arial"/>
          <w:b/>
          <w:color w:val="1F4E79"/>
          <w:sz w:val="17"/>
        </w:rPr>
        <w:t xml:space="preserve">Justificación · dificultad BÁSICA · respuesta d): </w:t>
      </w:r>
      <w:r>
        <w:rPr>
          <w:rFonts w:ascii="Arial" w:hAnsi="Arial" w:cs="Arial"/>
          <w:color w:val="333333"/>
          <w:sz w:val="17"/>
        </w:rPr>
        <w:t>«Mientras subsistan los motivos que dieron lugar a su concesión y se cumplan requisitos y obligaciones.» es correcta porque coincide con Ley 19/2021, artículo 15. Las demás alternativas modifican, omiten o contradicen el dato jurídico aplicable.</w:t>
      </w:r>
    </w:p>
    <w:p>
      <w:pPr>
        <w:pStyle w:val="Question"/>
        <w:keepNext/>
      </w:pPr>
      <w:r>
        <w:rPr>
          <w:rFonts w:ascii="Arial" w:hAnsi="Arial" w:cs="Arial"/>
          <w:sz w:val="22"/>
        </w:rPr>
        <w:t>5. En 2026, la cuantía íntegra anual de las pensiones no contributivas es:</w:t>
      </w:r>
    </w:p>
    <w:p>
      <w:pPr>
        <w:keepNext/>
        <w:keepLines/>
        <w:spacing w:after="40"/>
        <w:ind w:left="369" w:hanging="198"/>
      </w:pPr>
      <w:r>
        <w:rPr>
          <w:rFonts w:ascii="Arial" w:hAnsi="Arial" w:cs="Arial"/>
          <w:b/>
          <w:sz w:val="21"/>
        </w:rPr>
        <w:t>a) 8.803,20 euros.</w:t>
      </w:r>
    </w:p>
    <w:p>
      <w:pPr>
        <w:keepNext/>
        <w:keepLines/>
        <w:spacing w:after="40"/>
        <w:ind w:left="369" w:hanging="198"/>
      </w:pPr>
      <w:r>
        <w:rPr>
          <w:rFonts w:ascii="Arial" w:hAnsi="Arial" w:cs="Arial"/>
          <w:b w:val="0"/>
          <w:sz w:val="21"/>
        </w:rPr>
        <w:t>b) 7.250,00 euros.</w:t>
      </w:r>
    </w:p>
    <w:p>
      <w:pPr>
        <w:keepNext/>
        <w:keepLines/>
        <w:spacing w:after="40"/>
        <w:ind w:left="369" w:hanging="198"/>
      </w:pPr>
      <w:r>
        <w:rPr>
          <w:rFonts w:ascii="Arial" w:hAnsi="Arial" w:cs="Arial"/>
          <w:b w:val="0"/>
          <w:sz w:val="21"/>
        </w:rPr>
        <w:t>c) 10.000,00 euros.</w:t>
      </w:r>
    </w:p>
    <w:p>
      <w:pPr>
        <w:keepNext/>
        <w:keepLines/>
        <w:spacing w:after="40"/>
        <w:ind w:left="369" w:hanging="198"/>
      </w:pPr>
      <w:r>
        <w:rPr>
          <w:rFonts w:ascii="Arial" w:hAnsi="Arial" w:cs="Arial"/>
          <w:b w:val="0"/>
          <w:sz w:val="21"/>
        </w:rPr>
        <w:t>d) 733,60 euros anuales.</w:t>
      </w:r>
    </w:p>
    <w:p>
      <w:pPr>
        <w:keepLines/>
        <w:spacing w:before="40" w:after="140"/>
        <w:ind w:left="198" w:right="113"/>
        <w:shd w:fill="F2F4F7"/>
      </w:pPr>
      <w:r>
        <w:rPr>
          <w:rFonts w:ascii="Arial" w:hAnsi="Arial" w:cs="Arial"/>
          <w:b/>
          <w:color w:val="1F4E79"/>
          <w:sz w:val="17"/>
        </w:rPr>
        <w:t xml:space="preserve">Justificación · dificultad BÁSICA · respuesta a): </w:t>
      </w:r>
      <w:r>
        <w:rPr>
          <w:rFonts w:ascii="Arial" w:hAnsi="Arial" w:cs="Arial"/>
          <w:color w:val="333333"/>
          <w:sz w:val="17"/>
        </w:rPr>
        <w:t>«8.803,20 euros.» es correcta porque coincide con Real Decreto 241/2026. Las demás alternativas modifican, omiten o contradicen el dato jurídico aplicable.</w:t>
      </w:r>
    </w:p>
    <w:p>
      <w:pPr>
        <w:pStyle w:val="Question"/>
        <w:keepNext/>
      </w:pPr>
      <w:r>
        <w:rPr>
          <w:rFonts w:ascii="Arial" w:hAnsi="Arial" w:cs="Arial"/>
          <w:sz w:val="22"/>
        </w:rPr>
        <w:t>6. La incapacidad no contributiva exige, entre otros requisitos, un grado de discapacidad o enfermedad crónica:</w:t>
      </w:r>
    </w:p>
    <w:p>
      <w:pPr>
        <w:keepNext/>
        <w:keepLines/>
        <w:spacing w:after="40"/>
        <w:ind w:left="369" w:hanging="198"/>
      </w:pPr>
      <w:r>
        <w:rPr>
          <w:rFonts w:ascii="Arial" w:hAnsi="Arial" w:cs="Arial"/>
          <w:b w:val="0"/>
          <w:sz w:val="21"/>
        </w:rPr>
        <w:t>a) Igual o superior al 33 %.</w:t>
      </w:r>
    </w:p>
    <w:p>
      <w:pPr>
        <w:keepNext/>
        <w:keepLines/>
        <w:spacing w:after="40"/>
        <w:ind w:left="369" w:hanging="198"/>
      </w:pPr>
      <w:r>
        <w:rPr>
          <w:rFonts w:ascii="Arial" w:hAnsi="Arial" w:cs="Arial"/>
          <w:b/>
          <w:sz w:val="21"/>
        </w:rPr>
        <w:t>b) Igual o superior al 65 %.</w:t>
      </w:r>
    </w:p>
    <w:p>
      <w:pPr>
        <w:keepNext/>
        <w:keepLines/>
        <w:spacing w:after="40"/>
        <w:ind w:left="369" w:hanging="198"/>
      </w:pPr>
      <w:r>
        <w:rPr>
          <w:rFonts w:ascii="Arial" w:hAnsi="Arial" w:cs="Arial"/>
          <w:b w:val="0"/>
          <w:sz w:val="21"/>
        </w:rPr>
        <w:t>c) Superior al 50 % solo si existe empleo.</w:t>
      </w:r>
    </w:p>
    <w:p>
      <w:pPr>
        <w:keepNext/>
        <w:keepLines/>
        <w:spacing w:after="40"/>
        <w:ind w:left="369" w:hanging="198"/>
      </w:pPr>
      <w:r>
        <w:rPr>
          <w:rFonts w:ascii="Arial" w:hAnsi="Arial" w:cs="Arial"/>
          <w:b w:val="0"/>
          <w:sz w:val="21"/>
        </w:rPr>
        <w:t>d) Exactamente del 75 %.</w:t>
      </w:r>
    </w:p>
    <w:p>
      <w:pPr>
        <w:keepLines/>
        <w:spacing w:before="40" w:after="140"/>
        <w:ind w:left="198" w:right="113"/>
        <w:shd w:fill="F2F4F7"/>
      </w:pPr>
      <w:r>
        <w:rPr>
          <w:rFonts w:ascii="Arial" w:hAnsi="Arial" w:cs="Arial"/>
          <w:b/>
          <w:color w:val="1F4E79"/>
          <w:sz w:val="17"/>
        </w:rPr>
        <w:t xml:space="preserve">Justificación · dificultad BÁSICA · respuesta b): </w:t>
      </w:r>
      <w:r>
        <w:rPr>
          <w:rFonts w:ascii="Arial" w:hAnsi="Arial" w:cs="Arial"/>
          <w:color w:val="333333"/>
          <w:sz w:val="17"/>
        </w:rPr>
        <w:t>«Igual o superior al 65 %.» es correcta porque coincide con TRLGSS, artículo 363.1. Las demás alternativas modifican, omiten o contradicen el dato jurídico aplicable.</w:t>
      </w:r>
    </w:p>
    <w:p>
      <w:pPr>
        <w:pStyle w:val="Question"/>
        <w:keepNext/>
      </w:pPr>
      <w:r>
        <w:rPr>
          <w:rFonts w:ascii="Arial" w:hAnsi="Arial" w:cs="Arial"/>
          <w:sz w:val="22"/>
        </w:rPr>
        <w:t>7. La edad mínima para la jubilación no contributiva es:</w:t>
      </w:r>
    </w:p>
    <w:p>
      <w:pPr>
        <w:keepNext/>
        <w:keepLines/>
        <w:spacing w:after="40"/>
        <w:ind w:left="369" w:hanging="198"/>
      </w:pPr>
      <w:r>
        <w:rPr>
          <w:rFonts w:ascii="Arial" w:hAnsi="Arial" w:cs="Arial"/>
          <w:b w:val="0"/>
          <w:sz w:val="21"/>
        </w:rPr>
        <w:t>a) 60 años.</w:t>
      </w:r>
    </w:p>
    <w:p>
      <w:pPr>
        <w:keepNext/>
        <w:keepLines/>
        <w:spacing w:after="40"/>
        <w:ind w:left="369" w:hanging="198"/>
      </w:pPr>
      <w:r>
        <w:rPr>
          <w:rFonts w:ascii="Arial" w:hAnsi="Arial" w:cs="Arial"/>
          <w:b w:val="0"/>
          <w:sz w:val="21"/>
        </w:rPr>
        <w:t>b) 62 años.</w:t>
      </w:r>
    </w:p>
    <w:p>
      <w:pPr>
        <w:keepNext/>
        <w:keepLines/>
        <w:spacing w:after="40"/>
        <w:ind w:left="369" w:hanging="198"/>
      </w:pPr>
      <w:r>
        <w:rPr>
          <w:rFonts w:ascii="Arial" w:hAnsi="Arial" w:cs="Arial"/>
          <w:b/>
          <w:sz w:val="21"/>
        </w:rPr>
        <w:t>c) 65 años.</w:t>
      </w:r>
    </w:p>
    <w:p>
      <w:pPr>
        <w:keepNext/>
        <w:keepLines/>
        <w:spacing w:after="40"/>
        <w:ind w:left="369" w:hanging="198"/>
      </w:pPr>
      <w:r>
        <w:rPr>
          <w:rFonts w:ascii="Arial" w:hAnsi="Arial" w:cs="Arial"/>
          <w:b w:val="0"/>
          <w:sz w:val="21"/>
        </w:rPr>
        <w:t>d) 67 años en todo caso.</w:t>
      </w:r>
    </w:p>
    <w:p>
      <w:pPr>
        <w:keepLines/>
        <w:spacing w:before="40" w:after="140"/>
        <w:ind w:left="198" w:right="113"/>
        <w:shd w:fill="F2F4F7"/>
      </w:pPr>
      <w:r>
        <w:rPr>
          <w:rFonts w:ascii="Arial" w:hAnsi="Arial" w:cs="Arial"/>
          <w:b/>
          <w:color w:val="1F4E79"/>
          <w:sz w:val="17"/>
        </w:rPr>
        <w:t xml:space="preserve">Justificación · dificultad BÁSICA · respuesta c): </w:t>
      </w:r>
      <w:r>
        <w:rPr>
          <w:rFonts w:ascii="Arial" w:hAnsi="Arial" w:cs="Arial"/>
          <w:color w:val="333333"/>
          <w:sz w:val="17"/>
        </w:rPr>
        <w:t>«65 años.» es correcta porque coincide con TRLGSS, artículo 369.1.a. Las demás alternativas modifican, omiten o contradicen el dato jurídico aplicable.</w:t>
      </w:r>
    </w:p>
    <w:p>
      <w:pPr>
        <w:pStyle w:val="Question"/>
        <w:keepNext/>
      </w:pPr>
      <w:r>
        <w:rPr>
          <w:rFonts w:ascii="Arial" w:hAnsi="Arial" w:cs="Arial"/>
          <w:sz w:val="22"/>
        </w:rPr>
        <w:t>8. La prestación por parto o adopción múltiples:</w:t>
      </w:r>
    </w:p>
    <w:p>
      <w:pPr>
        <w:keepNext/>
        <w:keepLines/>
        <w:spacing w:after="40"/>
        <w:ind w:left="369" w:hanging="198"/>
      </w:pPr>
      <w:r>
        <w:rPr>
          <w:rFonts w:ascii="Arial" w:hAnsi="Arial" w:cs="Arial"/>
          <w:b w:val="0"/>
          <w:sz w:val="21"/>
        </w:rPr>
        <w:t>a) Exige siempre que la familia sea numerosa.</w:t>
      </w:r>
    </w:p>
    <w:p>
      <w:pPr>
        <w:keepNext/>
        <w:keepLines/>
        <w:spacing w:after="40"/>
        <w:ind w:left="369" w:hanging="198"/>
      </w:pPr>
      <w:r>
        <w:rPr>
          <w:rFonts w:ascii="Arial" w:hAnsi="Arial" w:cs="Arial"/>
          <w:b w:val="0"/>
          <w:sz w:val="21"/>
        </w:rPr>
        <w:t>b) Solo se reconoce por cuatro o más hijos.</w:t>
      </w:r>
    </w:p>
    <w:p>
      <w:pPr>
        <w:keepNext/>
        <w:keepLines/>
        <w:spacing w:after="40"/>
        <w:ind w:left="369" w:hanging="198"/>
      </w:pPr>
      <w:r>
        <w:rPr>
          <w:rFonts w:ascii="Arial" w:hAnsi="Arial" w:cs="Arial"/>
          <w:b w:val="0"/>
          <w:sz w:val="21"/>
        </w:rPr>
        <w:t>c) Tiene una cuantía fija de 1.000 euros.</w:t>
      </w:r>
    </w:p>
    <w:p>
      <w:pPr>
        <w:keepNext/>
        <w:keepLines/>
        <w:spacing w:after="40"/>
        <w:ind w:left="369" w:hanging="198"/>
      </w:pPr>
      <w:r>
        <w:rPr>
          <w:rFonts w:ascii="Arial" w:hAnsi="Arial" w:cs="Arial"/>
          <w:b/>
          <w:sz w:val="21"/>
        </w:rPr>
        <w:t>d) Se calcula multiplicando el SMI mensual por 4, 8 o 12 según el número computable de hijos.</w:t>
      </w:r>
    </w:p>
    <w:p>
      <w:pPr>
        <w:keepLines/>
        <w:spacing w:before="40" w:after="140"/>
        <w:ind w:left="198" w:right="113"/>
        <w:shd w:fill="F2F4F7"/>
      </w:pPr>
      <w:r>
        <w:rPr>
          <w:rFonts w:ascii="Arial" w:hAnsi="Arial" w:cs="Arial"/>
          <w:b/>
          <w:color w:val="1F4E79"/>
          <w:sz w:val="17"/>
        </w:rPr>
        <w:t xml:space="preserve">Justificación · dificultad BÁSICA · respuesta d): </w:t>
      </w:r>
      <w:r>
        <w:rPr>
          <w:rFonts w:ascii="Arial" w:hAnsi="Arial" w:cs="Arial"/>
          <w:color w:val="333333"/>
          <w:sz w:val="17"/>
        </w:rPr>
        <w:t>«Se calcula multiplicando el SMI mensual por 4, 8 o 12 según el número computable de hijos.» es correcta porque coincide con TRLGSS, artículos 359 y 360. Las demás alternativas modifican, omiten o contradicen el dato jurídico aplicable.</w:t>
      </w:r>
    </w:p>
    <w:p>
      <w:pPr>
        <w:pStyle w:val="Question"/>
        <w:keepNext/>
      </w:pPr>
      <w:r>
        <w:rPr>
          <w:rFonts w:ascii="Arial" w:hAnsi="Arial" w:cs="Arial"/>
          <w:sz w:val="22"/>
        </w:rPr>
        <w:t>9. En 2026, la renta garantizada individual mensual que sirve de referencia al IMV es:</w:t>
      </w:r>
    </w:p>
    <w:p>
      <w:pPr>
        <w:keepNext/>
        <w:keepLines/>
        <w:spacing w:after="40"/>
        <w:ind w:left="369" w:hanging="198"/>
      </w:pPr>
      <w:r>
        <w:rPr>
          <w:rFonts w:ascii="Arial" w:hAnsi="Arial" w:cs="Arial"/>
          <w:b/>
          <w:sz w:val="21"/>
        </w:rPr>
        <w:t>a) 733,60 euros.</w:t>
      </w:r>
    </w:p>
    <w:p>
      <w:pPr>
        <w:keepNext/>
        <w:keepLines/>
        <w:spacing w:after="40"/>
        <w:ind w:left="369" w:hanging="198"/>
      </w:pPr>
      <w:r>
        <w:rPr>
          <w:rFonts w:ascii="Arial" w:hAnsi="Arial" w:cs="Arial"/>
          <w:b w:val="0"/>
          <w:sz w:val="21"/>
        </w:rPr>
        <w:t>b) 8.803,20 euros mensuales.</w:t>
      </w:r>
    </w:p>
    <w:p>
      <w:pPr>
        <w:keepNext/>
        <w:keepLines/>
        <w:spacing w:after="40"/>
        <w:ind w:left="369" w:hanging="198"/>
      </w:pPr>
      <w:r>
        <w:rPr>
          <w:rFonts w:ascii="Arial" w:hAnsi="Arial" w:cs="Arial"/>
          <w:b w:val="0"/>
          <w:sz w:val="21"/>
        </w:rPr>
        <w:t>c) 1.000 euros.</w:t>
      </w:r>
    </w:p>
    <w:p>
      <w:pPr>
        <w:keepNext/>
        <w:keepLines/>
        <w:spacing w:after="40"/>
        <w:ind w:left="369" w:hanging="198"/>
      </w:pPr>
      <w:r>
        <w:rPr>
          <w:rFonts w:ascii="Arial" w:hAnsi="Arial" w:cs="Arial"/>
          <w:b w:val="0"/>
          <w:sz w:val="21"/>
        </w:rPr>
        <w:t>d) El 75 % del SMI en todo caso.</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«733,60 euros.» es correcta porque coincide con Ley 19/2021, artículo 13, y Real Decreto 241/2026. Las demás alternativas modifican, omiten o contradicen el dato jurídico aplicable.</w:t>
      </w:r>
    </w:p>
    <w:p>
      <w:pPr>
        <w:pStyle w:val="Question"/>
        <w:keepNext/>
      </w:pPr>
      <w:r>
        <w:rPr>
          <w:rFonts w:ascii="Arial" w:hAnsi="Arial" w:cs="Arial"/>
          <w:sz w:val="22"/>
        </w:rPr>
        <w:t>10. Con carácter general, una unidad de convivencia debe estar constituida antes de solicitar el IMV durante al menos:</w:t>
      </w:r>
    </w:p>
    <w:p>
      <w:pPr>
        <w:keepNext/>
        <w:keepLines/>
        <w:spacing w:after="40"/>
        <w:ind w:left="369" w:hanging="198"/>
      </w:pPr>
      <w:r>
        <w:rPr>
          <w:rFonts w:ascii="Arial" w:hAnsi="Arial" w:cs="Arial"/>
          <w:b w:val="0"/>
          <w:sz w:val="21"/>
        </w:rPr>
        <w:t>a) Tres meses.</w:t>
      </w:r>
    </w:p>
    <w:p>
      <w:pPr>
        <w:keepNext/>
        <w:keepLines/>
        <w:spacing w:after="40"/>
        <w:ind w:left="369" w:hanging="198"/>
      </w:pPr>
      <w:r>
        <w:rPr>
          <w:rFonts w:ascii="Arial" w:hAnsi="Arial" w:cs="Arial"/>
          <w:b/>
          <w:sz w:val="21"/>
        </w:rPr>
        <w:t>b) Seis meses, salvo las excepciones legales.</w:t>
      </w:r>
    </w:p>
    <w:p>
      <w:pPr>
        <w:keepNext/>
        <w:keepLines/>
        <w:spacing w:after="40"/>
        <w:ind w:left="369" w:hanging="198"/>
      </w:pPr>
      <w:r>
        <w:rPr>
          <w:rFonts w:ascii="Arial" w:hAnsi="Arial" w:cs="Arial"/>
          <w:b w:val="0"/>
          <w:sz w:val="21"/>
        </w:rPr>
        <w:t>c) Un año sin excepción.</w:t>
      </w:r>
    </w:p>
    <w:p>
      <w:pPr>
        <w:keepNext/>
        <w:keepLines/>
        <w:spacing w:after="40"/>
        <w:ind w:left="369" w:hanging="198"/>
      </w:pPr>
      <w:r>
        <w:rPr>
          <w:rFonts w:ascii="Arial" w:hAnsi="Arial" w:cs="Arial"/>
          <w:b w:val="0"/>
          <w:sz w:val="21"/>
        </w:rPr>
        <w:t>d) Dos años.</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«Seis meses, salvo las excepciones legales.» es correcta porque coincide con Ley 19/2021, artículo 6.3. Las demás alternativas modifican, omiten o contradicen el dato jurídico aplicable.</w:t>
      </w:r>
    </w:p>
    <w:p>
      <w:pPr>
        <w:pStyle w:val="Question"/>
        <w:keepNext/>
      </w:pPr>
      <w:r>
        <w:rPr>
          <w:rFonts w:ascii="Arial" w:hAnsi="Arial" w:cs="Arial"/>
          <w:sz w:val="22"/>
        </w:rPr>
        <w:t>11. La cuantía mensual ordinaria del IMV se determina:</w:t>
      </w:r>
    </w:p>
    <w:p>
      <w:pPr>
        <w:keepNext/>
        <w:keepLines/>
        <w:spacing w:after="40"/>
        <w:ind w:left="369" w:hanging="198"/>
      </w:pPr>
      <w:r>
        <w:rPr>
          <w:rFonts w:ascii="Arial" w:hAnsi="Arial" w:cs="Arial"/>
          <w:b w:val="0"/>
          <w:sz w:val="21"/>
        </w:rPr>
        <w:t>a) Sumando al salario del titular una cantidad fija.</w:t>
      </w:r>
    </w:p>
    <w:p>
      <w:pPr>
        <w:keepNext/>
        <w:keepLines/>
        <w:spacing w:after="40"/>
        <w:ind w:left="369" w:hanging="198"/>
      </w:pPr>
      <w:r>
        <w:rPr>
          <w:rFonts w:ascii="Arial" w:hAnsi="Arial" w:cs="Arial"/>
          <w:b w:val="0"/>
          <w:sz w:val="21"/>
        </w:rPr>
        <w:t>b) Aplicando siempre el 50 % a la pensión no contributiva.</w:t>
      </w:r>
    </w:p>
    <w:p>
      <w:pPr>
        <w:keepNext/>
        <w:keepLines/>
        <w:spacing w:after="40"/>
        <w:ind w:left="369" w:hanging="198"/>
      </w:pPr>
      <w:r>
        <w:rPr>
          <w:rFonts w:ascii="Arial" w:hAnsi="Arial" w:cs="Arial"/>
          <w:b/>
          <w:sz w:val="21"/>
        </w:rPr>
        <w:t>c) Por la diferencia entre renta garantizada aplicable y rentas computables, si alcanza al menos diez euros.</w:t>
      </w:r>
    </w:p>
    <w:p>
      <w:pPr>
        <w:keepNext/>
        <w:keepLines/>
        <w:spacing w:after="40"/>
        <w:ind w:left="369" w:hanging="198"/>
      </w:pPr>
      <w:r>
        <w:rPr>
          <w:rFonts w:ascii="Arial" w:hAnsi="Arial" w:cs="Arial"/>
          <w:b w:val="0"/>
          <w:sz w:val="21"/>
        </w:rPr>
        <w:t>d) Dividiendo el patrimonio por doce, sin atender a ingresos.</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«Por la diferencia entre renta garantizada aplicable y rentas computables, si alcanza al menos diez euros.» es correcta porque coincide con Ley 19/2021, artículo 13. Las demás alternativas modifican, omiten o contradicen el dato jurídico aplicable.</w:t>
      </w:r>
    </w:p>
    <w:p>
      <w:pPr>
        <w:pStyle w:val="Question"/>
        <w:keepNext/>
      </w:pPr>
      <w:r>
        <w:rPr>
          <w:rFonts w:ascii="Arial" w:hAnsi="Arial" w:cs="Arial"/>
          <w:sz w:val="22"/>
        </w:rPr>
        <w:t>12. Desde la reforma vigente en 2026, la cuantía del IMV se actualiza:</w:t>
      </w:r>
    </w:p>
    <w:p>
      <w:pPr>
        <w:keepNext/>
        <w:keepLines/>
        <w:spacing w:after="40"/>
        <w:ind w:left="369" w:hanging="198"/>
      </w:pPr>
      <w:r>
        <w:rPr>
          <w:rFonts w:ascii="Arial" w:hAnsi="Arial" w:cs="Arial"/>
          <w:b w:val="0"/>
          <w:sz w:val="21"/>
        </w:rPr>
        <w:t>a) Una vez cada cuatro años.</w:t>
      </w:r>
    </w:p>
    <w:p>
      <w:pPr>
        <w:keepNext/>
        <w:keepLines/>
        <w:spacing w:after="40"/>
        <w:ind w:left="369" w:hanging="198"/>
      </w:pPr>
      <w:r>
        <w:rPr>
          <w:rFonts w:ascii="Arial" w:hAnsi="Arial" w:cs="Arial"/>
          <w:b w:val="0"/>
          <w:sz w:val="21"/>
        </w:rPr>
        <w:t>b) Solo cuando lo pide el titular.</w:t>
      </w:r>
    </w:p>
    <w:p>
      <w:pPr>
        <w:keepNext/>
        <w:keepLines/>
        <w:spacing w:after="40"/>
        <w:ind w:left="369" w:hanging="198"/>
      </w:pPr>
      <w:r>
        <w:rPr>
          <w:rFonts w:ascii="Arial" w:hAnsi="Arial" w:cs="Arial"/>
          <w:b w:val="0"/>
          <w:sz w:val="21"/>
        </w:rPr>
        <w:t>c) Mensualmente con carácter definitivo.</w:t>
      </w:r>
    </w:p>
    <w:p>
      <w:pPr>
        <w:keepNext/>
        <w:keepLines/>
        <w:spacing w:after="40"/>
        <w:ind w:left="369" w:hanging="198"/>
      </w:pPr>
      <w:r>
        <w:rPr>
          <w:rFonts w:ascii="Arial" w:hAnsi="Arial" w:cs="Arial"/>
          <w:b/>
          <w:sz w:val="21"/>
        </w:rPr>
        <w:t>d) Dos veces por ejercicio, mediante actualización provisional y definitiva.</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«Dos veces por ejercicio, mediante actualización provisional y definitiva.» es correcta porque coincide con Ley 19/2021, artículo 16, redacción de la Ley 1/2026. Las demás alternativas modifican, omiten o contradicen el dato jurídico aplicable.</w:t>
      </w:r>
    </w:p>
    <w:p>
      <w:pPr>
        <w:pStyle w:val="Question"/>
        <w:keepNext/>
      </w:pPr>
      <w:r>
        <w:rPr>
          <w:rFonts w:ascii="Arial" w:hAnsi="Arial" w:cs="Arial"/>
          <w:sz w:val="22"/>
        </w:rPr>
        <w:t>13. El titular del IMV debe comunicar los cambios que puedan afectar al derecho:</w:t>
      </w:r>
    </w:p>
    <w:p>
      <w:pPr>
        <w:keepNext/>
        <w:keepLines/>
        <w:spacing w:after="40"/>
        <w:ind w:left="369" w:hanging="198"/>
      </w:pPr>
      <w:r>
        <w:rPr>
          <w:rFonts w:ascii="Arial" w:hAnsi="Arial" w:cs="Arial"/>
          <w:b/>
          <w:sz w:val="21"/>
        </w:rPr>
        <w:t>a) En el plazo de treinta días naturales desde que se produzcan.</w:t>
      </w:r>
    </w:p>
    <w:p>
      <w:pPr>
        <w:keepNext/>
        <w:keepLines/>
        <w:spacing w:after="40"/>
        <w:ind w:left="369" w:hanging="198"/>
      </w:pPr>
      <w:r>
        <w:rPr>
          <w:rFonts w:ascii="Arial" w:hAnsi="Arial" w:cs="Arial"/>
          <w:b w:val="0"/>
          <w:sz w:val="21"/>
        </w:rPr>
        <w:t>b) Al finalizar el año natural.</w:t>
      </w:r>
    </w:p>
    <w:p>
      <w:pPr>
        <w:keepNext/>
        <w:keepLines/>
        <w:spacing w:after="40"/>
        <w:ind w:left="369" w:hanging="198"/>
      </w:pPr>
      <w:r>
        <w:rPr>
          <w:rFonts w:ascii="Arial" w:hAnsi="Arial" w:cs="Arial"/>
          <w:b w:val="0"/>
          <w:sz w:val="21"/>
        </w:rPr>
        <w:t>c) En diez días hábiles exclusivamente.</w:t>
      </w:r>
    </w:p>
    <w:p>
      <w:pPr>
        <w:keepNext/>
        <w:keepLines/>
        <w:spacing w:after="40"/>
        <w:ind w:left="369" w:hanging="198"/>
      </w:pPr>
      <w:r>
        <w:rPr>
          <w:rFonts w:ascii="Arial" w:hAnsi="Arial" w:cs="Arial"/>
          <w:b w:val="0"/>
          <w:sz w:val="21"/>
        </w:rPr>
        <w:t>d) Solo cuando la Administración los desconozca.</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«En el plazo de treinta días naturales desde que se produzcan.» es correcta porque coincide con Ley 19/2021, artículo 36. Las demás alternativas modifican, omiten o contradicen el dato jurídico aplicable.</w:t>
      </w:r>
    </w:p>
    <w:p>
      <w:pPr>
        <w:pStyle w:val="Question"/>
        <w:keepNext/>
      </w:pPr>
      <w:r>
        <w:rPr>
          <w:rFonts w:ascii="Arial" w:hAnsi="Arial" w:cs="Arial"/>
          <w:sz w:val="22"/>
        </w:rPr>
        <w:t>14. La compatibilidad del IMV con rentas del trabajo:</w:t>
      </w:r>
    </w:p>
    <w:p>
      <w:pPr>
        <w:keepNext/>
        <w:keepLines/>
        <w:spacing w:after="40"/>
        <w:ind w:left="369" w:hanging="198"/>
      </w:pPr>
      <w:r>
        <w:rPr>
          <w:rFonts w:ascii="Arial" w:hAnsi="Arial" w:cs="Arial"/>
          <w:b w:val="0"/>
          <w:sz w:val="21"/>
        </w:rPr>
        <w:t>a) Está prohibida en todos los supuestos.</w:t>
      </w:r>
    </w:p>
    <w:p>
      <w:pPr>
        <w:keepNext/>
        <w:keepLines/>
        <w:spacing w:after="40"/>
        <w:ind w:left="369" w:hanging="198"/>
      </w:pPr>
      <w:r>
        <w:rPr>
          <w:rFonts w:ascii="Arial" w:hAnsi="Arial" w:cs="Arial"/>
          <w:b/>
          <w:sz w:val="21"/>
        </w:rPr>
        <w:t>b) Es posible en los términos del incentivo reglamentario, sin eliminar las obligaciones de comunicación y regularización.</w:t>
      </w:r>
    </w:p>
    <w:p>
      <w:pPr>
        <w:keepNext/>
        <w:keepLines/>
        <w:spacing w:after="40"/>
        <w:ind w:left="369" w:hanging="198"/>
      </w:pPr>
      <w:r>
        <w:rPr>
          <w:rFonts w:ascii="Arial" w:hAnsi="Arial" w:cs="Arial"/>
          <w:b w:val="0"/>
          <w:sz w:val="21"/>
        </w:rPr>
        <w:t>c) Convierte automáticamente el IMV en una prestación contributiva.</w:t>
      </w:r>
    </w:p>
    <w:p>
      <w:pPr>
        <w:keepNext/>
        <w:keepLines/>
        <w:spacing w:after="40"/>
        <w:ind w:left="369" w:hanging="198"/>
      </w:pPr>
      <w:r>
        <w:rPr>
          <w:rFonts w:ascii="Arial" w:hAnsi="Arial" w:cs="Arial"/>
          <w:b w:val="0"/>
          <w:sz w:val="21"/>
        </w:rPr>
        <w:t>d) Impide cualquier revisión posterior.</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«Es posible en los términos del incentivo reglamentario, sin eliminar las obligaciones de comunicación y regularización.» es correcta porque coincide con Ley 19/2021, artículo 11.4, y Real Decreto 789/2022. Las demás alternativas modifican, omiten o contradicen el dato jurídico aplicable.</w:t>
      </w:r>
    </w:p>
    <w:p>
      <w:pPr>
        <w:pStyle w:val="Question"/>
        <w:keepNext/>
      </w:pPr>
      <w:r>
        <w:rPr>
          <w:rFonts w:ascii="Arial" w:hAnsi="Arial" w:cs="Arial"/>
          <w:sz w:val="22"/>
        </w:rPr>
        <w:t>15. Si la suspensión del IMV se mantiene durante un año:</w:t>
      </w:r>
    </w:p>
    <w:p>
      <w:pPr>
        <w:keepNext/>
        <w:keepLines/>
        <w:spacing w:after="40"/>
        <w:ind w:left="369" w:hanging="198"/>
      </w:pPr>
      <w:r>
        <w:rPr>
          <w:rFonts w:ascii="Arial" w:hAnsi="Arial" w:cs="Arial"/>
          <w:b w:val="0"/>
          <w:sz w:val="21"/>
        </w:rPr>
        <w:t>a) Se reanuda automáticamente sin comprobar requisitos.</w:t>
      </w:r>
    </w:p>
    <w:p>
      <w:pPr>
        <w:keepNext/>
        <w:keepLines/>
        <w:spacing w:after="40"/>
        <w:ind w:left="369" w:hanging="198"/>
      </w:pPr>
      <w:r>
        <w:rPr>
          <w:rFonts w:ascii="Arial" w:hAnsi="Arial" w:cs="Arial"/>
          <w:b w:val="0"/>
          <w:sz w:val="21"/>
        </w:rPr>
        <w:t>b) Se transforma en jubilación no contributiva.</w:t>
      </w:r>
    </w:p>
    <w:p>
      <w:pPr>
        <w:keepNext/>
        <w:keepLines/>
        <w:spacing w:after="40"/>
        <w:ind w:left="369" w:hanging="198"/>
      </w:pPr>
      <w:r>
        <w:rPr>
          <w:rFonts w:ascii="Arial" w:hAnsi="Arial" w:cs="Arial"/>
          <w:b/>
          <w:sz w:val="21"/>
        </w:rPr>
        <w:t>c) El derecho se extingue.</w:t>
      </w:r>
    </w:p>
    <w:p>
      <w:pPr>
        <w:keepNext/>
        <w:keepLines/>
        <w:spacing w:after="40"/>
        <w:ind w:left="369" w:hanging="198"/>
      </w:pPr>
      <w:r>
        <w:rPr>
          <w:rFonts w:ascii="Arial" w:hAnsi="Arial" w:cs="Arial"/>
          <w:b w:val="0"/>
          <w:sz w:val="21"/>
        </w:rPr>
        <w:t>d) Se duplica la deuda por reintegro.</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«El derecho se extingue.» es correcta porque coincide con Ley 19/2021, artículos 17 y 18. Las demás alternativas modifican, omiten o contradicen el dato jurídico aplicable.</w:t>
      </w:r>
    </w:p>
    <w:p>
      <w:pPr>
        <w:pStyle w:val="Question"/>
        <w:keepNext/>
      </w:pPr>
      <w:r>
        <w:rPr>
          <w:rFonts w:ascii="Arial" w:hAnsi="Arial" w:cs="Arial"/>
          <w:sz w:val="22"/>
        </w:rPr>
        <w:t>16. El INSS puede revisar de oficio en perjuicio una prestación de IMV, con carácter general, dentro de:</w:t>
      </w:r>
    </w:p>
    <w:p>
      <w:pPr>
        <w:keepNext/>
        <w:keepLines/>
        <w:spacing w:after="40"/>
        <w:ind w:left="369" w:hanging="198"/>
      </w:pPr>
      <w:r>
        <w:rPr>
          <w:rFonts w:ascii="Arial" w:hAnsi="Arial" w:cs="Arial"/>
          <w:b w:val="0"/>
          <w:sz w:val="21"/>
        </w:rPr>
        <w:t>a) Un año desde la solicitud.</w:t>
      </w:r>
    </w:p>
    <w:p>
      <w:pPr>
        <w:keepNext/>
        <w:keepLines/>
        <w:spacing w:after="40"/>
        <w:ind w:left="369" w:hanging="198"/>
      </w:pPr>
      <w:r>
        <w:rPr>
          <w:rFonts w:ascii="Arial" w:hAnsi="Arial" w:cs="Arial"/>
          <w:b w:val="0"/>
          <w:sz w:val="21"/>
        </w:rPr>
        <w:t>b) Dos años desde el pago.</w:t>
      </w:r>
    </w:p>
    <w:p>
      <w:pPr>
        <w:keepNext/>
        <w:keepLines/>
        <w:spacing w:after="40"/>
        <w:ind w:left="369" w:hanging="198"/>
      </w:pPr>
      <w:r>
        <w:rPr>
          <w:rFonts w:ascii="Arial" w:hAnsi="Arial" w:cs="Arial"/>
          <w:b w:val="0"/>
          <w:sz w:val="21"/>
        </w:rPr>
        <w:t>c) Diez años desde el nacimiento.</w:t>
      </w:r>
    </w:p>
    <w:p>
      <w:pPr>
        <w:keepNext/>
        <w:keepLines/>
        <w:spacing w:after="40"/>
        <w:ind w:left="369" w:hanging="198"/>
      </w:pPr>
      <w:r>
        <w:rPr>
          <w:rFonts w:ascii="Arial" w:hAnsi="Arial" w:cs="Arial"/>
          <w:b/>
          <w:sz w:val="21"/>
        </w:rPr>
        <w:t>d) Cuatro años desde la resolución no impugnada, sin perjuicio de las reglas especiales.</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«Cuatro años desde la resolución no impugnada, sin perjuicio de las reglas especiales.» es correcta porque coincide con Ley 19/2021, artículo 19. Las demás alternativas modifican, omiten o contradicen el dato jurídico aplicable.</w:t>
      </w:r>
    </w:p>
    <w:p>
      <w:pPr>
        <w:pStyle w:val="Question"/>
        <w:keepNext/>
      </w:pPr>
      <w:r>
        <w:rPr>
          <w:rFonts w:ascii="Arial" w:hAnsi="Arial" w:cs="Arial"/>
          <w:sz w:val="22"/>
        </w:rPr>
        <w:t>17. En 2026, la asignación anual por hijo menor de 18 años con discapacidad igual o superior al 33 % asciende a:</w:t>
      </w:r>
    </w:p>
    <w:p>
      <w:pPr>
        <w:keepNext/>
        <w:keepLines/>
        <w:spacing w:after="40"/>
        <w:ind w:left="369" w:hanging="198"/>
      </w:pPr>
      <w:r>
        <w:rPr>
          <w:rFonts w:ascii="Arial" w:hAnsi="Arial" w:cs="Arial"/>
          <w:b/>
          <w:sz w:val="21"/>
        </w:rPr>
        <w:t>a) 1.000 euros.</w:t>
      </w:r>
    </w:p>
    <w:p>
      <w:pPr>
        <w:keepNext/>
        <w:keepLines/>
        <w:spacing w:after="40"/>
        <w:ind w:left="369" w:hanging="198"/>
      </w:pPr>
      <w:r>
        <w:rPr>
          <w:rFonts w:ascii="Arial" w:hAnsi="Arial" w:cs="Arial"/>
          <w:b w:val="0"/>
          <w:sz w:val="21"/>
        </w:rPr>
        <w:t>b) 5.962,80 euros.</w:t>
      </w:r>
    </w:p>
    <w:p>
      <w:pPr>
        <w:keepNext/>
        <w:keepLines/>
        <w:spacing w:after="40"/>
        <w:ind w:left="369" w:hanging="198"/>
      </w:pPr>
      <w:r>
        <w:rPr>
          <w:rFonts w:ascii="Arial" w:hAnsi="Arial" w:cs="Arial"/>
          <w:b w:val="0"/>
          <w:sz w:val="21"/>
        </w:rPr>
        <w:t>c) 8.942,40 euros.</w:t>
      </w:r>
    </w:p>
    <w:p>
      <w:pPr>
        <w:keepNext/>
        <w:keepLines/>
        <w:spacing w:after="40"/>
        <w:ind w:left="369" w:hanging="198"/>
      </w:pPr>
      <w:r>
        <w:rPr>
          <w:rFonts w:ascii="Arial" w:hAnsi="Arial" w:cs="Arial"/>
          <w:b w:val="0"/>
          <w:sz w:val="21"/>
        </w:rPr>
        <w:t>d) 525 euros.</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«1.000 euros.» es correcta porque coincide con TRLGSS, artículo 353, y Real Decreto 241/2026. Las demás alternativas modifican, omiten o contradicen el dato jurídico aplicable.</w:t>
      </w:r>
    </w:p>
    <w:p>
      <w:pPr>
        <w:pStyle w:val="Question"/>
        <w:keepNext/>
      </w:pPr>
      <w:r>
        <w:rPr>
          <w:rFonts w:ascii="Arial" w:hAnsi="Arial" w:cs="Arial"/>
          <w:sz w:val="22"/>
        </w:rPr>
        <w:t>18. El pago único por nacimiento o adopción en familia numerosa, monoparental o con progenitor con discapacidad es:</w:t>
      </w:r>
    </w:p>
    <w:p>
      <w:pPr>
        <w:keepNext/>
        <w:keepLines/>
        <w:spacing w:after="40"/>
        <w:ind w:left="369" w:hanging="198"/>
      </w:pPr>
      <w:r>
        <w:rPr>
          <w:rFonts w:ascii="Arial" w:hAnsi="Arial" w:cs="Arial"/>
          <w:b w:val="0"/>
          <w:sz w:val="21"/>
        </w:rPr>
        <w:t>a) 525 euros.</w:t>
      </w:r>
    </w:p>
    <w:p>
      <w:pPr>
        <w:keepNext/>
        <w:keepLines/>
        <w:spacing w:after="40"/>
        <w:ind w:left="369" w:hanging="198"/>
      </w:pPr>
      <w:r>
        <w:rPr>
          <w:rFonts w:ascii="Arial" w:hAnsi="Arial" w:cs="Arial"/>
          <w:b/>
          <w:sz w:val="21"/>
        </w:rPr>
        <w:t>b) 1.000 euros, sujeto a los límites y reglas legales.</w:t>
      </w:r>
    </w:p>
    <w:p>
      <w:pPr>
        <w:keepNext/>
        <w:keepLines/>
        <w:spacing w:after="40"/>
        <w:ind w:left="369" w:hanging="198"/>
      </w:pPr>
      <w:r>
        <w:rPr>
          <w:rFonts w:ascii="Arial" w:hAnsi="Arial" w:cs="Arial"/>
          <w:b w:val="0"/>
          <w:sz w:val="21"/>
        </w:rPr>
        <w:t>c) Cuatro veces el SMI anual.</w:t>
      </w:r>
    </w:p>
    <w:p>
      <w:pPr>
        <w:keepNext/>
        <w:keepLines/>
        <w:spacing w:after="40"/>
        <w:ind w:left="369" w:hanging="198"/>
      </w:pPr>
      <w:r>
        <w:rPr>
          <w:rFonts w:ascii="Arial" w:hAnsi="Arial" w:cs="Arial"/>
          <w:b w:val="0"/>
          <w:sz w:val="21"/>
        </w:rPr>
        <w:t>d) 8.803,20 euros.</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«1.000 euros, sujeto a los límites y reglas legales.» es correcta porque coincide con TRLGSS, artículos 357 y 358. Las demás alternativas modifican, omiten o contradicen el dato jurídico aplicable.</w:t>
      </w:r>
    </w:p>
    <w:p>
      <w:pPr>
        <w:pStyle w:val="Question"/>
        <w:keepNext/>
      </w:pPr>
      <w:r>
        <w:rPr>
          <w:rFonts w:ascii="Arial" w:hAnsi="Arial" w:cs="Arial"/>
          <w:sz w:val="22"/>
        </w:rPr>
        <w:t>19. En la prestación por parto o adopción múltiples, un hijo con discapacidad igual o superior al 33 %:</w:t>
      </w:r>
    </w:p>
    <w:p>
      <w:pPr>
        <w:keepNext/>
        <w:keepLines/>
        <w:spacing w:after="40"/>
        <w:ind w:left="369" w:hanging="198"/>
      </w:pPr>
      <w:r>
        <w:rPr>
          <w:rFonts w:ascii="Arial" w:hAnsi="Arial" w:cs="Arial"/>
          <w:b w:val="0"/>
          <w:sz w:val="21"/>
        </w:rPr>
        <w:t>a) No computa.</w:t>
      </w:r>
    </w:p>
    <w:p>
      <w:pPr>
        <w:keepNext/>
        <w:keepLines/>
        <w:spacing w:after="40"/>
        <w:ind w:left="369" w:hanging="198"/>
      </w:pPr>
      <w:r>
        <w:rPr>
          <w:rFonts w:ascii="Arial" w:hAnsi="Arial" w:cs="Arial"/>
          <w:b w:val="0"/>
          <w:sz w:val="21"/>
        </w:rPr>
        <w:t>b) Triplica su cómputo.</w:t>
      </w:r>
    </w:p>
    <w:p>
      <w:pPr>
        <w:keepNext/>
        <w:keepLines/>
        <w:spacing w:after="40"/>
        <w:ind w:left="369" w:hanging="198"/>
      </w:pPr>
      <w:r>
        <w:rPr>
          <w:rFonts w:ascii="Arial" w:hAnsi="Arial" w:cs="Arial"/>
          <w:b/>
          <w:sz w:val="21"/>
        </w:rPr>
        <w:t>c) Computa doble para determinar el número de hijos.</w:t>
      </w:r>
    </w:p>
    <w:p>
      <w:pPr>
        <w:keepNext/>
        <w:keepLines/>
        <w:spacing w:after="40"/>
        <w:ind w:left="369" w:hanging="198"/>
      </w:pPr>
      <w:r>
        <w:rPr>
          <w:rFonts w:ascii="Arial" w:hAnsi="Arial" w:cs="Arial"/>
          <w:b w:val="0"/>
          <w:sz w:val="21"/>
        </w:rPr>
        <w:t>d) Genera siempre una prestación independiente de 12 veces el SMI.</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«Computa doble para determinar el número de hijos.» es correcta porque coincide con TRLGSS, artículo 359. Las demás alternativas modifican, omiten o contradicen el dato jurídico aplicable.</w:t>
      </w:r>
    </w:p>
    <w:p>
      <w:pPr>
        <w:pStyle w:val="Question"/>
        <w:keepNext/>
      </w:pPr>
      <w:r>
        <w:rPr>
          <w:rFonts w:ascii="Arial" w:hAnsi="Arial" w:cs="Arial"/>
          <w:sz w:val="22"/>
        </w:rPr>
        <w:t>20. El beneficio contributivo por parto del artículo 235 TRLGSS reconoce, con carácter general:</w:t>
      </w:r>
    </w:p>
    <w:p>
      <w:pPr>
        <w:keepNext/>
        <w:keepLines/>
        <w:spacing w:after="40"/>
        <w:ind w:left="369" w:hanging="198"/>
      </w:pPr>
      <w:r>
        <w:rPr>
          <w:rFonts w:ascii="Arial" w:hAnsi="Arial" w:cs="Arial"/>
          <w:b w:val="0"/>
          <w:sz w:val="21"/>
        </w:rPr>
        <w:t>a) 270 días por cada parto.</w:t>
      </w:r>
    </w:p>
    <w:p>
      <w:pPr>
        <w:keepNext/>
        <w:keepLines/>
        <w:spacing w:after="40"/>
        <w:ind w:left="369" w:hanging="198"/>
      </w:pPr>
      <w:r>
        <w:rPr>
          <w:rFonts w:ascii="Arial" w:hAnsi="Arial" w:cs="Arial"/>
          <w:b w:val="0"/>
          <w:sz w:val="21"/>
        </w:rPr>
        <w:t>b) Tres años por cada hijo.</w:t>
      </w:r>
    </w:p>
    <w:p>
      <w:pPr>
        <w:keepNext/>
        <w:keepLines/>
        <w:spacing w:after="40"/>
        <w:ind w:left="369" w:hanging="198"/>
      </w:pPr>
      <w:r>
        <w:rPr>
          <w:rFonts w:ascii="Arial" w:hAnsi="Arial" w:cs="Arial"/>
          <w:b w:val="0"/>
          <w:sz w:val="21"/>
        </w:rPr>
        <w:t>c) 16 semanas incluso si ya fueron íntegramente cotizadas.</w:t>
      </w:r>
    </w:p>
    <w:p>
      <w:pPr>
        <w:keepNext/>
        <w:keepLines/>
        <w:spacing w:after="40"/>
        <w:ind w:left="369" w:hanging="198"/>
      </w:pPr>
      <w:r>
        <w:rPr>
          <w:rFonts w:ascii="Arial" w:hAnsi="Arial" w:cs="Arial"/>
          <w:b/>
          <w:sz w:val="21"/>
        </w:rPr>
        <w:t>d) 112 días por cada parto de un hijo, más 14 por cada hijo desde el segundo en parto múltiple.</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«112 días por cada parto de un hijo, más 14 por cada hijo desde el segundo en parto múltiple.» es correcta porque coincide con TRLGSS, artículo 235. Las demás alternativas modifican, omiten o contradicen el dato jurídico aplicable.</w:t>
      </w:r>
    </w:p>
    <w:p>
      <w:pPr>
        <w:pStyle w:val="Question"/>
        <w:keepNext/>
      </w:pPr>
      <w:r>
        <w:rPr>
          <w:rFonts w:ascii="Arial" w:hAnsi="Arial" w:cs="Arial"/>
          <w:sz w:val="22"/>
        </w:rPr>
        <w:t>21. La incapacidad no contributiva exige residencia legal en España durante:</w:t>
      </w:r>
    </w:p>
    <w:p>
      <w:pPr>
        <w:keepNext/>
        <w:keepLines/>
        <w:spacing w:after="40"/>
        <w:ind w:left="369" w:hanging="198"/>
      </w:pPr>
      <w:r>
        <w:rPr>
          <w:rFonts w:ascii="Arial" w:hAnsi="Arial" w:cs="Arial"/>
          <w:b/>
          <w:sz w:val="21"/>
        </w:rPr>
        <w:t>a) Cinco años, dos de ellos inmediatamente anteriores a la solicitud.</w:t>
      </w:r>
    </w:p>
    <w:p>
      <w:pPr>
        <w:keepNext/>
        <w:keepLines/>
        <w:spacing w:after="40"/>
        <w:ind w:left="369" w:hanging="198"/>
      </w:pPr>
      <w:r>
        <w:rPr>
          <w:rFonts w:ascii="Arial" w:hAnsi="Arial" w:cs="Arial"/>
          <w:b w:val="0"/>
          <w:sz w:val="21"/>
        </w:rPr>
        <w:t>b) Diez años, cinco inmediatamente anteriores.</w:t>
      </w:r>
    </w:p>
    <w:p>
      <w:pPr>
        <w:keepNext/>
        <w:keepLines/>
        <w:spacing w:after="40"/>
        <w:ind w:left="369" w:hanging="198"/>
      </w:pPr>
      <w:r>
        <w:rPr>
          <w:rFonts w:ascii="Arial" w:hAnsi="Arial" w:cs="Arial"/>
          <w:b w:val="0"/>
          <w:sz w:val="21"/>
        </w:rPr>
        <w:t>c) Un año sin continuidad.</w:t>
      </w:r>
    </w:p>
    <w:p>
      <w:pPr>
        <w:keepNext/>
        <w:keepLines/>
        <w:spacing w:after="40"/>
        <w:ind w:left="369" w:hanging="198"/>
      </w:pPr>
      <w:r>
        <w:rPr>
          <w:rFonts w:ascii="Arial" w:hAnsi="Arial" w:cs="Arial"/>
          <w:b w:val="0"/>
          <w:sz w:val="21"/>
        </w:rPr>
        <w:t>d) Quince años de residencia y cotización.</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«Cinco años, dos de ellos inmediatamente anteriores a la solicitud.» es correcta porque coincide con TRLGSS, artículo 363.1.b. Las demás alternativas modifican, omiten o contradicen el dato jurídico aplicable.</w:t>
      </w:r>
    </w:p>
    <w:p>
      <w:pPr>
        <w:pStyle w:val="Question"/>
        <w:keepNext/>
      </w:pPr>
      <w:r>
        <w:rPr>
          <w:rFonts w:ascii="Arial" w:hAnsi="Arial" w:cs="Arial"/>
          <w:sz w:val="22"/>
        </w:rPr>
        <w:t>22. La jubilación no contributiva exige residencia legal en España durante:</w:t>
      </w:r>
    </w:p>
    <w:p>
      <w:pPr>
        <w:keepNext/>
        <w:keepLines/>
        <w:spacing w:after="40"/>
        <w:ind w:left="369" w:hanging="198"/>
      </w:pPr>
      <w:r>
        <w:rPr>
          <w:rFonts w:ascii="Arial" w:hAnsi="Arial" w:cs="Arial"/>
          <w:b w:val="0"/>
          <w:sz w:val="21"/>
        </w:rPr>
        <w:t>a) Cinco años desde el nacimiento.</w:t>
      </w:r>
    </w:p>
    <w:p>
      <w:pPr>
        <w:keepNext/>
        <w:keepLines/>
        <w:spacing w:after="40"/>
        <w:ind w:left="369" w:hanging="198"/>
      </w:pPr>
      <w:r>
        <w:rPr>
          <w:rFonts w:ascii="Arial" w:hAnsi="Arial" w:cs="Arial"/>
          <w:b/>
          <w:sz w:val="21"/>
        </w:rPr>
        <w:t>b) Diez años entre los 16 años y el devengo, dos inmediatamente anteriores.</w:t>
      </w:r>
    </w:p>
    <w:p>
      <w:pPr>
        <w:keepNext/>
        <w:keepLines/>
        <w:spacing w:after="40"/>
        <w:ind w:left="369" w:hanging="198"/>
      </w:pPr>
      <w:r>
        <w:rPr>
          <w:rFonts w:ascii="Arial" w:hAnsi="Arial" w:cs="Arial"/>
          <w:b w:val="0"/>
          <w:sz w:val="21"/>
        </w:rPr>
        <w:t>c) Quince años, todos posteriores a los 50.</w:t>
      </w:r>
    </w:p>
    <w:p>
      <w:pPr>
        <w:keepNext/>
        <w:keepLines/>
        <w:spacing w:after="40"/>
        <w:ind w:left="369" w:hanging="198"/>
      </w:pPr>
      <w:r>
        <w:rPr>
          <w:rFonts w:ascii="Arial" w:hAnsi="Arial" w:cs="Arial"/>
          <w:b w:val="0"/>
          <w:sz w:val="21"/>
        </w:rPr>
        <w:t>d) Un año inmediatamente anterior.</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«Diez años entre los 16 años y el devengo, dos inmediatamente anteriores.» es correcta porque coincide con TRLGSS, artículo 369.1.b. Las demás alternativas modifican, omiten o contradicen el dato jurídico aplicable.</w:t>
      </w:r>
    </w:p>
    <w:p>
      <w:pPr>
        <w:pStyle w:val="Question"/>
        <w:keepNext/>
      </w:pPr>
      <w:r>
        <w:rPr>
          <w:rFonts w:ascii="Arial" w:hAnsi="Arial" w:cs="Arial"/>
          <w:sz w:val="22"/>
        </w:rPr>
        <w:t>23. Una unidad individual tiene renta computable mensual de 500 euros y renta garantizada de 733,60 euros. Sin otros ajustes, el IMV mensual sería:</w:t>
      </w:r>
    </w:p>
    <w:p>
      <w:pPr>
        <w:keepNext/>
        <w:keepLines/>
        <w:spacing w:after="40"/>
        <w:ind w:left="369" w:hanging="198"/>
      </w:pPr>
      <w:r>
        <w:rPr>
          <w:rFonts w:ascii="Arial" w:hAnsi="Arial" w:cs="Arial"/>
          <w:b w:val="0"/>
          <w:sz w:val="21"/>
        </w:rPr>
        <w:t>a) 500 euros.</w:t>
      </w:r>
    </w:p>
    <w:p>
      <w:pPr>
        <w:keepNext/>
        <w:keepLines/>
        <w:spacing w:after="40"/>
        <w:ind w:left="369" w:hanging="198"/>
      </w:pPr>
      <w:r>
        <w:rPr>
          <w:rFonts w:ascii="Arial" w:hAnsi="Arial" w:cs="Arial"/>
          <w:b w:val="0"/>
          <w:sz w:val="21"/>
        </w:rPr>
        <w:t>b) 733,60 euros.</w:t>
      </w:r>
    </w:p>
    <w:p>
      <w:pPr>
        <w:keepNext/>
        <w:keepLines/>
        <w:spacing w:after="40"/>
        <w:ind w:left="369" w:hanging="198"/>
      </w:pPr>
      <w:r>
        <w:rPr>
          <w:rFonts w:ascii="Arial" w:hAnsi="Arial" w:cs="Arial"/>
          <w:b/>
          <w:sz w:val="21"/>
        </w:rPr>
        <w:t>c) 233,60 euros.</w:t>
      </w:r>
    </w:p>
    <w:p>
      <w:pPr>
        <w:keepNext/>
        <w:keepLines/>
        <w:spacing w:after="40"/>
        <w:ind w:left="369" w:hanging="198"/>
      </w:pPr>
      <w:r>
        <w:rPr>
          <w:rFonts w:ascii="Arial" w:hAnsi="Arial" w:cs="Arial"/>
          <w:b w:val="0"/>
          <w:sz w:val="21"/>
        </w:rPr>
        <w:t>d) 1.233,60 euros.</w:t>
      </w:r>
    </w:p>
    <w:p>
      <w:pPr>
        <w:keepLines/>
        <w:spacing w:before="40" w:after="140"/>
        <w:ind w:left="198" w:right="113"/>
        <w:shd w:fill="F2F4F7"/>
      </w:pPr>
      <w:r>
        <w:rPr>
          <w:rFonts w:ascii="Arial" w:hAnsi="Arial" w:cs="Arial"/>
          <w:b/>
          <w:color w:val="1F4E79"/>
          <w:sz w:val="17"/>
        </w:rPr>
        <w:t xml:space="preserve">Justificación · dificultad ALTA · respuesta c): </w:t>
      </w:r>
      <w:r>
        <w:rPr>
          <w:rFonts w:ascii="Arial" w:hAnsi="Arial" w:cs="Arial"/>
          <w:color w:val="333333"/>
          <w:sz w:val="17"/>
        </w:rPr>
        <w:t>«233,60 euros.» es correcta porque coincide con Ley 19/2021, artículo 13. Las demás alternativas modifican, omiten o contradicen el dato jurídico aplicable.</w:t>
      </w:r>
    </w:p>
    <w:p>
      <w:pPr>
        <w:pStyle w:val="Question"/>
        <w:keepNext/>
      </w:pPr>
      <w:r>
        <w:rPr>
          <w:rFonts w:ascii="Arial" w:hAnsi="Arial" w:cs="Arial"/>
          <w:sz w:val="22"/>
        </w:rPr>
        <w:t>24. Una persona con incapacidad no contributiva acredita discapacidad del 76 %, pero no necesita ayuda para actos esenciales de la vida. ¿Procede el complemento por tercera persona?</w:t>
      </w:r>
    </w:p>
    <w:p>
      <w:pPr>
        <w:keepNext/>
        <w:keepLines/>
        <w:spacing w:after="40"/>
        <w:ind w:left="369" w:hanging="198"/>
      </w:pPr>
      <w:r>
        <w:rPr>
          <w:rFonts w:ascii="Arial" w:hAnsi="Arial" w:cs="Arial"/>
          <w:b w:val="0"/>
          <w:sz w:val="21"/>
        </w:rPr>
        <w:t>a) Sí, automáticamente por superar el 75 %.</w:t>
      </w:r>
    </w:p>
    <w:p>
      <w:pPr>
        <w:keepNext/>
        <w:keepLines/>
        <w:spacing w:after="40"/>
        <w:ind w:left="369" w:hanging="198"/>
      </w:pPr>
      <w:r>
        <w:rPr>
          <w:rFonts w:ascii="Arial" w:hAnsi="Arial" w:cs="Arial"/>
          <w:b w:val="0"/>
          <w:sz w:val="21"/>
        </w:rPr>
        <w:t>b) Sí, pero solo durante seis meses.</w:t>
      </w:r>
    </w:p>
    <w:p>
      <w:pPr>
        <w:keepNext/>
        <w:keepLines/>
        <w:spacing w:after="40"/>
        <w:ind w:left="369" w:hanging="198"/>
      </w:pPr>
      <w:r>
        <w:rPr>
          <w:rFonts w:ascii="Arial" w:hAnsi="Arial" w:cs="Arial"/>
          <w:b w:val="0"/>
          <w:sz w:val="21"/>
        </w:rPr>
        <w:t>c) No procede pensión alguna.</w:t>
      </w:r>
    </w:p>
    <w:p>
      <w:pPr>
        <w:keepNext/>
        <w:keepLines/>
        <w:spacing w:after="40"/>
        <w:ind w:left="369" w:hanging="198"/>
      </w:pPr>
      <w:r>
        <w:rPr>
          <w:rFonts w:ascii="Arial" w:hAnsi="Arial" w:cs="Arial"/>
          <w:b/>
          <w:sz w:val="21"/>
        </w:rPr>
        <w:t>d) No; además del grado igual o superior al 75 %, debe acreditarse necesidad de asistencia de otra persona.</w:t>
      </w:r>
    </w:p>
    <w:p>
      <w:pPr>
        <w:keepLines/>
        <w:spacing w:before="40" w:after="140"/>
        <w:ind w:left="198" w:right="113"/>
        <w:shd w:fill="F2F4F7"/>
      </w:pPr>
      <w:r>
        <w:rPr>
          <w:rFonts w:ascii="Arial" w:hAnsi="Arial" w:cs="Arial"/>
          <w:b/>
          <w:color w:val="1F4E79"/>
          <w:sz w:val="17"/>
        </w:rPr>
        <w:t xml:space="preserve">Justificación · dificultad ALTA · respuesta d): </w:t>
      </w:r>
      <w:r>
        <w:rPr>
          <w:rFonts w:ascii="Arial" w:hAnsi="Arial" w:cs="Arial"/>
          <w:color w:val="333333"/>
          <w:sz w:val="17"/>
        </w:rPr>
        <w:t>«No; además del grado igual o superior al 75 %, debe acreditarse necesidad de asistencia de otra persona.» es correcta porque coincide con TRLGSS, artículo 364.6. Las demás alternativas modifican, omiten o contradicen el dato jurídico aplicable.</w:t>
      </w:r>
    </w:p>
    <w:p>
      <w:pPr>
        <w:pStyle w:val="Question"/>
        <w:keepNext/>
      </w:pPr>
      <w:r>
        <w:rPr>
          <w:rFonts w:ascii="Arial" w:hAnsi="Arial" w:cs="Arial"/>
          <w:sz w:val="22"/>
        </w:rPr>
        <w:t>25. Nacen trillizos y uno de ellos tiene discapacidad igual o superior al 33 %. La prestación por parto múltiple equivale a:</w:t>
      </w:r>
    </w:p>
    <w:p>
      <w:pPr>
        <w:keepNext/>
        <w:keepLines/>
        <w:spacing w:after="40"/>
        <w:ind w:left="369" w:hanging="198"/>
      </w:pPr>
      <w:r>
        <w:rPr>
          <w:rFonts w:ascii="Arial" w:hAnsi="Arial" w:cs="Arial"/>
          <w:b/>
          <w:sz w:val="21"/>
        </w:rPr>
        <w:t>a) Doce veces el SMI mensual, porque el hijo con discapacidad computa doble y el total computable es cuatro.</w:t>
      </w:r>
    </w:p>
    <w:p>
      <w:pPr>
        <w:keepNext/>
        <w:keepLines/>
        <w:spacing w:after="40"/>
        <w:ind w:left="369" w:hanging="198"/>
      </w:pPr>
      <w:r>
        <w:rPr>
          <w:rFonts w:ascii="Arial" w:hAnsi="Arial" w:cs="Arial"/>
          <w:b w:val="0"/>
          <w:sz w:val="21"/>
        </w:rPr>
        <w:t>b) Ocho veces el SMI anual.</w:t>
      </w:r>
    </w:p>
    <w:p>
      <w:pPr>
        <w:keepNext/>
        <w:keepLines/>
        <w:spacing w:after="40"/>
        <w:ind w:left="369" w:hanging="198"/>
      </w:pPr>
      <w:r>
        <w:rPr>
          <w:rFonts w:ascii="Arial" w:hAnsi="Arial" w:cs="Arial"/>
          <w:b w:val="0"/>
          <w:sz w:val="21"/>
        </w:rPr>
        <w:t>c) Cuatro veces el SMI mensual.</w:t>
      </w:r>
    </w:p>
    <w:p>
      <w:pPr>
        <w:keepNext/>
        <w:keepLines/>
        <w:spacing w:after="40"/>
        <w:ind w:left="369" w:hanging="198"/>
      </w:pPr>
      <w:r>
        <w:rPr>
          <w:rFonts w:ascii="Arial" w:hAnsi="Arial" w:cs="Arial"/>
          <w:b w:val="0"/>
          <w:sz w:val="21"/>
        </w:rPr>
        <w:t>d) 1.000 euros por cada hijo.</w:t>
      </w:r>
    </w:p>
    <w:p>
      <w:pPr>
        <w:keepLines/>
        <w:spacing w:before="40" w:after="140"/>
        <w:ind w:left="198" w:right="113"/>
        <w:shd w:fill="F2F4F7"/>
      </w:pPr>
      <w:r>
        <w:rPr>
          <w:rFonts w:ascii="Arial" w:hAnsi="Arial" w:cs="Arial"/>
          <w:b/>
          <w:color w:val="1F4E79"/>
          <w:sz w:val="17"/>
        </w:rPr>
        <w:t xml:space="preserve">Justificación · dificultad ALTA · respuesta a): </w:t>
      </w:r>
      <w:r>
        <w:rPr>
          <w:rFonts w:ascii="Arial" w:hAnsi="Arial" w:cs="Arial"/>
          <w:color w:val="333333"/>
          <w:sz w:val="17"/>
        </w:rPr>
        <w:t>«Doce veces el SMI mensual, porque el hijo con discapacidad computa doble y el total computable es cuatro.» es correcta porque coincide con TRLGSS, artículos 359 y 360. Las demás alternativas modifican, omiten o contradicen el dato jurídico aplicable.</w:t>
      </w:r>
    </w:p>
    <w:p>
      <w:pPr>
        <w:pStyle w:val="Question"/>
        <w:keepNext/>
      </w:pPr>
      <w:r>
        <w:rPr>
          <w:rFonts w:ascii="Arial" w:hAnsi="Arial" w:cs="Arial"/>
          <w:sz w:val="22"/>
        </w:rPr>
        <w:t>26. Una persona percibe incapacidad no contributiva y cumple 65 años:</w:t>
      </w:r>
    </w:p>
    <w:p>
      <w:pPr>
        <w:keepNext/>
        <w:keepLines/>
        <w:spacing w:after="40"/>
        <w:ind w:left="369" w:hanging="198"/>
      </w:pPr>
      <w:r>
        <w:rPr>
          <w:rFonts w:ascii="Arial" w:hAnsi="Arial" w:cs="Arial"/>
          <w:b w:val="0"/>
          <w:sz w:val="21"/>
        </w:rPr>
        <w:t>a) Se extingue y debe esperar diez años para pedir otra pensión.</w:t>
      </w:r>
    </w:p>
    <w:p>
      <w:pPr>
        <w:keepNext/>
        <w:keepLines/>
        <w:spacing w:after="40"/>
        <w:ind w:left="369" w:hanging="198"/>
      </w:pPr>
      <w:r>
        <w:rPr>
          <w:rFonts w:ascii="Arial" w:hAnsi="Arial" w:cs="Arial"/>
          <w:b/>
          <w:sz w:val="21"/>
        </w:rPr>
        <w:t>b) Pasa a denominarse jubilación no contributiva sin alterar por ello sus condiciones ni cuantía.</w:t>
      </w:r>
    </w:p>
    <w:p>
      <w:pPr>
        <w:keepNext/>
        <w:keepLines/>
        <w:spacing w:after="40"/>
        <w:ind w:left="369" w:hanging="198"/>
      </w:pPr>
      <w:r>
        <w:rPr>
          <w:rFonts w:ascii="Arial" w:hAnsi="Arial" w:cs="Arial"/>
          <w:b w:val="0"/>
          <w:sz w:val="21"/>
        </w:rPr>
        <w:t>c) Se transforma automáticamente en jubilación contributiva.</w:t>
      </w:r>
    </w:p>
    <w:p>
      <w:pPr>
        <w:keepNext/>
        <w:keepLines/>
        <w:spacing w:after="40"/>
        <w:ind w:left="369" w:hanging="198"/>
      </w:pPr>
      <w:r>
        <w:rPr>
          <w:rFonts w:ascii="Arial" w:hAnsi="Arial" w:cs="Arial"/>
          <w:b w:val="0"/>
          <w:sz w:val="21"/>
        </w:rPr>
        <w:t>d) Se abona simultáneamente con una nueva PNC completa.</w:t>
      </w:r>
    </w:p>
    <w:p>
      <w:pPr>
        <w:keepLines/>
        <w:spacing w:before="40" w:after="140"/>
        <w:ind w:left="198" w:right="113"/>
        <w:shd w:fill="F2F4F7"/>
      </w:pPr>
      <w:r>
        <w:rPr>
          <w:rFonts w:ascii="Arial" w:hAnsi="Arial" w:cs="Arial"/>
          <w:b/>
          <w:color w:val="1F4E79"/>
          <w:sz w:val="17"/>
        </w:rPr>
        <w:t xml:space="preserve">Justificación · dificultad ALTA · respuesta b): </w:t>
      </w:r>
      <w:r>
        <w:rPr>
          <w:rFonts w:ascii="Arial" w:hAnsi="Arial" w:cs="Arial"/>
          <w:color w:val="333333"/>
          <w:sz w:val="17"/>
        </w:rPr>
        <w:t>«Pasa a denominarse jubilación no contributiva sin alterar por ello sus condiciones ni cuantía.» es correcta porque coincide con TRLGSS, artículo 367. Las demás alternativas modifican, omiten o contradicen el dato jurídico aplicable.</w:t>
      </w:r>
    </w:p>
    <w:p>
      <w:pPr>
        <w:pStyle w:val="Question"/>
        <w:keepNext/>
      </w:pPr>
      <w:r>
        <w:rPr>
          <w:rFonts w:ascii="Arial" w:hAnsi="Arial" w:cs="Arial"/>
          <w:sz w:val="22"/>
        </w:rPr>
        <w:t>27. Una familia solicita el pago único por nacimiento y sus ingresos superan el límite, pero no el límite incrementado en 1.000 euros. ¿Qué regla se aplica?</w:t>
      </w:r>
    </w:p>
    <w:p>
      <w:pPr>
        <w:keepNext/>
        <w:keepLines/>
        <w:spacing w:after="40"/>
        <w:ind w:left="369" w:hanging="198"/>
      </w:pPr>
      <w:r>
        <w:rPr>
          <w:rFonts w:ascii="Arial" w:hAnsi="Arial" w:cs="Arial"/>
          <w:b w:val="0"/>
          <w:sz w:val="21"/>
        </w:rPr>
        <w:t>a) Se deniega siempre por superar un céntimo el límite.</w:t>
      </w:r>
    </w:p>
    <w:p>
      <w:pPr>
        <w:keepNext/>
        <w:keepLines/>
        <w:spacing w:after="40"/>
        <w:ind w:left="369" w:hanging="198"/>
      </w:pPr>
      <w:r>
        <w:rPr>
          <w:rFonts w:ascii="Arial" w:hAnsi="Arial" w:cs="Arial"/>
          <w:b w:val="0"/>
          <w:sz w:val="21"/>
        </w:rPr>
        <w:t>b) Se pagan necesariamente los 1.000 euros íntegros.</w:t>
      </w:r>
    </w:p>
    <w:p>
      <w:pPr>
        <w:keepNext/>
        <w:keepLines/>
        <w:spacing w:after="40"/>
        <w:ind w:left="369" w:hanging="198"/>
      </w:pPr>
      <w:r>
        <w:rPr>
          <w:rFonts w:ascii="Arial" w:hAnsi="Arial" w:cs="Arial"/>
          <w:b/>
          <w:sz w:val="21"/>
        </w:rPr>
        <w:t>c) Puede abonarse la diferencia entre el límite incrementado y los ingresos, si el resultado alcanza diez euros.</w:t>
      </w:r>
    </w:p>
    <w:p>
      <w:pPr>
        <w:keepNext/>
        <w:keepLines/>
        <w:spacing w:after="40"/>
        <w:ind w:left="369" w:hanging="198"/>
      </w:pPr>
      <w:r>
        <w:rPr>
          <w:rFonts w:ascii="Arial" w:hAnsi="Arial" w:cs="Arial"/>
          <w:b w:val="0"/>
          <w:sz w:val="21"/>
        </w:rPr>
        <w:t>d) Se sustituye por cuatro veces el SMI.</w:t>
      </w:r>
    </w:p>
    <w:p>
      <w:pPr>
        <w:keepLines/>
        <w:spacing w:before="40" w:after="140"/>
        <w:ind w:left="198" w:right="113"/>
        <w:shd w:fill="F2F4F7"/>
      </w:pPr>
      <w:r>
        <w:rPr>
          <w:rFonts w:ascii="Arial" w:hAnsi="Arial" w:cs="Arial"/>
          <w:b/>
          <w:color w:val="1F4E79"/>
          <w:sz w:val="17"/>
        </w:rPr>
        <w:t xml:space="preserve">Justificación · dificultad ALTA · respuesta c): </w:t>
      </w:r>
      <w:r>
        <w:rPr>
          <w:rFonts w:ascii="Arial" w:hAnsi="Arial" w:cs="Arial"/>
          <w:color w:val="333333"/>
          <w:sz w:val="17"/>
        </w:rPr>
        <w:t>«Puede abonarse la diferencia entre el límite incrementado y los ingresos, si el resultado alcanza diez euros.» es correcta porque coincide con TRLGSS, artículo 358. Las demás alternativas modifican, omiten o contradicen el dato jurídico aplicable.</w:t>
      </w:r>
    </w:p>
    <w:p>
      <w:pPr>
        <w:pStyle w:val="Question"/>
        <w:keepNext/>
      </w:pPr>
      <w:r>
        <w:rPr>
          <w:rFonts w:ascii="Arial" w:hAnsi="Arial" w:cs="Arial"/>
          <w:sz w:val="22"/>
        </w:rPr>
        <w:t>28. ¿Cuál es el máximo del beneficio contributivo por cuidado de hijos o menores del artículo 236?</w:t>
      </w:r>
    </w:p>
    <w:p>
      <w:pPr>
        <w:keepNext/>
        <w:keepLines/>
        <w:spacing w:after="40"/>
        <w:ind w:left="369" w:hanging="198"/>
      </w:pPr>
      <w:r>
        <w:rPr>
          <w:rFonts w:ascii="Arial" w:hAnsi="Arial" w:cs="Arial"/>
          <w:b w:val="0"/>
          <w:sz w:val="21"/>
        </w:rPr>
        <w:t>a) 112 días por unidad familiar y sirve para completar carencia.</w:t>
      </w:r>
    </w:p>
    <w:p>
      <w:pPr>
        <w:keepNext/>
        <w:keepLines/>
        <w:spacing w:after="40"/>
        <w:ind w:left="369" w:hanging="198"/>
      </w:pPr>
      <w:r>
        <w:rPr>
          <w:rFonts w:ascii="Arial" w:hAnsi="Arial" w:cs="Arial"/>
          <w:b w:val="0"/>
          <w:sz w:val="21"/>
        </w:rPr>
        <w:t>b) Tres años por hijo sin límite total.</w:t>
      </w:r>
    </w:p>
    <w:p>
      <w:pPr>
        <w:keepNext/>
        <w:keepLines/>
        <w:spacing w:after="40"/>
        <w:ind w:left="369" w:hanging="198"/>
      </w:pPr>
      <w:r>
        <w:rPr>
          <w:rFonts w:ascii="Arial" w:hAnsi="Arial" w:cs="Arial"/>
          <w:b w:val="0"/>
          <w:sz w:val="21"/>
        </w:rPr>
        <w:t>c) 365 días por hijo, siempre completos.</w:t>
      </w:r>
    </w:p>
    <w:p>
      <w:pPr>
        <w:keepNext/>
        <w:keepLines/>
        <w:spacing w:after="40"/>
        <w:ind w:left="369" w:hanging="198"/>
      </w:pPr>
      <w:r>
        <w:rPr>
          <w:rFonts w:ascii="Arial" w:hAnsi="Arial" w:cs="Arial"/>
          <w:b/>
          <w:sz w:val="21"/>
        </w:rPr>
        <w:t>d) 270 días por hijo, sin superar la interrupción real ni cinco años por beneficiario, y no sirve para completar la carencia mínima.</w:t>
      </w:r>
    </w:p>
    <w:p>
      <w:pPr>
        <w:keepLines/>
        <w:spacing w:before="40" w:after="140"/>
        <w:ind w:left="198" w:right="113"/>
        <w:shd w:fill="F2F4F7"/>
      </w:pPr>
      <w:r>
        <w:rPr>
          <w:rFonts w:ascii="Arial" w:hAnsi="Arial" w:cs="Arial"/>
          <w:b/>
          <w:color w:val="1F4E79"/>
          <w:sz w:val="17"/>
        </w:rPr>
        <w:t xml:space="preserve">Justificación · dificultad ALTA · respuesta d): </w:t>
      </w:r>
      <w:r>
        <w:rPr>
          <w:rFonts w:ascii="Arial" w:hAnsi="Arial" w:cs="Arial"/>
          <w:color w:val="333333"/>
          <w:sz w:val="17"/>
        </w:rPr>
        <w:t>«270 días por hijo, sin superar la interrupción real ni cinco años por beneficiario, y no sirve para completar la carencia mínima.» es correcta porque coincide con TRLGSS, artículo 236. Las demás alternativas modifican, omiten o contradicen el dato jurídico aplicable.</w:t>
      </w:r>
    </w:p>
    <w:p>
      <w:pPr>
        <w:pStyle w:val="Question"/>
        <w:keepNext/>
      </w:pPr>
      <w:r>
        <w:rPr>
          <w:rFonts w:ascii="Arial" w:hAnsi="Arial" w:cs="Arial"/>
          <w:sz w:val="22"/>
        </w:rPr>
        <w:t>29. Fallece el titular del IMV de una unidad de convivencia. Otro miembro presenta solicitud dentro de los tres meses siguientes:</w:t>
      </w:r>
    </w:p>
    <w:p>
      <w:pPr>
        <w:keepNext/>
        <w:keepLines/>
        <w:spacing w:after="40"/>
        <w:ind w:left="369" w:hanging="198"/>
      </w:pPr>
      <w:r>
        <w:rPr>
          <w:rFonts w:ascii="Arial" w:hAnsi="Arial" w:cs="Arial"/>
          <w:b/>
          <w:sz w:val="21"/>
        </w:rPr>
        <w:t>a) El nuevo derecho puede producir efectos desde el primer día del mes siguiente al fallecimiento.</w:t>
      </w:r>
    </w:p>
    <w:p>
      <w:pPr>
        <w:keepNext/>
        <w:keepLines/>
        <w:spacing w:after="40"/>
        <w:ind w:left="369" w:hanging="198"/>
      </w:pPr>
      <w:r>
        <w:rPr>
          <w:rFonts w:ascii="Arial" w:hAnsi="Arial" w:cs="Arial"/>
          <w:b w:val="0"/>
          <w:sz w:val="21"/>
        </w:rPr>
        <w:t>b) La unidad queda excluida definitivamente del IMV.</w:t>
      </w:r>
    </w:p>
    <w:p>
      <w:pPr>
        <w:keepNext/>
        <w:keepLines/>
        <w:spacing w:after="40"/>
        <w:ind w:left="369" w:hanging="198"/>
      </w:pPr>
      <w:r>
        <w:rPr>
          <w:rFonts w:ascii="Arial" w:hAnsi="Arial" w:cs="Arial"/>
          <w:b w:val="0"/>
          <w:sz w:val="21"/>
        </w:rPr>
        <w:t>c) Los efectos solo pueden comenzar un año después.</w:t>
      </w:r>
    </w:p>
    <w:p>
      <w:pPr>
        <w:keepNext/>
        <w:keepLines/>
        <w:spacing w:after="40"/>
        <w:ind w:left="369" w:hanging="198"/>
      </w:pPr>
      <w:r>
        <w:rPr>
          <w:rFonts w:ascii="Arial" w:hAnsi="Arial" w:cs="Arial"/>
          <w:b w:val="0"/>
          <w:sz w:val="21"/>
        </w:rPr>
        <w:t>d) Se reconoce automáticamente sin nueva solicitud.</w:t>
      </w:r>
    </w:p>
    <w:p>
      <w:pPr>
        <w:keepLines/>
        <w:spacing w:before="40" w:after="140"/>
        <w:ind w:left="198" w:right="113"/>
        <w:shd w:fill="F2F4F7"/>
      </w:pPr>
      <w:r>
        <w:rPr>
          <w:rFonts w:ascii="Arial" w:hAnsi="Arial" w:cs="Arial"/>
          <w:b/>
          <w:color w:val="1F4E79"/>
          <w:sz w:val="17"/>
        </w:rPr>
        <w:t xml:space="preserve">Justificación · dificultad ALTA · respuesta a): </w:t>
      </w:r>
      <w:r>
        <w:rPr>
          <w:rFonts w:ascii="Arial" w:hAnsi="Arial" w:cs="Arial"/>
          <w:color w:val="333333"/>
          <w:sz w:val="17"/>
        </w:rPr>
        <w:t>«El nuevo derecho puede producir efectos desde el primer día del mes siguiente al fallecimiento.» es correcta porque coincide con Ley 19/2021, artículo 18. Las demás alternativas modifican, omiten o contradicen el dato jurídico aplicable.</w:t>
      </w:r>
    </w:p>
    <w:p>
      <w:pPr>
        <w:pStyle w:val="Question"/>
        <w:keepNext/>
      </w:pPr>
      <w:r>
        <w:rPr>
          <w:rFonts w:ascii="Arial" w:hAnsi="Arial" w:cs="Arial"/>
          <w:sz w:val="22"/>
        </w:rPr>
        <w:t>30. ¿Qué afirmación distingue correctamente actualización, reintegro y sanción en el IMV?</w:t>
      </w:r>
    </w:p>
    <w:p>
      <w:pPr>
        <w:keepNext/>
        <w:keepLines/>
        <w:spacing w:after="40"/>
        <w:ind w:left="369" w:hanging="198"/>
      </w:pPr>
      <w:r>
        <w:rPr>
          <w:rFonts w:ascii="Arial" w:hAnsi="Arial" w:cs="Arial"/>
          <w:b w:val="0"/>
          <w:sz w:val="21"/>
        </w:rPr>
        <w:t>a) Son tres nombres de una misma resolución.</w:t>
      </w:r>
    </w:p>
    <w:p>
      <w:pPr>
        <w:keepNext/>
        <w:keepLines/>
        <w:spacing w:after="40"/>
        <w:ind w:left="369" w:hanging="198"/>
      </w:pPr>
      <w:r>
        <w:rPr>
          <w:rFonts w:ascii="Arial" w:hAnsi="Arial" w:cs="Arial"/>
          <w:b/>
          <w:sz w:val="21"/>
        </w:rPr>
        <w:t>b) La actualización ajusta cuantías futuras, el reintegro recupera pagos indebidos y la sanción castiga una infracción; pueden concurrir.</w:t>
      </w:r>
    </w:p>
    <w:p>
      <w:pPr>
        <w:keepNext/>
        <w:keepLines/>
        <w:spacing w:after="40"/>
        <w:ind w:left="369" w:hanging="198"/>
      </w:pPr>
      <w:r>
        <w:rPr>
          <w:rFonts w:ascii="Arial" w:hAnsi="Arial" w:cs="Arial"/>
          <w:b w:val="0"/>
          <w:sz w:val="21"/>
        </w:rPr>
        <w:t>c) El reintegro solo existe si hubo delito.</w:t>
      </w:r>
    </w:p>
    <w:p>
      <w:pPr>
        <w:keepNext/>
        <w:keepLines/>
        <w:spacing w:after="40"/>
        <w:ind w:left="369" w:hanging="198"/>
      </w:pPr>
      <w:r>
        <w:rPr>
          <w:rFonts w:ascii="Arial" w:hAnsi="Arial" w:cs="Arial"/>
          <w:b w:val="0"/>
          <w:sz w:val="21"/>
        </w:rPr>
        <w:t>d) La actualización impide reclamar cantidades anteriores.</w:t>
      </w:r>
    </w:p>
    <w:p>
      <w:pPr>
        <w:keepLines/>
        <w:spacing w:before="40" w:after="140"/>
        <w:ind w:left="198" w:right="113"/>
        <w:shd w:fill="F2F4F7"/>
      </w:pPr>
      <w:r>
        <w:rPr>
          <w:rFonts w:ascii="Arial" w:hAnsi="Arial" w:cs="Arial"/>
          <w:b/>
          <w:color w:val="1F4E79"/>
          <w:sz w:val="17"/>
        </w:rPr>
        <w:t xml:space="preserve">Justificación · dificultad ALTA · respuesta b): </w:t>
      </w:r>
      <w:r>
        <w:rPr>
          <w:rFonts w:ascii="Arial" w:hAnsi="Arial" w:cs="Arial"/>
          <w:color w:val="333333"/>
          <w:sz w:val="17"/>
        </w:rPr>
        <w:t>«La actualización ajusta cuantías futuras, el reintegro recupera pagos indebidos y la sanción castiga una infracción; pueden concurrir.» es correcta porque coincide con Ley 19/2021, artículos 16, 19 y 34. Las demás alternativas modifican, omiten o contradicen el dato jurídico aplicable.</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Test S12 · Tema 12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Tema 12. Prestaciones no contributivas y asistenciales. El ingreso mínimo vital - beneficiarios, requisitos y duración. Obligaciones de las pers…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