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02 · básico-medio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la cooperación leal obliga a los Estados miembros, entre otras cosas,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Renunciar a toda competencia compartida.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Adoptar las medidas apropiadas para asegurar el cumplimiento de las obligaciones de los Tratados y actos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Aplicar únicamente actos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Consultar al Parlamento Europeo antes de aprobar cualquier ley.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la Tesorería General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colaboradora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colegiado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Subdirección General de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servicio común con personalidad jurídica propia en el que se unifican los recursos conforme a la caja única.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un ajuste razonable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adaptación general que siempre debe existir desde el diseño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ayuda voluntaria que puede rechazarse sin motivo.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medida, aunque imponga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modificación necesaria y adecuada para un caso particular que no imponga carga desproporcionada o indebida.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un tercero formula tercería de dominio cuando el bien mueble embargado ya fue entregado al adjudicatario. La reclamación: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estimarse sin examinar el título.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todos los expedientes de la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tramita como aplazamiento.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se admite por haberse presentado después del momento límite reglamentario, sin perjuicio de las acciones que procedan.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los rendimientos de la cuenta y de los activos del Fondo de Reserva: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reparten entre las entidades gestoras.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integran automáticamente en el Fondo.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destinan necesariamente a prestaciones no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Requieren una ley singular para cada ingreso.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la revisión de oficio de una disposición nula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se interponga previamente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plazo máximo de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Aprobación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puede dictarse providencia sin reclamación de deuda ni acta previa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deuda depende de hechos no comprobados y nunca fue liquidada.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Falta toda identificación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dejaron de ingresar cuotas de trabajadores en alta correctamente liquidadas mediante los sistemas o documentos presentados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un aplazamiento vigente y cumplido.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¿Cuál es una causa legal de nombramiento de funcionario interino?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confianza personal de un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exceso o acumulación de tareas durante un máximo de nueve meses dentro de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necesidad sin justificar.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promoción profesional del aspirante.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la Intervención General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ordinariamente pensiones de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Gestiona como mutua las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órgano de control interno y dirección contable, con dependencia funcional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una entidad gestora enumerada en el artículo 66.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la carrera horizontal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Progresar de grado, categoría o concepto análogo sin necesidad de cambiar de puesto.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Acceder a un cuerpo de subgrupo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Cambiar de puesto mediante concurso.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un cuerpo distinto del mismo subgrupo.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una persona huérfana de 23 años que no está incapacitada puede conservar la pensión: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Siempre, cualquiera que sea su renta, hasta los 30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si percibe además una pensión de viudedad.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si el causante falleció por accidente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 no trabaja o si sus ingresos de trabajo son inferiores al SMI anual, hasta el límite legal de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los activos del Fondo de Reserva se materializan: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en acciones de sociedades privadas.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inmuebles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títulos emitidos por personas jurídicas públicas, conforme a los criterios legales y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préstamos personales a pensionistas.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la convalidación: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en válido cualquier acto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siempre efectos desde la fecha del acto original.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acordarla un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Permite subsanar los vicios de los actos anulables.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una enfermedad no incluida en el cuadro profesional puede ser accidente de trabajo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 la califica como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Ocurre durante vacaciones.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Existe cualquier relación temporal con el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prueba que el trabajo fue su causa exclusiva.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contra una disposición administrativa de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cabe recurso en vía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Procede reposición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cabe recurso extraordinario de revisión.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¿Quién está obligado, en todo caso, a relacionarse electrónicamente para los trámites del procedimiento?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persona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física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quienes residan en el extranjero.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personas jurídicas.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los recursos administrativos ordinarios permiten: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Revisar únicamente disposiciones reglamentarias.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en todo caso el proceso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Impugnar resoluciones y determinados actos de trámite ante la propia Administración por motivos de nulidad o anulabilidad.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Reclamar exclusivamente daños patrimoniales.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el plazo del trámite de audiencia será: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inferior a diez ni superior a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superior a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Entre cinco y diez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el derecho de supresión no obliga a borrar cuando el tratamiento es 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publicidad no consentida.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Porque el responsable quiere conservar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Para formular, ejercer o defender reclamaciones.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una finalidad incompatible sin base.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con carácter general, debe elaborar y aplicar un plan de igualdad la empresa que tenga: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Cincuenta o más personas trabajadoras.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Más de cincuenta, quedando excluida la de cincuenta exactas.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Más de cien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número, sin excepción.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la detención preventiva ordinaria no puede superar: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Setenta y dos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Cuarenta y ocho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para las otras tres causas del recurso extraordinario de revisión, el plazo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la firmeza administrativa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 desde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el conocimiento de los documentos o desde que la sentencia judicial quedó firme, según proceda.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desde la publicación del acto.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antes de un tratamiento que probablemente entrañe alto riesgo debe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evaluación de impacto relativa a la protección de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autorización judicial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encuesta de satisfacción.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destrucción de todos los datos.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el derecho al IMV nace,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primer día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primer día del mes siguiente al de presentación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 de enero del ejercicio posterior.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remisión de un expediente electrónico debe acompañarse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nota personal del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índice electrónico autenticado.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correo sin autenticación.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copia en papel de todos los borradores.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una persona física no obligada cambia del canal electrónico al no electrónico. Según el Reglamento, el cambio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quinto día hábil siguiente a aquel en que el órgano competente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minuto en que lo comunica.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al finalizar el procedimiento.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Deberse solo a una jornada extensa.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Encajar en actividad y agente del cuadro oficial.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la mayoría simple del Consejo, con la composición actual,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14 de los 27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15 Estados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Estados.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¿Qué regla de exención de garantía resulta aplicable a los aplazamientos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deuda inferior a 500.000 euros queda exenta sin condiciones.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quedan exentas las deudas inferiores a 30.000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deuda exactamente igual a 250.000 euros queda exenta si se abona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se exige garantía si la deuda aplazable es igual o inferior a 150.000 euros; también puede eximirse si es inferior a 250.000 euros y se paga al menos un tercio en diez días y el resto en dos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¿Qué mayoría exige la aprobación, modificación o derogación de una ley orgánica?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 del Senado en primera votación.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Congreso en una votación final sobre el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 del Congreso y del Senado en sesión conjunta.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 advertencia y el transcurso de tres meses sin realizar la actividad necesaria.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basarse en cualquier trámite no esencial.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Régimen Especial de la Minería del Carbón.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cuando la lesión tiene origen inmediato y directo en un órgano judicial,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Treinta días desde la notificación de la resolución recaída en el proceso.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desde la actuación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firmeza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que se denunció la lesión.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Administración General del Estado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Organización central, organización territorial y Administración General del Estado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ministerios y sus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Organización central, comunidades autónomas y entidades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Gobierno, Cortes Generales y Poder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la reposición potestativa se interpone y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órgano autor, pero la resuelve su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y por el mismo órgano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órgano consultivo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juzgado que vaya a conocer del recurso judicial.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modalidad contributiva puede mejorarse voluntariamente: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Mediante cualquier pacto que sustituya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la forma y condiciones previstas para 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una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límite mediante convenio colectivo.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o superior al 65 %.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Exactamente del 75 %.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protege la inviolabilidad parlamentaria?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Frente a cualquier responsabilidad por cualquier acto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Frente a la detención, salvo autorización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derecho a conservar el escaño tras la disolución.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opiniones manifestadas en el ejercicio de las funciones parlamentarias.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en la vía ordinaria del artículo 143, la iniciativa autonómica correspondía, además de a las Diputaciones u órgano interinsular: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tres cuartas partes de los municipios que representaran dos tercios de la población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dos terceras partes de los municipios cuya población representara al menos la mayoría del censo electoral de cada provincia o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mayoría simple de municipios, sin requisito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los diputados y senadores elegidos en el territorio.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en las relaciones internacionales, ¿qué representación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más alta representación del Estado español, especialmente con las naciones de su comunidad histórica.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dirección ordinaria de la política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presidencia permanente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negociación exclusiva de todos los tratados.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¿Qué Salas integran un Tribunal Superior de Justicia?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Militar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Apelación, Penal y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Civil y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Civil, Instrucción y Penal.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Premiar una carrera mínima de quince años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Garantizar un nivel mínimo de renta a personas solas o unidades de convivencia en situación de vulnerabilidad económica.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entidad funeraria aunque nadie haya abonado el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quien haya soportado los gastos del sepelio, con las presunciones legales de pago.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el TRLGSS vigente fue aprobado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8/2015.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Real Decreto Legislativo 8/2015, de 30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Real Decreto 8/2015, de 1 de enero.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Ley 8/1980.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subdirector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conforme al artículo 8 TREBEP, son empleados públicos quienes: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Colaboran ocasionalmente con una Administración, aunque no reciban retribución.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Desempeñan funciones retribuidas en las Administraciones Públicas al servicio de los intereses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Trabajan para cualquier contratista del sector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Ejercen únicamente potestades públicas con carácter permanente.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la Intervención General de la Seguridad Social depende funcionalmente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Intervención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de Inclusión.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en IT común ordinaria, el porcentaje desde el día 4 hasta el 20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60 por ciento de la base reguladora.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a los municipios con población superior a 5.000 habitantes se les añaden como servicios mínimos: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Protección civil, bomberos y transporte colectivo.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Parque público, biblioteca pública y tratamiento de residuos.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Medio ambiente urbano y atención social inmediata.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Policía local, mercado y cementerio.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la cotización adicional por horas extraordinarias debidas a fuerza mayor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14 por ciento, repartido 12 empresarial y 2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por ciento, íntegramente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14 por ciento, íntegramente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7,05 por ciento, repartido 5,50 y 1,55.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A efectos de aplicar correctamente la regla examinada,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los principios generales del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aplican en defecto de ley o costumbre y, además, informan el ordenamiento.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aplican si una ley los enumera.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Derogan por sí mismos cualquier ley que se considere injusta.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simples recomendaciones doctrinales.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de la Subdirección General de la Ciudadanía Española en el Exterior y Políticas de Retorno depende: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Oficina de Asilo y Refugio.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Gerencia de Informática.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División de Emigrantes Retornados.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 de agosto de 2024, solicitables desde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 de marzo de 2019.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A efectos de aplicar correctamente la regla examinada,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el Gobierno responde solidariamente de su gestión política: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Congreso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Tribunal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¿En qué plazo debe el Rey sancionar las leyes aprobadas por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quince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Comisión General de Secretarios de Estado y Subsecretarios: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aprobar decretos-leyes por delegación.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una Comisión Delegada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Examina, con las excepciones legales, los asuntos que se someterán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Está presidida necesariamente por el presidente del Gobierno.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 prestación por parto o adopción múltiples: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siempre que la familia sea numerosa.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reconoce por cuatro o más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una cuantía fija de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calcula multiplicando el SMI mensual por 4, 8 o 12 según el número computable de hijos.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una particularidad de la cotización en el Régimen Especial de la Minería del Carbón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inexistencia de cotización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libre de base por cada trabajador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aplicación del sistema de rendimientos netos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utilización de bases normalizadas por categorías o especialidades profesionales en los términos fijados anualmente.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la gestión y administración ordinaria de las prestaciones económicas del sistema, salvo las atribuidas a otra entidad,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DGOSS.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¿Cuánto puede anticiparse, como máximo, la jubilación por causa no imputable al trabajador?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 respecto de la edad ordinaria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es dato personal: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la información secreta.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nombre y DNI.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información sobre una persona física identificada o identificable.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dato relativo a una sociedad mercantil como tal.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cuando el causante estaba en alta y fallece por enfermedad común no sobrevenida tras accidente: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180 días dentro del año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se exige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exigen, con carácter general, 500 días cotizados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quince años en todo caso.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la adscripción de un inmueble a una entidad gestora: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Transmite definitivamente el dominio.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Atribuye uso y funciones de administración, pero mantiene la titularidad en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el bien en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a la entidad usuaria administrarlo.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¿Cuál es el plazo ordinario para interponer el recurso de inconstitucionalidad desde la publicación de la norma?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el título I de la Constitución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artículos 10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artículos 1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artículos 14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10 a 54.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Administración de la Tesorería General debe informar y proponer resolución sin atribuir al INSS funciones de la TGSS ni a la inversa.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las mutuas colaboradoras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Entidades gestoras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Sociedades aseguradoras que reparten cuotas como beneficios.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Órganos dependientes de los ayuntamientos.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Asociaciones privadas de empresarios sin ánimo de lucro que colaboran bajo tutela pública.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si la suspensión del IMV se mantiene durante un año: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derecho se extingue.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reanuda automáticamente sin comprobar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en jubilación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duplica la deuda por reintegro.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la opción del interesado por la pensión que había quedado suspendida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primer día del mes siguiente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reconocimiento.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último día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después.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a efectos del orden subsidiario de embargo, se considera realizable a corto plazo el crédito que puede hacerse efectivo en un plazo no superior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la cotización del mecanismo de equidad intergeneracional: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por sí misma una pensión adicional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carácter finalista, nutre el Fondo de Reserva y no genera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ingresa en el patrimonio de cada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bonificarse libremente por convenio colectivo.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Mientras subsistan los motivos que dieron lugar a su concesión y se cumplan requisitos y obligaciones.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la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si la enfermedad común causante de la muerte era anterior al matrimonio y este duró menos de un año, puede salvarse el requisito adicional, entre otros supuestos,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Existen hijos comunes o la convivencia previa sumada al matrimonio supera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superviviente tiene cualquier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se celebró por poderes.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causante había cotizado un solo día.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el sistema de liquidación simplificada se aplica, entre otros,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empresa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administraciones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accidentes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Cuotas del RETA y convenios especiales en los términos legales.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¿Qué conjunto recoge los tres órganos específicos de gobernanza del Fondo de Reserva?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IMSERSO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Congreso, Senado y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Comité de Gestión, Comisión Asesora de Inversiones y Comisión de Seguimiento.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Consejo Económico y Social, Banco de España e Intervención.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la compatibilidad del IMV con rentas del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prohibida en todos los 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automáticamente el IMV en una prestación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cualquier revisión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posible en los términos del incentivo reglamentario, sin eliminar las obligaciones de comunicación y regularización.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El Sistema Especial para Empleados de Hogar: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régimen especial independiente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 parte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Está integrado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Pertenece al Régimen Especial de los Trabajadores del Mar.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Agencia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mutua o entidad con la que se cubren los riesgos profesionales.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02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02 - básico-medio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