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04 · básico-medio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básico-medio</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Conforme al ordenamiento vigente a la fecha de corte, en un procedimiento sancionador iniciado de oficio, el vencimiento del plazo máximo sin resolución notificada produce:</w:t>
      </w:r>
    </w:p>
    <w:p>
      <w:pPr>
        <w:keepNext/>
        <w:keepLines/>
        <w:spacing w:after="40"/>
        <w:ind w:left="369" w:hanging="198"/>
      </w:pPr>
      <w:r>
        <w:rPr>
          <w:rFonts w:ascii="Arial" w:hAnsi="Arial" w:cs="Arial"/>
          <w:b w:val="0"/>
          <w:sz w:val="21"/>
        </w:rPr>
        <w:t>A) Caducidad y archivo de las actuaciones.</w:t>
      </w:r>
    </w:p>
    <w:p>
      <w:pPr>
        <w:keepNext/>
        <w:keepLines/>
        <w:spacing w:after="40"/>
        <w:ind w:left="369" w:hanging="198"/>
      </w:pPr>
      <w:r>
        <w:rPr>
          <w:rFonts w:ascii="Arial" w:hAnsi="Arial" w:cs="Arial"/>
          <w:b w:val="0"/>
          <w:sz w:val="21"/>
        </w:rPr>
        <w:t>B) Estimación de la posición administrativa.</w:t>
      </w:r>
    </w:p>
    <w:p>
      <w:pPr>
        <w:keepNext/>
        <w:keepLines/>
        <w:spacing w:after="40"/>
        <w:ind w:left="369" w:hanging="198"/>
      </w:pPr>
      <w:r>
        <w:rPr>
          <w:rFonts w:ascii="Arial" w:hAnsi="Arial" w:cs="Arial"/>
          <w:b w:val="0"/>
          <w:sz w:val="21"/>
        </w:rPr>
        <w:t>C) Una sanción presunta.</w:t>
      </w:r>
    </w:p>
    <w:p>
      <w:pPr>
        <w:keepNext/>
        <w:keepLines/>
        <w:spacing w:after="40"/>
        <w:ind w:left="369" w:hanging="198"/>
      </w:pPr>
      <w:r>
        <w:rPr>
          <w:rFonts w:ascii="Arial" w:hAnsi="Arial" w:cs="Arial"/>
          <w:b w:val="0"/>
          <w:sz w:val="21"/>
        </w:rPr>
        <w:t>D) Conversión en procedimiento a solicitud.</w:t>
      </w:r>
    </w:p>
    <w:p>
      <w:pPr>
        <w:pStyle w:val="Question"/>
        <w:keepNext/>
      </w:pPr>
      <w:r>
        <w:rPr>
          <w:rFonts w:ascii="Arial" w:hAnsi="Arial" w:cs="Arial"/>
          <w:sz w:val="22"/>
        </w:rPr>
        <w:t>2. A efectos de aplicar correctamente la regla examinada, en 2026, ¿qué edad ordinaria corresponde a quien acredita 38 años y 3 meses cotizados?</w:t>
      </w:r>
    </w:p>
    <w:p>
      <w:pPr>
        <w:keepNext/>
        <w:keepLines/>
        <w:spacing w:after="40"/>
        <w:ind w:left="369" w:hanging="198"/>
      </w:pPr>
      <w:r>
        <w:rPr>
          <w:rFonts w:ascii="Arial" w:hAnsi="Arial" w:cs="Arial"/>
          <w:b w:val="0"/>
          <w:sz w:val="21"/>
        </w:rPr>
        <w:t>A) 64 años.</w:t>
      </w:r>
    </w:p>
    <w:p>
      <w:pPr>
        <w:keepNext/>
        <w:keepLines/>
        <w:spacing w:after="40"/>
        <w:ind w:left="369" w:hanging="198"/>
      </w:pPr>
      <w:r>
        <w:rPr>
          <w:rFonts w:ascii="Arial" w:hAnsi="Arial" w:cs="Arial"/>
          <w:b w:val="0"/>
          <w:sz w:val="21"/>
        </w:rPr>
        <w:t>B) 66 años y 8 meses.</w:t>
      </w:r>
    </w:p>
    <w:p>
      <w:pPr>
        <w:keepNext/>
        <w:keepLines/>
        <w:spacing w:after="40"/>
        <w:ind w:left="369" w:hanging="198"/>
      </w:pPr>
      <w:r>
        <w:rPr>
          <w:rFonts w:ascii="Arial" w:hAnsi="Arial" w:cs="Arial"/>
          <w:b w:val="0"/>
          <w:sz w:val="21"/>
        </w:rPr>
        <w:t>C) 65 años.</w:t>
      </w:r>
    </w:p>
    <w:p>
      <w:pPr>
        <w:keepNext/>
        <w:keepLines/>
        <w:spacing w:after="40"/>
        <w:ind w:left="369" w:hanging="198"/>
      </w:pPr>
      <w:r>
        <w:rPr>
          <w:rFonts w:ascii="Arial" w:hAnsi="Arial" w:cs="Arial"/>
          <w:b w:val="0"/>
          <w:sz w:val="21"/>
        </w:rPr>
        <w:t>D) 66 años y 10 meses.</w:t>
      </w:r>
    </w:p>
    <w:p>
      <w:pPr>
        <w:pStyle w:val="Question"/>
        <w:keepNext/>
      </w:pPr>
      <w:r>
        <w:rPr>
          <w:rFonts w:ascii="Arial" w:hAnsi="Arial" w:cs="Arial"/>
          <w:sz w:val="22"/>
        </w:rPr>
        <w:t>3. Conforme al ordenamiento vigente a la fecha de corte, un dato seudonimizado:</w:t>
      </w:r>
    </w:p>
    <w:p>
      <w:pPr>
        <w:keepNext/>
        <w:keepLines/>
        <w:spacing w:after="40"/>
        <w:ind w:left="369" w:hanging="198"/>
      </w:pPr>
      <w:r>
        <w:rPr>
          <w:rFonts w:ascii="Arial" w:hAnsi="Arial" w:cs="Arial"/>
          <w:b w:val="0"/>
          <w:sz w:val="21"/>
        </w:rPr>
        <w:t>A) Ha quedado siempre fuera del RGPD.</w:t>
      </w:r>
    </w:p>
    <w:p>
      <w:pPr>
        <w:keepNext/>
        <w:keepLines/>
        <w:spacing w:after="40"/>
        <w:ind w:left="369" w:hanging="198"/>
      </w:pPr>
      <w:r>
        <w:rPr>
          <w:rFonts w:ascii="Arial" w:hAnsi="Arial" w:cs="Arial"/>
          <w:b w:val="0"/>
          <w:sz w:val="21"/>
        </w:rPr>
        <w:t>B) Es idéntico a un dato anónimo irreversible.</w:t>
      </w:r>
    </w:p>
    <w:p>
      <w:pPr>
        <w:keepNext/>
        <w:keepLines/>
        <w:spacing w:after="40"/>
        <w:ind w:left="369" w:hanging="198"/>
      </w:pPr>
      <w:r>
        <w:rPr>
          <w:rFonts w:ascii="Arial" w:hAnsi="Arial" w:cs="Arial"/>
          <w:b w:val="0"/>
          <w:sz w:val="21"/>
        </w:rPr>
        <w:t>C) Puede divulgarse libremente.</w:t>
      </w:r>
    </w:p>
    <w:p>
      <w:pPr>
        <w:keepNext/>
        <w:keepLines/>
        <w:spacing w:after="40"/>
        <w:ind w:left="369" w:hanging="198"/>
      </w:pPr>
      <w:r>
        <w:rPr>
          <w:rFonts w:ascii="Arial" w:hAnsi="Arial" w:cs="Arial"/>
          <w:b w:val="0"/>
          <w:sz w:val="21"/>
        </w:rPr>
        <w:t>D) Sigue siendo personal si puede atribuirse a alguien usando información adicional.</w:t>
      </w:r>
    </w:p>
    <w:p>
      <w:pPr>
        <w:pStyle w:val="Question"/>
        <w:keepNext/>
      </w:pPr>
      <w:r>
        <w:rPr>
          <w:rFonts w:ascii="Arial" w:hAnsi="Arial" w:cs="Arial"/>
          <w:sz w:val="22"/>
        </w:rPr>
        <w:t>4. En una comprobación jurídica del expediente, la remisión de un expediente electrónico debe acompañarse de:</w:t>
      </w:r>
    </w:p>
    <w:p>
      <w:pPr>
        <w:keepNext/>
        <w:keepLines/>
        <w:spacing w:after="40"/>
        <w:ind w:left="369" w:hanging="198"/>
      </w:pPr>
      <w:r>
        <w:rPr>
          <w:rFonts w:ascii="Arial" w:hAnsi="Arial" w:cs="Arial"/>
          <w:b w:val="0"/>
          <w:sz w:val="21"/>
        </w:rPr>
        <w:t>A) Una nota personal del instructor.</w:t>
      </w:r>
    </w:p>
    <w:p>
      <w:pPr>
        <w:keepNext/>
        <w:keepLines/>
        <w:spacing w:after="40"/>
        <w:ind w:left="369" w:hanging="198"/>
      </w:pPr>
      <w:r>
        <w:rPr>
          <w:rFonts w:ascii="Arial" w:hAnsi="Arial" w:cs="Arial"/>
          <w:b w:val="0"/>
          <w:sz w:val="21"/>
        </w:rPr>
        <w:t>B) Un índice electrónico autenticado.</w:t>
      </w:r>
    </w:p>
    <w:p>
      <w:pPr>
        <w:keepNext/>
        <w:keepLines/>
        <w:spacing w:after="40"/>
        <w:ind w:left="369" w:hanging="198"/>
      </w:pPr>
      <w:r>
        <w:rPr>
          <w:rFonts w:ascii="Arial" w:hAnsi="Arial" w:cs="Arial"/>
          <w:b w:val="0"/>
          <w:sz w:val="21"/>
        </w:rPr>
        <w:t>C) Un correo sin autenticación.</w:t>
      </w:r>
    </w:p>
    <w:p>
      <w:pPr>
        <w:keepNext/>
        <w:keepLines/>
        <w:spacing w:after="40"/>
        <w:ind w:left="369" w:hanging="198"/>
      </w:pPr>
      <w:r>
        <w:rPr>
          <w:rFonts w:ascii="Arial" w:hAnsi="Arial" w:cs="Arial"/>
          <w:b w:val="0"/>
          <w:sz w:val="21"/>
        </w:rPr>
        <w:t>D) Una copia en papel de todos los borradores.</w:t>
      </w:r>
    </w:p>
    <w:p>
      <w:pPr>
        <w:pStyle w:val="Question"/>
        <w:keepNext/>
      </w:pPr>
      <w:r>
        <w:rPr>
          <w:rFonts w:ascii="Arial" w:hAnsi="Arial" w:cs="Arial"/>
          <w:sz w:val="22"/>
        </w:rPr>
        <w:t>5. Conforme al ordenamiento vigente a la fecha de corte, ¿Qué artículos integran el título II de la Constitución, dedicado a la Corona?</w:t>
      </w:r>
    </w:p>
    <w:p>
      <w:pPr>
        <w:keepNext/>
        <w:keepLines/>
        <w:spacing w:after="40"/>
        <w:ind w:left="369" w:hanging="198"/>
      </w:pPr>
      <w:r>
        <w:rPr>
          <w:rFonts w:ascii="Arial" w:hAnsi="Arial" w:cs="Arial"/>
          <w:b w:val="0"/>
          <w:sz w:val="21"/>
        </w:rPr>
        <w:t>A) Del 55 al 64.</w:t>
      </w:r>
    </w:p>
    <w:p>
      <w:pPr>
        <w:keepNext/>
        <w:keepLines/>
        <w:spacing w:after="40"/>
        <w:ind w:left="369" w:hanging="198"/>
      </w:pPr>
      <w:r>
        <w:rPr>
          <w:rFonts w:ascii="Arial" w:hAnsi="Arial" w:cs="Arial"/>
          <w:b w:val="0"/>
          <w:sz w:val="21"/>
        </w:rPr>
        <w:t>B) Del 56 al 65.</w:t>
      </w:r>
    </w:p>
    <w:p>
      <w:pPr>
        <w:keepNext/>
        <w:keepLines/>
        <w:spacing w:after="40"/>
        <w:ind w:left="369" w:hanging="198"/>
      </w:pPr>
      <w:r>
        <w:rPr>
          <w:rFonts w:ascii="Arial" w:hAnsi="Arial" w:cs="Arial"/>
          <w:b w:val="0"/>
          <w:sz w:val="21"/>
        </w:rPr>
        <w:t>C) Del 56 al 66.</w:t>
      </w:r>
    </w:p>
    <w:p>
      <w:pPr>
        <w:keepNext/>
        <w:keepLines/>
        <w:spacing w:after="40"/>
        <w:ind w:left="369" w:hanging="198"/>
      </w:pPr>
      <w:r>
        <w:rPr>
          <w:rFonts w:ascii="Arial" w:hAnsi="Arial" w:cs="Arial"/>
          <w:b w:val="0"/>
          <w:sz w:val="21"/>
        </w:rPr>
        <w:t>D) Del 57 al 65.</w:t>
      </w:r>
    </w:p>
    <w:p>
      <w:pPr>
        <w:pStyle w:val="Question"/>
        <w:keepNext/>
      </w:pPr>
      <w:r>
        <w:rPr>
          <w:rFonts w:ascii="Arial" w:hAnsi="Arial" w:cs="Arial"/>
          <w:sz w:val="22"/>
        </w:rPr>
        <w:t>6. A efectos de aplicar correctamente la regla examinada, ¿Cuál es el plazo ordinario para interponer el recurso de inconstitucionalidad desde la publicación de la norma?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7. Conforme al ordenamiento vigente a la fecha de corte, el artículo 49 de la Constitución vigente establece que las personas con discapacidad:</w:t>
      </w:r>
    </w:p>
    <w:p>
      <w:pPr>
        <w:keepNext/>
        <w:keepLines/>
        <w:spacing w:after="40"/>
        <w:ind w:left="369" w:hanging="198"/>
      </w:pPr>
      <w:r>
        <w:rPr>
          <w:rFonts w:ascii="Arial" w:hAnsi="Arial" w:cs="Arial"/>
          <w:b w:val="0"/>
          <w:sz w:val="21"/>
        </w:rPr>
        <w:t>A) Ejercen los derechos del título I en condiciones de libertad e igualdad reales y efectivas.</w:t>
      </w:r>
    </w:p>
    <w:p>
      <w:pPr>
        <w:keepNext/>
        <w:keepLines/>
        <w:spacing w:after="40"/>
        <w:ind w:left="369" w:hanging="198"/>
      </w:pPr>
      <w:r>
        <w:rPr>
          <w:rFonts w:ascii="Arial" w:hAnsi="Arial" w:cs="Arial"/>
          <w:b w:val="0"/>
          <w:sz w:val="21"/>
        </w:rPr>
        <w:t>B) Ejercen derechos únicamente mediante representación.</w:t>
      </w:r>
    </w:p>
    <w:p>
      <w:pPr>
        <w:keepNext/>
        <w:keepLines/>
        <w:spacing w:after="40"/>
        <w:ind w:left="369" w:hanging="198"/>
      </w:pPr>
      <w:r>
        <w:rPr>
          <w:rFonts w:ascii="Arial" w:hAnsi="Arial" w:cs="Arial"/>
          <w:b w:val="0"/>
          <w:sz w:val="21"/>
        </w:rPr>
        <w:t>C) Solo tienen derechos de contenido social.</w:t>
      </w:r>
    </w:p>
    <w:p>
      <w:pPr>
        <w:keepNext/>
        <w:keepLines/>
        <w:spacing w:after="40"/>
        <w:ind w:left="369" w:hanging="198"/>
      </w:pPr>
      <w:r>
        <w:rPr>
          <w:rFonts w:ascii="Arial" w:hAnsi="Arial" w:cs="Arial"/>
          <w:b w:val="0"/>
          <w:sz w:val="21"/>
        </w:rPr>
        <w:t>D) Deben usar siempre canales especiales separados.</w:t>
      </w:r>
    </w:p>
    <w:p>
      <w:pPr>
        <w:pStyle w:val="Question"/>
        <w:keepNext/>
      </w:pPr>
      <w:r>
        <w:rPr>
          <w:rFonts w:ascii="Arial" w:hAnsi="Arial" w:cs="Arial"/>
          <w:sz w:val="22"/>
        </w:rPr>
        <w:t>8. Conforme al ordenamiento vigente a la fecha de corte, un trabajador mensual cobra 1.800 euros y dos pagas extra anuales de 1.800. Antes de otros conceptos y límites, su base mensual es:</w:t>
      </w:r>
    </w:p>
    <w:p>
      <w:pPr>
        <w:keepNext/>
        <w:keepLines/>
        <w:spacing w:after="40"/>
        <w:ind w:left="369" w:hanging="198"/>
      </w:pPr>
      <w:r>
        <w:rPr>
          <w:rFonts w:ascii="Arial" w:hAnsi="Arial" w:cs="Arial"/>
          <w:b w:val="0"/>
          <w:sz w:val="21"/>
        </w:rPr>
        <w:t>A) 1.800 euros.</w:t>
      </w:r>
    </w:p>
    <w:p>
      <w:pPr>
        <w:keepNext/>
        <w:keepLines/>
        <w:spacing w:after="40"/>
        <w:ind w:left="369" w:hanging="198"/>
      </w:pPr>
      <w:r>
        <w:rPr>
          <w:rFonts w:ascii="Arial" w:hAnsi="Arial" w:cs="Arial"/>
          <w:b w:val="0"/>
          <w:sz w:val="21"/>
        </w:rPr>
        <w:t>B) 3.600 euros.</w:t>
      </w:r>
    </w:p>
    <w:p>
      <w:pPr>
        <w:keepNext/>
        <w:keepLines/>
        <w:spacing w:after="40"/>
        <w:ind w:left="369" w:hanging="198"/>
      </w:pPr>
      <w:r>
        <w:rPr>
          <w:rFonts w:ascii="Arial" w:hAnsi="Arial" w:cs="Arial"/>
          <w:b w:val="0"/>
          <w:sz w:val="21"/>
        </w:rPr>
        <w:t>C) 1.950 euros.</w:t>
      </w:r>
    </w:p>
    <w:p>
      <w:pPr>
        <w:keepNext/>
        <w:keepLines/>
        <w:spacing w:after="40"/>
        <w:ind w:left="369" w:hanging="198"/>
      </w:pPr>
      <w:r>
        <w:rPr>
          <w:rFonts w:ascii="Arial" w:hAnsi="Arial" w:cs="Arial"/>
          <w:b w:val="0"/>
          <w:sz w:val="21"/>
        </w:rPr>
        <w:t>D) 2.100 euros.</w:t>
      </w:r>
    </w:p>
    <w:p>
      <w:pPr>
        <w:pStyle w:val="Question"/>
        <w:keepNext/>
      </w:pPr>
      <w:r>
        <w:rPr>
          <w:rFonts w:ascii="Arial" w:hAnsi="Arial" w:cs="Arial"/>
          <w:sz w:val="22"/>
        </w:rPr>
        <w:t>9. Conforme al ordenamiento vigente a la fecha de corte, el sistema de Seguridad Social se integra por:</w:t>
      </w:r>
    </w:p>
    <w:p>
      <w:pPr>
        <w:keepNext/>
        <w:keepLines/>
        <w:spacing w:after="40"/>
        <w:ind w:left="369" w:hanging="198"/>
      </w:pPr>
      <w:r>
        <w:rPr>
          <w:rFonts w:ascii="Arial" w:hAnsi="Arial" w:cs="Arial"/>
          <w:b w:val="0"/>
          <w:sz w:val="21"/>
        </w:rPr>
        <w:t>A) Régimen General y regímenes especiales.</w:t>
      </w:r>
    </w:p>
    <w:p>
      <w:pPr>
        <w:keepNext/>
        <w:keepLines/>
        <w:spacing w:after="40"/>
        <w:ind w:left="369" w:hanging="198"/>
      </w:pPr>
      <w:r>
        <w:rPr>
          <w:rFonts w:ascii="Arial" w:hAnsi="Arial" w:cs="Arial"/>
          <w:b w:val="0"/>
          <w:sz w:val="21"/>
        </w:rPr>
        <w:t>B) Solo regímenes especiales.</w:t>
      </w:r>
    </w:p>
    <w:p>
      <w:pPr>
        <w:keepNext/>
        <w:keepLines/>
        <w:spacing w:after="40"/>
        <w:ind w:left="369" w:hanging="198"/>
      </w:pPr>
      <w:r>
        <w:rPr>
          <w:rFonts w:ascii="Arial" w:hAnsi="Arial" w:cs="Arial"/>
          <w:b w:val="0"/>
          <w:sz w:val="21"/>
        </w:rPr>
        <w:t>C) Solo el Régimen General.</w:t>
      </w:r>
    </w:p>
    <w:p>
      <w:pPr>
        <w:keepNext/>
        <w:keepLines/>
        <w:spacing w:after="40"/>
        <w:ind w:left="369" w:hanging="198"/>
      </w:pPr>
      <w:r>
        <w:rPr>
          <w:rFonts w:ascii="Arial" w:hAnsi="Arial" w:cs="Arial"/>
          <w:b w:val="0"/>
          <w:sz w:val="21"/>
        </w:rPr>
        <w:t>D) Exclusivamente sistemas autonómicos.</w:t>
      </w:r>
    </w:p>
    <w:p>
      <w:pPr>
        <w:pStyle w:val="Question"/>
        <w:keepNext/>
      </w:pPr>
      <w:r>
        <w:rPr>
          <w:rFonts w:ascii="Arial" w:hAnsi="Arial" w:cs="Arial"/>
          <w:sz w:val="22"/>
        </w:rPr>
        <w:t>10. Conforme al ordenamiento vigente a la fecha de corte, la reserva de ley significa que:</w:t>
      </w:r>
    </w:p>
    <w:p>
      <w:pPr>
        <w:keepNext/>
        <w:keepLines/>
        <w:spacing w:after="40"/>
        <w:ind w:left="369" w:hanging="198"/>
      </w:pPr>
      <w:r>
        <w:rPr>
          <w:rFonts w:ascii="Arial" w:hAnsi="Arial" w:cs="Arial"/>
          <w:b w:val="0"/>
          <w:sz w:val="21"/>
        </w:rPr>
        <w:t>A) Toda materia administrativa debe agotarse en ley orgánica.</w:t>
      </w:r>
    </w:p>
    <w:p>
      <w:pPr>
        <w:keepNext/>
        <w:keepLines/>
        <w:spacing w:after="40"/>
        <w:ind w:left="369" w:hanging="198"/>
      </w:pPr>
      <w:r>
        <w:rPr>
          <w:rFonts w:ascii="Arial" w:hAnsi="Arial" w:cs="Arial"/>
          <w:b w:val="0"/>
          <w:sz w:val="21"/>
        </w:rPr>
        <w:t>B) Un reglamento puede sustituir la ley si es técnico.</w:t>
      </w:r>
    </w:p>
    <w:p>
      <w:pPr>
        <w:keepNext/>
        <w:keepLines/>
        <w:spacing w:after="40"/>
        <w:ind w:left="369" w:hanging="198"/>
      </w:pPr>
      <w:r>
        <w:rPr>
          <w:rFonts w:ascii="Arial" w:hAnsi="Arial" w:cs="Arial"/>
          <w:b w:val="0"/>
          <w:sz w:val="21"/>
        </w:rPr>
        <w:t>C) El Gobierno elige libremente el rango.</w:t>
      </w:r>
    </w:p>
    <w:p>
      <w:pPr>
        <w:keepNext/>
        <w:keepLines/>
        <w:spacing w:after="40"/>
        <w:ind w:left="369" w:hanging="198"/>
      </w:pPr>
      <w:r>
        <w:rPr>
          <w:rFonts w:ascii="Arial" w:hAnsi="Arial" w:cs="Arial"/>
          <w:b w:val="0"/>
          <w:sz w:val="21"/>
        </w:rPr>
        <w:t>D) Los elementos que la Constitución reserva deben decidirse por norma con rango legal, admitiendo solo la colaboración reglamentaria compatible.</w:t>
      </w:r>
    </w:p>
    <w:p>
      <w:pPr>
        <w:pStyle w:val="Question"/>
        <w:keepNext/>
      </w:pPr>
      <w:r>
        <w:rPr>
          <w:rFonts w:ascii="Arial" w:hAnsi="Arial" w:cs="Arial"/>
          <w:sz w:val="22"/>
        </w:rPr>
        <w:t>11. Conforme al ordenamiento vigente a la fecha de corte, ¿Cuándo comenzará a aplicarse la regulación de la Comisión de Supervisión y Control de Protección de Datos introducida por la LO 1/2025?</w:t>
      </w:r>
    </w:p>
    <w:p>
      <w:pPr>
        <w:keepNext/>
        <w:keepLines/>
        <w:spacing w:after="40"/>
        <w:ind w:left="369" w:hanging="198"/>
      </w:pPr>
      <w:r>
        <w:rPr>
          <w:rFonts w:ascii="Arial" w:hAnsi="Arial" w:cs="Arial"/>
          <w:b w:val="0"/>
          <w:sz w:val="21"/>
        </w:rPr>
        <w:t>A) Desde la publicación de la LO 1/2025, sin régimen transitorio.</w:t>
      </w:r>
    </w:p>
    <w:p>
      <w:pPr>
        <w:keepNext/>
        <w:keepLines/>
        <w:spacing w:after="40"/>
        <w:ind w:left="369" w:hanging="198"/>
      </w:pPr>
      <w:r>
        <w:rPr>
          <w:rFonts w:ascii="Arial" w:hAnsi="Arial" w:cs="Arial"/>
          <w:b w:val="0"/>
          <w:sz w:val="21"/>
        </w:rPr>
        <w:t>B) Al constituirse todos los Tribunales de Instancia.</w:t>
      </w:r>
    </w:p>
    <w:p>
      <w:pPr>
        <w:keepNext/>
        <w:keepLines/>
        <w:spacing w:after="40"/>
        <w:ind w:left="369" w:hanging="198"/>
      </w:pPr>
      <w:r>
        <w:rPr>
          <w:rFonts w:ascii="Arial" w:hAnsi="Arial" w:cs="Arial"/>
          <w:b w:val="0"/>
          <w:sz w:val="21"/>
        </w:rPr>
        <w:t>C) Cuando lo acuerde la Comisión Permanente del Consejo vigente.</w:t>
      </w:r>
    </w:p>
    <w:p>
      <w:pPr>
        <w:keepNext/>
        <w:keepLines/>
        <w:spacing w:after="40"/>
        <w:ind w:left="369" w:hanging="198"/>
      </w:pPr>
      <w:r>
        <w:rPr>
          <w:rFonts w:ascii="Arial" w:hAnsi="Arial" w:cs="Arial"/>
          <w:b w:val="0"/>
          <w:sz w:val="21"/>
        </w:rPr>
        <w:t>D) Cuando se constituya el primer CGPJ posterior a la entrada en vigor de la LO 1/2025.</w:t>
      </w:r>
    </w:p>
    <w:p>
      <w:pPr>
        <w:pStyle w:val="Question"/>
        <w:keepNext/>
      </w:pPr>
      <w:r>
        <w:rPr>
          <w:rFonts w:ascii="Arial" w:hAnsi="Arial" w:cs="Arial"/>
          <w:sz w:val="22"/>
        </w:rPr>
        <w:t>12. Conforme al ordenamiento vigente a la fecha de corte, si se aprueba una moción de censura:</w:t>
      </w:r>
    </w:p>
    <w:p>
      <w:pPr>
        <w:keepNext/>
        <w:keepLines/>
        <w:spacing w:after="40"/>
        <w:ind w:left="369" w:hanging="198"/>
      </w:pPr>
      <w:r>
        <w:rPr>
          <w:rFonts w:ascii="Arial" w:hAnsi="Arial" w:cs="Arial"/>
          <w:b w:val="0"/>
          <w:sz w:val="21"/>
        </w:rPr>
        <w:t>A) El candidato incluido se entiende investido y el Rey lo nombra presidente.</w:t>
      </w:r>
    </w:p>
    <w:p>
      <w:pPr>
        <w:keepNext/>
        <w:keepLines/>
        <w:spacing w:after="40"/>
        <w:ind w:left="369" w:hanging="198"/>
      </w:pPr>
      <w:r>
        <w:rPr>
          <w:rFonts w:ascii="Arial" w:hAnsi="Arial" w:cs="Arial"/>
          <w:b w:val="0"/>
          <w:sz w:val="21"/>
        </w:rPr>
        <w:t>B) El Rey debe convocar una nueva investidura entre varios candidatos.</w:t>
      </w:r>
    </w:p>
    <w:p>
      <w:pPr>
        <w:keepNext/>
        <w:keepLines/>
        <w:spacing w:after="40"/>
        <w:ind w:left="369" w:hanging="198"/>
      </w:pPr>
      <w:r>
        <w:rPr>
          <w:rFonts w:ascii="Arial" w:hAnsi="Arial" w:cs="Arial"/>
          <w:b w:val="0"/>
          <w:sz w:val="21"/>
        </w:rPr>
        <w:t>C) Se disuelven automáticamente las Cortes Generales.</w:t>
      </w:r>
    </w:p>
    <w:p>
      <w:pPr>
        <w:keepNext/>
        <w:keepLines/>
        <w:spacing w:after="40"/>
        <w:ind w:left="369" w:hanging="198"/>
      </w:pPr>
      <w:r>
        <w:rPr>
          <w:rFonts w:ascii="Arial" w:hAnsi="Arial" w:cs="Arial"/>
          <w:b w:val="0"/>
          <w:sz w:val="21"/>
        </w:rPr>
        <w:t>D) El Gobierno continúa en funciones hasta que el Congreso repita la votación.</w:t>
      </w:r>
    </w:p>
    <w:p>
      <w:pPr>
        <w:pStyle w:val="Question"/>
        <w:keepNext/>
      </w:pPr>
      <w:r>
        <w:rPr>
          <w:rFonts w:ascii="Arial" w:hAnsi="Arial" w:cs="Arial"/>
          <w:sz w:val="22"/>
        </w:rPr>
        <w:t>13. Conforme al ordenamiento vigente a la fecha de corte, desde los 26 años se exigen:</w:t>
      </w:r>
    </w:p>
    <w:p>
      <w:pPr>
        <w:keepNext/>
        <w:keepLines/>
        <w:spacing w:after="40"/>
        <w:ind w:left="369" w:hanging="198"/>
      </w:pPr>
      <w:r>
        <w:rPr>
          <w:rFonts w:ascii="Arial" w:hAnsi="Arial" w:cs="Arial"/>
          <w:b w:val="0"/>
          <w:sz w:val="21"/>
        </w:rPr>
        <w:t>A) 90 días en siete años.</w:t>
      </w:r>
    </w:p>
    <w:p>
      <w:pPr>
        <w:keepNext/>
        <w:keepLines/>
        <w:spacing w:after="40"/>
        <w:ind w:left="369" w:hanging="198"/>
      </w:pPr>
      <w:r>
        <w:rPr>
          <w:rFonts w:ascii="Arial" w:hAnsi="Arial" w:cs="Arial"/>
          <w:b w:val="0"/>
          <w:sz w:val="21"/>
        </w:rPr>
        <w:t>B) 180 días en cinco años únicamente.</w:t>
      </w:r>
    </w:p>
    <w:p>
      <w:pPr>
        <w:keepNext/>
        <w:keepLines/>
        <w:spacing w:after="40"/>
        <w:ind w:left="369" w:hanging="198"/>
      </w:pPr>
      <w:r>
        <w:rPr>
          <w:rFonts w:ascii="Arial" w:hAnsi="Arial" w:cs="Arial"/>
          <w:b w:val="0"/>
          <w:sz w:val="21"/>
        </w:rPr>
        <w:t>C) 180 días en siete años o 360 en toda la vida laboral.</w:t>
      </w:r>
    </w:p>
    <w:p>
      <w:pPr>
        <w:keepNext/>
        <w:keepLines/>
        <w:spacing w:after="40"/>
        <w:ind w:left="369" w:hanging="198"/>
      </w:pPr>
      <w:r>
        <w:rPr>
          <w:rFonts w:ascii="Arial" w:hAnsi="Arial" w:cs="Arial"/>
          <w:b w:val="0"/>
          <w:sz w:val="21"/>
        </w:rPr>
        <w:t>D) 1.800 días en diez años.</w:t>
      </w:r>
    </w:p>
    <w:p>
      <w:pPr>
        <w:pStyle w:val="Question"/>
        <w:keepNext/>
      </w:pPr>
      <w:r>
        <w:rPr>
          <w:rFonts w:ascii="Arial" w:hAnsi="Arial" w:cs="Arial"/>
          <w:sz w:val="22"/>
        </w:rPr>
        <w:t>14. Conforme al ordenamiento vigente a la fecha de corte, dos reglamentos válidos del mismo rango y ordenamiento regulan, uno en general y otro específicamente, el mismo supuesto. Antes de afirmar derogación total debe:</w:t>
      </w:r>
    </w:p>
    <w:p>
      <w:pPr>
        <w:keepNext/>
        <w:keepLines/>
        <w:spacing w:after="40"/>
        <w:ind w:left="369" w:hanging="198"/>
      </w:pPr>
      <w:r>
        <w:rPr>
          <w:rFonts w:ascii="Arial" w:hAnsi="Arial" w:cs="Arial"/>
          <w:b w:val="0"/>
          <w:sz w:val="21"/>
        </w:rPr>
        <w:t>A) Aplicarse siempre el general posterior, sin interpretación.</w:t>
      </w:r>
    </w:p>
    <w:p>
      <w:pPr>
        <w:keepNext/>
        <w:keepLines/>
        <w:spacing w:after="40"/>
        <w:ind w:left="369" w:hanging="198"/>
      </w:pPr>
      <w:r>
        <w:rPr>
          <w:rFonts w:ascii="Arial" w:hAnsi="Arial" w:cs="Arial"/>
          <w:b w:val="0"/>
          <w:sz w:val="21"/>
        </w:rPr>
        <w:t>B) Intentarse una interpretación sistemática y valorar especialidad y temporalidad.</w:t>
      </w:r>
    </w:p>
    <w:p>
      <w:pPr>
        <w:keepNext/>
        <w:keepLines/>
        <w:spacing w:after="40"/>
        <w:ind w:left="369" w:hanging="198"/>
      </w:pPr>
      <w:r>
        <w:rPr>
          <w:rFonts w:ascii="Arial" w:hAnsi="Arial" w:cs="Arial"/>
          <w:b w:val="0"/>
          <w:sz w:val="21"/>
        </w:rPr>
        <w:t>C) Elevarse cuestión de inconstitucionalidad.</w:t>
      </w:r>
    </w:p>
    <w:p>
      <w:pPr>
        <w:keepNext/>
        <w:keepLines/>
        <w:spacing w:after="40"/>
        <w:ind w:left="369" w:hanging="198"/>
      </w:pPr>
      <w:r>
        <w:rPr>
          <w:rFonts w:ascii="Arial" w:hAnsi="Arial" w:cs="Arial"/>
          <w:b w:val="0"/>
          <w:sz w:val="21"/>
        </w:rPr>
        <w:t>D) Tratarse ambos como instrucciones.</w:t>
      </w:r>
    </w:p>
    <w:p>
      <w:pPr>
        <w:pStyle w:val="Question"/>
        <w:keepNext/>
      </w:pPr>
      <w:r>
        <w:rPr>
          <w:rFonts w:ascii="Arial" w:hAnsi="Arial" w:cs="Arial"/>
          <w:sz w:val="22"/>
        </w:rPr>
        <w:t>15. Conforme al ordenamiento vigente a la fecha de corte,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val="0"/>
          <w:sz w:val="21"/>
        </w:rPr>
        <w:t>B) Es desestimatorio.</w:t>
      </w:r>
    </w:p>
    <w:p>
      <w:pPr>
        <w:keepNext/>
        <w:keepLines/>
        <w:spacing w:after="40"/>
        <w:ind w:left="369" w:hanging="198"/>
      </w:pPr>
      <w:r>
        <w:rPr>
          <w:rFonts w:ascii="Arial" w:hAnsi="Arial" w:cs="Arial"/>
          <w:b w:val="0"/>
          <w:sz w:val="21"/>
        </w:rPr>
        <w:t>C) Produce una cesión provisional.</w:t>
      </w:r>
    </w:p>
    <w:p>
      <w:pPr>
        <w:keepNext/>
        <w:keepLines/>
        <w:spacing w:after="40"/>
        <w:ind w:left="369" w:hanging="198"/>
      </w:pPr>
      <w:r>
        <w:rPr>
          <w:rFonts w:ascii="Arial" w:hAnsi="Arial" w:cs="Arial"/>
          <w:b w:val="0"/>
          <w:sz w:val="21"/>
        </w:rPr>
        <w:t>D) Transfiere la propiedad al solicitante.</w:t>
      </w:r>
    </w:p>
    <w:p>
      <w:pPr>
        <w:pStyle w:val="Question"/>
        <w:keepNext/>
      </w:pPr>
      <w:r>
        <w:rPr>
          <w:rFonts w:ascii="Arial" w:hAnsi="Arial" w:cs="Arial"/>
          <w:sz w:val="22"/>
        </w:rPr>
        <w:t>16. Conforme al ordenamiento vigente a la fecha de corte, según el Real Decreto 208/1996, la información administrativa puede ser:</w:t>
      </w:r>
    </w:p>
    <w:p>
      <w:pPr>
        <w:keepNext/>
        <w:keepLines/>
        <w:spacing w:after="40"/>
        <w:ind w:left="369" w:hanging="198"/>
      </w:pPr>
      <w:r>
        <w:rPr>
          <w:rFonts w:ascii="Arial" w:hAnsi="Arial" w:cs="Arial"/>
          <w:b w:val="0"/>
          <w:sz w:val="21"/>
        </w:rPr>
        <w:t>A) Solo general.</w:t>
      </w:r>
    </w:p>
    <w:p>
      <w:pPr>
        <w:keepNext/>
        <w:keepLines/>
        <w:spacing w:after="40"/>
        <w:ind w:left="369" w:hanging="198"/>
      </w:pPr>
      <w:r>
        <w:rPr>
          <w:rFonts w:ascii="Arial" w:hAnsi="Arial" w:cs="Arial"/>
          <w:b w:val="0"/>
          <w:sz w:val="21"/>
        </w:rPr>
        <w:t>B) General o particular.</w:t>
      </w:r>
    </w:p>
    <w:p>
      <w:pPr>
        <w:keepNext/>
        <w:keepLines/>
        <w:spacing w:after="40"/>
        <w:ind w:left="369" w:hanging="198"/>
      </w:pPr>
      <w:r>
        <w:rPr>
          <w:rFonts w:ascii="Arial" w:hAnsi="Arial" w:cs="Arial"/>
          <w:b w:val="0"/>
          <w:sz w:val="21"/>
        </w:rPr>
        <w:t>C) Pública o secreta exclusivamente.</w:t>
      </w:r>
    </w:p>
    <w:p>
      <w:pPr>
        <w:keepNext/>
        <w:keepLines/>
        <w:spacing w:after="40"/>
        <w:ind w:left="369" w:hanging="198"/>
      </w:pPr>
      <w:r>
        <w:rPr>
          <w:rFonts w:ascii="Arial" w:hAnsi="Arial" w:cs="Arial"/>
          <w:b w:val="0"/>
          <w:sz w:val="21"/>
        </w:rPr>
        <w:t>D) Vinculante o jurisdiccional.</w:t>
      </w:r>
    </w:p>
    <w:p>
      <w:pPr>
        <w:pStyle w:val="Question"/>
        <w:keepNext/>
      </w:pPr>
      <w:r>
        <w:rPr>
          <w:rFonts w:ascii="Arial" w:hAnsi="Arial" w:cs="Arial"/>
          <w:sz w:val="22"/>
        </w:rPr>
        <w:t>17. A efectos de aplicar correctamente la regla examinada, el derecho al IMV nace, con carácter general:</w:t>
      </w:r>
    </w:p>
    <w:p>
      <w:pPr>
        <w:keepNext/>
        <w:keepLines/>
        <w:spacing w:after="40"/>
        <w:ind w:left="369" w:hanging="198"/>
      </w:pPr>
      <w:r>
        <w:rPr>
          <w:rFonts w:ascii="Arial" w:hAnsi="Arial" w:cs="Arial"/>
          <w:b w:val="0"/>
          <w:sz w:val="21"/>
        </w:rPr>
        <w:t>A) El mismo día de la solicitud.</w:t>
      </w:r>
    </w:p>
    <w:p>
      <w:pPr>
        <w:keepNext/>
        <w:keepLines/>
        <w:spacing w:after="40"/>
        <w:ind w:left="369" w:hanging="198"/>
      </w:pPr>
      <w:r>
        <w:rPr>
          <w:rFonts w:ascii="Arial" w:hAnsi="Arial" w:cs="Arial"/>
          <w:b w:val="0"/>
          <w:sz w:val="21"/>
        </w:rPr>
        <w:t>B) El primer día del trimestre siguiente.</w:t>
      </w:r>
    </w:p>
    <w:p>
      <w:pPr>
        <w:keepNext/>
        <w:keepLines/>
        <w:spacing w:after="40"/>
        <w:ind w:left="369" w:hanging="198"/>
      </w:pPr>
      <w:r>
        <w:rPr>
          <w:rFonts w:ascii="Arial" w:hAnsi="Arial" w:cs="Arial"/>
          <w:b w:val="0"/>
          <w:sz w:val="21"/>
        </w:rPr>
        <w:t>C) El 1 de enero del ejercicio posterior.</w:t>
      </w:r>
    </w:p>
    <w:p>
      <w:pPr>
        <w:keepNext/>
        <w:keepLines/>
        <w:spacing w:after="40"/>
        <w:ind w:left="369" w:hanging="198"/>
      </w:pPr>
      <w:r>
        <w:rPr>
          <w:rFonts w:ascii="Arial" w:hAnsi="Arial" w:cs="Arial"/>
          <w:b w:val="0"/>
          <w:sz w:val="21"/>
        </w:rPr>
        <w:t>D) El primer día del mes siguiente al de presentación de la solicitud.</w:t>
      </w:r>
    </w:p>
    <w:p>
      <w:pPr>
        <w:pStyle w:val="Question"/>
        <w:keepNext/>
      </w:pPr>
      <w:r>
        <w:rPr>
          <w:rFonts w:ascii="Arial" w:hAnsi="Arial" w:cs="Arial"/>
          <w:sz w:val="22"/>
        </w:rPr>
        <w:t>18. Conforme al ordenamiento vigente a la fecha de corte,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val="0"/>
          <w:sz w:val="21"/>
        </w:rPr>
        <w:t>C)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D) Alterna periodos de empleo y desempleo.</w:t>
      </w:r>
    </w:p>
    <w:p>
      <w:pPr>
        <w:pStyle w:val="Question"/>
        <w:keepNext/>
      </w:pPr>
      <w:r>
        <w:rPr>
          <w:rFonts w:ascii="Arial" w:hAnsi="Arial" w:cs="Arial"/>
          <w:sz w:val="22"/>
        </w:rPr>
        <w:t>19. A efectos de aplicar correctamente la regla examinada, la competencia para la gestión recaudatoria de los recursos del sistema corresponde:</w:t>
      </w:r>
    </w:p>
    <w:p>
      <w:pPr>
        <w:keepNext/>
        <w:keepLines/>
        <w:spacing w:after="40"/>
        <w:ind w:left="369" w:hanging="198"/>
      </w:pPr>
      <w:r>
        <w:rPr>
          <w:rFonts w:ascii="Arial" w:hAnsi="Arial" w:cs="Arial"/>
          <w:b w:val="0"/>
          <w:sz w:val="21"/>
        </w:rPr>
        <w:t>A) Al INSS de forma compartida con las mutuas.</w:t>
      </w:r>
    </w:p>
    <w:p>
      <w:pPr>
        <w:keepNext/>
        <w:keepLines/>
        <w:spacing w:after="40"/>
        <w:ind w:left="369" w:hanging="198"/>
      </w:pPr>
      <w:r>
        <w:rPr>
          <w:rFonts w:ascii="Arial" w:hAnsi="Arial" w:cs="Arial"/>
          <w:b w:val="0"/>
          <w:sz w:val="21"/>
        </w:rPr>
        <w:t>B) A la TGSS, con carácter exclusivo y en los términos legales.</w:t>
      </w:r>
    </w:p>
    <w:p>
      <w:pPr>
        <w:keepNext/>
        <w:keepLines/>
        <w:spacing w:after="40"/>
        <w:ind w:left="369" w:hanging="198"/>
      </w:pPr>
      <w:r>
        <w:rPr>
          <w:rFonts w:ascii="Arial" w:hAnsi="Arial" w:cs="Arial"/>
          <w:b w:val="0"/>
          <w:sz w:val="21"/>
        </w:rPr>
        <w:t>C) Al SEPE en todos los regímenes.</w:t>
      </w:r>
    </w:p>
    <w:p>
      <w:pPr>
        <w:keepNext/>
        <w:keepLines/>
        <w:spacing w:after="40"/>
        <w:ind w:left="369" w:hanging="198"/>
      </w:pPr>
      <w:r>
        <w:rPr>
          <w:rFonts w:ascii="Arial" w:hAnsi="Arial" w:cs="Arial"/>
          <w:b w:val="0"/>
          <w:sz w:val="21"/>
        </w:rPr>
        <w:t>D) A cada entidad bancaria colaboradora.</w:t>
      </w:r>
    </w:p>
    <w:p>
      <w:pPr>
        <w:pStyle w:val="Question"/>
        <w:keepNext/>
      </w:pPr>
      <w:r>
        <w:rPr>
          <w:rFonts w:ascii="Arial" w:hAnsi="Arial" w:cs="Arial"/>
          <w:sz w:val="22"/>
        </w:rPr>
        <w:t>20. Conforme al ordenamiento vigente a la fecha de corte, según la estructura legal del sistema, este se integra:</w:t>
      </w:r>
    </w:p>
    <w:p>
      <w:pPr>
        <w:keepNext/>
        <w:keepLines/>
        <w:spacing w:after="40"/>
        <w:ind w:left="369" w:hanging="198"/>
      </w:pPr>
      <w:r>
        <w:rPr>
          <w:rFonts w:ascii="Arial" w:hAnsi="Arial" w:cs="Arial"/>
          <w:b w:val="0"/>
          <w:sz w:val="21"/>
        </w:rPr>
        <w:t>A) Solo por el Régimen General y el RETA.</w:t>
      </w:r>
    </w:p>
    <w:p>
      <w:pPr>
        <w:keepNext/>
        <w:keepLines/>
        <w:spacing w:after="40"/>
        <w:ind w:left="369" w:hanging="198"/>
      </w:pPr>
      <w:r>
        <w:rPr>
          <w:rFonts w:ascii="Arial" w:hAnsi="Arial" w:cs="Arial"/>
          <w:b w:val="0"/>
          <w:sz w:val="21"/>
        </w:rPr>
        <w:t>B) Por el Régimen General y los regímenes especiales.</w:t>
      </w:r>
    </w:p>
    <w:p>
      <w:pPr>
        <w:keepNext/>
        <w:keepLines/>
        <w:spacing w:after="40"/>
        <w:ind w:left="369" w:hanging="198"/>
      </w:pPr>
      <w:r>
        <w:rPr>
          <w:rFonts w:ascii="Arial" w:hAnsi="Arial" w:cs="Arial"/>
          <w:b w:val="0"/>
          <w:sz w:val="21"/>
        </w:rPr>
        <w:t>C) Por regímenes generales, provinciales y locales.</w:t>
      </w:r>
    </w:p>
    <w:p>
      <w:pPr>
        <w:keepNext/>
        <w:keepLines/>
        <w:spacing w:after="40"/>
        <w:ind w:left="369" w:hanging="198"/>
      </w:pPr>
      <w:r>
        <w:rPr>
          <w:rFonts w:ascii="Arial" w:hAnsi="Arial" w:cs="Arial"/>
          <w:b w:val="0"/>
          <w:sz w:val="21"/>
        </w:rPr>
        <w:t>D) Exclusivamente por sistemas especiales.</w:t>
      </w:r>
    </w:p>
    <w:p>
      <w:pPr>
        <w:pStyle w:val="Question"/>
        <w:keepNext/>
      </w:pPr>
      <w:r>
        <w:rPr>
          <w:rFonts w:ascii="Arial" w:hAnsi="Arial" w:cs="Arial"/>
          <w:sz w:val="22"/>
        </w:rPr>
        <w:t>21. Conforme al ordenamiento vigente a la fecha de corte, ¿Cuál es la duración ordinaria del mandato de un magistrado del Tribunal Constitucional?</w:t>
      </w:r>
    </w:p>
    <w:p>
      <w:pPr>
        <w:keepNext/>
        <w:keepLines/>
        <w:spacing w:after="40"/>
        <w:ind w:left="369" w:hanging="198"/>
      </w:pPr>
      <w:r>
        <w:rPr>
          <w:rFonts w:ascii="Arial" w:hAnsi="Arial" w:cs="Arial"/>
          <w:b w:val="0"/>
          <w:sz w:val="21"/>
        </w:rPr>
        <w:t>A) Tres años.</w:t>
      </w:r>
    </w:p>
    <w:p>
      <w:pPr>
        <w:keepNext/>
        <w:keepLines/>
        <w:spacing w:after="40"/>
        <w:ind w:left="369" w:hanging="198"/>
      </w:pPr>
      <w:r>
        <w:rPr>
          <w:rFonts w:ascii="Arial" w:hAnsi="Arial" w:cs="Arial"/>
          <w:b w:val="0"/>
          <w:sz w:val="21"/>
        </w:rPr>
        <w:t>B) Nueve años.</w:t>
      </w:r>
    </w:p>
    <w:p>
      <w:pPr>
        <w:keepNext/>
        <w:keepLines/>
        <w:spacing w:after="40"/>
        <w:ind w:left="369" w:hanging="198"/>
      </w:pPr>
      <w:r>
        <w:rPr>
          <w:rFonts w:ascii="Arial" w:hAnsi="Arial" w:cs="Arial"/>
          <w:b w:val="0"/>
          <w:sz w:val="21"/>
        </w:rPr>
        <w:t>C) Seis años.</w:t>
      </w:r>
    </w:p>
    <w:p>
      <w:pPr>
        <w:keepNext/>
        <w:keepLines/>
        <w:spacing w:after="40"/>
        <w:ind w:left="369" w:hanging="198"/>
      </w:pPr>
      <w:r>
        <w:rPr>
          <w:rFonts w:ascii="Arial" w:hAnsi="Arial" w:cs="Arial"/>
          <w:b w:val="0"/>
          <w:sz w:val="21"/>
        </w:rPr>
        <w:t>D) Doce años.</w:t>
      </w:r>
    </w:p>
    <w:p>
      <w:pPr>
        <w:pStyle w:val="Question"/>
        <w:keepNext/>
      </w:pPr>
      <w:r>
        <w:rPr>
          <w:rFonts w:ascii="Arial" w:hAnsi="Arial" w:cs="Arial"/>
          <w:sz w:val="22"/>
        </w:rPr>
        <w:t>22. En una comprobación jurídica del expediente, ¿Cuál de los siguientes conceptos constituye un recurso general de la Seguridad Social?</w:t>
      </w:r>
    </w:p>
    <w:p>
      <w:pPr>
        <w:keepNext/>
        <w:keepLines/>
        <w:spacing w:after="40"/>
        <w:ind w:left="369" w:hanging="198"/>
      </w:pPr>
      <w:r>
        <w:rPr>
          <w:rFonts w:ascii="Arial" w:hAnsi="Arial" w:cs="Arial"/>
          <w:b w:val="0"/>
          <w:sz w:val="21"/>
        </w:rPr>
        <w:t>A) Solo los rendimientos de bienes inmuebles.</w:t>
      </w:r>
    </w:p>
    <w:p>
      <w:pPr>
        <w:keepNext/>
        <w:keepLines/>
        <w:spacing w:after="40"/>
        <w:ind w:left="369" w:hanging="198"/>
      </w:pPr>
      <w:r>
        <w:rPr>
          <w:rFonts w:ascii="Arial" w:hAnsi="Arial" w:cs="Arial"/>
          <w:b w:val="0"/>
          <w:sz w:val="21"/>
        </w:rPr>
        <w:t>B) Exclusivamente las aportaciones del Estado.</w:t>
      </w:r>
    </w:p>
    <w:p>
      <w:pPr>
        <w:keepNext/>
        <w:keepLines/>
        <w:spacing w:after="40"/>
        <w:ind w:left="369" w:hanging="198"/>
      </w:pPr>
      <w:r>
        <w:rPr>
          <w:rFonts w:ascii="Arial" w:hAnsi="Arial" w:cs="Arial"/>
          <w:b w:val="0"/>
          <w:sz w:val="21"/>
        </w:rPr>
        <w:t>C) Las cuotas de las personas obligadas y los recargos y sanciones que procedan.</w:t>
      </w:r>
    </w:p>
    <w:p>
      <w:pPr>
        <w:keepNext/>
        <w:keepLines/>
        <w:spacing w:after="40"/>
        <w:ind w:left="369" w:hanging="198"/>
      </w:pPr>
      <w:r>
        <w:rPr>
          <w:rFonts w:ascii="Arial" w:hAnsi="Arial" w:cs="Arial"/>
          <w:b w:val="0"/>
          <w:sz w:val="21"/>
        </w:rPr>
        <w:t>D) Únicamente los ingresos obtenidos por el INSS.</w:t>
      </w:r>
    </w:p>
    <w:p>
      <w:pPr>
        <w:pStyle w:val="Question"/>
        <w:keepNext/>
      </w:pPr>
      <w:r>
        <w:rPr>
          <w:rFonts w:ascii="Arial" w:hAnsi="Arial" w:cs="Arial"/>
          <w:sz w:val="22"/>
        </w:rPr>
        <w:t>23. Conforme al ordenamiento vigente a la fecha de corte, el subsidio de IT se extingue por transcurso del plazo máximo de:</w:t>
      </w:r>
    </w:p>
    <w:p>
      <w:pPr>
        <w:keepNext/>
        <w:keepLines/>
        <w:spacing w:after="40"/>
        <w:ind w:left="369" w:hanging="198"/>
      </w:pPr>
      <w:r>
        <w:rPr>
          <w:rFonts w:ascii="Arial" w:hAnsi="Arial" w:cs="Arial"/>
          <w:b w:val="0"/>
          <w:sz w:val="21"/>
        </w:rPr>
        <w:t>A) 545 días naturales desde la baja.</w:t>
      </w:r>
    </w:p>
    <w:p>
      <w:pPr>
        <w:keepNext/>
        <w:keepLines/>
        <w:spacing w:after="40"/>
        <w:ind w:left="369" w:hanging="198"/>
      </w:pPr>
      <w:r>
        <w:rPr>
          <w:rFonts w:ascii="Arial" w:hAnsi="Arial" w:cs="Arial"/>
          <w:b w:val="0"/>
          <w:sz w:val="21"/>
        </w:rPr>
        <w:t>B) 365 días.</w:t>
      </w:r>
    </w:p>
    <w:p>
      <w:pPr>
        <w:keepNext/>
        <w:keepLines/>
        <w:spacing w:after="40"/>
        <w:ind w:left="369" w:hanging="198"/>
      </w:pPr>
      <w:r>
        <w:rPr>
          <w:rFonts w:ascii="Arial" w:hAnsi="Arial" w:cs="Arial"/>
          <w:b w:val="0"/>
          <w:sz w:val="21"/>
        </w:rPr>
        <w:t>C) 180 días.</w:t>
      </w:r>
    </w:p>
    <w:p>
      <w:pPr>
        <w:keepNext/>
        <w:keepLines/>
        <w:spacing w:after="40"/>
        <w:ind w:left="369" w:hanging="198"/>
      </w:pPr>
      <w:r>
        <w:rPr>
          <w:rFonts w:ascii="Arial" w:hAnsi="Arial" w:cs="Arial"/>
          <w:b w:val="0"/>
          <w:sz w:val="21"/>
        </w:rPr>
        <w:t>D) 730 días de subsidio.</w:t>
      </w:r>
    </w:p>
    <w:p>
      <w:pPr>
        <w:pStyle w:val="Question"/>
        <w:keepNext/>
      </w:pPr>
      <w:r>
        <w:rPr>
          <w:rFonts w:ascii="Arial" w:hAnsi="Arial" w:cs="Arial"/>
          <w:sz w:val="22"/>
        </w:rPr>
        <w:t>24. A efectos de aplicar correctamente la regla examinada,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val="0"/>
          <w:sz w:val="21"/>
        </w:rPr>
        <w:t>B) Diez días desde la fecha del acto.</w:t>
      </w:r>
    </w:p>
    <w:p>
      <w:pPr>
        <w:keepNext/>
        <w:keepLines/>
        <w:spacing w:after="40"/>
        <w:ind w:left="369" w:hanging="198"/>
      </w:pPr>
      <w:r>
        <w:rPr>
          <w:rFonts w:ascii="Arial" w:hAnsi="Arial" w:cs="Arial"/>
          <w:b w:val="0"/>
          <w:sz w:val="21"/>
        </w:rPr>
        <w:t>C) Diez días a partir del siguiente al de la notificación.</w:t>
      </w:r>
    </w:p>
    <w:p>
      <w:pPr>
        <w:keepNext/>
        <w:keepLines/>
        <w:spacing w:after="40"/>
        <w:ind w:left="369" w:hanging="198"/>
      </w:pPr>
      <w:r>
        <w:rPr>
          <w:rFonts w:ascii="Arial" w:hAnsi="Arial" w:cs="Arial"/>
          <w:b w:val="0"/>
          <w:sz w:val="21"/>
        </w:rPr>
        <w:t>D) Quince días hábiles desde la publicación.</w:t>
      </w:r>
    </w:p>
    <w:p>
      <w:pPr>
        <w:pStyle w:val="Question"/>
        <w:keepNext/>
      </w:pPr>
      <w:r>
        <w:rPr>
          <w:rFonts w:ascii="Arial" w:hAnsi="Arial" w:cs="Arial"/>
          <w:sz w:val="22"/>
        </w:rPr>
        <w:t>25. Conforme al ordenamiento vigente a la fecha de corte, la Junta de Gobierno Local existe necesariamente:</w:t>
      </w:r>
    </w:p>
    <w:p>
      <w:pPr>
        <w:keepNext/>
        <w:keepLines/>
        <w:spacing w:after="40"/>
        <w:ind w:left="369" w:hanging="198"/>
      </w:pPr>
      <w:r>
        <w:rPr>
          <w:rFonts w:ascii="Arial" w:hAnsi="Arial" w:cs="Arial"/>
          <w:b w:val="0"/>
          <w:sz w:val="21"/>
        </w:rPr>
        <w:t>A) En los municipios de más de 5.000 habitantes; por debajo, si lo dispone el reglamento orgánico o lo acuerda el Pleno.</w:t>
      </w:r>
    </w:p>
    <w:p>
      <w:pPr>
        <w:keepNext/>
        <w:keepLines/>
        <w:spacing w:after="40"/>
        <w:ind w:left="369" w:hanging="198"/>
      </w:pPr>
      <w:r>
        <w:rPr>
          <w:rFonts w:ascii="Arial" w:hAnsi="Arial" w:cs="Arial"/>
          <w:b w:val="0"/>
          <w:sz w:val="21"/>
        </w:rPr>
        <w:t>B) En todos los municipios, cualquiera que sea su población.</w:t>
      </w:r>
    </w:p>
    <w:p>
      <w:pPr>
        <w:keepNext/>
        <w:keepLines/>
        <w:spacing w:after="40"/>
        <w:ind w:left="369" w:hanging="198"/>
      </w:pPr>
      <w:r>
        <w:rPr>
          <w:rFonts w:ascii="Arial" w:hAnsi="Arial" w:cs="Arial"/>
          <w:b w:val="0"/>
          <w:sz w:val="21"/>
        </w:rPr>
        <w:t>C) Solo en municipios de más de 20.000 habitantes.</w:t>
      </w:r>
    </w:p>
    <w:p>
      <w:pPr>
        <w:keepNext/>
        <w:keepLines/>
        <w:spacing w:after="40"/>
        <w:ind w:left="369" w:hanging="198"/>
      </w:pPr>
      <w:r>
        <w:rPr>
          <w:rFonts w:ascii="Arial" w:hAnsi="Arial" w:cs="Arial"/>
          <w:b w:val="0"/>
          <w:sz w:val="21"/>
        </w:rPr>
        <w:t>D) Únicamente en los municipios de gran población del título X.</w:t>
      </w:r>
    </w:p>
    <w:p>
      <w:pPr>
        <w:pStyle w:val="Question"/>
        <w:keepNext/>
      </w:pPr>
      <w:r>
        <w:rPr>
          <w:rFonts w:ascii="Arial" w:hAnsi="Arial" w:cs="Arial"/>
          <w:sz w:val="22"/>
        </w:rPr>
        <w:t>26. A efectos de aplicar correctamente la regla examinada,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val="0"/>
          <w:sz w:val="21"/>
        </w:rPr>
        <w:t>C) Por el juzgado contencioso-administrativo.</w:t>
      </w:r>
    </w:p>
    <w:p>
      <w:pPr>
        <w:keepNext/>
        <w:keepLines/>
        <w:spacing w:after="40"/>
        <w:ind w:left="369" w:hanging="198"/>
      </w:pPr>
      <w:r>
        <w:rPr>
          <w:rFonts w:ascii="Arial" w:hAnsi="Arial" w:cs="Arial"/>
          <w:b w:val="0"/>
          <w:sz w:val="21"/>
        </w:rPr>
        <w:t>D) Por el órgano superior jerárquico del que dictó el acto recurrido.</w:t>
      </w:r>
    </w:p>
    <w:p>
      <w:pPr>
        <w:pStyle w:val="Question"/>
        <w:keepNext/>
      </w:pPr>
      <w:r>
        <w:rPr>
          <w:rFonts w:ascii="Arial" w:hAnsi="Arial" w:cs="Arial"/>
          <w:sz w:val="22"/>
        </w:rPr>
        <w:t>27. A efectos de aplicar correctamente la regla examinada, la Intervención General de la Seguridad Social depende funcionalmente de:</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La Secretaría General de Inclusión.</w:t>
      </w:r>
    </w:p>
    <w:p>
      <w:pPr>
        <w:keepNext/>
        <w:keepLines/>
        <w:spacing w:after="40"/>
        <w:ind w:left="369" w:hanging="198"/>
      </w:pPr>
      <w:r>
        <w:rPr>
          <w:rFonts w:ascii="Arial" w:hAnsi="Arial" w:cs="Arial"/>
          <w:b w:val="0"/>
          <w:sz w:val="21"/>
        </w:rPr>
        <w:t>D) La Intervención General de la Administración del Estado.</w:t>
      </w:r>
    </w:p>
    <w:p>
      <w:pPr>
        <w:pStyle w:val="Question"/>
        <w:keepNext/>
      </w:pPr>
      <w:r>
        <w:rPr>
          <w:rFonts w:ascii="Arial" w:hAnsi="Arial" w:cs="Arial"/>
          <w:sz w:val="22"/>
        </w:rPr>
        <w:t>28. Conforme al ordenamiento vigente a la fecha de corte, de acuerdo con el artículo 6 LOPJ, los jueces y tribunales:</w:t>
      </w:r>
    </w:p>
    <w:p>
      <w:pPr>
        <w:keepNext/>
        <w:keepLines/>
        <w:spacing w:after="40"/>
        <w:ind w:left="369" w:hanging="198"/>
      </w:pPr>
      <w:r>
        <w:rPr>
          <w:rFonts w:ascii="Arial" w:hAnsi="Arial" w:cs="Arial"/>
          <w:b w:val="0"/>
          <w:sz w:val="21"/>
        </w:rPr>
        <w:t>A) Deben aplicar todo reglamento hasta que el Tribunal Constitucional lo anule.</w:t>
      </w:r>
    </w:p>
    <w:p>
      <w:pPr>
        <w:keepNext/>
        <w:keepLines/>
        <w:spacing w:after="40"/>
        <w:ind w:left="369" w:hanging="198"/>
      </w:pPr>
      <w:r>
        <w:rPr>
          <w:rFonts w:ascii="Arial" w:hAnsi="Arial" w:cs="Arial"/>
          <w:b w:val="0"/>
          <w:sz w:val="21"/>
        </w:rPr>
        <w:t>B) No aplicarán reglamentos o disposiciones contrarios a la Constitución, la ley o la jerarquía normativa.</w:t>
      </w:r>
    </w:p>
    <w:p>
      <w:pPr>
        <w:keepNext/>
        <w:keepLines/>
        <w:spacing w:after="40"/>
        <w:ind w:left="369" w:hanging="198"/>
      </w:pPr>
      <w:r>
        <w:rPr>
          <w:rFonts w:ascii="Arial" w:hAnsi="Arial" w:cs="Arial"/>
          <w:b w:val="0"/>
          <w:sz w:val="21"/>
        </w:rPr>
        <w:t>C) Pueden inaplicar leyes nacionales por mera duda constitucional.</w:t>
      </w:r>
    </w:p>
    <w:p>
      <w:pPr>
        <w:keepNext/>
        <w:keepLines/>
        <w:spacing w:after="40"/>
        <w:ind w:left="369" w:hanging="198"/>
      </w:pPr>
      <w:r>
        <w:rPr>
          <w:rFonts w:ascii="Arial" w:hAnsi="Arial" w:cs="Arial"/>
          <w:b w:val="0"/>
          <w:sz w:val="21"/>
        </w:rPr>
        <w:t>D) Solo controlan reglamentos si el Gobierno lo autoriza.</w:t>
      </w:r>
    </w:p>
    <w:p>
      <w:pPr>
        <w:pStyle w:val="Question"/>
        <w:keepNext/>
      </w:pPr>
      <w:r>
        <w:rPr>
          <w:rFonts w:ascii="Arial" w:hAnsi="Arial" w:cs="Arial"/>
          <w:sz w:val="22"/>
        </w:rPr>
        <w:t>29. Conforme al ordenamiento vigente a la fecha de corte, ¿En qué demarcación existe, como regla, un Tribunal de Instancia?</w:t>
      </w:r>
    </w:p>
    <w:p>
      <w:pPr>
        <w:keepNext/>
        <w:keepLines/>
        <w:spacing w:after="40"/>
        <w:ind w:left="369" w:hanging="198"/>
      </w:pPr>
      <w:r>
        <w:rPr>
          <w:rFonts w:ascii="Arial" w:hAnsi="Arial" w:cs="Arial"/>
          <w:b w:val="0"/>
          <w:sz w:val="21"/>
        </w:rPr>
        <w:t>A) En cada partido judicial.</w:t>
      </w:r>
    </w:p>
    <w:p>
      <w:pPr>
        <w:keepNext/>
        <w:keepLines/>
        <w:spacing w:after="40"/>
        <w:ind w:left="369" w:hanging="198"/>
      </w:pPr>
      <w:r>
        <w:rPr>
          <w:rFonts w:ascii="Arial" w:hAnsi="Arial" w:cs="Arial"/>
          <w:b w:val="0"/>
          <w:sz w:val="21"/>
        </w:rPr>
        <w:t>B) En cada municipio.</w:t>
      </w:r>
    </w:p>
    <w:p>
      <w:pPr>
        <w:keepNext/>
        <w:keepLines/>
        <w:spacing w:after="40"/>
        <w:ind w:left="369" w:hanging="198"/>
      </w:pPr>
      <w:r>
        <w:rPr>
          <w:rFonts w:ascii="Arial" w:hAnsi="Arial" w:cs="Arial"/>
          <w:b w:val="0"/>
          <w:sz w:val="21"/>
        </w:rPr>
        <w:t>C) En cada provincia exclusivamente.</w:t>
      </w:r>
    </w:p>
    <w:p>
      <w:pPr>
        <w:keepNext/>
        <w:keepLines/>
        <w:spacing w:after="40"/>
        <w:ind w:left="369" w:hanging="198"/>
      </w:pPr>
      <w:r>
        <w:rPr>
          <w:rFonts w:ascii="Arial" w:hAnsi="Arial" w:cs="Arial"/>
          <w:b w:val="0"/>
          <w:sz w:val="21"/>
        </w:rPr>
        <w:t>D) En cada Comunidad Autónoma.</w:t>
      </w:r>
    </w:p>
    <w:p>
      <w:pPr>
        <w:pStyle w:val="Question"/>
        <w:keepNext/>
      </w:pPr>
      <w:r>
        <w:rPr>
          <w:rFonts w:ascii="Arial" w:hAnsi="Arial" w:cs="Arial"/>
          <w:sz w:val="22"/>
        </w:rPr>
        <w:t>30. Conforme al ordenamiento vigente a la fecha de corte,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15 %.</w:t>
      </w:r>
    </w:p>
    <w:p>
      <w:pPr>
        <w:keepNext/>
        <w:keepLines/>
        <w:spacing w:after="40"/>
        <w:ind w:left="369" w:hanging="198"/>
      </w:pPr>
      <w:r>
        <w:rPr>
          <w:rFonts w:ascii="Arial" w:hAnsi="Arial" w:cs="Arial"/>
          <w:b w:val="0"/>
          <w:sz w:val="21"/>
        </w:rPr>
        <w:t>C) 20 %.</w:t>
      </w:r>
    </w:p>
    <w:p>
      <w:pPr>
        <w:keepNext/>
        <w:keepLines/>
        <w:spacing w:after="40"/>
        <w:ind w:left="369" w:hanging="198"/>
      </w:pPr>
      <w:r>
        <w:rPr>
          <w:rFonts w:ascii="Arial" w:hAnsi="Arial" w:cs="Arial"/>
          <w:b w:val="0"/>
          <w:sz w:val="21"/>
        </w:rPr>
        <w:t>D) 10 %.</w:t>
      </w:r>
    </w:p>
    <w:p>
      <w:pPr>
        <w:pStyle w:val="Question"/>
        <w:keepNext/>
      </w:pPr>
      <w:r>
        <w:rPr>
          <w:rFonts w:ascii="Arial" w:hAnsi="Arial" w:cs="Arial"/>
          <w:sz w:val="22"/>
        </w:rPr>
        <w:t>31. A efectos de aplicar correctamente la regla examinada, el incumplimiento empresarial en afiliación, alta o cotización:</w:t>
      </w:r>
    </w:p>
    <w:p>
      <w:pPr>
        <w:keepNext/>
        <w:keepLines/>
        <w:spacing w:after="40"/>
        <w:ind w:left="369" w:hanging="198"/>
      </w:pPr>
      <w:r>
        <w:rPr>
          <w:rFonts w:ascii="Arial" w:hAnsi="Arial" w:cs="Arial"/>
          <w:b w:val="0"/>
          <w:sz w:val="21"/>
        </w:rPr>
        <w:t>A) Puede determinar responsabilidad empresarial en orden a la prestación.</w:t>
      </w:r>
    </w:p>
    <w:p>
      <w:pPr>
        <w:keepNext/>
        <w:keepLines/>
        <w:spacing w:after="40"/>
        <w:ind w:left="369" w:hanging="198"/>
      </w:pPr>
      <w:r>
        <w:rPr>
          <w:rFonts w:ascii="Arial" w:hAnsi="Arial" w:cs="Arial"/>
          <w:b w:val="0"/>
          <w:sz w:val="21"/>
        </w:rPr>
        <w:t>B) Extingue necesariamente todo derecho del trabajador.</w:t>
      </w:r>
    </w:p>
    <w:p>
      <w:pPr>
        <w:keepNext/>
        <w:keepLines/>
        <w:spacing w:after="40"/>
        <w:ind w:left="369" w:hanging="198"/>
      </w:pPr>
      <w:r>
        <w:rPr>
          <w:rFonts w:ascii="Arial" w:hAnsi="Arial" w:cs="Arial"/>
          <w:b w:val="0"/>
          <w:sz w:val="21"/>
        </w:rPr>
        <w:t>C) Solo genera una deuda tributaria.</w:t>
      </w:r>
    </w:p>
    <w:p>
      <w:pPr>
        <w:keepNext/>
        <w:keepLines/>
        <w:spacing w:after="40"/>
        <w:ind w:left="369" w:hanging="198"/>
      </w:pPr>
      <w:r>
        <w:rPr>
          <w:rFonts w:ascii="Arial" w:hAnsi="Arial" w:cs="Arial"/>
          <w:b w:val="0"/>
          <w:sz w:val="21"/>
        </w:rPr>
        <w:t>D) Impide cualquier anticipo.</w:t>
      </w:r>
    </w:p>
    <w:p>
      <w:pPr>
        <w:pStyle w:val="Question"/>
        <w:keepNext/>
      </w:pPr>
      <w:r>
        <w:rPr>
          <w:rFonts w:ascii="Arial" w:hAnsi="Arial" w:cs="Arial"/>
          <w:sz w:val="22"/>
        </w:rPr>
        <w:t>32. Conforme al ordenamiento vigente a la fecha de corte, tras la reforma vigente desde 2025, el permiso general por nacimiento para la madre biológica tiene una duración de:</w:t>
      </w:r>
    </w:p>
    <w:p>
      <w:pPr>
        <w:keepNext/>
        <w:keepLines/>
        <w:spacing w:after="40"/>
        <w:ind w:left="369" w:hanging="198"/>
      </w:pPr>
      <w:r>
        <w:rPr>
          <w:rFonts w:ascii="Arial" w:hAnsi="Arial" w:cs="Arial"/>
          <w:b w:val="0"/>
          <w:sz w:val="21"/>
        </w:rPr>
        <w:t>A) Dieciséis semanas.</w:t>
      </w:r>
    </w:p>
    <w:p>
      <w:pPr>
        <w:keepNext/>
        <w:keepLines/>
        <w:spacing w:after="40"/>
        <w:ind w:left="369" w:hanging="198"/>
      </w:pPr>
      <w:r>
        <w:rPr>
          <w:rFonts w:ascii="Arial" w:hAnsi="Arial" w:cs="Arial"/>
          <w:b w:val="0"/>
          <w:sz w:val="21"/>
        </w:rPr>
        <w:t>B) Diecisiete semanas.</w:t>
      </w:r>
    </w:p>
    <w:p>
      <w:pPr>
        <w:keepNext/>
        <w:keepLines/>
        <w:spacing w:after="40"/>
        <w:ind w:left="369" w:hanging="198"/>
      </w:pPr>
      <w:r>
        <w:rPr>
          <w:rFonts w:ascii="Arial" w:hAnsi="Arial" w:cs="Arial"/>
          <w:b w:val="0"/>
          <w:sz w:val="21"/>
        </w:rPr>
        <w:t>C) Diecinueve semanas.</w:t>
      </w:r>
    </w:p>
    <w:p>
      <w:pPr>
        <w:keepNext/>
        <w:keepLines/>
        <w:spacing w:after="40"/>
        <w:ind w:left="369" w:hanging="198"/>
      </w:pPr>
      <w:r>
        <w:rPr>
          <w:rFonts w:ascii="Arial" w:hAnsi="Arial" w:cs="Arial"/>
          <w:b w:val="0"/>
          <w:sz w:val="21"/>
        </w:rPr>
        <w:t>D) Veinte semanas.</w:t>
      </w:r>
    </w:p>
    <w:p>
      <w:pPr>
        <w:pStyle w:val="Question"/>
        <w:keepNext/>
      </w:pPr>
      <w:r>
        <w:rPr>
          <w:rFonts w:ascii="Arial" w:hAnsi="Arial" w:cs="Arial"/>
          <w:sz w:val="22"/>
        </w:rPr>
        <w:t>33. A efectos de aplicar correctamente la regla examinada, la opción del interesado por la pensión que había quedado suspendida produce efectos:</w:t>
      </w:r>
    </w:p>
    <w:p>
      <w:pPr>
        <w:keepNext/>
        <w:keepLines/>
        <w:spacing w:after="40"/>
        <w:ind w:left="369" w:hanging="198"/>
      </w:pPr>
      <w:r>
        <w:rPr>
          <w:rFonts w:ascii="Arial" w:hAnsi="Arial" w:cs="Arial"/>
          <w:b w:val="0"/>
          <w:sz w:val="21"/>
        </w:rPr>
        <w:t>A) Desde el primer reconocimiento.</w:t>
      </w:r>
    </w:p>
    <w:p>
      <w:pPr>
        <w:keepNext/>
        <w:keepLines/>
        <w:spacing w:after="40"/>
        <w:ind w:left="369" w:hanging="198"/>
      </w:pPr>
      <w:r>
        <w:rPr>
          <w:rFonts w:ascii="Arial" w:hAnsi="Arial" w:cs="Arial"/>
          <w:b w:val="0"/>
          <w:sz w:val="21"/>
        </w:rPr>
        <w:t>B) Desde el último día del año.</w:t>
      </w:r>
    </w:p>
    <w:p>
      <w:pPr>
        <w:keepNext/>
        <w:keepLines/>
        <w:spacing w:after="40"/>
        <w:ind w:left="369" w:hanging="198"/>
      </w:pPr>
      <w:r>
        <w:rPr>
          <w:rFonts w:ascii="Arial" w:hAnsi="Arial" w:cs="Arial"/>
          <w:b w:val="0"/>
          <w:sz w:val="21"/>
        </w:rPr>
        <w:t>C) Un año después.</w:t>
      </w:r>
    </w:p>
    <w:p>
      <w:pPr>
        <w:keepNext/>
        <w:keepLines/>
        <w:spacing w:after="40"/>
        <w:ind w:left="369" w:hanging="198"/>
      </w:pPr>
      <w:r>
        <w:rPr>
          <w:rFonts w:ascii="Arial" w:hAnsi="Arial" w:cs="Arial"/>
          <w:b w:val="0"/>
          <w:sz w:val="21"/>
        </w:rPr>
        <w:t>D) Desde el primer día del mes siguiente a la solicitud.</w:t>
      </w:r>
    </w:p>
    <w:p>
      <w:pPr>
        <w:pStyle w:val="Question"/>
        <w:keepNext/>
      </w:pPr>
      <w:r>
        <w:rPr>
          <w:rFonts w:ascii="Arial" w:hAnsi="Arial" w:cs="Arial"/>
          <w:sz w:val="22"/>
        </w:rPr>
        <w:t>34. Conforme al ordenamiento vigente a la fecha de corte, ¿Cuántas Salas tiene el Tribunal Constitucional?</w:t>
      </w:r>
    </w:p>
    <w:p>
      <w:pPr>
        <w:keepNext/>
        <w:keepLines/>
        <w:spacing w:after="40"/>
        <w:ind w:left="369" w:hanging="198"/>
      </w:pPr>
      <w:r>
        <w:rPr>
          <w:rFonts w:ascii="Arial" w:hAnsi="Arial" w:cs="Arial"/>
          <w:b w:val="0"/>
          <w:sz w:val="21"/>
        </w:rPr>
        <w:t>A) Una.</w:t>
      </w:r>
    </w:p>
    <w:p>
      <w:pPr>
        <w:keepNext/>
        <w:keepLines/>
        <w:spacing w:after="40"/>
        <w:ind w:left="369" w:hanging="198"/>
      </w:pPr>
      <w:r>
        <w:rPr>
          <w:rFonts w:ascii="Arial" w:hAnsi="Arial" w:cs="Arial"/>
          <w:b w:val="0"/>
          <w:sz w:val="21"/>
        </w:rPr>
        <w:t>B) Tres.</w:t>
      </w:r>
    </w:p>
    <w:p>
      <w:pPr>
        <w:keepNext/>
        <w:keepLines/>
        <w:spacing w:after="40"/>
        <w:ind w:left="369" w:hanging="198"/>
      </w:pPr>
      <w:r>
        <w:rPr>
          <w:rFonts w:ascii="Arial" w:hAnsi="Arial" w:cs="Arial"/>
          <w:b w:val="0"/>
          <w:sz w:val="21"/>
        </w:rPr>
        <w:t>C) Dos.</w:t>
      </w:r>
    </w:p>
    <w:p>
      <w:pPr>
        <w:keepNext/>
        <w:keepLines/>
        <w:spacing w:after="40"/>
        <w:ind w:left="369" w:hanging="198"/>
      </w:pPr>
      <w:r>
        <w:rPr>
          <w:rFonts w:ascii="Arial" w:hAnsi="Arial" w:cs="Arial"/>
          <w:b w:val="0"/>
          <w:sz w:val="21"/>
        </w:rPr>
        <w:t>D) Cuatro.</w:t>
      </w:r>
    </w:p>
    <w:p>
      <w:pPr>
        <w:pStyle w:val="Question"/>
        <w:keepNext/>
      </w:pPr>
      <w:r>
        <w:rPr>
          <w:rFonts w:ascii="Arial" w:hAnsi="Arial" w:cs="Arial"/>
          <w:sz w:val="22"/>
        </w:rPr>
        <w:t>35. Conforme al ordenamiento vigente a la fecha de corte, las subsecretarías y direcciones generales se crean, modifican y suprimen:</w:t>
      </w:r>
    </w:p>
    <w:p>
      <w:pPr>
        <w:keepNext/>
        <w:keepLines/>
        <w:spacing w:after="40"/>
        <w:ind w:left="369" w:hanging="198"/>
      </w:pPr>
      <w:r>
        <w:rPr>
          <w:rFonts w:ascii="Arial" w:hAnsi="Arial" w:cs="Arial"/>
          <w:b w:val="0"/>
          <w:sz w:val="21"/>
        </w:rPr>
        <w:t>A) Por real decreto del Consejo de Ministros, a iniciativa del ministro interesado y a propuesta del ministerio competente en organización.</w:t>
      </w:r>
    </w:p>
    <w:p>
      <w:pPr>
        <w:keepNext/>
        <w:keepLines/>
        <w:spacing w:after="40"/>
        <w:ind w:left="369" w:hanging="198"/>
      </w:pPr>
      <w:r>
        <w:rPr>
          <w:rFonts w:ascii="Arial" w:hAnsi="Arial" w:cs="Arial"/>
          <w:b w:val="0"/>
          <w:sz w:val="21"/>
        </w:rPr>
        <w:t>B) Por real decreto del presidente sin propuesta.</w:t>
      </w:r>
    </w:p>
    <w:p>
      <w:pPr>
        <w:keepNext/>
        <w:keepLines/>
        <w:spacing w:after="40"/>
        <w:ind w:left="369" w:hanging="198"/>
      </w:pPr>
      <w:r>
        <w:rPr>
          <w:rFonts w:ascii="Arial" w:hAnsi="Arial" w:cs="Arial"/>
          <w:b w:val="0"/>
          <w:sz w:val="21"/>
        </w:rPr>
        <w:t>C) Por orden del ministro respectivo.</w:t>
      </w:r>
    </w:p>
    <w:p>
      <w:pPr>
        <w:keepNext/>
        <w:keepLines/>
        <w:spacing w:after="40"/>
        <w:ind w:left="369" w:hanging="198"/>
      </w:pPr>
      <w:r>
        <w:rPr>
          <w:rFonts w:ascii="Arial" w:hAnsi="Arial" w:cs="Arial"/>
          <w:b w:val="0"/>
          <w:sz w:val="21"/>
        </w:rPr>
        <w:t>D) Mediante relación de puestos de trabajo.</w:t>
      </w:r>
    </w:p>
    <w:p>
      <w:pPr>
        <w:pStyle w:val="Question"/>
        <w:keepNext/>
      </w:pPr>
      <w:r>
        <w:rPr>
          <w:rFonts w:ascii="Arial" w:hAnsi="Arial" w:cs="Arial"/>
          <w:sz w:val="22"/>
        </w:rPr>
        <w:t>36. Conforme al ordenamiento vigente a la fecha de corte, la prestación por nacimiento o adopción en familia numerosa, monoparental o con progenitor discapacitado tiene cuantía íntegra de:</w:t>
      </w:r>
    </w:p>
    <w:p>
      <w:pPr>
        <w:keepNext/>
        <w:keepLines/>
        <w:spacing w:after="40"/>
        <w:ind w:left="369" w:hanging="198"/>
      </w:pPr>
      <w:r>
        <w:rPr>
          <w:rFonts w:ascii="Arial" w:hAnsi="Arial" w:cs="Arial"/>
          <w:b w:val="0"/>
          <w:sz w:val="21"/>
        </w:rPr>
        <w:t>A) 500 euros.</w:t>
      </w:r>
    </w:p>
    <w:p>
      <w:pPr>
        <w:keepNext/>
        <w:keepLines/>
        <w:spacing w:after="40"/>
        <w:ind w:left="369" w:hanging="198"/>
      </w:pPr>
      <w:r>
        <w:rPr>
          <w:rFonts w:ascii="Arial" w:hAnsi="Arial" w:cs="Arial"/>
          <w:b w:val="0"/>
          <w:sz w:val="21"/>
        </w:rPr>
        <w:t>B) 4 veces el SMI.</w:t>
      </w:r>
    </w:p>
    <w:p>
      <w:pPr>
        <w:keepNext/>
        <w:keepLines/>
        <w:spacing w:after="40"/>
        <w:ind w:left="369" w:hanging="198"/>
      </w:pPr>
      <w:r>
        <w:rPr>
          <w:rFonts w:ascii="Arial" w:hAnsi="Arial" w:cs="Arial"/>
          <w:b w:val="0"/>
          <w:sz w:val="21"/>
        </w:rPr>
        <w:t>C) 1.000 euros.</w:t>
      </w:r>
    </w:p>
    <w:p>
      <w:pPr>
        <w:keepNext/>
        <w:keepLines/>
        <w:spacing w:after="40"/>
        <w:ind w:left="369" w:hanging="198"/>
      </w:pPr>
      <w:r>
        <w:rPr>
          <w:rFonts w:ascii="Arial" w:hAnsi="Arial" w:cs="Arial"/>
          <w:b w:val="0"/>
          <w:sz w:val="21"/>
        </w:rPr>
        <w:t>D) 100 por ciento de la base reguladora.</w:t>
      </w:r>
    </w:p>
    <w:p>
      <w:pPr>
        <w:pStyle w:val="Question"/>
        <w:keepNext/>
      </w:pPr>
      <w:r>
        <w:rPr>
          <w:rFonts w:ascii="Arial" w:hAnsi="Arial" w:cs="Arial"/>
          <w:sz w:val="22"/>
        </w:rPr>
        <w:t>37. Conforme al ordenamiento vigente a la fecha de corte, como regla general, un proyecto de reforma del artículo 167 debe aprobarse:</w:t>
      </w:r>
    </w:p>
    <w:p>
      <w:pPr>
        <w:keepNext/>
        <w:keepLines/>
        <w:spacing w:after="40"/>
        <w:ind w:left="369" w:hanging="198"/>
      </w:pPr>
      <w:r>
        <w:rPr>
          <w:rFonts w:ascii="Arial" w:hAnsi="Arial" w:cs="Arial"/>
          <w:b w:val="0"/>
          <w:sz w:val="21"/>
        </w:rPr>
        <w:t>A) Por mayoría absoluta del Congreso y simple del Senado.</w:t>
      </w:r>
    </w:p>
    <w:p>
      <w:pPr>
        <w:keepNext/>
        <w:keepLines/>
        <w:spacing w:after="40"/>
        <w:ind w:left="369" w:hanging="198"/>
      </w:pPr>
      <w:r>
        <w:rPr>
          <w:rFonts w:ascii="Arial" w:hAnsi="Arial" w:cs="Arial"/>
          <w:b w:val="0"/>
          <w:sz w:val="21"/>
        </w:rPr>
        <w:t>B) Por tres quintos de cada Cámara.</w:t>
      </w:r>
    </w:p>
    <w:p>
      <w:pPr>
        <w:keepNext/>
        <w:keepLines/>
        <w:spacing w:after="40"/>
        <w:ind w:left="369" w:hanging="198"/>
      </w:pPr>
      <w:r>
        <w:rPr>
          <w:rFonts w:ascii="Arial" w:hAnsi="Arial" w:cs="Arial"/>
          <w:b w:val="0"/>
          <w:sz w:val="21"/>
        </w:rPr>
        <w:t>C) Por dos tercios del Congreso y mayoría absoluta del Senado.</w:t>
      </w:r>
    </w:p>
    <w:p>
      <w:pPr>
        <w:keepNext/>
        <w:keepLines/>
        <w:spacing w:after="40"/>
        <w:ind w:left="369" w:hanging="198"/>
      </w:pPr>
      <w:r>
        <w:rPr>
          <w:rFonts w:ascii="Arial" w:hAnsi="Arial" w:cs="Arial"/>
          <w:b w:val="0"/>
          <w:sz w:val="21"/>
        </w:rPr>
        <w:t>D) Por mayoría absoluta de cada Cámara.</w:t>
      </w:r>
    </w:p>
    <w:p>
      <w:pPr>
        <w:pStyle w:val="Question"/>
        <w:keepNext/>
      </w:pPr>
      <w:r>
        <w:rPr>
          <w:rFonts w:ascii="Arial" w:hAnsi="Arial" w:cs="Arial"/>
          <w:sz w:val="22"/>
        </w:rPr>
        <w:t>38. Conforme al ordenamiento vigente a la fecha de corte, si una persona obligada no accede a una notificación electrónica por una imposibilidad técnica acreditada:</w:t>
      </w:r>
    </w:p>
    <w:p>
      <w:pPr>
        <w:keepNext/>
        <w:keepLines/>
        <w:spacing w:after="40"/>
        <w:ind w:left="369" w:hanging="198"/>
      </w:pPr>
      <w:r>
        <w:rPr>
          <w:rFonts w:ascii="Arial" w:hAnsi="Arial" w:cs="Arial"/>
          <w:b w:val="0"/>
          <w:sz w:val="21"/>
        </w:rPr>
        <w:t>A) Se entiende siempre rechazada al décimo día, sin excepción.</w:t>
      </w:r>
    </w:p>
    <w:p>
      <w:pPr>
        <w:keepNext/>
        <w:keepLines/>
        <w:spacing w:after="40"/>
        <w:ind w:left="369" w:hanging="198"/>
      </w:pPr>
      <w:r>
        <w:rPr>
          <w:rFonts w:ascii="Arial" w:hAnsi="Arial" w:cs="Arial"/>
          <w:b w:val="0"/>
          <w:sz w:val="21"/>
        </w:rPr>
        <w:t>B) Se convierte automáticamente en silencio positivo.</w:t>
      </w:r>
    </w:p>
    <w:p>
      <w:pPr>
        <w:keepNext/>
        <w:keepLines/>
        <w:spacing w:after="40"/>
        <w:ind w:left="369" w:hanging="198"/>
      </w:pPr>
      <w:r>
        <w:rPr>
          <w:rFonts w:ascii="Arial" w:hAnsi="Arial" w:cs="Arial"/>
          <w:b w:val="0"/>
          <w:sz w:val="21"/>
        </w:rPr>
        <w:t>C) No opera sin más la presunción de rechazo, pues la ley exceptúa la imposibilidad técnica o material acreditada.</w:t>
      </w:r>
    </w:p>
    <w:p>
      <w:pPr>
        <w:keepNext/>
        <w:keepLines/>
        <w:spacing w:after="40"/>
        <w:ind w:left="369" w:hanging="198"/>
      </w:pPr>
      <w:r>
        <w:rPr>
          <w:rFonts w:ascii="Arial" w:hAnsi="Arial" w:cs="Arial"/>
          <w:b w:val="0"/>
          <w:sz w:val="21"/>
        </w:rPr>
        <w:t>D) El acto queda anulado de pleno derecho.</w:t>
      </w:r>
    </w:p>
    <w:p>
      <w:pPr>
        <w:pStyle w:val="Question"/>
        <w:keepNext/>
      </w:pPr>
      <w:r>
        <w:rPr>
          <w:rFonts w:ascii="Arial" w:hAnsi="Arial" w:cs="Arial"/>
          <w:sz w:val="22"/>
        </w:rPr>
        <w:t>39. En una comprobación jurídica del expediente, la incapacidad no contributiva exige, entre otros requisitos, un grado de discapacidad o enfermedad crónica:</w:t>
      </w:r>
    </w:p>
    <w:p>
      <w:pPr>
        <w:keepNext/>
        <w:keepLines/>
        <w:spacing w:after="40"/>
        <w:ind w:left="369" w:hanging="198"/>
      </w:pPr>
      <w:r>
        <w:rPr>
          <w:rFonts w:ascii="Arial" w:hAnsi="Arial" w:cs="Arial"/>
          <w:b w:val="0"/>
          <w:sz w:val="21"/>
        </w:rPr>
        <w:t>A) Igual o superior al 65 %.</w:t>
      </w:r>
    </w:p>
    <w:p>
      <w:pPr>
        <w:keepNext/>
        <w:keepLines/>
        <w:spacing w:after="40"/>
        <w:ind w:left="369" w:hanging="198"/>
      </w:pPr>
      <w:r>
        <w:rPr>
          <w:rFonts w:ascii="Arial" w:hAnsi="Arial" w:cs="Arial"/>
          <w:b w:val="0"/>
          <w:sz w:val="21"/>
        </w:rPr>
        <w:t>B) Igual o superior al 33 %.</w:t>
      </w:r>
    </w:p>
    <w:p>
      <w:pPr>
        <w:keepNext/>
        <w:keepLines/>
        <w:spacing w:after="40"/>
        <w:ind w:left="369" w:hanging="198"/>
      </w:pPr>
      <w:r>
        <w:rPr>
          <w:rFonts w:ascii="Arial" w:hAnsi="Arial" w:cs="Arial"/>
          <w:b w:val="0"/>
          <w:sz w:val="21"/>
        </w:rPr>
        <w:t>C) Superior al 50 % solo si existe empleo.</w:t>
      </w:r>
    </w:p>
    <w:p>
      <w:pPr>
        <w:keepNext/>
        <w:keepLines/>
        <w:spacing w:after="40"/>
        <w:ind w:left="369" w:hanging="198"/>
      </w:pPr>
      <w:r>
        <w:rPr>
          <w:rFonts w:ascii="Arial" w:hAnsi="Arial" w:cs="Arial"/>
          <w:b w:val="0"/>
          <w:sz w:val="21"/>
        </w:rPr>
        <w:t>D) Exactamente del 75 %.</w:t>
      </w:r>
    </w:p>
    <w:p>
      <w:pPr>
        <w:pStyle w:val="Question"/>
        <w:keepNext/>
      </w:pPr>
      <w:r>
        <w:rPr>
          <w:rFonts w:ascii="Arial" w:hAnsi="Arial" w:cs="Arial"/>
          <w:sz w:val="22"/>
        </w:rPr>
        <w:t>40. Conforme al ordenamiento vigente a la fecha de corte, la realización de actuaciones administrativas fuera del tiempo establecido implica anulabilidad:</w:t>
      </w:r>
    </w:p>
    <w:p>
      <w:pPr>
        <w:keepNext/>
        <w:keepLines/>
        <w:spacing w:after="40"/>
        <w:ind w:left="369" w:hanging="198"/>
      </w:pPr>
      <w:r>
        <w:rPr>
          <w:rFonts w:ascii="Arial" w:hAnsi="Arial" w:cs="Arial"/>
          <w:b w:val="0"/>
          <w:sz w:val="21"/>
        </w:rPr>
        <w:t>A) En todos los casos, sin atender a su naturaleza.</w:t>
      </w:r>
    </w:p>
    <w:p>
      <w:pPr>
        <w:keepNext/>
        <w:keepLines/>
        <w:spacing w:after="40"/>
        <w:ind w:left="369" w:hanging="198"/>
      </w:pPr>
      <w:r>
        <w:rPr>
          <w:rFonts w:ascii="Arial" w:hAnsi="Arial" w:cs="Arial"/>
          <w:b w:val="0"/>
          <w:sz w:val="21"/>
        </w:rPr>
        <w:t>B) Nunca, aunque el plazo sea esencial.</w:t>
      </w:r>
    </w:p>
    <w:p>
      <w:pPr>
        <w:keepNext/>
        <w:keepLines/>
        <w:spacing w:after="40"/>
        <w:ind w:left="369" w:hanging="198"/>
      </w:pPr>
      <w:r>
        <w:rPr>
          <w:rFonts w:ascii="Arial" w:hAnsi="Arial" w:cs="Arial"/>
          <w:b w:val="0"/>
          <w:sz w:val="21"/>
        </w:rPr>
        <w:t>C) Solo cuando lo imponga la naturaleza del término o plazo.</w:t>
      </w:r>
    </w:p>
    <w:p>
      <w:pPr>
        <w:keepNext/>
        <w:keepLines/>
        <w:spacing w:after="40"/>
        <w:ind w:left="369" w:hanging="198"/>
      </w:pPr>
      <w:r>
        <w:rPr>
          <w:rFonts w:ascii="Arial" w:hAnsi="Arial" w:cs="Arial"/>
          <w:b w:val="0"/>
          <w:sz w:val="21"/>
        </w:rPr>
        <w:t>D) Únicamente si existe silencio positivo.</w:t>
      </w:r>
    </w:p>
    <w:p>
      <w:pPr>
        <w:pStyle w:val="Question"/>
        <w:keepNext/>
      </w:pPr>
      <w:r>
        <w:rPr>
          <w:rFonts w:ascii="Arial" w:hAnsi="Arial" w:cs="Arial"/>
          <w:sz w:val="22"/>
        </w:rPr>
        <w:t>41. Conforme al ordenamiento vigente a la fecha de corte, durante un periodo de inactividad agraria, la falta de ingreso de las cuotas correspondientes:</w:t>
      </w:r>
    </w:p>
    <w:p>
      <w:pPr>
        <w:keepNext/>
        <w:keepLines/>
        <w:spacing w:after="40"/>
        <w:ind w:left="369" w:hanging="198"/>
      </w:pPr>
      <w:r>
        <w:rPr>
          <w:rFonts w:ascii="Arial" w:hAnsi="Arial" w:cs="Arial"/>
          <w:b w:val="0"/>
          <w:sz w:val="21"/>
        </w:rPr>
        <w:t>A) Determina la exclusión cuando se dejan de ingresar dos mensualidades consecutivas, con efectos desde el primer día del mes siguiente a la segunda.</w:t>
      </w:r>
    </w:p>
    <w:p>
      <w:pPr>
        <w:keepNext/>
        <w:keepLines/>
        <w:spacing w:after="40"/>
        <w:ind w:left="369" w:hanging="198"/>
      </w:pPr>
      <w:r>
        <w:rPr>
          <w:rFonts w:ascii="Arial" w:hAnsi="Arial" w:cs="Arial"/>
          <w:b w:val="0"/>
          <w:sz w:val="21"/>
        </w:rPr>
        <w:t>B) Nunca afecta a la inclusión en el sistema especial.</w:t>
      </w:r>
    </w:p>
    <w:p>
      <w:pPr>
        <w:keepNext/>
        <w:keepLines/>
        <w:spacing w:after="40"/>
        <w:ind w:left="369" w:hanging="198"/>
      </w:pPr>
      <w:r>
        <w:rPr>
          <w:rFonts w:ascii="Arial" w:hAnsi="Arial" w:cs="Arial"/>
          <w:b w:val="0"/>
          <w:sz w:val="21"/>
        </w:rPr>
        <w:t>C) Produce la baja tras una única cuota impagada, el mismo día del vencimiento.</w:t>
      </w:r>
    </w:p>
    <w:p>
      <w:pPr>
        <w:keepNext/>
        <w:keepLines/>
        <w:spacing w:after="40"/>
        <w:ind w:left="369" w:hanging="198"/>
      </w:pPr>
      <w:r>
        <w:rPr>
          <w:rFonts w:ascii="Arial" w:hAnsi="Arial" w:cs="Arial"/>
          <w:b w:val="0"/>
          <w:sz w:val="21"/>
        </w:rPr>
        <w:t>D) Solo genera intereses, aunque se acumulen doce mensualidades.</w:t>
      </w:r>
    </w:p>
    <w:p>
      <w:pPr>
        <w:pStyle w:val="Question"/>
        <w:keepNext/>
      </w:pPr>
      <w:r>
        <w:rPr>
          <w:rFonts w:ascii="Arial" w:hAnsi="Arial" w:cs="Arial"/>
          <w:sz w:val="22"/>
        </w:rPr>
        <w:t>42. Conforme al ordenamiento vigente a la fecha de corte, ¿Cuál de estas funciones corresponde al presidente del Gobierno?</w:t>
      </w:r>
    </w:p>
    <w:p>
      <w:pPr>
        <w:keepNext/>
        <w:keepLines/>
        <w:spacing w:after="40"/>
        <w:ind w:left="369" w:hanging="198"/>
      </w:pPr>
      <w:r>
        <w:rPr>
          <w:rFonts w:ascii="Arial" w:hAnsi="Arial" w:cs="Arial"/>
          <w:b w:val="0"/>
          <w:sz w:val="21"/>
        </w:rPr>
        <w:t>A) Aprobar por sí solo los proyectos de ley.</w:t>
      </w:r>
    </w:p>
    <w:p>
      <w:pPr>
        <w:keepNext/>
        <w:keepLines/>
        <w:spacing w:after="40"/>
        <w:ind w:left="369" w:hanging="198"/>
      </w:pPr>
      <w:r>
        <w:rPr>
          <w:rFonts w:ascii="Arial" w:hAnsi="Arial" w:cs="Arial"/>
          <w:b w:val="0"/>
          <w:sz w:val="21"/>
        </w:rPr>
        <w:t>B) Nombrar directamente a los ministros sin intervención del Rey.</w:t>
      </w:r>
    </w:p>
    <w:p>
      <w:pPr>
        <w:keepNext/>
        <w:keepLines/>
        <w:spacing w:after="40"/>
        <w:ind w:left="369" w:hanging="198"/>
      </w:pPr>
      <w:r>
        <w:rPr>
          <w:rFonts w:ascii="Arial" w:hAnsi="Arial" w:cs="Arial"/>
          <w:b w:val="0"/>
          <w:sz w:val="21"/>
        </w:rPr>
        <w:t>C) Declarar el estado de sitio.</w:t>
      </w:r>
    </w:p>
    <w:p>
      <w:pPr>
        <w:keepNext/>
        <w:keepLines/>
        <w:spacing w:after="40"/>
        <w:ind w:left="369" w:hanging="198"/>
      </w:pPr>
      <w:r>
        <w:rPr>
          <w:rFonts w:ascii="Arial" w:hAnsi="Arial" w:cs="Arial"/>
          <w:b w:val="0"/>
          <w:sz w:val="21"/>
        </w:rPr>
        <w:t>D) Resolver los conflictos de atribuciones entre ministerios.</w:t>
      </w:r>
    </w:p>
    <w:p>
      <w:pPr>
        <w:pStyle w:val="Question"/>
        <w:keepNext/>
      </w:pPr>
      <w:r>
        <w:rPr>
          <w:rFonts w:ascii="Arial" w:hAnsi="Arial" w:cs="Arial"/>
          <w:sz w:val="22"/>
        </w:rPr>
        <w:t>43. A efectos de aplicar correctamente la regla examinada, para probar que una muerte deriva de un accidente de trabajo, cuando no opera una presunción legal, el fallecimiento debe producirse:</w:t>
      </w:r>
    </w:p>
    <w:p>
      <w:pPr>
        <w:keepNext/>
        <w:keepLines/>
        <w:spacing w:after="40"/>
        <w:ind w:left="369" w:hanging="198"/>
      </w:pPr>
      <w:r>
        <w:rPr>
          <w:rFonts w:ascii="Arial" w:hAnsi="Arial" w:cs="Arial"/>
          <w:b w:val="0"/>
          <w:sz w:val="21"/>
        </w:rPr>
        <w:t>A) Dentro de los noventa días posteriores.</w:t>
      </w:r>
    </w:p>
    <w:p>
      <w:pPr>
        <w:keepNext/>
        <w:keepLines/>
        <w:spacing w:after="40"/>
        <w:ind w:left="369" w:hanging="198"/>
      </w:pPr>
      <w:r>
        <w:rPr>
          <w:rFonts w:ascii="Arial" w:hAnsi="Arial" w:cs="Arial"/>
          <w:b w:val="0"/>
          <w:sz w:val="21"/>
        </w:rPr>
        <w:t>B) Dentro de los dos años posteriores.</w:t>
      </w:r>
    </w:p>
    <w:p>
      <w:pPr>
        <w:keepNext/>
        <w:keepLines/>
        <w:spacing w:after="40"/>
        <w:ind w:left="369" w:hanging="198"/>
      </w:pPr>
      <w:r>
        <w:rPr>
          <w:rFonts w:ascii="Arial" w:hAnsi="Arial" w:cs="Arial"/>
          <w:b w:val="0"/>
          <w:sz w:val="21"/>
        </w:rPr>
        <w:t>C) Dentro de los cinco años siguientes al accidente.</w:t>
      </w:r>
    </w:p>
    <w:p>
      <w:pPr>
        <w:keepNext/>
        <w:keepLines/>
        <w:spacing w:after="40"/>
        <w:ind w:left="369" w:hanging="198"/>
      </w:pPr>
      <w:r>
        <w:rPr>
          <w:rFonts w:ascii="Arial" w:hAnsi="Arial" w:cs="Arial"/>
          <w:b w:val="0"/>
          <w:sz w:val="21"/>
        </w:rPr>
        <w:t>D) En cualquier momento, sin límite temporal.</w:t>
      </w:r>
    </w:p>
    <w:p>
      <w:pPr>
        <w:pStyle w:val="Question"/>
        <w:keepNext/>
      </w:pPr>
      <w:r>
        <w:rPr>
          <w:rFonts w:ascii="Arial" w:hAnsi="Arial" w:cs="Arial"/>
          <w:sz w:val="22"/>
        </w:rPr>
        <w:t>44. Conforme al ordenamiento vigente a la fecha de corte, ¿Quién debe acordar la negativa a remitir al Defensor del Pueblo un documento clasificado como secreto?</w:t>
      </w:r>
    </w:p>
    <w:p>
      <w:pPr>
        <w:keepNext/>
        <w:keepLines/>
        <w:spacing w:after="40"/>
        <w:ind w:left="369" w:hanging="198"/>
      </w:pPr>
      <w:r>
        <w:rPr>
          <w:rFonts w:ascii="Arial" w:hAnsi="Arial" w:cs="Arial"/>
          <w:b w:val="0"/>
          <w:sz w:val="21"/>
        </w:rPr>
        <w:t>A) El Consejo de Ministros, acompañando certificación del acuerdo denegatorio.</w:t>
      </w:r>
    </w:p>
    <w:p>
      <w:pPr>
        <w:keepNext/>
        <w:keepLines/>
        <w:spacing w:after="40"/>
        <w:ind w:left="369" w:hanging="198"/>
      </w:pPr>
      <w:r>
        <w:rPr>
          <w:rFonts w:ascii="Arial" w:hAnsi="Arial" w:cs="Arial"/>
          <w:b w:val="0"/>
          <w:sz w:val="21"/>
        </w:rPr>
        <w:t>B) El ministro competente por resolución verbal.</w:t>
      </w:r>
    </w:p>
    <w:p>
      <w:pPr>
        <w:keepNext/>
        <w:keepLines/>
        <w:spacing w:after="40"/>
        <w:ind w:left="369" w:hanging="198"/>
      </w:pPr>
      <w:r>
        <w:rPr>
          <w:rFonts w:ascii="Arial" w:hAnsi="Arial" w:cs="Arial"/>
          <w:b w:val="0"/>
          <w:sz w:val="21"/>
        </w:rPr>
        <w:t>C) La Mesa del Congreso.</w:t>
      </w:r>
    </w:p>
    <w:p>
      <w:pPr>
        <w:keepNext/>
        <w:keepLines/>
        <w:spacing w:after="40"/>
        <w:ind w:left="369" w:hanging="198"/>
      </w:pPr>
      <w:r>
        <w:rPr>
          <w:rFonts w:ascii="Arial" w:hAnsi="Arial" w:cs="Arial"/>
          <w:b w:val="0"/>
          <w:sz w:val="21"/>
        </w:rPr>
        <w:t>D) El Consejo de Estado.</w:t>
      </w:r>
    </w:p>
    <w:p>
      <w:pPr>
        <w:pStyle w:val="Question"/>
        <w:keepNext/>
      </w:pPr>
      <w:r>
        <w:rPr>
          <w:rFonts w:ascii="Arial" w:hAnsi="Arial" w:cs="Arial"/>
          <w:sz w:val="22"/>
        </w:rPr>
        <w:t>45. Conforme al ordenamiento vigente a la fecha de corte, el archivo electrónico único comprende, como regla, documentos:</w:t>
      </w:r>
    </w:p>
    <w:p>
      <w:pPr>
        <w:keepNext/>
        <w:keepLines/>
        <w:spacing w:after="40"/>
        <w:ind w:left="369" w:hanging="198"/>
      </w:pPr>
      <w:r>
        <w:rPr>
          <w:rFonts w:ascii="Arial" w:hAnsi="Arial" w:cs="Arial"/>
          <w:b w:val="0"/>
          <w:sz w:val="21"/>
        </w:rPr>
        <w:t>A) Correspondientes a procedimientos finalizados.</w:t>
      </w:r>
    </w:p>
    <w:p>
      <w:pPr>
        <w:keepNext/>
        <w:keepLines/>
        <w:spacing w:after="40"/>
        <w:ind w:left="369" w:hanging="198"/>
      </w:pPr>
      <w:r>
        <w:rPr>
          <w:rFonts w:ascii="Arial" w:hAnsi="Arial" w:cs="Arial"/>
          <w:b w:val="0"/>
          <w:sz w:val="21"/>
        </w:rPr>
        <w:t>B) Solo de procedimientos aún no iniciados.</w:t>
      </w:r>
    </w:p>
    <w:p>
      <w:pPr>
        <w:keepNext/>
        <w:keepLines/>
        <w:spacing w:after="40"/>
        <w:ind w:left="369" w:hanging="198"/>
      </w:pPr>
      <w:r>
        <w:rPr>
          <w:rFonts w:ascii="Arial" w:hAnsi="Arial" w:cs="Arial"/>
          <w:b w:val="0"/>
          <w:sz w:val="21"/>
        </w:rPr>
        <w:t>C) Únicamente en papel.</w:t>
      </w:r>
    </w:p>
    <w:p>
      <w:pPr>
        <w:keepNext/>
        <w:keepLines/>
        <w:spacing w:after="40"/>
        <w:ind w:left="369" w:hanging="198"/>
      </w:pPr>
      <w:r>
        <w:rPr>
          <w:rFonts w:ascii="Arial" w:hAnsi="Arial" w:cs="Arial"/>
          <w:b w:val="0"/>
          <w:sz w:val="21"/>
        </w:rPr>
        <w:t>D) Que carezcan de valor probatorio.</w:t>
      </w:r>
    </w:p>
    <w:p>
      <w:pPr>
        <w:pStyle w:val="Question"/>
        <w:keepNext/>
      </w:pPr>
      <w:r>
        <w:rPr>
          <w:rFonts w:ascii="Arial" w:hAnsi="Arial" w:cs="Arial"/>
          <w:sz w:val="22"/>
        </w:rPr>
        <w:t>46. Conforme al ordenamiento vigente a la fecha de corte, conforme al artículo 31 de la Ley 25/2014, las normas de tratados válidamente celebrados y publicados:</w:t>
      </w:r>
    </w:p>
    <w:p>
      <w:pPr>
        <w:keepNext/>
        <w:keepLines/>
        <w:spacing w:after="40"/>
        <w:ind w:left="369" w:hanging="198"/>
      </w:pPr>
      <w:r>
        <w:rPr>
          <w:rFonts w:ascii="Arial" w:hAnsi="Arial" w:cs="Arial"/>
          <w:b w:val="0"/>
          <w:sz w:val="21"/>
        </w:rPr>
        <w:t>A) Prevalecen incluso sobre la Constitución.</w:t>
      </w:r>
    </w:p>
    <w:p>
      <w:pPr>
        <w:keepNext/>
        <w:keepLines/>
        <w:spacing w:after="40"/>
        <w:ind w:left="369" w:hanging="198"/>
      </w:pPr>
      <w:r>
        <w:rPr>
          <w:rFonts w:ascii="Arial" w:hAnsi="Arial" w:cs="Arial"/>
          <w:b w:val="0"/>
          <w:sz w:val="21"/>
        </w:rPr>
        <w:t>B) Solo prevalecen sobre órdenes ministeriales.</w:t>
      </w:r>
    </w:p>
    <w:p>
      <w:pPr>
        <w:keepNext/>
        <w:keepLines/>
        <w:spacing w:after="40"/>
        <w:ind w:left="369" w:hanging="198"/>
      </w:pPr>
      <w:r>
        <w:rPr>
          <w:rFonts w:ascii="Arial" w:hAnsi="Arial" w:cs="Arial"/>
          <w:b w:val="0"/>
          <w:sz w:val="21"/>
        </w:rPr>
        <w:t>C) Prevalecen, en caso de conflicto, sobre cualquier otra norma interna salvo las de rango constitucional.</w:t>
      </w:r>
    </w:p>
    <w:p>
      <w:pPr>
        <w:keepNext/>
        <w:keepLines/>
        <w:spacing w:after="40"/>
        <w:ind w:left="369" w:hanging="198"/>
      </w:pPr>
      <w:r>
        <w:rPr>
          <w:rFonts w:ascii="Arial" w:hAnsi="Arial" w:cs="Arial"/>
          <w:b w:val="0"/>
          <w:sz w:val="21"/>
        </w:rPr>
        <w:t>D) Se subordinan siempre a cualquier ley posterior.</w:t>
      </w:r>
    </w:p>
    <w:p>
      <w:pPr>
        <w:pStyle w:val="Question"/>
        <w:keepNext/>
      </w:pPr>
      <w:r>
        <w:rPr>
          <w:rFonts w:ascii="Arial" w:hAnsi="Arial" w:cs="Arial"/>
          <w:sz w:val="22"/>
        </w:rPr>
        <w:t>47. Conforme al ordenamiento vigente a la fecha de corte, la existencia de vicepresidentes del Gobierno:</w:t>
      </w:r>
    </w:p>
    <w:p>
      <w:pPr>
        <w:keepNext/>
        <w:keepLines/>
        <w:spacing w:after="40"/>
        <w:ind w:left="369" w:hanging="198"/>
      </w:pPr>
      <w:r>
        <w:rPr>
          <w:rFonts w:ascii="Arial" w:hAnsi="Arial" w:cs="Arial"/>
          <w:b w:val="0"/>
          <w:sz w:val="21"/>
        </w:rPr>
        <w:t>A) Es obligatoria y debe haber uno.</w:t>
      </w:r>
    </w:p>
    <w:p>
      <w:pPr>
        <w:keepNext/>
        <w:keepLines/>
        <w:spacing w:after="40"/>
        <w:ind w:left="369" w:hanging="198"/>
      </w:pPr>
      <w:r>
        <w:rPr>
          <w:rFonts w:ascii="Arial" w:hAnsi="Arial" w:cs="Arial"/>
          <w:b w:val="0"/>
          <w:sz w:val="21"/>
        </w:rPr>
        <w:t>B) Es obligatoria y deben existir al menos dos.</w:t>
      </w:r>
    </w:p>
    <w:p>
      <w:pPr>
        <w:keepNext/>
        <w:keepLines/>
        <w:spacing w:after="40"/>
        <w:ind w:left="369" w:hanging="198"/>
      </w:pPr>
      <w:r>
        <w:rPr>
          <w:rFonts w:ascii="Arial" w:hAnsi="Arial" w:cs="Arial"/>
          <w:b w:val="0"/>
          <w:sz w:val="21"/>
        </w:rPr>
        <w:t>C) Es potestativa.</w:t>
      </w:r>
    </w:p>
    <w:p>
      <w:pPr>
        <w:keepNext/>
        <w:keepLines/>
        <w:spacing w:after="40"/>
        <w:ind w:left="369" w:hanging="198"/>
      </w:pPr>
      <w:r>
        <w:rPr>
          <w:rFonts w:ascii="Arial" w:hAnsi="Arial" w:cs="Arial"/>
          <w:b w:val="0"/>
          <w:sz w:val="21"/>
        </w:rPr>
        <w:t>D) Depende de una votación separada del Congreso.</w:t>
      </w:r>
    </w:p>
    <w:p>
      <w:pPr>
        <w:pStyle w:val="Question"/>
        <w:keepNext/>
      </w:pPr>
      <w:r>
        <w:rPr>
          <w:rFonts w:ascii="Arial" w:hAnsi="Arial" w:cs="Arial"/>
          <w:sz w:val="22"/>
        </w:rPr>
        <w:t>48. Conforme al ordenamiento vigente a la fecha de corte, el presupuesto monetario de la TGSS:</w:t>
      </w:r>
    </w:p>
    <w:p>
      <w:pPr>
        <w:keepNext/>
        <w:keepLines/>
        <w:spacing w:after="40"/>
        <w:ind w:left="369" w:hanging="198"/>
      </w:pPr>
      <w:r>
        <w:rPr>
          <w:rFonts w:ascii="Arial" w:hAnsi="Arial" w:cs="Arial"/>
          <w:b w:val="0"/>
          <w:sz w:val="21"/>
        </w:rPr>
        <w:t>A) Sustituye al presupuesto anual aprobado por ley.</w:t>
      </w:r>
    </w:p>
    <w:p>
      <w:pPr>
        <w:keepNext/>
        <w:keepLines/>
        <w:spacing w:after="40"/>
        <w:ind w:left="369" w:hanging="198"/>
      </w:pPr>
      <w:r>
        <w:rPr>
          <w:rFonts w:ascii="Arial" w:hAnsi="Arial" w:cs="Arial"/>
          <w:b w:val="0"/>
          <w:sz w:val="21"/>
        </w:rPr>
        <w:t>B) Se elabora mensualmente con previsiones del mes siguiente para ordenar la liquidez.</w:t>
      </w:r>
    </w:p>
    <w:p>
      <w:pPr>
        <w:keepNext/>
        <w:keepLines/>
        <w:spacing w:after="40"/>
        <w:ind w:left="369" w:hanging="198"/>
      </w:pPr>
      <w:r>
        <w:rPr>
          <w:rFonts w:ascii="Arial" w:hAnsi="Arial" w:cs="Arial"/>
          <w:b w:val="0"/>
          <w:sz w:val="21"/>
        </w:rPr>
        <w:t>C) Se aprueba una vez cada cuatro años.</w:t>
      </w:r>
    </w:p>
    <w:p>
      <w:pPr>
        <w:keepNext/>
        <w:keepLines/>
        <w:spacing w:after="40"/>
        <w:ind w:left="369" w:hanging="198"/>
      </w:pPr>
      <w:r>
        <w:rPr>
          <w:rFonts w:ascii="Arial" w:hAnsi="Arial" w:cs="Arial"/>
          <w:b w:val="0"/>
          <w:sz w:val="21"/>
        </w:rPr>
        <w:t>D) Reconoce por sí mismo el derecho a cada pensión.</w:t>
      </w:r>
    </w:p>
    <w:p>
      <w:pPr>
        <w:pStyle w:val="Question"/>
        <w:keepNext/>
      </w:pPr>
      <w:r>
        <w:rPr>
          <w:rFonts w:ascii="Arial" w:hAnsi="Arial" w:cs="Arial"/>
          <w:sz w:val="22"/>
        </w:rPr>
        <w:t>49. A efectos de aplicar correctamente la regla examinada, ¿Cuál de las siguientes prestaciones forma parte de la acción protectora por muerte y supervivencia?</w:t>
      </w:r>
    </w:p>
    <w:p>
      <w:pPr>
        <w:keepNext/>
        <w:keepLines/>
        <w:spacing w:after="40"/>
        <w:ind w:left="369" w:hanging="198"/>
      </w:pPr>
      <w:r>
        <w:rPr>
          <w:rFonts w:ascii="Arial" w:hAnsi="Arial" w:cs="Arial"/>
          <w:b w:val="0"/>
          <w:sz w:val="21"/>
        </w:rPr>
        <w:t>A) La prestación por nacimiento y cuidado de menor.</w:t>
      </w:r>
    </w:p>
    <w:p>
      <w:pPr>
        <w:keepNext/>
        <w:keepLines/>
        <w:spacing w:after="40"/>
        <w:ind w:left="369" w:hanging="198"/>
      </w:pPr>
      <w:r>
        <w:rPr>
          <w:rFonts w:ascii="Arial" w:hAnsi="Arial" w:cs="Arial"/>
          <w:b w:val="0"/>
          <w:sz w:val="21"/>
        </w:rPr>
        <w:t>B) El subsidio por incapacidad temporal.</w:t>
      </w:r>
    </w:p>
    <w:p>
      <w:pPr>
        <w:keepNext/>
        <w:keepLines/>
        <w:spacing w:after="40"/>
        <w:ind w:left="369" w:hanging="198"/>
      </w:pPr>
      <w:r>
        <w:rPr>
          <w:rFonts w:ascii="Arial" w:hAnsi="Arial" w:cs="Arial"/>
          <w:b w:val="0"/>
          <w:sz w:val="21"/>
        </w:rPr>
        <w:t>C) La prestación por riesgo durante el embarazo.</w:t>
      </w:r>
    </w:p>
    <w:p>
      <w:pPr>
        <w:keepNext/>
        <w:keepLines/>
        <w:spacing w:after="40"/>
        <w:ind w:left="369" w:hanging="198"/>
      </w:pPr>
      <w:r>
        <w:rPr>
          <w:rFonts w:ascii="Arial" w:hAnsi="Arial" w:cs="Arial"/>
          <w:b w:val="0"/>
          <w:sz w:val="21"/>
        </w:rPr>
        <w:t>D) El auxilio por defunción.</w:t>
      </w:r>
    </w:p>
    <w:p>
      <w:pPr>
        <w:pStyle w:val="Question"/>
        <w:keepNext/>
      </w:pPr>
      <w:r>
        <w:rPr>
          <w:rFonts w:ascii="Arial" w:hAnsi="Arial" w:cs="Arial"/>
          <w:sz w:val="22"/>
        </w:rPr>
        <w:t>50. Conforme al ordenamiento vigente a la fecha de corte, la carencia general exigida para suscribir el convenio especial ordinario es:</w:t>
      </w:r>
    </w:p>
    <w:p>
      <w:pPr>
        <w:keepNext/>
        <w:keepLines/>
        <w:spacing w:after="40"/>
        <w:ind w:left="369" w:hanging="198"/>
      </w:pPr>
      <w:r>
        <w:rPr>
          <w:rFonts w:ascii="Arial" w:hAnsi="Arial" w:cs="Arial"/>
          <w:b w:val="0"/>
          <w:sz w:val="21"/>
        </w:rPr>
        <w:t>A) 360 días dentro de los seis años anteriores.</w:t>
      </w:r>
    </w:p>
    <w:p>
      <w:pPr>
        <w:keepNext/>
        <w:keepLines/>
        <w:spacing w:after="40"/>
        <w:ind w:left="369" w:hanging="198"/>
      </w:pPr>
      <w:r>
        <w:rPr>
          <w:rFonts w:ascii="Arial" w:hAnsi="Arial" w:cs="Arial"/>
          <w:b w:val="0"/>
          <w:sz w:val="21"/>
        </w:rPr>
        <w:t>B) 500 días dentro de los cinco años anteriores.</w:t>
      </w:r>
    </w:p>
    <w:p>
      <w:pPr>
        <w:keepNext/>
        <w:keepLines/>
        <w:spacing w:after="40"/>
        <w:ind w:left="369" w:hanging="198"/>
      </w:pPr>
      <w:r>
        <w:rPr>
          <w:rFonts w:ascii="Arial" w:hAnsi="Arial" w:cs="Arial"/>
          <w:b w:val="0"/>
          <w:sz w:val="21"/>
        </w:rPr>
        <w:t>C) 1.800 días a lo largo de toda la vida laboral.</w:t>
      </w:r>
    </w:p>
    <w:p>
      <w:pPr>
        <w:keepNext/>
        <w:keepLines/>
        <w:spacing w:after="40"/>
        <w:ind w:left="369" w:hanging="198"/>
      </w:pPr>
      <w:r>
        <w:rPr>
          <w:rFonts w:ascii="Arial" w:hAnsi="Arial" w:cs="Arial"/>
          <w:b w:val="0"/>
          <w:sz w:val="21"/>
        </w:rPr>
        <w:t>D) 1.080 días dentro de los doce años inmediatamente anteriores a la baja o situación determinante.</w:t>
      </w:r>
    </w:p>
    <w:p>
      <w:pPr>
        <w:pStyle w:val="Question"/>
        <w:keepNext/>
      </w:pPr>
      <w:r>
        <w:rPr>
          <w:rFonts w:ascii="Arial" w:hAnsi="Arial" w:cs="Arial"/>
          <w:sz w:val="22"/>
        </w:rPr>
        <w:t>51. Conforme al ordenamiento vigente a la fecha de corte, en los procedimientos iniciados de oficio, el plazo máximo se cuenta desde:</w:t>
      </w:r>
    </w:p>
    <w:p>
      <w:pPr>
        <w:keepNext/>
        <w:keepLines/>
        <w:spacing w:after="40"/>
        <w:ind w:left="369" w:hanging="198"/>
      </w:pPr>
      <w:r>
        <w:rPr>
          <w:rFonts w:ascii="Arial" w:hAnsi="Arial" w:cs="Arial"/>
          <w:b w:val="0"/>
          <w:sz w:val="21"/>
        </w:rPr>
        <w:t>A) La fecha del acuerdo de iniciación.</w:t>
      </w:r>
    </w:p>
    <w:p>
      <w:pPr>
        <w:keepNext/>
        <w:keepLines/>
        <w:spacing w:after="40"/>
        <w:ind w:left="369" w:hanging="198"/>
      </w:pPr>
      <w:r>
        <w:rPr>
          <w:rFonts w:ascii="Arial" w:hAnsi="Arial" w:cs="Arial"/>
          <w:b w:val="0"/>
          <w:sz w:val="21"/>
        </w:rPr>
        <w:t>B) La primera actuación de instrucción.</w:t>
      </w:r>
    </w:p>
    <w:p>
      <w:pPr>
        <w:keepNext/>
        <w:keepLines/>
        <w:spacing w:after="40"/>
        <w:ind w:left="369" w:hanging="198"/>
      </w:pPr>
      <w:r>
        <w:rPr>
          <w:rFonts w:ascii="Arial" w:hAnsi="Arial" w:cs="Arial"/>
          <w:b w:val="0"/>
          <w:sz w:val="21"/>
        </w:rPr>
        <w:t>C) La notificación de la propuesta de resolución.</w:t>
      </w:r>
    </w:p>
    <w:p>
      <w:pPr>
        <w:keepNext/>
        <w:keepLines/>
        <w:spacing w:after="40"/>
        <w:ind w:left="369" w:hanging="198"/>
      </w:pPr>
      <w:r>
        <w:rPr>
          <w:rFonts w:ascii="Arial" w:hAnsi="Arial" w:cs="Arial"/>
          <w:b w:val="0"/>
          <w:sz w:val="21"/>
        </w:rPr>
        <w:t>D) La entrada de una denuncia.</w:t>
      </w:r>
    </w:p>
    <w:p>
      <w:pPr>
        <w:pStyle w:val="Question"/>
        <w:keepNext/>
      </w:pPr>
      <w:r>
        <w:rPr>
          <w:rFonts w:ascii="Arial" w:hAnsi="Arial" w:cs="Arial"/>
          <w:sz w:val="22"/>
        </w:rPr>
        <w:t>52. A efectos de aplicar correctamente la regla examinada, tienen capacidad de obrar ante las Administraciones los menores:</w:t>
      </w:r>
    </w:p>
    <w:p>
      <w:pPr>
        <w:keepNext/>
        <w:keepLines/>
        <w:spacing w:after="40"/>
        <w:ind w:left="369" w:hanging="198"/>
      </w:pPr>
      <w:r>
        <w:rPr>
          <w:rFonts w:ascii="Arial" w:hAnsi="Arial" w:cs="Arial"/>
          <w:b w:val="0"/>
          <w:sz w:val="21"/>
        </w:rPr>
        <w:t>A) Solo si han cumplido dieciocho años.</w:t>
      </w:r>
    </w:p>
    <w:p>
      <w:pPr>
        <w:keepNext/>
        <w:keepLines/>
        <w:spacing w:after="40"/>
        <w:ind w:left="369" w:hanging="198"/>
      </w:pPr>
      <w:r>
        <w:rPr>
          <w:rFonts w:ascii="Arial" w:hAnsi="Arial" w:cs="Arial"/>
          <w:b w:val="0"/>
          <w:sz w:val="21"/>
        </w:rPr>
        <w:t>B) Para ejercer y defender los derechos e intereses cuya actuación permita el ordenamiento sin asistencia, con la excepción legal aplicable.</w:t>
      </w:r>
    </w:p>
    <w:p>
      <w:pPr>
        <w:keepNext/>
        <w:keepLines/>
        <w:spacing w:after="40"/>
        <w:ind w:left="369" w:hanging="198"/>
      </w:pPr>
      <w:r>
        <w:rPr>
          <w:rFonts w:ascii="Arial" w:hAnsi="Arial" w:cs="Arial"/>
          <w:b w:val="0"/>
          <w:sz w:val="21"/>
        </w:rPr>
        <w:t>C) En ningún caso por sí mismos.</w:t>
      </w:r>
    </w:p>
    <w:p>
      <w:pPr>
        <w:keepNext/>
        <w:keepLines/>
        <w:spacing w:after="40"/>
        <w:ind w:left="369" w:hanging="198"/>
      </w:pPr>
      <w:r>
        <w:rPr>
          <w:rFonts w:ascii="Arial" w:hAnsi="Arial" w:cs="Arial"/>
          <w:b w:val="0"/>
          <w:sz w:val="21"/>
        </w:rPr>
        <w:t>D) Únicamente en procedimientos sancionadores.</w:t>
      </w:r>
    </w:p>
    <w:p>
      <w:pPr>
        <w:pStyle w:val="Question"/>
        <w:keepNext/>
      </w:pPr>
      <w:r>
        <w:rPr>
          <w:rFonts w:ascii="Arial" w:hAnsi="Arial" w:cs="Arial"/>
          <w:sz w:val="22"/>
        </w:rPr>
        <w:t>53. A efectos de aplicar correctamente la regla examinada, la cooperación leal obliga a los Estados miembros, entre otras cosas, a:</w:t>
      </w:r>
    </w:p>
    <w:p>
      <w:pPr>
        <w:keepNext/>
        <w:keepLines/>
        <w:spacing w:after="40"/>
        <w:ind w:left="369" w:hanging="198"/>
      </w:pPr>
      <w:r>
        <w:rPr>
          <w:rFonts w:ascii="Arial" w:hAnsi="Arial" w:cs="Arial"/>
          <w:b w:val="0"/>
          <w:sz w:val="21"/>
        </w:rPr>
        <w:t>A) Renunciar a toda competencia compartida.</w:t>
      </w:r>
    </w:p>
    <w:p>
      <w:pPr>
        <w:keepNext/>
        <w:keepLines/>
        <w:spacing w:after="40"/>
        <w:ind w:left="369" w:hanging="198"/>
      </w:pPr>
      <w:r>
        <w:rPr>
          <w:rFonts w:ascii="Arial" w:hAnsi="Arial" w:cs="Arial"/>
          <w:b w:val="0"/>
          <w:sz w:val="21"/>
        </w:rPr>
        <w:t>B) Aplicar únicamente actos legislativos.</w:t>
      </w:r>
    </w:p>
    <w:p>
      <w:pPr>
        <w:keepNext/>
        <w:keepLines/>
        <w:spacing w:after="40"/>
        <w:ind w:left="369" w:hanging="198"/>
      </w:pPr>
      <w:r>
        <w:rPr>
          <w:rFonts w:ascii="Arial" w:hAnsi="Arial" w:cs="Arial"/>
          <w:b w:val="0"/>
          <w:sz w:val="21"/>
        </w:rPr>
        <w:t>C) Consultar al Parlamento Europeo antes de aprobar cualquier ley.</w:t>
      </w:r>
    </w:p>
    <w:p>
      <w:pPr>
        <w:keepNext/>
        <w:keepLines/>
        <w:spacing w:after="40"/>
        <w:ind w:left="369" w:hanging="198"/>
      </w:pPr>
      <w:r>
        <w:rPr>
          <w:rFonts w:ascii="Arial" w:hAnsi="Arial" w:cs="Arial"/>
          <w:b w:val="0"/>
          <w:sz w:val="21"/>
        </w:rPr>
        <w:t>D) Adoptar las medidas apropiadas para asegurar el cumplimiento de las obligaciones de los Tratados y actos de la Unión.</w:t>
      </w:r>
    </w:p>
    <w:p>
      <w:pPr>
        <w:pStyle w:val="Question"/>
        <w:keepNext/>
      </w:pPr>
      <w:r>
        <w:rPr>
          <w:rFonts w:ascii="Arial" w:hAnsi="Arial" w:cs="Arial"/>
          <w:sz w:val="22"/>
        </w:rPr>
        <w:t>54. Conforme al ordenamiento vigente a la fecha de corte, el mandato constitucional de promover condiciones para que libertad e igualdad sean reales y efectivas se contiene en:</w:t>
      </w:r>
    </w:p>
    <w:p>
      <w:pPr>
        <w:keepNext/>
        <w:keepLines/>
        <w:spacing w:after="40"/>
        <w:ind w:left="369" w:hanging="198"/>
      </w:pPr>
      <w:r>
        <w:rPr>
          <w:rFonts w:ascii="Arial" w:hAnsi="Arial" w:cs="Arial"/>
          <w:b w:val="0"/>
          <w:sz w:val="21"/>
        </w:rPr>
        <w:t>A) El artículo 9.2 de la Constitución.</w:t>
      </w:r>
    </w:p>
    <w:p>
      <w:pPr>
        <w:keepNext/>
        <w:keepLines/>
        <w:spacing w:after="40"/>
        <w:ind w:left="369" w:hanging="198"/>
      </w:pPr>
      <w:r>
        <w:rPr>
          <w:rFonts w:ascii="Arial" w:hAnsi="Arial" w:cs="Arial"/>
          <w:b w:val="0"/>
          <w:sz w:val="21"/>
        </w:rPr>
        <w:t>B) El artículo 14 exclusivamente.</w:t>
      </w:r>
    </w:p>
    <w:p>
      <w:pPr>
        <w:keepNext/>
        <w:keepLines/>
        <w:spacing w:after="40"/>
        <w:ind w:left="369" w:hanging="198"/>
      </w:pPr>
      <w:r>
        <w:rPr>
          <w:rFonts w:ascii="Arial" w:hAnsi="Arial" w:cs="Arial"/>
          <w:b w:val="0"/>
          <w:sz w:val="21"/>
        </w:rPr>
        <w:t>C) El artículo 49 exclusivamente.</w:t>
      </w:r>
    </w:p>
    <w:p>
      <w:pPr>
        <w:keepNext/>
        <w:keepLines/>
        <w:spacing w:after="40"/>
        <w:ind w:left="369" w:hanging="198"/>
      </w:pPr>
      <w:r>
        <w:rPr>
          <w:rFonts w:ascii="Arial" w:hAnsi="Arial" w:cs="Arial"/>
          <w:b w:val="0"/>
          <w:sz w:val="21"/>
        </w:rPr>
        <w:t>D) El artículo 103.1.</w:t>
      </w:r>
    </w:p>
    <w:p>
      <w:pPr>
        <w:pStyle w:val="Question"/>
        <w:keepNext/>
      </w:pPr>
      <w:r>
        <w:rPr>
          <w:rFonts w:ascii="Arial" w:hAnsi="Arial" w:cs="Arial"/>
          <w:sz w:val="22"/>
        </w:rPr>
        <w:t>55. Conforme al ordenamiento vigente a la fecha de corte, una ley española posterior contradice un reglamento de la Unión válido y aplicable al litigio. El órgano nacional debe:</w:t>
      </w:r>
    </w:p>
    <w:p>
      <w:pPr>
        <w:keepNext/>
        <w:keepLines/>
        <w:spacing w:after="40"/>
        <w:ind w:left="369" w:hanging="198"/>
      </w:pPr>
      <w:r>
        <w:rPr>
          <w:rFonts w:ascii="Arial" w:hAnsi="Arial" w:cs="Arial"/>
          <w:b w:val="0"/>
          <w:sz w:val="21"/>
        </w:rPr>
        <w:t>A) Aplicar el reglamento de la Unión e inaplicar la ley interna incompatible en el caso.</w:t>
      </w:r>
    </w:p>
    <w:p>
      <w:pPr>
        <w:keepNext/>
        <w:keepLines/>
        <w:spacing w:after="40"/>
        <w:ind w:left="369" w:hanging="198"/>
      </w:pPr>
      <w:r>
        <w:rPr>
          <w:rFonts w:ascii="Arial" w:hAnsi="Arial" w:cs="Arial"/>
          <w:b w:val="0"/>
          <w:sz w:val="21"/>
        </w:rPr>
        <w:t>B) Aplicar la ley por ser posterior.</w:t>
      </w:r>
    </w:p>
    <w:p>
      <w:pPr>
        <w:keepNext/>
        <w:keepLines/>
        <w:spacing w:after="40"/>
        <w:ind w:left="369" w:hanging="198"/>
      </w:pPr>
      <w:r>
        <w:rPr>
          <w:rFonts w:ascii="Arial" w:hAnsi="Arial" w:cs="Arial"/>
          <w:b w:val="0"/>
          <w:sz w:val="21"/>
        </w:rPr>
        <w:t>C) Esperar obligatoriamente a que el legislador la derogue.</w:t>
      </w:r>
    </w:p>
    <w:p>
      <w:pPr>
        <w:keepNext/>
        <w:keepLines/>
        <w:spacing w:after="40"/>
        <w:ind w:left="369" w:hanging="198"/>
      </w:pPr>
      <w:r>
        <w:rPr>
          <w:rFonts w:ascii="Arial" w:hAnsi="Arial" w:cs="Arial"/>
          <w:b w:val="0"/>
          <w:sz w:val="21"/>
        </w:rPr>
        <w:t>D) Plantear siempre cuestión de inconstitucionalidad antes de actuar.</w:t>
      </w:r>
    </w:p>
    <w:p>
      <w:pPr>
        <w:pStyle w:val="Question"/>
        <w:keepNext/>
      </w:pPr>
      <w:r>
        <w:rPr>
          <w:rFonts w:ascii="Arial" w:hAnsi="Arial" w:cs="Arial"/>
          <w:sz w:val="22"/>
        </w:rPr>
        <w:t>56. Conforme al ordenamiento vigente a la fecha de corte, la obligación de dictar resolución expresa y notificarla alcanza:</w:t>
      </w:r>
    </w:p>
    <w:p>
      <w:pPr>
        <w:keepNext/>
        <w:keepLines/>
        <w:spacing w:after="40"/>
        <w:ind w:left="369" w:hanging="198"/>
      </w:pPr>
      <w:r>
        <w:rPr>
          <w:rFonts w:ascii="Arial" w:hAnsi="Arial" w:cs="Arial"/>
          <w:b w:val="0"/>
          <w:sz w:val="21"/>
        </w:rPr>
        <w:t>A) A todos los procedimientos, cualquiera que sea su forma de iniciación, salvo las excepciones legales.</w:t>
      </w:r>
    </w:p>
    <w:p>
      <w:pPr>
        <w:keepNext/>
        <w:keepLines/>
        <w:spacing w:after="40"/>
        <w:ind w:left="369" w:hanging="198"/>
      </w:pPr>
      <w:r>
        <w:rPr>
          <w:rFonts w:ascii="Arial" w:hAnsi="Arial" w:cs="Arial"/>
          <w:b w:val="0"/>
          <w:sz w:val="21"/>
        </w:rPr>
        <w:t>B) Solo a procedimientos iniciados a solicitud.</w:t>
      </w:r>
    </w:p>
    <w:p>
      <w:pPr>
        <w:keepNext/>
        <w:keepLines/>
        <w:spacing w:after="40"/>
        <w:ind w:left="369" w:hanging="198"/>
      </w:pPr>
      <w:r>
        <w:rPr>
          <w:rFonts w:ascii="Arial" w:hAnsi="Arial" w:cs="Arial"/>
          <w:b w:val="0"/>
          <w:sz w:val="21"/>
        </w:rPr>
        <w:t>C) Solo a procedimientos sancionadores.</w:t>
      </w:r>
    </w:p>
    <w:p>
      <w:pPr>
        <w:keepNext/>
        <w:keepLines/>
        <w:spacing w:after="40"/>
        <w:ind w:left="369" w:hanging="198"/>
      </w:pPr>
      <w:r>
        <w:rPr>
          <w:rFonts w:ascii="Arial" w:hAnsi="Arial" w:cs="Arial"/>
          <w:b w:val="0"/>
          <w:sz w:val="21"/>
        </w:rPr>
        <w:t>D) Únicamente a procedimientos que terminen de forma ordinaria.</w:t>
      </w:r>
    </w:p>
    <w:p>
      <w:pPr>
        <w:pStyle w:val="Question"/>
        <w:keepNext/>
      </w:pPr>
      <w:r>
        <w:rPr>
          <w:rFonts w:ascii="Arial" w:hAnsi="Arial" w:cs="Arial"/>
          <w:sz w:val="22"/>
        </w:rPr>
        <w:t>57. Conforme al ordenamiento vigente a la fecha de corte, la situación de violencia de género puede acreditarse:</w:t>
      </w:r>
    </w:p>
    <w:p>
      <w:pPr>
        <w:keepNext/>
        <w:keepLines/>
        <w:spacing w:after="40"/>
        <w:ind w:left="369" w:hanging="198"/>
      </w:pPr>
      <w:r>
        <w:rPr>
          <w:rFonts w:ascii="Arial" w:hAnsi="Arial" w:cs="Arial"/>
          <w:b w:val="0"/>
          <w:sz w:val="21"/>
        </w:rPr>
        <w:t>A) Solo por sentencia condenatoria firme.</w:t>
      </w:r>
    </w:p>
    <w:p>
      <w:pPr>
        <w:keepNext/>
        <w:keepLines/>
        <w:spacing w:after="40"/>
        <w:ind w:left="369" w:hanging="198"/>
      </w:pPr>
      <w:r>
        <w:rPr>
          <w:rFonts w:ascii="Arial" w:hAnsi="Arial" w:cs="Arial"/>
          <w:b w:val="0"/>
          <w:sz w:val="21"/>
        </w:rPr>
        <w:t>B) Únicamente mediante orden de protección.</w:t>
      </w:r>
    </w:p>
    <w:p>
      <w:pPr>
        <w:keepNext/>
        <w:keepLines/>
        <w:spacing w:after="40"/>
        <w:ind w:left="369" w:hanging="198"/>
      </w:pPr>
      <w:r>
        <w:rPr>
          <w:rFonts w:ascii="Arial" w:hAnsi="Arial" w:cs="Arial"/>
          <w:b w:val="0"/>
          <w:sz w:val="21"/>
        </w:rPr>
        <w:t>C) También mediante informe del Ministerio Fiscal sobre indicios o informes de servicios habilitados, entre otros títulos.</w:t>
      </w:r>
    </w:p>
    <w:p>
      <w:pPr>
        <w:keepNext/>
        <w:keepLines/>
        <w:spacing w:after="40"/>
        <w:ind w:left="369" w:hanging="198"/>
      </w:pPr>
      <w:r>
        <w:rPr>
          <w:rFonts w:ascii="Arial" w:hAnsi="Arial" w:cs="Arial"/>
          <w:b w:val="0"/>
          <w:sz w:val="21"/>
        </w:rPr>
        <w:t>D) Solo mediante declaración de la interesada.</w:t>
      </w:r>
    </w:p>
    <w:p>
      <w:pPr>
        <w:pStyle w:val="Question"/>
        <w:keepNext/>
      </w:pPr>
      <w:r>
        <w:rPr>
          <w:rFonts w:ascii="Arial" w:hAnsi="Arial" w:cs="Arial"/>
          <w:sz w:val="22"/>
        </w:rPr>
        <w:t>58. Conforme al ordenamiento vigente a la fecha de corte, en caso de vacante, ausencia o enfermedad de un ministro, su suplencia:</w:t>
      </w:r>
    </w:p>
    <w:p>
      <w:pPr>
        <w:keepNext/>
        <w:keepLines/>
        <w:spacing w:after="40"/>
        <w:ind w:left="369" w:hanging="198"/>
      </w:pPr>
      <w:r>
        <w:rPr>
          <w:rFonts w:ascii="Arial" w:hAnsi="Arial" w:cs="Arial"/>
          <w:b w:val="0"/>
          <w:sz w:val="21"/>
        </w:rPr>
        <w:t>A) Corresponde automáticamente al subsecretario.</w:t>
      </w:r>
    </w:p>
    <w:p>
      <w:pPr>
        <w:keepNext/>
        <w:keepLines/>
        <w:spacing w:after="40"/>
        <w:ind w:left="369" w:hanging="198"/>
      </w:pPr>
      <w:r>
        <w:rPr>
          <w:rFonts w:ascii="Arial" w:hAnsi="Arial" w:cs="Arial"/>
          <w:b w:val="0"/>
          <w:sz w:val="21"/>
        </w:rPr>
        <w:t>B) Recae en otro miembro del Gobierno y se determina por real decreto del presidente.</w:t>
      </w:r>
    </w:p>
    <w:p>
      <w:pPr>
        <w:keepNext/>
        <w:keepLines/>
        <w:spacing w:after="40"/>
        <w:ind w:left="369" w:hanging="198"/>
      </w:pPr>
      <w:r>
        <w:rPr>
          <w:rFonts w:ascii="Arial" w:hAnsi="Arial" w:cs="Arial"/>
          <w:b w:val="0"/>
          <w:sz w:val="21"/>
        </w:rPr>
        <w:t>C) Debe recaer en el secretario de Estado más antiguo.</w:t>
      </w:r>
    </w:p>
    <w:p>
      <w:pPr>
        <w:keepNext/>
        <w:keepLines/>
        <w:spacing w:after="40"/>
        <w:ind w:left="369" w:hanging="198"/>
      </w:pPr>
      <w:r>
        <w:rPr>
          <w:rFonts w:ascii="Arial" w:hAnsi="Arial" w:cs="Arial"/>
          <w:b w:val="0"/>
          <w:sz w:val="21"/>
        </w:rPr>
        <w:t>D) La decide el Congreso por mayoría simple.</w:t>
      </w:r>
    </w:p>
    <w:p>
      <w:pPr>
        <w:pStyle w:val="Question"/>
        <w:keepNext/>
      </w:pPr>
      <w:r>
        <w:rPr>
          <w:rFonts w:ascii="Arial" w:hAnsi="Arial" w:cs="Arial"/>
          <w:sz w:val="22"/>
        </w:rPr>
        <w:t>59. Conforme al ordenamiento vigente a la fecha de corte, ¿Qué dignidad tiene el heredero de la Corona desde su nacimiento o desde el hecho que origine el llamamiento?</w:t>
      </w:r>
    </w:p>
    <w:p>
      <w:pPr>
        <w:keepNext/>
        <w:keepLines/>
        <w:spacing w:after="40"/>
        <w:ind w:left="369" w:hanging="198"/>
      </w:pPr>
      <w:r>
        <w:rPr>
          <w:rFonts w:ascii="Arial" w:hAnsi="Arial" w:cs="Arial"/>
          <w:b w:val="0"/>
          <w:sz w:val="21"/>
        </w:rPr>
        <w:t>A) Infante de España.</w:t>
      </w:r>
    </w:p>
    <w:p>
      <w:pPr>
        <w:keepNext/>
        <w:keepLines/>
        <w:spacing w:after="40"/>
        <w:ind w:left="369" w:hanging="198"/>
      </w:pPr>
      <w:r>
        <w:rPr>
          <w:rFonts w:ascii="Arial" w:hAnsi="Arial" w:cs="Arial"/>
          <w:b w:val="0"/>
          <w:sz w:val="21"/>
        </w:rPr>
        <w:t>B) Regente nato.</w:t>
      </w:r>
    </w:p>
    <w:p>
      <w:pPr>
        <w:keepNext/>
        <w:keepLines/>
        <w:spacing w:after="40"/>
        <w:ind w:left="369" w:hanging="198"/>
      </w:pPr>
      <w:r>
        <w:rPr>
          <w:rFonts w:ascii="Arial" w:hAnsi="Arial" w:cs="Arial"/>
          <w:b w:val="0"/>
          <w:sz w:val="21"/>
        </w:rPr>
        <w:t>C) Príncipe consorte.</w:t>
      </w:r>
    </w:p>
    <w:p>
      <w:pPr>
        <w:keepNext/>
        <w:keepLines/>
        <w:spacing w:after="40"/>
        <w:ind w:left="369" w:hanging="198"/>
      </w:pPr>
      <w:r>
        <w:rPr>
          <w:rFonts w:ascii="Arial" w:hAnsi="Arial" w:cs="Arial"/>
          <w:b w:val="0"/>
          <w:sz w:val="21"/>
        </w:rPr>
        <w:t>D) Príncipe de Asturias y los demás títulos tradicionalmente vinculados al sucesor.</w:t>
      </w:r>
    </w:p>
    <w:p>
      <w:pPr>
        <w:pStyle w:val="Question"/>
        <w:keepNext/>
      </w:pPr>
      <w:r>
        <w:rPr>
          <w:rFonts w:ascii="Arial" w:hAnsi="Arial" w:cs="Arial"/>
          <w:sz w:val="22"/>
        </w:rPr>
        <w:t>60. A efectos de aplicar correctamente la regla examinada, en el procedimiento prejudicial del artículo 267 TFUE:</w:t>
      </w:r>
    </w:p>
    <w:p>
      <w:pPr>
        <w:keepNext/>
        <w:keepLines/>
        <w:spacing w:after="40"/>
        <w:ind w:left="369" w:hanging="198"/>
      </w:pPr>
      <w:r>
        <w:rPr>
          <w:rFonts w:ascii="Arial" w:hAnsi="Arial" w:cs="Arial"/>
          <w:b w:val="0"/>
          <w:sz w:val="21"/>
        </w:rPr>
        <w:t>A) El Tribunal sustituye al juez nacional y resuelve todos los hechos.</w:t>
      </w:r>
    </w:p>
    <w:p>
      <w:pPr>
        <w:keepNext/>
        <w:keepLines/>
        <w:spacing w:after="40"/>
        <w:ind w:left="369" w:hanging="198"/>
      </w:pPr>
      <w:r>
        <w:rPr>
          <w:rFonts w:ascii="Arial" w:hAnsi="Arial" w:cs="Arial"/>
          <w:b w:val="0"/>
          <w:sz w:val="21"/>
        </w:rPr>
        <w:t>B) Las partes recurren directamente la sentencia nacional ante Luxemburgo.</w:t>
      </w:r>
    </w:p>
    <w:p>
      <w:pPr>
        <w:keepNext/>
        <w:keepLines/>
        <w:spacing w:after="40"/>
        <w:ind w:left="369" w:hanging="198"/>
      </w:pPr>
      <w:r>
        <w:rPr>
          <w:rFonts w:ascii="Arial" w:hAnsi="Arial" w:cs="Arial"/>
          <w:b w:val="0"/>
          <w:sz w:val="21"/>
        </w:rPr>
        <w:t>C)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D) El Consejo decide la interpretación auténtica del acto discutido.</w:t>
      </w:r>
    </w:p>
    <w:p>
      <w:pPr>
        <w:pStyle w:val="Question"/>
        <w:keepNext/>
      </w:pPr>
      <w:r>
        <w:rPr>
          <w:rFonts w:ascii="Arial" w:hAnsi="Arial" w:cs="Arial"/>
          <w:sz w:val="22"/>
        </w:rPr>
        <w:t>61. Conforme al ordenamiento vigente a la fecha de corte, cuando la adjudicación directa se plantea después de una segunda subasta desierta, la autorización debe adoptarse, salvo ampliación competente, dentro de:</w:t>
      </w:r>
    </w:p>
    <w:p>
      <w:pPr>
        <w:keepNext/>
        <w:keepLines/>
        <w:spacing w:after="40"/>
        <w:ind w:left="369" w:hanging="198"/>
      </w:pPr>
      <w:r>
        <w:rPr>
          <w:rFonts w:ascii="Arial" w:hAnsi="Arial" w:cs="Arial"/>
          <w:b w:val="0"/>
          <w:sz w:val="21"/>
        </w:rPr>
        <w:t>A) Diez días desde el embargo.</w:t>
      </w:r>
    </w:p>
    <w:p>
      <w:pPr>
        <w:keepNext/>
        <w:keepLines/>
        <w:spacing w:after="40"/>
        <w:ind w:left="369" w:hanging="198"/>
      </w:pPr>
      <w:r>
        <w:rPr>
          <w:rFonts w:ascii="Arial" w:hAnsi="Arial" w:cs="Arial"/>
          <w:b w:val="0"/>
          <w:sz w:val="21"/>
        </w:rPr>
        <w:t>B) Seis meses desde la primera providencia.</w:t>
      </w:r>
    </w:p>
    <w:p>
      <w:pPr>
        <w:keepNext/>
        <w:keepLines/>
        <w:spacing w:after="40"/>
        <w:ind w:left="369" w:hanging="198"/>
      </w:pPr>
      <w:r>
        <w:rPr>
          <w:rFonts w:ascii="Arial" w:hAnsi="Arial" w:cs="Arial"/>
          <w:b w:val="0"/>
          <w:sz w:val="21"/>
        </w:rPr>
        <w:t>C) Cuatro años desde el devengo.</w:t>
      </w:r>
    </w:p>
    <w:p>
      <w:pPr>
        <w:keepNext/>
        <w:keepLines/>
        <w:spacing w:after="40"/>
        <w:ind w:left="369" w:hanging="198"/>
      </w:pPr>
      <w:r>
        <w:rPr>
          <w:rFonts w:ascii="Arial" w:hAnsi="Arial" w:cs="Arial"/>
          <w:b w:val="0"/>
          <w:sz w:val="21"/>
        </w:rPr>
        <w:t>D) Tres meses desde la celebración de la segunda subasta.</w:t>
      </w:r>
    </w:p>
    <w:p>
      <w:pPr>
        <w:pStyle w:val="Question"/>
        <w:keepNext/>
      </w:pPr>
      <w:r>
        <w:rPr>
          <w:rFonts w:ascii="Arial" w:hAnsi="Arial" w:cs="Arial"/>
          <w:sz w:val="22"/>
        </w:rPr>
        <w:t>62. Conforme al ordenamiento vigente a la fecha de corte, corresponde característicamente a la Comisión:</w:t>
      </w:r>
    </w:p>
    <w:p>
      <w:pPr>
        <w:keepNext/>
        <w:keepLines/>
        <w:spacing w:after="40"/>
        <w:ind w:left="369" w:hanging="198"/>
      </w:pPr>
      <w:r>
        <w:rPr>
          <w:rFonts w:ascii="Arial" w:hAnsi="Arial" w:cs="Arial"/>
          <w:b w:val="0"/>
          <w:sz w:val="21"/>
        </w:rPr>
        <w:t>A) Representar a los Gobiernos nacionales en la función legislativa.</w:t>
      </w:r>
    </w:p>
    <w:p>
      <w:pPr>
        <w:keepNext/>
        <w:keepLines/>
        <w:spacing w:after="40"/>
        <w:ind w:left="369" w:hanging="198"/>
      </w:pPr>
      <w:r>
        <w:rPr>
          <w:rFonts w:ascii="Arial" w:hAnsi="Arial" w:cs="Arial"/>
          <w:b w:val="0"/>
          <w:sz w:val="21"/>
        </w:rPr>
        <w:t>B) Resolver recursos prejudiciales.</w:t>
      </w:r>
    </w:p>
    <w:p>
      <w:pPr>
        <w:keepNext/>
        <w:keepLines/>
        <w:spacing w:after="40"/>
        <w:ind w:left="369" w:hanging="198"/>
      </w:pPr>
      <w:r>
        <w:rPr>
          <w:rFonts w:ascii="Arial" w:hAnsi="Arial" w:cs="Arial"/>
          <w:b w:val="0"/>
          <w:sz w:val="21"/>
        </w:rPr>
        <w:t>C) Promover el interés general, ejercer normalmente la iniciativa y vigilar la aplicación del Derecho de la Unión.</w:t>
      </w:r>
    </w:p>
    <w:p>
      <w:pPr>
        <w:keepNext/>
        <w:keepLines/>
        <w:spacing w:after="40"/>
        <w:ind w:left="369" w:hanging="198"/>
      </w:pPr>
      <w:r>
        <w:rPr>
          <w:rFonts w:ascii="Arial" w:hAnsi="Arial" w:cs="Arial"/>
          <w:b w:val="0"/>
          <w:sz w:val="21"/>
        </w:rPr>
        <w:t>D) Elegir a los diputados europeos.</w:t>
      </w:r>
    </w:p>
    <w:p>
      <w:pPr>
        <w:pStyle w:val="Question"/>
        <w:keepNext/>
      </w:pPr>
      <w:r>
        <w:rPr>
          <w:rFonts w:ascii="Arial" w:hAnsi="Arial" w:cs="Arial"/>
          <w:sz w:val="22"/>
        </w:rPr>
        <w:t>63. Conforme al ordenamiento vigente a la fecha de corte, la nulidad o anulabilidad de un acto:</w:t>
      </w:r>
    </w:p>
    <w:p>
      <w:pPr>
        <w:keepNext/>
        <w:keepLines/>
        <w:spacing w:after="40"/>
        <w:ind w:left="369" w:hanging="198"/>
      </w:pPr>
      <w:r>
        <w:rPr>
          <w:rFonts w:ascii="Arial" w:hAnsi="Arial" w:cs="Arial"/>
          <w:b w:val="0"/>
          <w:sz w:val="21"/>
        </w:rPr>
        <w:t>A) Arrastra siempre todos los actos sucesivos.</w:t>
      </w:r>
    </w:p>
    <w:p>
      <w:pPr>
        <w:keepNext/>
        <w:keepLines/>
        <w:spacing w:after="40"/>
        <w:ind w:left="369" w:hanging="198"/>
      </w:pPr>
      <w:r>
        <w:rPr>
          <w:rFonts w:ascii="Arial" w:hAnsi="Arial" w:cs="Arial"/>
          <w:b w:val="0"/>
          <w:sz w:val="21"/>
        </w:rPr>
        <w:t>B) Obliga siempre a reiniciar íntegramente el procedimiento.</w:t>
      </w:r>
    </w:p>
    <w:p>
      <w:pPr>
        <w:keepNext/>
        <w:keepLines/>
        <w:spacing w:after="40"/>
        <w:ind w:left="369" w:hanging="198"/>
      </w:pPr>
      <w:r>
        <w:rPr>
          <w:rFonts w:ascii="Arial" w:hAnsi="Arial" w:cs="Arial"/>
          <w:b w:val="0"/>
          <w:sz w:val="21"/>
        </w:rPr>
        <w:t>C) Convierte en nula toda disposición aplicada.</w:t>
      </w:r>
    </w:p>
    <w:p>
      <w:pPr>
        <w:keepNext/>
        <w:keepLines/>
        <w:spacing w:after="40"/>
        <w:ind w:left="369" w:hanging="198"/>
      </w:pPr>
      <w:r>
        <w:rPr>
          <w:rFonts w:ascii="Arial" w:hAnsi="Arial" w:cs="Arial"/>
          <w:b w:val="0"/>
          <w:sz w:val="21"/>
        </w:rPr>
        <w:t>D) No implica la de los sucesivos que sean independientes del primero.</w:t>
      </w:r>
    </w:p>
    <w:p>
      <w:pPr>
        <w:pStyle w:val="Question"/>
        <w:keepNext/>
      </w:pPr>
      <w:r>
        <w:rPr>
          <w:rFonts w:ascii="Arial" w:hAnsi="Arial" w:cs="Arial"/>
          <w:sz w:val="22"/>
        </w:rPr>
        <w:t>64. Conforme al ordenamiento vigente a la fecha de corte,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val="0"/>
          <w:sz w:val="21"/>
        </w:rPr>
        <w:t>B) Reconocer la prestación y declarar extinguidas cuotas, recargos y sanciones.</w:t>
      </w:r>
    </w:p>
    <w:p>
      <w:pPr>
        <w:keepNext/>
        <w:keepLines/>
        <w:spacing w:after="40"/>
        <w:ind w:left="369" w:hanging="198"/>
      </w:pPr>
      <w:r>
        <w:rPr>
          <w:rFonts w:ascii="Arial" w:hAnsi="Arial" w:cs="Arial"/>
          <w:b w:val="0"/>
          <w:sz w:val="21"/>
        </w:rPr>
        <w:t>C)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D) Considerar que el INSS cursó retroactivamente el alta empresarial.</w:t>
      </w:r>
    </w:p>
    <w:p>
      <w:pPr>
        <w:pStyle w:val="Question"/>
        <w:keepNext/>
      </w:pPr>
      <w:r>
        <w:rPr>
          <w:rFonts w:ascii="Arial" w:hAnsi="Arial" w:cs="Arial"/>
          <w:sz w:val="22"/>
        </w:rPr>
        <w:t>65. A efectos de aplicar correctamente la regla examinada, ¿Cuál de estos es un órgano superior de la organización central?</w:t>
      </w:r>
    </w:p>
    <w:p>
      <w:pPr>
        <w:keepNext/>
        <w:keepLines/>
        <w:spacing w:after="40"/>
        <w:ind w:left="369" w:hanging="198"/>
      </w:pPr>
      <w:r>
        <w:rPr>
          <w:rFonts w:ascii="Arial" w:hAnsi="Arial" w:cs="Arial"/>
          <w:b w:val="0"/>
          <w:sz w:val="21"/>
        </w:rPr>
        <w:t>A) El subsecretario.</w:t>
      </w:r>
    </w:p>
    <w:p>
      <w:pPr>
        <w:keepNext/>
        <w:keepLines/>
        <w:spacing w:after="40"/>
        <w:ind w:left="369" w:hanging="198"/>
      </w:pPr>
      <w:r>
        <w:rPr>
          <w:rFonts w:ascii="Arial" w:hAnsi="Arial" w:cs="Arial"/>
          <w:b w:val="0"/>
          <w:sz w:val="21"/>
        </w:rPr>
        <w:t>B) El secretario de Estado.</w:t>
      </w:r>
    </w:p>
    <w:p>
      <w:pPr>
        <w:keepNext/>
        <w:keepLines/>
        <w:spacing w:after="40"/>
        <w:ind w:left="369" w:hanging="198"/>
      </w:pPr>
      <w:r>
        <w:rPr>
          <w:rFonts w:ascii="Arial" w:hAnsi="Arial" w:cs="Arial"/>
          <w:b w:val="0"/>
          <w:sz w:val="21"/>
        </w:rPr>
        <w:t>C) El secretario general técnico.</w:t>
      </w:r>
    </w:p>
    <w:p>
      <w:pPr>
        <w:keepNext/>
        <w:keepLines/>
        <w:spacing w:after="40"/>
        <w:ind w:left="369" w:hanging="198"/>
      </w:pPr>
      <w:r>
        <w:rPr>
          <w:rFonts w:ascii="Arial" w:hAnsi="Arial" w:cs="Arial"/>
          <w:b w:val="0"/>
          <w:sz w:val="21"/>
        </w:rPr>
        <w:t>D) El director general.</w:t>
      </w:r>
    </w:p>
    <w:p>
      <w:pPr>
        <w:pStyle w:val="Question"/>
        <w:keepNext/>
      </w:pPr>
      <w:r>
        <w:rPr>
          <w:rFonts w:ascii="Arial" w:hAnsi="Arial" w:cs="Arial"/>
          <w:sz w:val="22"/>
        </w:rPr>
        <w:t>66. Conforme al ordenamiento vigente a la fecha de corte,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val="0"/>
          <w:sz w:val="21"/>
        </w:rPr>
        <w:t>B) Tener prioridad absoluta sobre la orfandad.</w:t>
      </w:r>
    </w:p>
    <w:p>
      <w:pPr>
        <w:keepNext/>
        <w:keepLines/>
        <w:spacing w:after="40"/>
        <w:ind w:left="369" w:hanging="198"/>
      </w:pPr>
      <w:r>
        <w:rPr>
          <w:rFonts w:ascii="Arial" w:hAnsi="Arial" w:cs="Arial"/>
          <w:b w:val="0"/>
          <w:sz w:val="21"/>
        </w:rPr>
        <w:t>C) Corresponder a cualquier pariente hasta cuarto grado.</w:t>
      </w:r>
    </w:p>
    <w:p>
      <w:pPr>
        <w:keepNext/>
        <w:keepLines/>
        <w:spacing w:after="40"/>
        <w:ind w:left="369" w:hanging="198"/>
      </w:pPr>
      <w:r>
        <w:rPr>
          <w:rFonts w:ascii="Arial" w:hAnsi="Arial" w:cs="Arial"/>
          <w:b w:val="0"/>
          <w:sz w:val="21"/>
        </w:rPr>
        <w:t>D) Exigir pertenecer a una categoría protegida y acreditar, según el caso, convivencia y dependencia económica.</w:t>
      </w:r>
    </w:p>
    <w:p>
      <w:pPr>
        <w:pStyle w:val="Question"/>
        <w:keepNext/>
      </w:pPr>
      <w:r>
        <w:rPr>
          <w:rFonts w:ascii="Arial" w:hAnsi="Arial" w:cs="Arial"/>
          <w:sz w:val="22"/>
        </w:rPr>
        <w:t>67. Conforme al ordenamiento vigente a la fecha de corte, puede darse eficacia retroactiva a un acto favorable cuando:</w:t>
      </w:r>
    </w:p>
    <w:p>
      <w:pPr>
        <w:keepNext/>
        <w:keepLines/>
        <w:spacing w:after="40"/>
        <w:ind w:left="369" w:hanging="198"/>
      </w:pPr>
      <w:r>
        <w:rPr>
          <w:rFonts w:ascii="Arial" w:hAnsi="Arial" w:cs="Arial"/>
          <w:b w:val="0"/>
          <w:sz w:val="21"/>
        </w:rPr>
        <w:t>A) Lo solicite el beneficiario, aunque se perjudiquen derechos de terceros.</w:t>
      </w:r>
    </w:p>
    <w:p>
      <w:pPr>
        <w:keepNext/>
        <w:keepLines/>
        <w:spacing w:after="40"/>
        <w:ind w:left="369" w:hanging="198"/>
      </w:pPr>
      <w:r>
        <w:rPr>
          <w:rFonts w:ascii="Arial" w:hAnsi="Arial" w:cs="Arial"/>
          <w:b w:val="0"/>
          <w:sz w:val="21"/>
        </w:rPr>
        <w:t>B) El supuesto de hecho aparezca después de la fecha a la que se retrotrae.</w:t>
      </w:r>
    </w:p>
    <w:p>
      <w:pPr>
        <w:keepNext/>
        <w:keepLines/>
        <w:spacing w:after="40"/>
        <w:ind w:left="369" w:hanging="198"/>
      </w:pPr>
      <w:r>
        <w:rPr>
          <w:rFonts w:ascii="Arial" w:hAnsi="Arial" w:cs="Arial"/>
          <w:b w:val="0"/>
          <w:sz w:val="21"/>
        </w:rPr>
        <w:t>C) Sea un acto sancionador no favorable.</w:t>
      </w:r>
    </w:p>
    <w:p>
      <w:pPr>
        <w:keepNext/>
        <w:keepLines/>
        <w:spacing w:after="40"/>
        <w:ind w:left="369" w:hanging="198"/>
      </w:pPr>
      <w:r>
        <w:rPr>
          <w:rFonts w:ascii="Arial" w:hAnsi="Arial" w:cs="Arial"/>
          <w:b w:val="0"/>
          <w:sz w:val="21"/>
        </w:rPr>
        <w:t>D) Los supuestos de hecho necesarios existían ya y no se lesionan derechos o intereses legítimos de otras personas.</w:t>
      </w:r>
    </w:p>
    <w:p>
      <w:pPr>
        <w:pStyle w:val="Question"/>
        <w:keepNext/>
      </w:pPr>
      <w:r>
        <w:rPr>
          <w:rFonts w:ascii="Arial" w:hAnsi="Arial" w:cs="Arial"/>
          <w:sz w:val="22"/>
        </w:rPr>
        <w:t>68. A efectos de aplicar correctamente la regla examinada, en un pago mediante transferencia bancaria, se toma como fecha de ingreso:</w:t>
      </w:r>
    </w:p>
    <w:p>
      <w:pPr>
        <w:keepNext/>
        <w:keepLines/>
        <w:spacing w:after="40"/>
        <w:ind w:left="369" w:hanging="198"/>
      </w:pPr>
      <w:r>
        <w:rPr>
          <w:rFonts w:ascii="Arial" w:hAnsi="Arial" w:cs="Arial"/>
          <w:b w:val="0"/>
          <w:sz w:val="21"/>
        </w:rPr>
        <w:t>A) La fecha de entrada de los fondos en la cuenta de la TGSS.</w:t>
      </w:r>
    </w:p>
    <w:p>
      <w:pPr>
        <w:keepNext/>
        <w:keepLines/>
        <w:spacing w:after="40"/>
        <w:ind w:left="369" w:hanging="198"/>
      </w:pPr>
      <w:r>
        <w:rPr>
          <w:rFonts w:ascii="Arial" w:hAnsi="Arial" w:cs="Arial"/>
          <w:b w:val="0"/>
          <w:sz w:val="21"/>
        </w:rPr>
        <w:t>B) La fecha en que se redacta la orden.</w:t>
      </w:r>
    </w:p>
    <w:p>
      <w:pPr>
        <w:keepNext/>
        <w:keepLines/>
        <w:spacing w:after="40"/>
        <w:ind w:left="369" w:hanging="198"/>
      </w:pPr>
      <w:r>
        <w:rPr>
          <w:rFonts w:ascii="Arial" w:hAnsi="Arial" w:cs="Arial"/>
          <w:b w:val="0"/>
          <w:sz w:val="21"/>
        </w:rPr>
        <w:t>C) La fecha valor que elija unilateralmente el deudor.</w:t>
      </w:r>
    </w:p>
    <w:p>
      <w:pPr>
        <w:keepNext/>
        <w:keepLines/>
        <w:spacing w:after="40"/>
        <w:ind w:left="369" w:hanging="198"/>
      </w:pPr>
      <w:r>
        <w:rPr>
          <w:rFonts w:ascii="Arial" w:hAnsi="Arial" w:cs="Arial"/>
          <w:b w:val="0"/>
          <w:sz w:val="21"/>
        </w:rPr>
        <w:t>D) El último día del periodo liquidado.</w:t>
      </w:r>
    </w:p>
    <w:p>
      <w:pPr>
        <w:pStyle w:val="Question"/>
        <w:keepNext/>
      </w:pPr>
      <w:r>
        <w:rPr>
          <w:rFonts w:ascii="Arial" w:hAnsi="Arial" w:cs="Arial"/>
          <w:sz w:val="22"/>
        </w:rPr>
        <w:t>69. A efectos de aplicar correctamente la regla examinada, ¿Cuándo presta juramento el Príncipe heredero?</w:t>
      </w:r>
    </w:p>
    <w:p>
      <w:pPr>
        <w:keepNext/>
        <w:keepLines/>
        <w:spacing w:after="40"/>
        <w:ind w:left="369" w:hanging="198"/>
      </w:pPr>
      <w:r>
        <w:rPr>
          <w:rFonts w:ascii="Arial" w:hAnsi="Arial" w:cs="Arial"/>
          <w:b w:val="0"/>
          <w:sz w:val="21"/>
        </w:rPr>
        <w:t>A) Al nacer.</w:t>
      </w:r>
    </w:p>
    <w:p>
      <w:pPr>
        <w:keepNext/>
        <w:keepLines/>
        <w:spacing w:after="40"/>
        <w:ind w:left="369" w:hanging="198"/>
      </w:pPr>
      <w:r>
        <w:rPr>
          <w:rFonts w:ascii="Arial" w:hAnsi="Arial" w:cs="Arial"/>
          <w:b w:val="0"/>
          <w:sz w:val="21"/>
        </w:rPr>
        <w:t>B) Al producirse el hecho que origine el llamamiento.</w:t>
      </w:r>
    </w:p>
    <w:p>
      <w:pPr>
        <w:keepNext/>
        <w:keepLines/>
        <w:spacing w:after="40"/>
        <w:ind w:left="369" w:hanging="198"/>
      </w:pPr>
      <w:r>
        <w:rPr>
          <w:rFonts w:ascii="Arial" w:hAnsi="Arial" w:cs="Arial"/>
          <w:b w:val="0"/>
          <w:sz w:val="21"/>
        </w:rPr>
        <w:t>C) Al alcanzar la mayoría de edad.</w:t>
      </w:r>
    </w:p>
    <w:p>
      <w:pPr>
        <w:keepNext/>
        <w:keepLines/>
        <w:spacing w:after="40"/>
        <w:ind w:left="369" w:hanging="198"/>
      </w:pPr>
      <w:r>
        <w:rPr>
          <w:rFonts w:ascii="Arial" w:hAnsi="Arial" w:cs="Arial"/>
          <w:b w:val="0"/>
          <w:sz w:val="21"/>
        </w:rPr>
        <w:t>D) Al cumplir veintiún años.</w:t>
      </w:r>
    </w:p>
    <w:p>
      <w:pPr>
        <w:pStyle w:val="Question"/>
        <w:keepNext/>
      </w:pPr>
      <w:r>
        <w:rPr>
          <w:rFonts w:ascii="Arial" w:hAnsi="Arial" w:cs="Arial"/>
          <w:sz w:val="22"/>
        </w:rPr>
        <w:t>70. Conforme al ordenamiento vigente a la fecha de corte, ¿En qué fecha entró en vigor la Constitución Española?</w:t>
      </w:r>
    </w:p>
    <w:p>
      <w:pPr>
        <w:keepNext/>
        <w:keepLines/>
        <w:spacing w:after="40"/>
        <w:ind w:left="369" w:hanging="198"/>
      </w:pPr>
      <w:r>
        <w:rPr>
          <w:rFonts w:ascii="Arial" w:hAnsi="Arial" w:cs="Arial"/>
          <w:b w:val="0"/>
          <w:sz w:val="21"/>
        </w:rPr>
        <w:t>A) El 6 de diciembre de 1978.</w:t>
      </w:r>
    </w:p>
    <w:p>
      <w:pPr>
        <w:keepNext/>
        <w:keepLines/>
        <w:spacing w:after="40"/>
        <w:ind w:left="369" w:hanging="198"/>
      </w:pPr>
      <w:r>
        <w:rPr>
          <w:rFonts w:ascii="Arial" w:hAnsi="Arial" w:cs="Arial"/>
          <w:b w:val="0"/>
          <w:sz w:val="21"/>
        </w:rPr>
        <w:t>B) El 29 de diciembre de 1978.</w:t>
      </w:r>
    </w:p>
    <w:p>
      <w:pPr>
        <w:keepNext/>
        <w:keepLines/>
        <w:spacing w:after="40"/>
        <w:ind w:left="369" w:hanging="198"/>
      </w:pPr>
      <w:r>
        <w:rPr>
          <w:rFonts w:ascii="Arial" w:hAnsi="Arial" w:cs="Arial"/>
          <w:b w:val="0"/>
          <w:sz w:val="21"/>
        </w:rPr>
        <w:t>C) El 27 de diciembre de 1978.</w:t>
      </w:r>
    </w:p>
    <w:p>
      <w:pPr>
        <w:keepNext/>
        <w:keepLines/>
        <w:spacing w:after="40"/>
        <w:ind w:left="369" w:hanging="198"/>
      </w:pPr>
      <w:r>
        <w:rPr>
          <w:rFonts w:ascii="Arial" w:hAnsi="Arial" w:cs="Arial"/>
          <w:b w:val="0"/>
          <w:sz w:val="21"/>
        </w:rPr>
        <w:t>D) El 31 de octubre de 1978.</w:t>
      </w:r>
    </w:p>
    <w:p>
      <w:pPr>
        <w:pStyle w:val="Heading2"/>
      </w:pPr>
      <w:r>
        <w:t>Preguntas de reserva de la primera parte</w:t>
      </w:r>
    </w:p>
    <w:p>
      <w:pPr>
        <w:pStyle w:val="Question"/>
        <w:keepNext/>
      </w:pPr>
      <w:r>
        <w:rPr>
          <w:rFonts w:ascii="Arial" w:hAnsi="Arial" w:cs="Arial"/>
          <w:sz w:val="22"/>
        </w:rPr>
        <w:t>71. A efectos de aplicar correctamente la regla examinada, en el Congreso, si la Cámara no se pronuncia sobre un suplicatorio en sesenta días naturales computados durante el período de sesiones, ¿qué ocurre?</w:t>
      </w:r>
    </w:p>
    <w:p>
      <w:pPr>
        <w:keepNext/>
        <w:keepLines/>
        <w:spacing w:after="40"/>
        <w:ind w:left="369" w:hanging="198"/>
      </w:pPr>
      <w:r>
        <w:rPr>
          <w:rFonts w:ascii="Arial" w:hAnsi="Arial" w:cs="Arial"/>
          <w:b w:val="0"/>
          <w:sz w:val="21"/>
        </w:rPr>
        <w:t>A) Se entiende denegado.</w:t>
      </w:r>
    </w:p>
    <w:p>
      <w:pPr>
        <w:keepNext/>
        <w:keepLines/>
        <w:spacing w:after="40"/>
        <w:ind w:left="369" w:hanging="198"/>
      </w:pPr>
      <w:r>
        <w:rPr>
          <w:rFonts w:ascii="Arial" w:hAnsi="Arial" w:cs="Arial"/>
          <w:b w:val="0"/>
          <w:sz w:val="21"/>
        </w:rPr>
        <w:t>B) Se entiende concedido.</w:t>
      </w:r>
    </w:p>
    <w:p>
      <w:pPr>
        <w:keepNext/>
        <w:keepLines/>
        <w:spacing w:after="40"/>
        <w:ind w:left="369" w:hanging="198"/>
      </w:pPr>
      <w:r>
        <w:rPr>
          <w:rFonts w:ascii="Arial" w:hAnsi="Arial" w:cs="Arial"/>
          <w:b w:val="0"/>
          <w:sz w:val="21"/>
        </w:rPr>
        <w:t>C) Caduca la causa penal.</w:t>
      </w:r>
    </w:p>
    <w:p>
      <w:pPr>
        <w:keepNext/>
        <w:keepLines/>
        <w:spacing w:after="40"/>
        <w:ind w:left="369" w:hanging="198"/>
      </w:pPr>
      <w:r>
        <w:rPr>
          <w:rFonts w:ascii="Arial" w:hAnsi="Arial" w:cs="Arial"/>
          <w:b w:val="0"/>
          <w:sz w:val="21"/>
        </w:rPr>
        <w:t>D) Decide la Presidencia del Congreso.</w:t>
      </w:r>
    </w:p>
    <w:p>
      <w:pPr>
        <w:pStyle w:val="Question"/>
        <w:keepNext/>
      </w:pPr>
      <w:r>
        <w:rPr>
          <w:rFonts w:ascii="Arial" w:hAnsi="Arial" w:cs="Arial"/>
          <w:sz w:val="22"/>
        </w:rPr>
        <w:t xml:space="preserve">72. Conforme al ordenamiento vigente a la fecha de corte, conforme a </w:t>
      </w:r>
      <w:r>
        <w:rPr>
          <w:rFonts w:ascii="Arial" w:hAnsi="Arial" w:cs="Arial"/>
          <w:i/>
          <w:sz w:val="22"/>
        </w:rPr>
        <w:t>Foto-Frost</w:t>
      </w:r>
      <w:r>
        <w:rPr>
          <w:rFonts w:ascii="Arial" w:hAnsi="Arial" w:cs="Arial"/>
          <w:sz w:val="22"/>
        </w:rPr>
        <w:t>, un órgano jurisdiccional nacional:</w:t>
      </w:r>
    </w:p>
    <w:p>
      <w:pPr>
        <w:keepNext/>
        <w:keepLines/>
        <w:spacing w:after="40"/>
        <w:ind w:left="369" w:hanging="198"/>
      </w:pPr>
      <w:r>
        <w:rPr>
          <w:rFonts w:ascii="Arial" w:hAnsi="Arial" w:cs="Arial"/>
          <w:b w:val="0"/>
          <w:sz w:val="21"/>
        </w:rPr>
        <w:t>A) Puede declarar inválido un reglamento de la Unión si no es de última instancia.</w:t>
      </w:r>
    </w:p>
    <w:p>
      <w:pPr>
        <w:keepNext/>
        <w:keepLines/>
        <w:spacing w:after="40"/>
        <w:ind w:left="369" w:hanging="198"/>
      </w:pPr>
      <w:r>
        <w:rPr>
          <w:rFonts w:ascii="Arial" w:hAnsi="Arial" w:cs="Arial"/>
          <w:b w:val="0"/>
          <w:sz w:val="21"/>
        </w:rPr>
        <w:t>B) Puede rechazar los motivos de invalidez, pero no declarar inválido el acto de la Unión.</w:t>
      </w:r>
    </w:p>
    <w:p>
      <w:pPr>
        <w:keepNext/>
        <w:keepLines/>
        <w:spacing w:after="40"/>
        <w:ind w:left="369" w:hanging="198"/>
      </w:pPr>
      <w:r>
        <w:rPr>
          <w:rFonts w:ascii="Arial" w:hAnsi="Arial" w:cs="Arial"/>
          <w:b w:val="0"/>
          <w:sz w:val="21"/>
        </w:rPr>
        <w:t>C) Debe considerar válido todo acto aunque tenga dudas fundadas.</w:t>
      </w:r>
    </w:p>
    <w:p>
      <w:pPr>
        <w:keepNext/>
        <w:keepLines/>
        <w:spacing w:after="40"/>
        <w:ind w:left="369" w:hanging="198"/>
      </w:pPr>
      <w:r>
        <w:rPr>
          <w:rFonts w:ascii="Arial" w:hAnsi="Arial" w:cs="Arial"/>
          <w:b w:val="0"/>
          <w:sz w:val="21"/>
        </w:rPr>
        <w:t>D) Puede anular una decisión de la Comisión solo para su territorio.</w:t>
      </w:r>
    </w:p>
    <w:p>
      <w:pPr>
        <w:pStyle w:val="Question"/>
        <w:keepNext/>
      </w:pPr>
      <w:r>
        <w:rPr>
          <w:rFonts w:ascii="Arial" w:hAnsi="Arial" w:cs="Arial"/>
          <w:sz w:val="22"/>
        </w:rPr>
        <w:t>73. Conforme al ordenamiento vigente a la fecha de corte, la inscripción registral de una asociación se exige:</w:t>
      </w:r>
    </w:p>
    <w:p>
      <w:pPr>
        <w:keepNext/>
        <w:keepLines/>
        <w:spacing w:after="40"/>
        <w:ind w:left="369" w:hanging="198"/>
      </w:pPr>
      <w:r>
        <w:rPr>
          <w:rFonts w:ascii="Arial" w:hAnsi="Arial" w:cs="Arial"/>
          <w:b w:val="0"/>
          <w:sz w:val="21"/>
        </w:rPr>
        <w:t>A) Para que la autoridad valore la oportunidad de sus fines.</w:t>
      </w:r>
    </w:p>
    <w:p>
      <w:pPr>
        <w:keepNext/>
        <w:keepLines/>
        <w:spacing w:after="40"/>
        <w:ind w:left="369" w:hanging="198"/>
      </w:pPr>
      <w:r>
        <w:rPr>
          <w:rFonts w:ascii="Arial" w:hAnsi="Arial" w:cs="Arial"/>
          <w:b w:val="0"/>
          <w:sz w:val="21"/>
        </w:rPr>
        <w:t>B) A los solos efectos de publicidad.</w:t>
      </w:r>
    </w:p>
    <w:p>
      <w:pPr>
        <w:keepNext/>
        <w:keepLines/>
        <w:spacing w:after="40"/>
        <w:ind w:left="369" w:hanging="198"/>
      </w:pPr>
      <w:r>
        <w:rPr>
          <w:rFonts w:ascii="Arial" w:hAnsi="Arial" w:cs="Arial"/>
          <w:b w:val="0"/>
          <w:sz w:val="21"/>
        </w:rPr>
        <w:t>C) Como autorización constitutiva en todos los casos.</w:t>
      </w:r>
    </w:p>
    <w:p>
      <w:pPr>
        <w:keepNext/>
        <w:keepLines/>
        <w:spacing w:after="40"/>
        <w:ind w:left="369" w:hanging="198"/>
      </w:pPr>
      <w:r>
        <w:rPr>
          <w:rFonts w:ascii="Arial" w:hAnsi="Arial" w:cs="Arial"/>
          <w:b w:val="0"/>
          <w:sz w:val="21"/>
        </w:rPr>
        <w:t>D) Para permitir su suspensión administrativa.</w:t>
      </w:r>
    </w:p>
    <w:p>
      <w:r>
        <w:br w:type="page"/>
      </w:r>
    </w:p>
    <w:p>
      <w:pPr>
        <w:pStyle w:val="Heading1"/>
      </w:pPr>
      <w:r>
        <w:t>Segunda parte · supuesto práctico</w:t>
      </w:r>
    </w:p>
    <w:p>
      <w:pPr>
        <w:shd w:fill="EAF2F8"/>
      </w:pPr>
      <w:r>
        <w:t>La unidad conjunta de encuadramiento y prestaciones contrasta datos declarados con la información obrante en el sistema.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Cuando el cónyuge superviviente no acredita la duración adicional exigida por enfermedad común anterior al matrimonio:</w:t>
      </w:r>
    </w:p>
    <w:p>
      <w:pPr>
        <w:keepNext/>
        <w:keepLines/>
        <w:spacing w:after="40"/>
        <w:ind w:left="369" w:hanging="198"/>
      </w:pPr>
      <w:r>
        <w:rPr>
          <w:rFonts w:ascii="Arial" w:hAnsi="Arial" w:cs="Arial"/>
          <w:b w:val="0"/>
          <w:sz w:val="21"/>
        </w:rPr>
        <w:t>A) Pierde necesariamente toda protección.</w:t>
      </w:r>
    </w:p>
    <w:p>
      <w:pPr>
        <w:keepNext/>
        <w:keepLines/>
        <w:spacing w:after="40"/>
        <w:ind w:left="369" w:hanging="198"/>
      </w:pPr>
      <w:r>
        <w:rPr>
          <w:rFonts w:ascii="Arial" w:hAnsi="Arial" w:cs="Arial"/>
          <w:b w:val="0"/>
          <w:sz w:val="21"/>
        </w:rPr>
        <w:t>B) Recibe siempre una indemnización de seis mensualidades.</w:t>
      </w:r>
    </w:p>
    <w:p>
      <w:pPr>
        <w:keepNext/>
        <w:keepLines/>
        <w:spacing w:after="40"/>
        <w:ind w:left="369" w:hanging="198"/>
      </w:pPr>
      <w:r>
        <w:rPr>
          <w:rFonts w:ascii="Arial" w:hAnsi="Arial" w:cs="Arial"/>
          <w:b w:val="0"/>
          <w:sz w:val="21"/>
        </w:rPr>
        <w:t>C) Puede tener derecho a una prestación temporal de viudedad durante dos años si reúne los restantes requisitos.</w:t>
      </w:r>
    </w:p>
    <w:p>
      <w:pPr>
        <w:keepNext/>
        <w:keepLines/>
        <w:spacing w:after="40"/>
        <w:ind w:left="369" w:hanging="198"/>
      </w:pPr>
      <w:r>
        <w:rPr>
          <w:rFonts w:ascii="Arial" w:hAnsi="Arial" w:cs="Arial"/>
          <w:b w:val="0"/>
          <w:sz w:val="21"/>
        </w:rPr>
        <w:t>D) Se transforma la solicitud en auxilio por defunción.</w:t>
      </w:r>
    </w:p>
    <w:p>
      <w:pPr>
        <w:pStyle w:val="Question"/>
        <w:keepNext/>
      </w:pPr>
      <w:r>
        <w:rPr>
          <w:rFonts w:ascii="Arial" w:hAnsi="Arial" w:cs="Arial"/>
          <w:sz w:val="22"/>
        </w:rPr>
        <w:t>2. En el subexpediente descrito y con los únicos datos facilitados, la providencia de apremio:</w:t>
      </w:r>
    </w:p>
    <w:p>
      <w:pPr>
        <w:keepNext/>
        <w:keepLines/>
        <w:spacing w:after="40"/>
        <w:ind w:left="369" w:hanging="198"/>
      </w:pPr>
      <w:r>
        <w:rPr>
          <w:rFonts w:ascii="Arial" w:hAnsi="Arial" w:cs="Arial"/>
          <w:b w:val="0"/>
          <w:sz w:val="21"/>
        </w:rPr>
        <w:t>A) Es una sentencia dictada por la jurisdicción social.</w:t>
      </w:r>
    </w:p>
    <w:p>
      <w:pPr>
        <w:keepNext/>
        <w:keepLines/>
        <w:spacing w:after="40"/>
        <w:ind w:left="369" w:hanging="198"/>
      </w:pPr>
      <w:r>
        <w:rPr>
          <w:rFonts w:ascii="Arial" w:hAnsi="Arial" w:cs="Arial"/>
          <w:b w:val="0"/>
          <w:sz w:val="21"/>
        </w:rPr>
        <w:t>B) Es una mera invitación al pago sin eficacia ejecutiva.</w:t>
      </w:r>
    </w:p>
    <w:p>
      <w:pPr>
        <w:keepNext/>
        <w:keepLines/>
        <w:spacing w:after="40"/>
        <w:ind w:left="369" w:hanging="198"/>
      </w:pPr>
      <w:r>
        <w:rPr>
          <w:rFonts w:ascii="Arial" w:hAnsi="Arial" w:cs="Arial"/>
          <w:b w:val="0"/>
          <w:sz w:val="21"/>
        </w:rPr>
        <w:t>C) Solo sirve para cobrar sanciones.</w:t>
      </w:r>
    </w:p>
    <w:p>
      <w:pPr>
        <w:keepNext/>
        <w:keepLines/>
        <w:spacing w:after="40"/>
        <w:ind w:left="369" w:hanging="198"/>
      </w:pPr>
      <w:r>
        <w:rPr>
          <w:rFonts w:ascii="Arial" w:hAnsi="Arial" w:cs="Arial"/>
          <w:b w:val="0"/>
          <w:sz w:val="21"/>
        </w:rPr>
        <w:t>D) Constituye título ejecutivo suficiente y tiene la misma fuerza ejecutiva que una sentencia judicial.</w:t>
      </w:r>
    </w:p>
    <w:p>
      <w:pPr>
        <w:pStyle w:val="Question"/>
        <w:keepNext/>
      </w:pPr>
      <w:r>
        <w:rPr>
          <w:rFonts w:ascii="Arial" w:hAnsi="Arial" w:cs="Arial"/>
          <w:sz w:val="22"/>
        </w:rPr>
        <w:t>3. En el subexpediente descrito y con los únicos datos facilitados, un autónomo accedió a una pensión estando al corriente por aplazamiento y después incumple sus condiciones:</w:t>
      </w:r>
    </w:p>
    <w:p>
      <w:pPr>
        <w:keepNext/>
        <w:keepLines/>
        <w:spacing w:after="40"/>
        <w:ind w:left="369" w:hanging="198"/>
      </w:pPr>
      <w:r>
        <w:rPr>
          <w:rFonts w:ascii="Arial" w:hAnsi="Arial" w:cs="Arial"/>
          <w:b w:val="0"/>
          <w:sz w:val="21"/>
        </w:rPr>
        <w:t>A) La deuda se condona.</w:t>
      </w:r>
    </w:p>
    <w:p>
      <w:pPr>
        <w:keepNext/>
        <w:keepLines/>
        <w:spacing w:after="40"/>
        <w:ind w:left="369" w:hanging="198"/>
      </w:pPr>
      <w:r>
        <w:rPr>
          <w:rFonts w:ascii="Arial" w:hAnsi="Arial" w:cs="Arial"/>
          <w:b w:val="0"/>
          <w:sz w:val="21"/>
        </w:rPr>
        <w:t>B) La prestación se suspende hasta saldar totalmente la deuda.</w:t>
      </w:r>
    </w:p>
    <w:p>
      <w:pPr>
        <w:keepNext/>
        <w:keepLines/>
        <w:spacing w:after="40"/>
        <w:ind w:left="369" w:hanging="198"/>
      </w:pPr>
      <w:r>
        <w:rPr>
          <w:rFonts w:ascii="Arial" w:hAnsi="Arial" w:cs="Arial"/>
          <w:b w:val="0"/>
          <w:sz w:val="21"/>
        </w:rPr>
        <w:t>C) La pensión se mantiene sin revisión.</w:t>
      </w:r>
    </w:p>
    <w:p>
      <w:pPr>
        <w:keepNext/>
        <w:keepLines/>
        <w:spacing w:after="40"/>
        <w:ind w:left="369" w:hanging="198"/>
      </w:pPr>
      <w:r>
        <w:rPr>
          <w:rFonts w:ascii="Arial" w:hAnsi="Arial" w:cs="Arial"/>
          <w:b w:val="0"/>
          <w:sz w:val="21"/>
        </w:rPr>
        <w:t>D) Solo pierde una mensualidad.</w:t>
      </w:r>
    </w:p>
    <w:p>
      <w:pPr>
        <w:pStyle w:val="Question"/>
        <w:keepNext/>
      </w:pPr>
      <w:r>
        <w:rPr>
          <w:rFonts w:ascii="Arial" w:hAnsi="Arial" w:cs="Arial"/>
          <w:sz w:val="22"/>
        </w:rPr>
        <w:t>4. En el subexpediente descrito y con los únicos datos facilitados, el convenio especial ordinario cubre principalmente:</w:t>
      </w:r>
    </w:p>
    <w:p>
      <w:pPr>
        <w:keepNext/>
        <w:keepLines/>
        <w:spacing w:after="40"/>
        <w:ind w:left="369" w:hanging="198"/>
      </w:pPr>
      <w:r>
        <w:rPr>
          <w:rFonts w:ascii="Arial" w:hAnsi="Arial" w:cs="Arial"/>
          <w:b w:val="0"/>
          <w:sz w:val="21"/>
        </w:rPr>
        <w:t>A) Desempleo, FOGASA y formación profesional.</w:t>
      </w:r>
    </w:p>
    <w:p>
      <w:pPr>
        <w:keepNext/>
        <w:keepLines/>
        <w:spacing w:after="40"/>
        <w:ind w:left="369" w:hanging="198"/>
      </w:pPr>
      <w:r>
        <w:rPr>
          <w:rFonts w:ascii="Arial" w:hAnsi="Arial" w:cs="Arial"/>
          <w:b w:val="0"/>
          <w:sz w:val="21"/>
        </w:rPr>
        <w:t>B) Contingencias profesionales y cese de actividad.</w:t>
      </w:r>
    </w:p>
    <w:p>
      <w:pPr>
        <w:keepNext/>
        <w:keepLines/>
        <w:spacing w:after="40"/>
        <w:ind w:left="369" w:hanging="198"/>
      </w:pPr>
      <w:r>
        <w:rPr>
          <w:rFonts w:ascii="Arial" w:hAnsi="Arial" w:cs="Arial"/>
          <w:b w:val="0"/>
          <w:sz w:val="21"/>
        </w:rPr>
        <w:t>C) Jubilación, incapacidad permanente y muerte y supervivencia derivadas de contingencias comunes, en los términos regulados.</w:t>
      </w:r>
    </w:p>
    <w:p>
      <w:pPr>
        <w:keepNext/>
        <w:keepLines/>
        <w:spacing w:after="40"/>
        <w:ind w:left="369" w:hanging="198"/>
      </w:pPr>
      <w:r>
        <w:rPr>
          <w:rFonts w:ascii="Arial" w:hAnsi="Arial" w:cs="Arial"/>
          <w:b w:val="0"/>
          <w:sz w:val="21"/>
        </w:rPr>
        <w:t>D) Exclusivamente asistencia sanitaria.</w:t>
      </w:r>
    </w:p>
    <w:p>
      <w:pPr>
        <w:pStyle w:val="Question"/>
        <w:keepNext/>
      </w:pPr>
      <w:r>
        <w:rPr>
          <w:rFonts w:ascii="Arial" w:hAnsi="Arial" w:cs="Arial"/>
          <w:sz w:val="22"/>
        </w:rPr>
        <w:t>5. En el subexpediente descrito y con los únicos datos facilitados,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val="0"/>
          <w:sz w:val="21"/>
        </w:rPr>
        <w:t>B) El adquirente nunca responde.</w:t>
      </w:r>
    </w:p>
    <w:p>
      <w:pPr>
        <w:keepNext/>
        <w:keepLines/>
        <w:spacing w:after="40"/>
        <w:ind w:left="369" w:hanging="198"/>
      </w:pPr>
      <w:r>
        <w:rPr>
          <w:rFonts w:ascii="Arial" w:hAnsi="Arial" w:cs="Arial"/>
          <w:b w:val="0"/>
          <w:sz w:val="21"/>
        </w:rPr>
        <w:t>C) El adquirente responde solidariamente con el anterior o sus herederos.</w:t>
      </w:r>
    </w:p>
    <w:p>
      <w:pPr>
        <w:keepNext/>
        <w:keepLines/>
        <w:spacing w:after="40"/>
        <w:ind w:left="369" w:hanging="198"/>
      </w:pPr>
      <w:r>
        <w:rPr>
          <w:rFonts w:ascii="Arial" w:hAnsi="Arial" w:cs="Arial"/>
          <w:b w:val="0"/>
          <w:sz w:val="21"/>
        </w:rPr>
        <w:t>D) La responsabilidad es siempre subsidiaria.</w:t>
      </w:r>
    </w:p>
    <w:p>
      <w:pPr>
        <w:pStyle w:val="Question"/>
        <w:keepNext/>
      </w:pPr>
      <w:r>
        <w:rPr>
          <w:rFonts w:ascii="Arial" w:hAnsi="Arial" w:cs="Arial"/>
          <w:sz w:val="22"/>
        </w:rPr>
        <w:t>6. La unidad competente debe resolver la siguiente cuestión: Una reclamación de deuda se notifica el día 12 de octubre. Salvo regla especial, podrá pagarse:</w:t>
      </w:r>
    </w:p>
    <w:p>
      <w:pPr>
        <w:keepNext/>
        <w:keepLines/>
        <w:spacing w:after="40"/>
        <w:ind w:left="369" w:hanging="198"/>
      </w:pPr>
      <w:r>
        <w:rPr>
          <w:rFonts w:ascii="Arial" w:hAnsi="Arial" w:cs="Arial"/>
          <w:b w:val="0"/>
          <w:sz w:val="21"/>
        </w:rPr>
        <w:t>A) Hasta el 20 de octubre.</w:t>
      </w:r>
    </w:p>
    <w:p>
      <w:pPr>
        <w:keepNext/>
        <w:keepLines/>
        <w:spacing w:after="40"/>
        <w:ind w:left="369" w:hanging="198"/>
      </w:pPr>
      <w:r>
        <w:rPr>
          <w:rFonts w:ascii="Arial" w:hAnsi="Arial" w:cs="Arial"/>
          <w:b w:val="0"/>
          <w:sz w:val="21"/>
        </w:rPr>
        <w:t>B) Hasta el día 5 del mes siguiente o el inmediato hábil posterior.</w:t>
      </w:r>
    </w:p>
    <w:p>
      <w:pPr>
        <w:keepNext/>
        <w:keepLines/>
        <w:spacing w:after="40"/>
        <w:ind w:left="369" w:hanging="198"/>
      </w:pPr>
      <w:r>
        <w:rPr>
          <w:rFonts w:ascii="Arial" w:hAnsi="Arial" w:cs="Arial"/>
          <w:b w:val="0"/>
          <w:sz w:val="21"/>
        </w:rPr>
        <w:t>C) Hasta el día 20 del segundo mes siguiente.</w:t>
      </w:r>
    </w:p>
    <w:p>
      <w:pPr>
        <w:keepNext/>
        <w:keepLines/>
        <w:spacing w:after="40"/>
        <w:ind w:left="369" w:hanging="198"/>
      </w:pPr>
      <w:r>
        <w:rPr>
          <w:rFonts w:ascii="Arial" w:hAnsi="Arial" w:cs="Arial"/>
          <w:b w:val="0"/>
          <w:sz w:val="21"/>
        </w:rPr>
        <w:t>D) Solo el mismo día de la notificación.</w:t>
      </w:r>
    </w:p>
    <w:p>
      <w:pPr>
        <w:pStyle w:val="Question"/>
        <w:keepNext/>
      </w:pPr>
      <w:r>
        <w:rPr>
          <w:rFonts w:ascii="Arial" w:hAnsi="Arial" w:cs="Arial"/>
          <w:sz w:val="22"/>
        </w:rPr>
        <w:t>7. La unidad competente debe resolver la siguiente cuestión: En IT común ordinaria, el porcentaje desde el día 4 hasta el 20 es:</w:t>
      </w:r>
    </w:p>
    <w:p>
      <w:pPr>
        <w:keepNext/>
        <w:keepLines/>
        <w:spacing w:after="40"/>
        <w:ind w:left="369" w:hanging="198"/>
      </w:pPr>
      <w:r>
        <w:rPr>
          <w:rFonts w:ascii="Arial" w:hAnsi="Arial" w:cs="Arial"/>
          <w:b w:val="0"/>
          <w:sz w:val="21"/>
        </w:rPr>
        <w:t>A) 60 por ciento de la base reguladora.</w:t>
      </w:r>
    </w:p>
    <w:p>
      <w:pPr>
        <w:keepNext/>
        <w:keepLines/>
        <w:spacing w:after="40"/>
        <w:ind w:left="369" w:hanging="198"/>
      </w:pPr>
      <w:r>
        <w:rPr>
          <w:rFonts w:ascii="Arial" w:hAnsi="Arial" w:cs="Arial"/>
          <w:b w:val="0"/>
          <w:sz w:val="21"/>
        </w:rPr>
        <w:t>B) 50 por ciento.</w:t>
      </w:r>
    </w:p>
    <w:p>
      <w:pPr>
        <w:keepNext/>
        <w:keepLines/>
        <w:spacing w:after="40"/>
        <w:ind w:left="369" w:hanging="198"/>
      </w:pPr>
      <w:r>
        <w:rPr>
          <w:rFonts w:ascii="Arial" w:hAnsi="Arial" w:cs="Arial"/>
          <w:b w:val="0"/>
          <w:sz w:val="21"/>
        </w:rPr>
        <w:t>C) 75 por ciento.</w:t>
      </w:r>
    </w:p>
    <w:p>
      <w:pPr>
        <w:keepNext/>
        <w:keepLines/>
        <w:spacing w:after="40"/>
        <w:ind w:left="369" w:hanging="198"/>
      </w:pPr>
      <w:r>
        <w:rPr>
          <w:rFonts w:ascii="Arial" w:hAnsi="Arial" w:cs="Arial"/>
          <w:b w:val="0"/>
          <w:sz w:val="21"/>
        </w:rPr>
        <w:t>D) 100 por ciento.</w:t>
      </w:r>
    </w:p>
    <w:p>
      <w:pPr>
        <w:pStyle w:val="Question"/>
        <w:keepNext/>
      </w:pPr>
      <w:r>
        <w:rPr>
          <w:rFonts w:ascii="Arial" w:hAnsi="Arial" w:cs="Arial"/>
          <w:sz w:val="22"/>
        </w:rPr>
        <w:t>8. La unidad competente debe resolver la siguiente cuestión: Para calcular la base por accidentes de trabajo de un trabajador ordinario:</w:t>
      </w:r>
    </w:p>
    <w:p>
      <w:pPr>
        <w:keepNext/>
        <w:keepLines/>
        <w:spacing w:after="40"/>
        <w:ind w:left="369" w:hanging="198"/>
      </w:pPr>
      <w:r>
        <w:rPr>
          <w:rFonts w:ascii="Arial" w:hAnsi="Arial" w:cs="Arial"/>
          <w:b w:val="0"/>
          <w:sz w:val="21"/>
        </w:rPr>
        <w:t>A) Se excluyen las pagas extraordinarias.</w:t>
      </w:r>
    </w:p>
    <w:p>
      <w:pPr>
        <w:keepNext/>
        <w:keepLines/>
        <w:spacing w:after="40"/>
        <w:ind w:left="369" w:hanging="198"/>
      </w:pPr>
      <w:r>
        <w:rPr>
          <w:rFonts w:ascii="Arial" w:hAnsi="Arial" w:cs="Arial"/>
          <w:b w:val="0"/>
          <w:sz w:val="21"/>
        </w:rPr>
        <w:t>B) Se incluyen las horas extraordinarias, respetando topes profesionales.</w:t>
      </w:r>
    </w:p>
    <w:p>
      <w:pPr>
        <w:keepNext/>
        <w:keepLines/>
        <w:spacing w:after="40"/>
        <w:ind w:left="369" w:hanging="198"/>
      </w:pPr>
      <w:r>
        <w:rPr>
          <w:rFonts w:ascii="Arial" w:hAnsi="Arial" w:cs="Arial"/>
          <w:b w:val="0"/>
          <w:sz w:val="21"/>
        </w:rPr>
        <w:t>C) Se usa siempre la base mínima de su grupo.</w:t>
      </w:r>
    </w:p>
    <w:p>
      <w:pPr>
        <w:keepNext/>
        <w:keepLines/>
        <w:spacing w:after="40"/>
        <w:ind w:left="369" w:hanging="198"/>
      </w:pPr>
      <w:r>
        <w:rPr>
          <w:rFonts w:ascii="Arial" w:hAnsi="Arial" w:cs="Arial"/>
          <w:b w:val="0"/>
          <w:sz w:val="21"/>
        </w:rPr>
        <w:t>D) Se excluye cualquier remuneración en especie.</w:t>
      </w:r>
    </w:p>
    <w:p>
      <w:pPr>
        <w:pStyle w:val="Question"/>
        <w:keepNext/>
      </w:pPr>
      <w:r>
        <w:rPr>
          <w:rFonts w:ascii="Arial" w:hAnsi="Arial" w:cs="Arial"/>
          <w:sz w:val="22"/>
        </w:rPr>
        <w:t>9. En el subexpediente descrito y con los únicos datos facilitados, ¿Qué sucede con el período de cotización si el causante no estaba en alta ni en situación asimilada?</w:t>
      </w:r>
    </w:p>
    <w:p>
      <w:pPr>
        <w:keepNext/>
        <w:keepLines/>
        <w:spacing w:after="40"/>
        <w:ind w:left="369" w:hanging="198"/>
      </w:pPr>
      <w:r>
        <w:rPr>
          <w:rFonts w:ascii="Arial" w:hAnsi="Arial" w:cs="Arial"/>
          <w:b w:val="0"/>
          <w:sz w:val="21"/>
        </w:rPr>
        <w:t>A) Nunca puede causar prestaciones.</w:t>
      </w:r>
    </w:p>
    <w:p>
      <w:pPr>
        <w:keepNext/>
        <w:keepLines/>
        <w:spacing w:after="40"/>
        <w:ind w:left="369" w:hanging="198"/>
      </w:pPr>
      <w:r>
        <w:rPr>
          <w:rFonts w:ascii="Arial" w:hAnsi="Arial" w:cs="Arial"/>
          <w:b w:val="0"/>
          <w:sz w:val="21"/>
        </w:rPr>
        <w:t>B) Basta un año cotizado.</w:t>
      </w:r>
    </w:p>
    <w:p>
      <w:pPr>
        <w:keepNext/>
        <w:keepLines/>
        <w:spacing w:after="40"/>
        <w:ind w:left="369" w:hanging="198"/>
      </w:pPr>
      <w:r>
        <w:rPr>
          <w:rFonts w:ascii="Arial" w:hAnsi="Arial" w:cs="Arial"/>
          <w:b w:val="0"/>
          <w:sz w:val="21"/>
        </w:rPr>
        <w:t>C) Se exigen 500 días dentro de los cinco años anteriores.</w:t>
      </w:r>
    </w:p>
    <w:p>
      <w:pPr>
        <w:keepNext/>
        <w:keepLines/>
        <w:spacing w:after="40"/>
        <w:ind w:left="369" w:hanging="198"/>
      </w:pPr>
      <w:r>
        <w:rPr>
          <w:rFonts w:ascii="Arial" w:hAnsi="Arial" w:cs="Arial"/>
          <w:b w:val="0"/>
          <w:sz w:val="21"/>
        </w:rPr>
        <w:t>D) Se exigen quince años de cotización para las prestaciones legalmente previstas.</w:t>
      </w:r>
    </w:p>
    <w:p>
      <w:pPr>
        <w:pStyle w:val="Question"/>
        <w:keepNext/>
      </w:pPr>
      <w:r>
        <w:rPr>
          <w:rFonts w:ascii="Arial" w:hAnsi="Arial" w:cs="Arial"/>
          <w:sz w:val="22"/>
        </w:rPr>
        <w:t>10. La unidad competente debe resolver la siguiente cuestión: ¿Qué rasgo distingue la jubilación flexible de la parcial?</w:t>
      </w:r>
    </w:p>
    <w:p>
      <w:pPr>
        <w:keepNext/>
        <w:keepLines/>
        <w:spacing w:after="40"/>
        <w:ind w:left="369" w:hanging="198"/>
      </w:pPr>
      <w:r>
        <w:rPr>
          <w:rFonts w:ascii="Arial" w:hAnsi="Arial" w:cs="Arial"/>
          <w:b w:val="0"/>
          <w:sz w:val="21"/>
        </w:rPr>
        <w:t>A) La flexible solo puede iniciarse antes de la edad ordinaria.</w:t>
      </w:r>
    </w:p>
    <w:p>
      <w:pPr>
        <w:keepNext/>
        <w:keepLines/>
        <w:spacing w:after="40"/>
        <w:ind w:left="369" w:hanging="198"/>
      </w:pPr>
      <w:r>
        <w:rPr>
          <w:rFonts w:ascii="Arial" w:hAnsi="Arial" w:cs="Arial"/>
          <w:b w:val="0"/>
          <w:sz w:val="21"/>
        </w:rPr>
        <w:t>B) La flexible parte de una pensión ya causada y permite un trabajo a tiempo parcial con reducción proporcional.</w:t>
      </w:r>
    </w:p>
    <w:p>
      <w:pPr>
        <w:keepNext/>
        <w:keepLines/>
        <w:spacing w:after="40"/>
        <w:ind w:left="369" w:hanging="198"/>
      </w:pPr>
      <w:r>
        <w:rPr>
          <w:rFonts w:ascii="Arial" w:hAnsi="Arial" w:cs="Arial"/>
          <w:b w:val="0"/>
          <w:sz w:val="21"/>
        </w:rPr>
        <w:t>C) La flexible exige siempre contrato de relevo.</w:t>
      </w:r>
    </w:p>
    <w:p>
      <w:pPr>
        <w:keepNext/>
        <w:keepLines/>
        <w:spacing w:after="40"/>
        <w:ind w:left="369" w:hanging="198"/>
      </w:pPr>
      <w:r>
        <w:rPr>
          <w:rFonts w:ascii="Arial" w:hAnsi="Arial" w:cs="Arial"/>
          <w:b w:val="0"/>
          <w:sz w:val="21"/>
        </w:rPr>
        <w:t>D) La flexible impide toda nueva cotización.</w:t>
      </w:r>
    </w:p>
    <w:p>
      <w:pPr>
        <w:pStyle w:val="Question"/>
        <w:keepNext/>
      </w:pPr>
      <w:r>
        <w:rPr>
          <w:rFonts w:ascii="Arial" w:hAnsi="Arial" w:cs="Arial"/>
          <w:sz w:val="22"/>
        </w:rPr>
        <w:t>11. La unidad competente debe resolver la siguiente cuestión: Al terminar en 2026 un contrato temporal ordinario de duración inferior a treinta días, la cotización adicional empresarial es:</w:t>
      </w:r>
    </w:p>
    <w:p>
      <w:pPr>
        <w:keepNext/>
        <w:keepLines/>
        <w:spacing w:after="40"/>
        <w:ind w:left="369" w:hanging="198"/>
      </w:pPr>
      <w:r>
        <w:rPr>
          <w:rFonts w:ascii="Arial" w:hAnsi="Arial" w:cs="Arial"/>
          <w:b w:val="0"/>
          <w:sz w:val="21"/>
        </w:rPr>
        <w:t>A) 30,00 euros.</w:t>
      </w:r>
    </w:p>
    <w:p>
      <w:pPr>
        <w:keepNext/>
        <w:keepLines/>
        <w:spacing w:after="40"/>
        <w:ind w:left="369" w:hanging="198"/>
      </w:pPr>
      <w:r>
        <w:rPr>
          <w:rFonts w:ascii="Arial" w:hAnsi="Arial" w:cs="Arial"/>
          <w:b w:val="0"/>
          <w:sz w:val="21"/>
        </w:rPr>
        <w:t>B) 28,30 euros.</w:t>
      </w:r>
    </w:p>
    <w:p>
      <w:pPr>
        <w:keepNext/>
        <w:keepLines/>
        <w:spacing w:after="40"/>
        <w:ind w:left="369" w:hanging="198"/>
      </w:pPr>
      <w:r>
        <w:rPr>
          <w:rFonts w:ascii="Arial" w:hAnsi="Arial" w:cs="Arial"/>
          <w:b w:val="0"/>
          <w:sz w:val="21"/>
        </w:rPr>
        <w:t>C) 37,48 euros.</w:t>
      </w:r>
    </w:p>
    <w:p>
      <w:pPr>
        <w:keepNext/>
        <w:keepLines/>
        <w:spacing w:after="40"/>
        <w:ind w:left="369" w:hanging="198"/>
      </w:pPr>
      <w:r>
        <w:rPr>
          <w:rFonts w:ascii="Arial" w:hAnsi="Arial" w:cs="Arial"/>
          <w:b w:val="0"/>
          <w:sz w:val="21"/>
        </w:rPr>
        <w:t>D) 33,62 euros.</w:t>
      </w:r>
    </w:p>
    <w:p>
      <w:pPr>
        <w:pStyle w:val="Question"/>
        <w:keepNext/>
      </w:pPr>
      <w:r>
        <w:rPr>
          <w:rFonts w:ascii="Arial" w:hAnsi="Arial" w:cs="Arial"/>
          <w:sz w:val="22"/>
        </w:rPr>
        <w:t>12. En el subexpediente descrito y con los únicos datos facilitados, en el sistema de liquidación directa, las cuotas por trabajador las calcula:</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INSS.</w:t>
      </w:r>
    </w:p>
    <w:p>
      <w:pPr>
        <w:keepNext/>
        <w:keepLines/>
        <w:spacing w:after="40"/>
        <w:ind w:left="369" w:hanging="198"/>
      </w:pPr>
      <w:r>
        <w:rPr>
          <w:rFonts w:ascii="Arial" w:hAnsi="Arial" w:cs="Arial"/>
          <w:b w:val="0"/>
          <w:sz w:val="21"/>
        </w:rPr>
        <w:t>C) La Inspección de Trabajo.</w:t>
      </w:r>
    </w:p>
    <w:p>
      <w:pPr>
        <w:keepNext/>
        <w:keepLines/>
        <w:spacing w:after="40"/>
        <w:ind w:left="369" w:hanging="198"/>
      </w:pPr>
      <w:r>
        <w:rPr>
          <w:rFonts w:ascii="Arial" w:hAnsi="Arial" w:cs="Arial"/>
          <w:b w:val="0"/>
          <w:sz w:val="21"/>
        </w:rPr>
        <w:t>D) La Agencia Tributaria.</w:t>
      </w:r>
    </w:p>
    <w:p>
      <w:pPr>
        <w:pStyle w:val="Question"/>
        <w:keepNext/>
      </w:pPr>
      <w:r>
        <w:rPr>
          <w:rFonts w:ascii="Arial" w:hAnsi="Arial" w:cs="Arial"/>
          <w:sz w:val="22"/>
        </w:rPr>
        <w:t>13. En el subexpediente descrito y con los únicos datos facilitados, por su ubicación constitucional, el artículo 41 es:</w:t>
      </w:r>
    </w:p>
    <w:p>
      <w:pPr>
        <w:keepNext/>
        <w:keepLines/>
        <w:spacing w:after="40"/>
        <w:ind w:left="369" w:hanging="198"/>
      </w:pPr>
      <w:r>
        <w:rPr>
          <w:rFonts w:ascii="Arial" w:hAnsi="Arial" w:cs="Arial"/>
          <w:b w:val="0"/>
          <w:sz w:val="21"/>
        </w:rPr>
        <w:t>A) Un principio rector de la política social y económica.</w:t>
      </w:r>
    </w:p>
    <w:p>
      <w:pPr>
        <w:keepNext/>
        <w:keepLines/>
        <w:spacing w:after="40"/>
        <w:ind w:left="369" w:hanging="198"/>
      </w:pPr>
      <w:r>
        <w:rPr>
          <w:rFonts w:ascii="Arial" w:hAnsi="Arial" w:cs="Arial"/>
          <w:b w:val="0"/>
          <w:sz w:val="21"/>
        </w:rPr>
        <w:t>B) Un derecho fundamental de la sección primera.</w:t>
      </w:r>
    </w:p>
    <w:p>
      <w:pPr>
        <w:keepNext/>
        <w:keepLines/>
        <w:spacing w:after="40"/>
        <w:ind w:left="369" w:hanging="198"/>
      </w:pPr>
      <w:r>
        <w:rPr>
          <w:rFonts w:ascii="Arial" w:hAnsi="Arial" w:cs="Arial"/>
          <w:b w:val="0"/>
          <w:sz w:val="21"/>
        </w:rPr>
        <w:t>C) Una garantía institucional fuera del título I.</w:t>
      </w:r>
    </w:p>
    <w:p>
      <w:pPr>
        <w:keepNext/>
        <w:keepLines/>
        <w:spacing w:after="40"/>
        <w:ind w:left="369" w:hanging="198"/>
      </w:pPr>
      <w:r>
        <w:rPr>
          <w:rFonts w:ascii="Arial" w:hAnsi="Arial" w:cs="Arial"/>
          <w:b w:val="0"/>
          <w:sz w:val="21"/>
        </w:rPr>
        <w:t>D) Una regla sobre reforma constitucional.</w:t>
      </w:r>
    </w:p>
    <w:p>
      <w:pPr>
        <w:pStyle w:val="Question"/>
        <w:keepNext/>
      </w:pPr>
      <w:r>
        <w:rPr>
          <w:rFonts w:ascii="Arial" w:hAnsi="Arial" w:cs="Arial"/>
          <w:sz w:val="22"/>
        </w:rPr>
        <w:t>14. En el subexpediente descrito y con los únicos datos facilitados, si el valor de tasación de un inmueble que se pretende enajenar no excede de 20 millones de euros, autoriza:</w:t>
      </w:r>
    </w:p>
    <w:p>
      <w:pPr>
        <w:keepNext/>
        <w:keepLines/>
        <w:spacing w:after="40"/>
        <w:ind w:left="369" w:hanging="198"/>
      </w:pPr>
      <w:r>
        <w:rPr>
          <w:rFonts w:ascii="Arial" w:hAnsi="Arial" w:cs="Arial"/>
          <w:b w:val="0"/>
          <w:sz w:val="21"/>
        </w:rPr>
        <w:t>A) La dirección provincial de la TGSS.</w:t>
      </w:r>
    </w:p>
    <w:p>
      <w:pPr>
        <w:keepNext/>
        <w:keepLines/>
        <w:spacing w:after="40"/>
        <w:ind w:left="369" w:hanging="198"/>
      </w:pPr>
      <w:r>
        <w:rPr>
          <w:rFonts w:ascii="Arial" w:hAnsi="Arial" w:cs="Arial"/>
          <w:b w:val="0"/>
          <w:sz w:val="21"/>
        </w:rPr>
        <w:t>B) La persona titular del Ministerio competente en Seguridad Social.</w:t>
      </w:r>
    </w:p>
    <w:p>
      <w:pPr>
        <w:keepNext/>
        <w:keepLines/>
        <w:spacing w:after="40"/>
        <w:ind w:left="369" w:hanging="198"/>
      </w:pPr>
      <w:r>
        <w:rPr>
          <w:rFonts w:ascii="Arial" w:hAnsi="Arial" w:cs="Arial"/>
          <w:b w:val="0"/>
          <w:sz w:val="21"/>
        </w:rPr>
        <w:t>C) El Congreso de los Diputados.</w:t>
      </w:r>
    </w:p>
    <w:p>
      <w:pPr>
        <w:keepNext/>
        <w:keepLines/>
        <w:spacing w:after="40"/>
        <w:ind w:left="369" w:hanging="198"/>
      </w:pPr>
      <w:r>
        <w:rPr>
          <w:rFonts w:ascii="Arial" w:hAnsi="Arial" w:cs="Arial"/>
          <w:b w:val="0"/>
          <w:sz w:val="21"/>
        </w:rPr>
        <w:t>D) La entidad gestora que ocupa el inmueble.</w:t>
      </w:r>
    </w:p>
    <w:p>
      <w:pPr>
        <w:pStyle w:val="Question"/>
        <w:keepNext/>
      </w:pPr>
      <w:r>
        <w:rPr>
          <w:rFonts w:ascii="Arial" w:hAnsi="Arial" w:cs="Arial"/>
          <w:sz w:val="22"/>
        </w:rPr>
        <w:t>15. La unidad competente debe resolver la siguiente cuestión: La modalidad contributiva puede mejorarse voluntariamente:</w:t>
      </w:r>
    </w:p>
    <w:p>
      <w:pPr>
        <w:keepNext/>
        <w:keepLines/>
        <w:spacing w:after="40"/>
        <w:ind w:left="369" w:hanging="198"/>
      </w:pPr>
      <w:r>
        <w:rPr>
          <w:rFonts w:ascii="Arial" w:hAnsi="Arial" w:cs="Arial"/>
          <w:b w:val="0"/>
          <w:sz w:val="21"/>
        </w:rPr>
        <w:t>A) En la forma y condiciones previstas para el sistema.</w:t>
      </w:r>
    </w:p>
    <w:p>
      <w:pPr>
        <w:keepNext/>
        <w:keepLines/>
        <w:spacing w:after="40"/>
        <w:ind w:left="369" w:hanging="198"/>
      </w:pPr>
      <w:r>
        <w:rPr>
          <w:rFonts w:ascii="Arial" w:hAnsi="Arial" w:cs="Arial"/>
          <w:b w:val="0"/>
          <w:sz w:val="21"/>
        </w:rPr>
        <w:t>B) Mediante cualquier pacto que sustituya la ley.</w:t>
      </w:r>
    </w:p>
    <w:p>
      <w:pPr>
        <w:keepNext/>
        <w:keepLines/>
        <w:spacing w:after="40"/>
        <w:ind w:left="369" w:hanging="198"/>
      </w:pPr>
      <w:r>
        <w:rPr>
          <w:rFonts w:ascii="Arial" w:hAnsi="Arial" w:cs="Arial"/>
          <w:b w:val="0"/>
          <w:sz w:val="21"/>
        </w:rPr>
        <w:t>C) Solo por una entidad gestora.</w:t>
      </w:r>
    </w:p>
    <w:p>
      <w:pPr>
        <w:keepNext/>
        <w:keepLines/>
        <w:spacing w:after="40"/>
        <w:ind w:left="369" w:hanging="198"/>
      </w:pPr>
      <w:r>
        <w:rPr>
          <w:rFonts w:ascii="Arial" w:hAnsi="Arial" w:cs="Arial"/>
          <w:b w:val="0"/>
          <w:sz w:val="21"/>
        </w:rPr>
        <w:t>D) Sin límite mediante convenio colectivo.</w:t>
      </w:r>
    </w:p>
    <w:p>
      <w:pPr>
        <w:pStyle w:val="Heading2"/>
      </w:pPr>
      <w:r>
        <w:t>Preguntas de reserva de la segunda parte</w:t>
      </w:r>
    </w:p>
    <w:p>
      <w:pPr>
        <w:pStyle w:val="Question"/>
        <w:keepNext/>
      </w:pPr>
      <w:r>
        <w:rPr>
          <w:rFonts w:ascii="Arial" w:hAnsi="Arial" w:cs="Arial"/>
          <w:sz w:val="22"/>
        </w:rPr>
        <w:t>16. En el subexpediente descrito y con los únicos datos facilitados, la regla general del Régimen General incluye obligatoriamente:</w:t>
      </w:r>
    </w:p>
    <w:p>
      <w:pPr>
        <w:keepNext/>
        <w:keepLines/>
        <w:spacing w:after="40"/>
        <w:ind w:left="369" w:hanging="198"/>
      </w:pPr>
      <w:r>
        <w:rPr>
          <w:rFonts w:ascii="Arial" w:hAnsi="Arial" w:cs="Arial"/>
          <w:b w:val="0"/>
          <w:sz w:val="21"/>
        </w:rPr>
        <w:t>A) A toda persona mayor de edad, aunque no realice actividad.</w:t>
      </w:r>
    </w:p>
    <w:p>
      <w:pPr>
        <w:keepNext/>
        <w:keepLines/>
        <w:spacing w:after="40"/>
        <w:ind w:left="369" w:hanging="198"/>
      </w:pPr>
      <w:r>
        <w:rPr>
          <w:rFonts w:ascii="Arial" w:hAnsi="Arial" w:cs="Arial"/>
          <w:b w:val="0"/>
          <w:sz w:val="21"/>
        </w:rPr>
        <w:t>B) Solo a quienes tengan contrato indefinido y jornada completa.</w:t>
      </w:r>
    </w:p>
    <w:p>
      <w:pPr>
        <w:keepNext/>
        <w:keepLines/>
        <w:spacing w:after="40"/>
        <w:ind w:left="369" w:hanging="198"/>
      </w:pPr>
      <w:r>
        <w:rPr>
          <w:rFonts w:ascii="Arial" w:hAnsi="Arial" w:cs="Arial"/>
          <w:b w:val="0"/>
          <w:sz w:val="21"/>
        </w:rPr>
        <w:t>C) A trabajadores por cuenta ajena y asimilados que no deban quedar incluidos en un régimen especial.</w:t>
      </w:r>
    </w:p>
    <w:p>
      <w:pPr>
        <w:keepNext/>
        <w:keepLines/>
        <w:spacing w:after="40"/>
        <w:ind w:left="369" w:hanging="198"/>
      </w:pPr>
      <w:r>
        <w:rPr>
          <w:rFonts w:ascii="Arial" w:hAnsi="Arial" w:cs="Arial"/>
          <w:b w:val="0"/>
          <w:sz w:val="21"/>
        </w:rPr>
        <w:t>D) A los autónomos con independencia de su actividad.</w:t>
      </w:r>
    </w:p>
    <w:p>
      <w:pPr>
        <w:pStyle w:val="Question"/>
        <w:keepNext/>
      </w:pPr>
      <w:r>
        <w:rPr>
          <w:rFonts w:ascii="Arial" w:hAnsi="Arial" w:cs="Arial"/>
          <w:sz w:val="22"/>
        </w:rPr>
        <w:t>17. La unidad competente debe resolver la siguiente cuestión: Las primeras semanas obligatorias por nacimiento son:</w:t>
      </w:r>
    </w:p>
    <w:p>
      <w:pPr>
        <w:keepNext/>
        <w:keepLines/>
        <w:spacing w:after="40"/>
        <w:ind w:left="369" w:hanging="198"/>
      </w:pPr>
      <w:r>
        <w:rPr>
          <w:rFonts w:ascii="Arial" w:hAnsi="Arial" w:cs="Arial"/>
          <w:b w:val="0"/>
          <w:sz w:val="21"/>
        </w:rPr>
        <w:t>A) Seis, ininterrumpidas, inmediatas y a jornada completa.</w:t>
      </w:r>
    </w:p>
    <w:p>
      <w:pPr>
        <w:keepNext/>
        <w:keepLines/>
        <w:spacing w:after="40"/>
        <w:ind w:left="369" w:hanging="198"/>
      </w:pPr>
      <w:r>
        <w:rPr>
          <w:rFonts w:ascii="Arial" w:hAnsi="Arial" w:cs="Arial"/>
          <w:b w:val="0"/>
          <w:sz w:val="21"/>
        </w:rPr>
        <w:t>B) Cuatro, a jornada parcial.</w:t>
      </w:r>
    </w:p>
    <w:p>
      <w:pPr>
        <w:keepNext/>
        <w:keepLines/>
        <w:spacing w:after="40"/>
        <w:ind w:left="369" w:hanging="198"/>
      </w:pPr>
      <w:r>
        <w:rPr>
          <w:rFonts w:ascii="Arial" w:hAnsi="Arial" w:cs="Arial"/>
          <w:b w:val="0"/>
          <w:sz w:val="21"/>
        </w:rPr>
        <w:t>C) Once, interrumpidas.</w:t>
      </w:r>
    </w:p>
    <w:p>
      <w:pPr>
        <w:keepNext/>
        <w:keepLines/>
        <w:spacing w:after="40"/>
        <w:ind w:left="369" w:hanging="198"/>
      </w:pPr>
      <w:r>
        <w:rPr>
          <w:rFonts w:ascii="Arial" w:hAnsi="Arial" w:cs="Arial"/>
          <w:b w:val="0"/>
          <w:sz w:val="21"/>
        </w:rPr>
        <w:t>D) Dos, hasta los ocho años.</w:t>
      </w:r>
    </w:p>
    <w:p>
      <w:pPr>
        <w:pStyle w:val="Question"/>
        <w:keepNext/>
      </w:pPr>
      <w:r>
        <w:rPr>
          <w:rFonts w:ascii="Arial" w:hAnsi="Arial" w:cs="Arial"/>
          <w:sz w:val="22"/>
        </w:rPr>
        <w:t>18. La unidad competente debe resolver la siguiente cuestión: Si la suspensión del IMV se mantiene durante un año:</w:t>
      </w:r>
    </w:p>
    <w:p>
      <w:pPr>
        <w:keepNext/>
        <w:keepLines/>
        <w:spacing w:after="40"/>
        <w:ind w:left="369" w:hanging="198"/>
      </w:pPr>
      <w:r>
        <w:rPr>
          <w:rFonts w:ascii="Arial" w:hAnsi="Arial" w:cs="Arial"/>
          <w:b w:val="0"/>
          <w:sz w:val="21"/>
        </w:rPr>
        <w:t>A) Se reanuda automáticamente sin comprobar requisitos.</w:t>
      </w:r>
    </w:p>
    <w:p>
      <w:pPr>
        <w:keepNext/>
        <w:keepLines/>
        <w:spacing w:after="40"/>
        <w:ind w:left="369" w:hanging="198"/>
      </w:pPr>
      <w:r>
        <w:rPr>
          <w:rFonts w:ascii="Arial" w:hAnsi="Arial" w:cs="Arial"/>
          <w:b w:val="0"/>
          <w:sz w:val="21"/>
        </w:rPr>
        <w:t>B) Se transforma en jubilación no contributiva.</w:t>
      </w:r>
    </w:p>
    <w:p>
      <w:pPr>
        <w:keepNext/>
        <w:keepLines/>
        <w:spacing w:after="40"/>
        <w:ind w:left="369" w:hanging="198"/>
      </w:pPr>
      <w:r>
        <w:rPr>
          <w:rFonts w:ascii="Arial" w:hAnsi="Arial" w:cs="Arial"/>
          <w:b w:val="0"/>
          <w:sz w:val="21"/>
        </w:rPr>
        <w:t>C) Se duplica la deuda por reintegro.</w:t>
      </w:r>
    </w:p>
    <w:p>
      <w:pPr>
        <w:keepNext/>
        <w:keepLines/>
        <w:spacing w:after="40"/>
        <w:ind w:left="369" w:hanging="198"/>
      </w:pPr>
      <w:r>
        <w:rPr>
          <w:rFonts w:ascii="Arial" w:hAnsi="Arial" w:cs="Arial"/>
          <w:b w:val="0"/>
          <w:sz w:val="21"/>
        </w:rPr>
        <w:t>D) El derecho se extingue.</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04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04 - básico-medio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