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Simulacro 05 · básico-medio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básico-medio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FFF2CC"/>
      </w:pPr>
      <w:r>
        <w:rPr>
          <w:rFonts w:ascii="Arial" w:hAnsi="Arial" w:cs="Arial"/>
          <w:b/>
          <w:sz w:val="20"/>
        </w:rPr>
        <w:t>No consulte la plantilla durante la realización.</w:t>
      </w:r>
      <w:r>
        <w:rPr>
          <w:rFonts w:ascii="Arial" w:hAnsi="Arial" w:cs="Arial"/>
          <w:sz w:val="20"/>
        </w:rPr>
        <w:t xml:space="preserve"> Controle el tiempo de forma conjunta y reserve unos minutos para revisar omisiones y traslados de respuesta.</w:t>
      </w:r>
    </w:p>
    <w:p>
      <w:pPr>
        <w:pStyle w:val="Heading1"/>
      </w:pPr>
      <w:r>
        <w:t>Primera parte · cuestionario teórico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ordenamiento vigente a la fecha de corte, una reclamación de deuda se notifica el día 22. El plazo de ingreso termina,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día 5 del mismo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día 5 del mes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días hábiles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día 20 del mes siguiente o el inmediato hábil posterior.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¿En qué plazo debe resolverse el recurso previo de inconstitucionalidad contra textos estatutarios?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meses, prorrogables por otros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Seis meses improrrogables desde su interposición.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Nueve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Conforme al ordenamiento vigente a la fecha de corte, la organización territorial española cuenta: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 diecinueve Comunidades Autónomas.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 diecisiete Comunidades, incluida Ceuta, y una ciudad autónoma.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 quince Comunidades y cuatro territorios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 diecisiete Comunidades Autónomas y dos ciudades autónomas.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Conforme al ordenamiento vigente a la fecha de corte, la novedad introducida en marzo de 2026 en el artículo 25.2 LBRL se refiere: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la promoción y participación en comunidades energéticas y al impulso de actuaciones de transición energética.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 creación obligatoria de una policía autonómica.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conversión de todos los municipios en comunidades energéticas.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un nuevo servicio mínimo de transporte en municipios de 5.000 habitantes.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Conforme al ordenamiento vigente a la fecha de corte, ¿Qué diferencia identifica correctamente el número de Seguridad Social y el código de cuenta de cotización?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Ambos identifican siempre a una misma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primero cambia con cada contrato y el segundo es vitalicio para 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Son dos denominaciones del mismo número.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primero identifica a la persona; el segundo individualiza una cuenta empresarial para la cotización.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 efectos de aplicar correctamente la regla examinada, la existencia de vicepresidentes del Gobierno: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obligatoria y debe haber 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obligatoria y deben existir al menos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potestativa.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Depende de una votación separada del Congreso.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una comprobación jurídica del expediente, ¿Cuál de estos órganos directivos no tiene la condición de alto cargo?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secretario general técnico.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es recurrible de forma autónoma un acto de trámite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limite a impulsar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Sea una mera comunicación interna.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Conceda un plazo ordinario para alegaciones.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Decida directa o indirectamente el fondo del asunto.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Conforme al ordenamiento vigente a la fecha de corte, en relación con el ingreso mínimo vital, la Secretaría General de Inclusión: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Resuelve todos los expedientes individuales.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Evalúa, estudia, informa y propone sobre sus normas y medidas asociadas.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Recauda las cuantías indebidamente percibidas.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Sustituye al INSS en la gestión.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A efectos de aplicar correctamente la regla examinada, las subsecretarías y direcciones generales se crean, modifican y suprimen: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real decreto del presidente sin propuesta.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orden del ministro respectivo.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Mediante relación de puestos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real decreto del Consejo de Ministros, a iniciativa del ministro interesado y a propuesta del ministerio competente en organización.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Conforme al ordenamiento vigente a la fecha de corte, el complemento de gran incapacidad se calcula sumando: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30 por ciento de la pensión y 45 de la última base.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55 por ciento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45 por ciento de la base mínima y 30 por ciento de la última base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45 por ciento de la última base únicamente.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Conforme al ordenamiento vigente a la fecha de corte, ¿Qué mayoría necesita el Senado para oponer veto a un proyecto de ley?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quintos.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tercios.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Mayoría absoluta.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el artículo 149.1.17.ª atribuye al Estado competencia exclusiva sobre: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asistencia social autonómica.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prestación sanitaria material.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Legislación básica y régimen económico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la gestión de centros locales.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el título III del TRLGSS regula: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protección por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pensiones no contributivas.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en el procedimiento legislativo ordinario, la combinación correcta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Consejo Europeo propone y el Tribunal aprueba.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Comisión y el Tribunal son colegisladores.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Comisión propone normalmente y Parlamento y Consejo adoptan conjuntamente.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Parlamento legisla solo y el Consejo ejecuta.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Conforme al ordenamiento vigente a la fecha de corte, ¿Cuál de estos centros no figura entre los dependientes de la Dirección General de Atención Humanitaria?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Centro de Internamiento de Extranjeros —CIE—.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CAPI.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CETI.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CREADE.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A efectos de aplicar correctamente la regla examinada, ¿Qué órgano representa al pueblo español según el artículo 66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Congreso de los Diputados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Las Cortes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Rey.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Conforme al ordenamiento vigente a la fecha de corte, ¿Cuál es la causa ordinaria de extinción de la pensión de jubilación?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cambio de domicilio.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realización de cualquier trabajo de un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matrimonio del pensionista.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fallecimiento del titular.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¿Cuál de estos contenidos debe figurar en un Estatuto conforme al artículo 147.2?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composición del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denominación, organización y sede de las instituciones autónomas propias.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régimen arancelario y aduanero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número de ministerios del Gobierno de la Nación.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A efectos de aplicar correctamente la regla examinada, según la estructura legal del sistema, este se integra: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por el Régimen General y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regímenes generales, provinciales y locales.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por sistemas especiales.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Régimen General y los regímenes especiales.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A efectos de aplicar correctamente la regla examinada, en 2026, la asignación anual por hijo menor de 18 años con discapacidad igual o superior al 33 % asciende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5.962,80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8.942,40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525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Conforme al ordenamiento vigente a la fecha de corte, una persona incluida en los periodos de inactividad del sistema especial agrario solicita voluntariamente su exclusión. Esta produce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el primer día del mes siguiente al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el último día del año natural.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la fecha de la última jornada real, cualquiera que sea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meses después de la resolución.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la estructura final de la Constitución incluye: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disposiciones adicionales, nueve transitorias, una derogatoria y una final.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 disposiciones adicionales, diez transitorias, dos derogatorias y una final.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Nueve disposiciones adicionales, cuatro transitorias, una derogatoria y una final.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disposiciones adicionales, nueve transitorias, una derogatoria y una final.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Conforme al ordenamiento vigente a la fecha de corte, además de 33 años cotizados y una causa legal de cese, la jubilación anticipada involuntaria exige,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cumplido necesariamente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Estar inscrito como demandante de empleo durante al menos los seis meses inmediatamente anteriores 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Haber agotado siempre una incapacidad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el último contrato fuera a tiempo completo durante diez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Conforme al ordenamiento vigente a la fecha de corte, ¿En qué consiste la potestad jurisdiccional?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nombrar jueces y magistrados.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juzgar y hacer ejecutar lo juzgado.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elaborar las leyes procesales.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dirigir la política criminal.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Conforme al ordenamiento vigente a la fecha de corte, la Comisión adopta sus acuerdos: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dos tercios de los votos emitidos.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mayoría de sus miembros, actualmente 14 de 27.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unanimidad de los comisarios.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mayoría de Estados y de población.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Conforme al ordenamiento vigente a la fecha de corte, la suspensión de plazos prevista para zonas gravemente afectadas por emergencias: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declara cualquier alcalde y hace comenzar plazos nuevos.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Opera automáticamente ante cualquier lluvia intensa.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beneficia a Administraciones, nunca a interesados.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incluirse en acuerdo del Consejo de Ministros y finaliza por nuevo acuerdo, tras el cual se reanudan los plazos.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Conforme al ordenamiento vigente a la fecha de corte, una persona pregunta por el estado de un expediente ajeno y no acredita representación. La oficina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facilitar información particular, pues no acredita condición de interesado ni representación.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Informar si conoce el número de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Entregar solo los documentos que parezcan menos sensibles.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Publicar el expediente para garantizar transparencia.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Conforme al ordenamiento vigente a la fecha de corte, un sistema especial puede establecer peculiaridades respecto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titularidad del derecho a la asistencia sanitaria y la jubilación.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creación de nuevas prestaciones contributivas.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encuadramiento, la afiliación, la forma de cotización o la recaudación.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jurisdicción competente para resolver litigios.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A efectos de aplicar correctamente la regla examinada, el derecho de la Administración a determinar y exigir el pago de cuotas prescribe, con carácter general,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Conforme al ordenamiento vigente a la fecha de corte, el instructor puede rechazar las pruebas propuestas por el interesado: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no coincidan con su criterio.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Sin motivación si retrasan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sean simplemente costosas para la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 son manifiestamente improcedentes o innecesarias, mediante resolución motivada.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En una comprobación jurídica del expediente, en prestaciones derivadas de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 un año completo.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se exige cotización previa, salvo excepción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carencia depende de la edad.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Conforme al ordenamiento vigente a la fecha de corte, el real decreto-ley debe someterse al Congreso para convalidación o derogación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 desde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meses desde su aprobación.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días desde su promulgación.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desde su entrada en vigor.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En una comprobación jurídica del expediente, el derecho al IMV nace,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primer día del mes siguiente al de presentación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mismo día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primer día del trimestre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1 de enero del ejercicio posterior.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Conforme al ordenamiento vigente a la fecha de corte, el Real Decreto 643/2026, publicado el 30 de julio de 2026, modifica el interés de los aplazamientos con efectos desde el 1 de agosto. Desde esa fecha, la regla general pasa a ser: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Interés cero para toda deuda garantizada.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Interés de demora y, si hay exención extraordinaria de garantías, dicho interés incrementado en dos puntos.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Interés legal reducido a la mitad.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Tipo libremente pactado con la TGSS.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la orientación administrativa del Real Decreto 208/1996: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Incluye defensa jurídica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Permite garantizar el resultado de un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Ofrece aclaraciones prácticas, pero no interpretación normativa ni opinión jurídica o económica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Sustituye al órgano competente para resolver.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A efectos de aplicar correctamente la regla examinada, ¿Cuál es la duración ordinaria del mandato del Congreso y del Senado?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A efectos de aplicar correctamente la regla examinada, el plazo máximo para resolver una solicitud de cesión es de 90 días y el silencio: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desestimatorio.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Produce una cesión provisional.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Transfiere la propiedad al solicitante.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A efectos de aplicar correctamente la regla examinada, la IT ordinaria por enfermedad o accidente tiene una duración inicial máxima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180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545 días, prorrogables otros 365.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730 días sin fases.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365 días, prorrogables por otros 180.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A efectos de aplicar correctamente la regla examinada, conforme al artículo 31 de la Ley 25/2014, las normas de tratados válidamente celebrados y publicados: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Prevalecen incluso sobre la Constitución.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Prevalecen, en caso de conflicto, sobre cualquier otra norma interna salvo las de rango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prevalecen sobre órdenes ministeriales.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subordinan siempre a cualquier ley posterior.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A efectos de aplicar correctamente la regla examinada, las recomendaciones y los dictámenes: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reglamentos no legislativos.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son vinculantes.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Vinculan solo a los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Requieren transposición.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Conforme al ordenamiento vigente a la fecha de corte, con carácter general, la Administración solo exige firma para: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Consultar el estado de un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Leer una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Pedir información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Formular solicitudes, entre otras actuaciones tasadas.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A efectos de aplicar correctamente la regla examinada, en los procedimientos iniciados de oficio, el plazo máximo se cuenta desde: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primera actuación de instrucción.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fecha del acuerdo de iniciación.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notificación de la propuesta de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entrada de una denuncia.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A efectos de aplicar correctamente la regla examinada, toda notificación deberá ser cursada: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 los quince días hábiles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diez días siguientes a la fecha en que el acto haya sido dictado.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plazo de un mes desde que termine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las cuarenta y ocho horas posteriores.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A efectos de aplicar correctamente la regla examinada, los diputados al Parlamento Europeo son elegidos: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seis años mediante sufragio indirecto.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cuatro años por los Parlamentos nacionales.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sufragio universal directo, libre y secreto, para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Consejo Europeo para dos años y medio.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A efectos de aplicar correctamente la regla examinada, ¿Cuál es una prohibición privada absoluta del artículo 12 de la Ley 53/1984?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Escribir una obra científica por iniciativa propia.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Asistir ocasionalmente a un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Administrar el patrimonio familiar sin entrar en actividades prohibidas.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Intervenir privadamente en un asunto en el que el empleado intervino por su puesto público durante los dos últimos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Conforme al ordenamiento vigente a la fecha de corte, solicitada la suspensión de la ejecución del acto recurrido, esta se entenderá suspendida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Transcurren diez días desde la interposición del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formula alegación de nulidad, aunque se deniegue expresamente.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recurrente anuncia que acudirá a la jurisdicción.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Transcurre un mes desde la entrada de la solicitud en el registro electrónico del órgano competente para decidirla sin notificarse resolución expresa.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Conforme al ordenamiento vigente a la fecha de corte, para una persona reconocida en grado III+ de dependencia extrema, la prestación económica vinculada se orienta: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cualquier servicio recreativo elegido.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a residencia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a ayuda a domicilio, sin perjuicio de la prestación de asistencia personal prevista.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cuidados familiares en todo caso.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¿Cuál de estas alegaciones es un motivo tasado de oposición a la providencia de apremio?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petición genérica de clemencia.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pago de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disconformidad con una norma ya aplicada por acto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futura intención de pedir un préstamo.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el Tribunal General está integrado actualmente: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54 jueces, dos por Estado miembro.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un juez en total por cada dos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27 jueces y 11 abogados generales permanentes.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81 jueces.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A efectos de aplicar correctamente la regla examinada, para que una enfermedad sea profesional conforme al artículo 157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Encajar en actividad y agente del cuadro oficial.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Haber causado necesariamente incapacidad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Ser diagnosticada por un médico de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Deberse solo a una jornada extensa.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Conforme al ordenamiento vigente a la fecha de corte, el patrimonio de la Seguridad Social: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divide en patrimonios independientes por entidad gestora.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Pertenece en proindiviso a las personas cotizantes.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único, está afecto a los fines de la Seguridad Social y es distinto del patrimonio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integra sin separación en el Patrimonio Nacional.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¿Cuántas Subdirecciones Generales dependen de la Dirección General de Atención Humanitaria y del Sistema de Acogida de Protección Internacional?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la prohibición de discriminación del artículo 14: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Contiene una lista cerrada de cinco causas.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Incluye una cláusula abierta referida a cualquier otra condición o circunstancia personal o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vincula a la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es susceptible de amparo porque está fuera de la sección 1.ª.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A efectos de aplicar correctamente la regla examinada, contra una disposición administrativa de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Cabe siempre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Procede reposición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cabe recurso extraordinario de revisión.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cabe recurso en vía administrativa.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A efectos de aplicar correctamente la regla examinada, en el Régimen General, el responsable de ingresar tanto la aportación propia como la descontada al trabajador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empresario.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SEPE.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Conforme al ordenamiento vigente a la fecha de corte, ¿Cuál de los siguientes colectivos no aparece en el artículo 10 TRLGSS como grupo susceptible de constituir un régimen especial?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Trabajadores por cuenta propia o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Trabajadores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Estudiantes.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Trabajadores ordinarios por cuenta ajena de la industria y los servicios.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Conforme al ordenamiento vigente a la fecha de corte, el plazo ordinario máximo para informar de las actuaciones realizadas ante el ejercicio de un derecho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 desde la recepción.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en la prestación por parto o adopción múltiples, un hijo con discapacidad igual o superior al 33 %: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Computa doble para determinar el número de hijos.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computa.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Triplica su cómputo.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Genera siempre una prestación independiente de 12 veces el SMI.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si el fallecimiento deriva de accidente, laboral o no, o de enfermedad profesional: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se exige período previo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siempre 500 días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exigen quince años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reconocerse el auxilio por defunción.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A efectos de aplicar correctamente la regla examinada, en las relaciones internacionales, ¿qué representación corresponde al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más alta representación del Estado español, especialmente con las naciones de su comunidad histórica.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dirección ordinaria de la política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presidencia permanente del Consejo Europeo.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negociación exclusiva de todos los tratados.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la cuestión de confianza se entiende otorgada cuando vota a favor: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mayoría simple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mayoría simple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quintos de los diputados.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A efectos de aplicar correctamente la regla examinada, el archivo electrónico único comprende, como regla, documentos: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Correspondientes a procedimientos finalizados.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 procedimientos aún no iniciados.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en papel.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carezcan de valor probatorio.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En una comprobación jurídica del expediente, según el artículo 1.2 del Código Civil: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norma inferior posterior deroga siempre a la superior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contradicción entre normas se resuelve por especialidad.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Carecen de validez las disposiciones que contradigan otra de rango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jerarquía solo se aplica a las leyes parlamentarias.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En una comprobación jurídica del expediente, las 2 semanas añadidas hasta los ocho años se aplican a hechos desde: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31 de julio de 2025,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 de enero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8 de marzo de 2019.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2 de agosto de 2024, solicitables desde 1 de enero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A efectos de aplicar correctamente la regla examinada, el auxilio por defunción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quien haya soportado los gastos del sepelio, con las presunciones legales de pago.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y exclusivamente al cónyuge.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los hijos menores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entidad funeraria aunque nadie haya abonado el servicio.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A efectos de aplicar correctamente la regla examinada, la prestación por parto o adopción múltiples: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Exige siempre que la familia sea numerosa.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se reconoce por cuatro o más hijos.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calcula multiplicando el SMI mensual por 4, 8 o 12 según el número computable de hijos.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una cuantía fija de 1.000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Conforme al ordenamiento vigente a la fecha de corte, los actos de instrucción necesarios para determinar y comprobar los hechos se realizan: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a instancia de los interesados.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 oficio y por medios electrónicos por el órgano que tramite.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por el órgano que vaya a resolver.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forma oral y sin constancia en el expediente.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A efectos de aplicar correctamente la regla examinada, ¿Hasta qué edad se reconoce ordinariamente la orfandad cuando no existe incapacidad?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Hasta los 18 años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los 21 años, sin perjuicio de la posible prolongación hasta los 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Hasta los 23 años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los 30 años si no se trabaja.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Conforme al ordenamiento vigente a la fecha de corte, una empresa presenta correctamente un alta con veinte días de antelación, pero finalmente la persona no comienza a trabajar. ¿Qué procede?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Comunicar la no iniciación o anular el alta; la mera solicitud anticipada no genera efectos si la actividad no comienza.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Mantener el alta y cotizar necesariamente durante sesenta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Cursar una segunda afiliación.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Convertir el alta en convenio especial.</w:t>
      </w:r>
    </w:p>
    <w:p>
      <w:pPr>
        <w:pStyle w:val="Heading2"/>
      </w:pPr>
      <w:r>
        <w:t>Preguntas de reserva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A efectos de aplicar correctamente la regla examinada, ¿Cómo se organiza territorialmente el Estado a efectos judiciales?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Municipios, comarcas y regiones.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Partidos, provincias y Estado, sin municipios.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Municipios, partidos, provincias y Comunidades Autónomas.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Municipios, islas y Comunidades Autónomas exclusivamente.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A efectos de aplicar correctamente la regla examinada, una particularidad de la cotización en el Régimen Especial de la Minería del Carbón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inexistencia de cotización por contingencias comunes.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elección libre de base por cada trabajador por cuenta ajena.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utilización de bases normalizadas por categorías o especialidades profesionales en los términos fijados anualmente.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aplicación del sistema de rendimientos netos del RETA.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Conforme al ordenamiento vigente a la fecha de corte, ¿Puede el consorte del titular de la Corona asumir funciones constitucionales?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Sí, siempre que las refrende el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Sí, si lo autoriza 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No, salvo lo dispuesto para la Regencia.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ejercer el mando supremo de las Fuerzas Armadas.</w:t>
      </w:r>
    </w:p>
    <w:p>
      <w:r>
        <w:br w:type="page"/>
      </w:r>
    </w:p>
    <w:p>
      <w:pPr>
        <w:pStyle w:val="Heading1"/>
      </w:pPr>
      <w:r>
        <w:t>Segunda parte · supuesto práctico</w:t>
      </w:r>
    </w:p>
    <w:p>
      <w:pPr>
        <w:shd w:fill="EAF2F8"/>
      </w:pPr>
      <w:r>
        <w:t>La equipo de revisión de expedientes atiende a varias personas trabajadoras, pensionistas y empresas con incidencias conectadas.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el subexpediente descrito y con los únicos datos facilitados, respecto de la enfermedad profesional, la relación causal con la muerte: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probarse cualquiera que sea el tiempo transcurrido.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probarse durante el año posterior al diagnóstico.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 admite si existía incapacidad parcial.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Prescribe necesariamente a los cinco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unidad competente debe resolver la siguiente cuestión: El artículo 109.1 TRLGSS incluye entre los recursos generales: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cuotas y préstamos bancarios.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impuestos cedidos.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bienes privados de las personas beneficiarias.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Aportaciones del Estado, cuotas, recargos y sanciones, frutos y rendimientos patrimoniales y otros ingresos.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el subexpediente descrito y con los únicos datos facilitados, respecto del trabajo del pensionista, ¿cuál es la regla general?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compatibilidad plena sin obligación de comunicar.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incompatibilidad, sin perjuicio de las excepciones expresamente previstas.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extinción automática de la pensión por cualquier actividad.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compatibilidad solo cuando el trabajo sea por cuenta ajena.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 el subexpediente descrito y con los únicos datos facilitados, si coinciden dos pensiones incompatibles del Régimen General, la entidad: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Abona por defecto la de mayor cuantía anual y suspende la otra.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Extingue siempre ambas.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Abona automáticamente la más antigua.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Divide ambas por mitad.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el subexpediente descrito y con los únicos datos facilitados, la remuneración por horas extraordinarias: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excluye de todas las bases y cuotas.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incluye siempre en la base de contingencias comunes.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cotiza si supera 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excluye de la base común, se incluye en la profesional y soporta cotización adicional.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unidad competente debe resolver la siguiente cuestión: ¿Qué servicio común aplica los principios de solidaridad financiera y caja única?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IMSERSO.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INGESA.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Tesorería General de la Seguridad Social.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el subexpediente descrito y con los únicos datos facilitados, es situación protegida por nacimiento y cuidado: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 convivencia informal con un menor.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el parto biológico.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adopción constituida por resolución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excedencia voluntaria sin causa familiar.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La unidad competente debe resolver la siguiente cuestión: La carencia general exigida para suscribir el convenio especial ordinario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360 días dentro de los seis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1.080 días dentro de los doce años inmediatamente anteriores a la baja o situación determinante.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500 días dentro de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a lo largo de toda la vida laboral.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La unidad competente debe resolver la siguiente cuestión: Un trabajador mensual cobra 1.800 euros y dos pagas extra anuales de 1.800. Antes de otros conceptos y límites, su base mensual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1.800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2.100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3.600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1.950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unidad competente debe resolver la siguiente cuestión: Respecto de los familiares del empresario, la presunción de que no son trabajadores por cuenta ajena alcanza, si conviven en su hogar y están a su cargo: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cónyuge y a parientes por consanguinidad o afinidad hasta el segundo grado, así como por adopción, salvo prueba en contrario.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al cónyuge y a los hijos menores de edad, sin posibilidad de 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todos los parientes hasta el cuarto grado, aunque no convivan.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 ascendientes consanguíneos.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La unidad competente debe resolver la siguiente cuestión: Si el empresario incumple su obligación de solicitar el alta, el trabajador por cuenta ajena: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instar directamente su alta ante la TGSS, sin perjuicio de las responsabilidades empresariales.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esperar necesariamente a una actuación inspectora.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Pierde de forma definitiva toda posibilidad de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demandar al INSS para obtener un nuevo número.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una lesión profesional definitiva incluida en baremo, que no alcanza IP: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Genera siempre una pensión del 55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dar lugar a indemnización única por lesión permanente no incapacitante.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Impide continuar en la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califica como accidente no laboral.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La unidad competente debe resolver la siguiente cuestión: ¿Durante cuánto tiempo se mantiene el IMV?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 improrrogables.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año, sin posibilidad de renovación.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Mientras subsistan los motivos que dieron lugar a su concesión y se cumplan requisitos y obligaciones.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 desde la resolución.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el subexpediente descrito y con los únicos datos facilitados, la reclamación administrativa de tercería la resuelve: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recaudador ejecutivo en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INSS en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director provincial de la TGSS en el plazo máximo de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banco depositario en diez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el subexpediente descrito y con los únicos datos facilitados, conforme a la norma vigente el 30 de julio de 2026, un aplazamiento ordinario garantizado devenga: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Ningún interés mientras se cumpla.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interés legal del dinero, sin perjuicio de la regla especial para la exención extraordinaria de garantías.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el interés de demora más dos puntos.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interés bancario que elija la entidad colaboradora.</w:t>
      </w:r>
    </w:p>
    <w:p>
      <w:pPr>
        <w:pStyle w:val="Heading2"/>
      </w:pPr>
      <w:r>
        <w:t>Preguntas de reserva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subexpediente descrito y con los únicos datos facilitados, en pluriactividad: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Concurren altas obligatorias en regímenes distintos.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distribuye siempre un único tope entre todas las empresas.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mantenerse un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Todas las cotizaciones se ingresan por el empresario principal.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el subexpediente descrito y con los únicos datos facilitados, ¿Cuál es la carencia general exigida para la jubilación ordinaria?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años, uno de ellos dentro de los cinco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años, sin carencia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y tres años, de los que cinco deben ser inmediatamente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años, de los que dos deben estar comprendidos dentro de los quince anteriores.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 unidad competente debe resolver la siguiente cuestión: La IT derivada de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Exige 180 días cotizados.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Exige estar desempleado.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exige período previo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protege a mayores de 26 años.</w:t>
      </w:r>
    </w:p>
    <w:p>
      <w:r>
        <w:br w:type="page"/>
      </w:r>
    </w:p>
    <w:p>
      <w:pPr>
        <w:pStyle w:val="Heading1"/>
      </w:pPr>
      <w:r>
        <w:t>Hoja final de respuestas</w:t>
      </w:r>
    </w:p>
    <w:p>
      <w:pPr>
        <w:pStyle w:val="Heading2"/>
      </w:pPr>
      <w:r>
        <w:t>Primera parte · 1 a 73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 a 18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r>
        <w:rPr>
          <w:rFonts w:ascii="Arial" w:hAnsi="Arial" w:cs="Arial"/>
          <w:sz w:val="19"/>
        </w:rPr>
        <w:t xml:space="preserve">Puntuación directa orientativa por parte: </w:t>
      </w:r>
      <w:r>
        <w:rPr>
          <w:rFonts w:ascii="Arial" w:hAnsi="Arial" w:cs="Arial"/>
          <w:b/>
          <w:sz w:val="19"/>
        </w:rPr>
        <w:t>aciertos − errores/4</w:t>
      </w:r>
      <w:r>
        <w:rPr>
          <w:rFonts w:ascii="Arial" w:hAnsi="Arial" w:cs="Arial"/>
          <w:sz w:val="19"/>
        </w:rPr>
        <w:t>. Las reservas solo sustituyen preguntas anuladas por orden correlativo. La puntuación oficial es la transformada conforme al baremo del tribunal.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Simulacro 05 · Sin respuestas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05 - básico-medio - sin respuestas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