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CUERPO ADMINISTRATIVO DE LA ADMINISTRACIÓN DE LA SEGURIDAD SOCIAL · C1 · ACCESO LIBRE</w:t>
      </w:r>
    </w:p>
    <w:p>
      <w:pPr>
        <w:spacing w:before="0" w:after="160"/>
      </w:pPr>
      <w:r>
        <w:rPr>
          <w:rFonts w:ascii="Arial" w:hAnsi="Arial" w:cs="Arial"/>
          <w:b/>
          <w:color w:val="1F4E79"/>
          <w:sz w:val="26"/>
        </w:rPr>
        <w:t>SIMULACRO COMPLETO</w:t>
      </w:r>
    </w:p>
    <w:p>
      <w:pPr>
        <w:keepNext/>
        <w:spacing w:before="0" w:after="280"/>
        <w:pBdr>
          <w:bottom w:val="single" w:sz="12" w:space="1" w:color="2F75B5"/>
        </w:pBdr>
      </w:pPr>
      <w:r>
        <w:rPr>
          <w:rFonts w:ascii="Arial" w:hAnsi="Arial" w:cs="Arial"/>
          <w:b/>
          <w:color w:val="17365D"/>
          <w:sz w:val="40"/>
        </w:rPr>
        <w:t>Simulacro 07 · nivel oficial</w:t>
      </w:r>
    </w:p>
    <w:p>
      <w:pPr>
        <w:spacing w:before="0" w:after="40"/>
      </w:pPr>
      <w:r>
        <w:rPr>
          <w:rFonts w:ascii="Arial" w:hAnsi="Arial" w:cs="Arial"/>
          <w:b/>
          <w:color w:val="333333"/>
          <w:sz w:val="19"/>
        </w:rPr>
        <w:t xml:space="preserve">Cuerpo: </w:t>
      </w:r>
      <w:r>
        <w:rPr>
          <w:rFonts w:ascii="Arial" w:hAnsi="Arial" w:cs="Arial"/>
          <w:color w:val="333333"/>
          <w:sz w:val="19"/>
        </w:rPr>
        <w:t>Cuerpo Administrativo de la Administración de la Seguridad Social</w:t>
      </w:r>
    </w:p>
    <w:p>
      <w:pPr>
        <w:spacing w:before="0" w:after="40"/>
      </w:pPr>
      <w:r>
        <w:rPr>
          <w:rFonts w:ascii="Arial" w:hAnsi="Arial" w:cs="Arial"/>
          <w:b/>
          <w:color w:val="333333"/>
          <w:sz w:val="19"/>
        </w:rPr>
        <w:t xml:space="preserve">Subgrupo y acceso: </w:t>
      </w:r>
      <w:r>
        <w:rPr>
          <w:rFonts w:ascii="Arial" w:hAnsi="Arial" w:cs="Arial"/>
          <w:color w:val="333333"/>
          <w:sz w:val="19"/>
        </w:rPr>
        <w:t>C1 · sistema general de acceso libre</w:t>
      </w:r>
    </w:p>
    <w:p>
      <w:pPr>
        <w:spacing w:before="0" w:after="40"/>
      </w:pPr>
      <w:r>
        <w:rPr>
          <w:rFonts w:ascii="Arial" w:hAnsi="Arial" w:cs="Arial"/>
          <w:b/>
          <w:color w:val="333333"/>
          <w:sz w:val="19"/>
        </w:rPr>
        <w:t xml:space="preserve">Actualización: </w:t>
      </w:r>
      <w:r>
        <w:rPr>
          <w:rFonts w:ascii="Arial" w:hAnsi="Arial" w:cs="Arial"/>
          <w:color w:val="333333"/>
          <w:sz w:val="19"/>
        </w:rPr>
        <w:t>30 de julio de 2026</w:t>
      </w:r>
    </w:p>
    <w:p>
      <w:pPr>
        <w:spacing w:before="0" w:after="40"/>
      </w:pPr>
      <w:r>
        <w:rPr>
          <w:rFonts w:ascii="Arial" w:hAnsi="Arial" w:cs="Arial"/>
          <w:b/>
          <w:color w:val="333333"/>
          <w:sz w:val="19"/>
        </w:rPr>
        <w:t xml:space="preserve">Programa: </w:t>
      </w:r>
      <w:r>
        <w:rPr>
          <w:rFonts w:ascii="Arial" w:hAnsi="Arial" w:cs="Arial"/>
          <w:color w:val="333333"/>
          <w:sz w:val="19"/>
        </w:rPr>
        <w:t>Anexo I de la Resolución de 22 de diciembre de 2025</w:t>
      </w:r>
    </w:p>
    <w:p>
      <w:pPr>
        <w:spacing w:before="320" w:after="100"/>
      </w:pPr>
      <w:r>
        <w:rPr>
          <w:rFonts w:ascii="Arial" w:hAnsi="Arial" w:cs="Arial"/>
          <w:b/>
          <w:color w:val="1F4E79"/>
          <w:sz w:val="17"/>
        </w:rPr>
        <w:t>AVISO DE PROPIEDAD INTELECTUAL</w:t>
      </w:r>
    </w:p>
    <w:p>
      <w:pPr>
        <w:spacing w:before="0" w:after="60" w:line="240" w:lineRule="auto"/>
        <w:ind w:left="198" w:right="198"/>
        <w:shd w:fill="F2F4F7"/>
      </w:pPr>
      <w:r>
        <w:rPr>
          <w:rFonts w:ascii="Arial" w:hAnsi="Arial" w:cs="Arial"/>
          <w:b/>
          <w:color w:val="333333"/>
          <w:sz w:val="16"/>
        </w:rPr>
        <w:t>© 2026 ACADEMIA LORMAN. Todos los derechos reservados.</w:t>
      </w:r>
    </w:p>
    <w:p>
      <w:pPr>
        <w:spacing w:before="0"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before="0"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before="0"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pStyle w:val="Heading1"/>
      </w:pPr>
      <w:r>
        <w:t>Instrucciones y estructura oficial reproducida</w:t>
      </w:r>
    </w:p>
    <w:tbl>
      <w:tblPr>
        <w:tblStyle w:val="TableGrid"/>
        <w:tblW w:type="dxa" w:w="9026"/>
        <w:jc w:val="left"/>
        <w:tblLayout w:type="fixed"/>
        <w:tblLook w:firstColumn="1" w:firstRow="1" w:lastColumn="0" w:lastRow="0" w:noHBand="0" w:noVBand="1" w:val="04A0"/>
        <w:tblInd w:w="120" w:type="dxa"/>
      </w:tblPr>
      <w:tblGrid>
        <w:gridCol w:w="2600"/>
        <w:gridCol w:w="6426"/>
      </w:tblGrid>
      <w:tr>
        <w:trPr>
          <w:tblHeader w:val="true"/>
        </w:trPr>
        <w:tc>
          <w:tcPr>
            <w:tcW w:type="dxa" w:w="26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Elemento</w:t>
            </w:r>
          </w:p>
        </w:tc>
        <w:tc>
          <w:tcPr>
            <w:tcW w:type="dxa" w:w="64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Regla</w:t>
            </w:r>
          </w:p>
        </w:tc>
      </w:tr>
      <w:tr>
        <w:tc>
          <w:tcPr>
            <w:tcW w:type="dxa" w:w="2600"/>
            <w:vAlign w:val="center"/>
          </w:tcPr>
          <w:p>
            <w:pPr>
              <w:spacing w:before="0" w:after="0" w:line="240" w:lineRule="auto"/>
            </w:pPr>
            <w:r/>
            <w:r>
              <w:rPr>
                <w:rFonts w:ascii="Arial" w:hAnsi="Arial" w:cs="Arial"/>
                <w:b w:val="0"/>
                <w:color w:val="333333"/>
                <w:sz w:val="17"/>
              </w:rPr>
              <w:t>Sistema selectivo</w:t>
            </w:r>
          </w:p>
        </w:tc>
        <w:tc>
          <w:tcPr>
            <w:tcW w:type="dxa" w:w="6426"/>
            <w:vAlign w:val="center"/>
          </w:tcPr>
          <w:p>
            <w:pPr>
              <w:spacing w:before="0" w:after="0" w:line="240" w:lineRule="auto"/>
            </w:pPr>
            <w:r/>
            <w:r>
              <w:rPr>
                <w:rFonts w:ascii="Arial" w:hAnsi="Arial" w:cs="Arial"/>
                <w:b w:val="0"/>
                <w:color w:val="333333"/>
                <w:sz w:val="17"/>
              </w:rPr>
              <w:t>Oposición · ejercicio único con dos partes obligatorias y eliminatorias</w:t>
            </w:r>
          </w:p>
        </w:tc>
      </w:tr>
      <w:tr>
        <w:tc>
          <w:tcPr>
            <w:tcW w:type="dxa" w:w="2600"/>
            <w:vAlign w:val="center"/>
          </w:tcPr>
          <w:p>
            <w:pPr>
              <w:spacing w:before="0" w:after="0" w:line="240" w:lineRule="auto"/>
            </w:pPr>
            <w:r/>
            <w:r>
              <w:rPr>
                <w:rFonts w:ascii="Arial" w:hAnsi="Arial" w:cs="Arial"/>
                <w:b w:val="0"/>
                <w:color w:val="333333"/>
                <w:sz w:val="17"/>
              </w:rPr>
              <w:t>Tiempo conjunto</w:t>
            </w:r>
          </w:p>
        </w:tc>
        <w:tc>
          <w:tcPr>
            <w:tcW w:type="dxa" w:w="6426"/>
            <w:vAlign w:val="center"/>
          </w:tcPr>
          <w:p>
            <w:pPr>
              <w:spacing w:before="0" w:after="0" w:line="240" w:lineRule="auto"/>
            </w:pPr>
            <w:r/>
            <w:r>
              <w:rPr>
                <w:rFonts w:ascii="Arial" w:hAnsi="Arial" w:cs="Arial"/>
                <w:b w:val="0"/>
                <w:color w:val="333333"/>
                <w:sz w:val="17"/>
              </w:rPr>
              <w:t>120 minutos</w:t>
            </w:r>
          </w:p>
        </w:tc>
      </w:tr>
      <w:tr>
        <w:tc>
          <w:tcPr>
            <w:tcW w:type="dxa" w:w="2600"/>
            <w:vAlign w:val="center"/>
          </w:tcPr>
          <w:p>
            <w:pPr>
              <w:spacing w:before="0" w:after="0" w:line="240" w:lineRule="auto"/>
            </w:pPr>
            <w:r/>
            <w:r>
              <w:rPr>
                <w:rFonts w:ascii="Arial" w:hAnsi="Arial" w:cs="Arial"/>
                <w:b w:val="0"/>
                <w:color w:val="333333"/>
                <w:sz w:val="17"/>
              </w:rPr>
              <w:t>Primera parte</w:t>
            </w:r>
          </w:p>
        </w:tc>
        <w:tc>
          <w:tcPr>
            <w:tcW w:type="dxa" w:w="6426"/>
            <w:vAlign w:val="center"/>
          </w:tcPr>
          <w:p>
            <w:pPr>
              <w:spacing w:before="0" w:after="0" w:line="240" w:lineRule="auto"/>
            </w:pPr>
            <w:r/>
            <w:r>
              <w:rPr>
                <w:rFonts w:ascii="Arial" w:hAnsi="Arial" w:cs="Arial"/>
                <w:b w:val="0"/>
                <w:color w:val="333333"/>
                <w:sz w:val="17"/>
              </w:rPr>
              <w:t>70 preguntas + 3 de reserva · anexos I.A y I.B · 0 a 50 puntos</w:t>
            </w:r>
          </w:p>
        </w:tc>
      </w:tr>
      <w:tr>
        <w:tc>
          <w:tcPr>
            <w:tcW w:type="dxa" w:w="2600"/>
            <w:vAlign w:val="center"/>
          </w:tcPr>
          <w:p>
            <w:pPr>
              <w:spacing w:before="0" w:after="0" w:line="240" w:lineRule="auto"/>
            </w:pPr>
            <w:r/>
            <w:r>
              <w:rPr>
                <w:rFonts w:ascii="Arial" w:hAnsi="Arial" w:cs="Arial"/>
                <w:b w:val="0"/>
                <w:color w:val="333333"/>
                <w:sz w:val="17"/>
              </w:rPr>
              <w:t>Segunda parte</w:t>
            </w:r>
          </w:p>
        </w:tc>
        <w:tc>
          <w:tcPr>
            <w:tcW w:type="dxa" w:w="6426"/>
            <w:vAlign w:val="center"/>
          </w:tcPr>
          <w:p>
            <w:pPr>
              <w:spacing w:before="0" w:after="0" w:line="240" w:lineRule="auto"/>
            </w:pPr>
            <w:r/>
            <w:r>
              <w:rPr>
                <w:rFonts w:ascii="Arial" w:hAnsi="Arial" w:cs="Arial"/>
                <w:b w:val="0"/>
                <w:color w:val="333333"/>
                <w:sz w:val="17"/>
              </w:rPr>
              <w:t>Supuesto práctico de 15 preguntas + 3 de reserva · anexo I.B · 0 a 50 puntos</w:t>
            </w:r>
          </w:p>
        </w:tc>
      </w:tr>
      <w:tr>
        <w:tc>
          <w:tcPr>
            <w:tcW w:type="dxa" w:w="2600"/>
            <w:vAlign w:val="center"/>
          </w:tcPr>
          <w:p>
            <w:pPr>
              <w:spacing w:before="0" w:after="0" w:line="240" w:lineRule="auto"/>
            </w:pPr>
            <w:r/>
            <w:r>
              <w:rPr>
                <w:rFonts w:ascii="Arial" w:hAnsi="Arial" w:cs="Arial"/>
                <w:b w:val="0"/>
                <w:color w:val="333333"/>
                <w:sz w:val="17"/>
              </w:rPr>
              <w:t>Respuesta incorrecta</w:t>
            </w:r>
          </w:p>
        </w:tc>
        <w:tc>
          <w:tcPr>
            <w:tcW w:type="dxa" w:w="6426"/>
            <w:vAlign w:val="center"/>
          </w:tcPr>
          <w:p>
            <w:pPr>
              <w:spacing w:before="0" w:after="0" w:line="240" w:lineRule="auto"/>
            </w:pPr>
            <w:r/>
            <w:r>
              <w:rPr>
                <w:rFonts w:ascii="Arial" w:hAnsi="Arial" w:cs="Arial"/>
                <w:b w:val="0"/>
                <w:color w:val="333333"/>
                <w:sz w:val="17"/>
              </w:rPr>
              <w:t>Penaliza un cuarto del valor de una respuesta correcta</w:t>
            </w:r>
          </w:p>
        </w:tc>
      </w:tr>
      <w:tr>
        <w:tc>
          <w:tcPr>
            <w:tcW w:type="dxa" w:w="2600"/>
            <w:vAlign w:val="center"/>
          </w:tcPr>
          <w:p>
            <w:pPr>
              <w:spacing w:before="0" w:after="0" w:line="240" w:lineRule="auto"/>
            </w:pPr>
            <w:r/>
            <w:r>
              <w:rPr>
                <w:rFonts w:ascii="Arial" w:hAnsi="Arial" w:cs="Arial"/>
                <w:b w:val="0"/>
                <w:color w:val="333333"/>
                <w:sz w:val="17"/>
              </w:rPr>
              <w:t>Sin contestar</w:t>
            </w:r>
          </w:p>
        </w:tc>
        <w:tc>
          <w:tcPr>
            <w:tcW w:type="dxa" w:w="6426"/>
            <w:vAlign w:val="center"/>
          </w:tcPr>
          <w:p>
            <w:pPr>
              <w:spacing w:before="0" w:after="0" w:line="240" w:lineRule="auto"/>
            </w:pPr>
            <w:r/>
            <w:r>
              <w:rPr>
                <w:rFonts w:ascii="Arial" w:hAnsi="Arial" w:cs="Arial"/>
                <w:b w:val="0"/>
                <w:color w:val="333333"/>
                <w:sz w:val="17"/>
              </w:rPr>
              <w:t>No resta</w:t>
            </w:r>
          </w:p>
        </w:tc>
      </w:tr>
      <w:tr>
        <w:tc>
          <w:tcPr>
            <w:tcW w:type="dxa" w:w="2600"/>
            <w:vAlign w:val="center"/>
          </w:tcPr>
          <w:p>
            <w:pPr>
              <w:spacing w:before="0" w:after="0" w:line="240" w:lineRule="auto"/>
            </w:pPr>
            <w:r/>
            <w:r>
              <w:rPr>
                <w:rFonts w:ascii="Arial" w:hAnsi="Arial" w:cs="Arial"/>
                <w:b w:val="0"/>
                <w:color w:val="333333"/>
                <w:sz w:val="17"/>
              </w:rPr>
              <w:t>Mínimo</w:t>
            </w:r>
          </w:p>
        </w:tc>
        <w:tc>
          <w:tcPr>
            <w:tcW w:type="dxa" w:w="6426"/>
            <w:vAlign w:val="center"/>
          </w:tcPr>
          <w:p>
            <w:pPr>
              <w:spacing w:before="0" w:after="0" w:line="240" w:lineRule="auto"/>
            </w:pPr>
            <w:r/>
            <w:r>
              <w:rPr>
                <w:rFonts w:ascii="Arial" w:hAnsi="Arial" w:cs="Arial"/>
                <w:b w:val="0"/>
                <w:color w:val="333333"/>
                <w:sz w:val="17"/>
              </w:rPr>
              <w:t>25 puntos transformados en cada parte; la segunda solo se corrige tras superar la primera</w:t>
            </w:r>
          </w:p>
        </w:tc>
      </w:tr>
      <w:tr>
        <w:tc>
          <w:tcPr>
            <w:tcW w:type="dxa" w:w="2600"/>
            <w:vAlign w:val="center"/>
          </w:tcPr>
          <w:p>
            <w:pPr>
              <w:spacing w:before="0" w:after="0" w:line="240" w:lineRule="auto"/>
            </w:pPr>
            <w:r/>
            <w:r>
              <w:rPr>
                <w:rFonts w:ascii="Arial" w:hAnsi="Arial" w:cs="Arial"/>
                <w:b w:val="0"/>
                <w:color w:val="333333"/>
                <w:sz w:val="17"/>
              </w:rPr>
              <w:t>Nivel de este simulacro</w:t>
            </w:r>
          </w:p>
        </w:tc>
        <w:tc>
          <w:tcPr>
            <w:tcW w:type="dxa" w:w="6426"/>
            <w:vAlign w:val="center"/>
          </w:tcPr>
          <w:p>
            <w:pPr>
              <w:spacing w:before="0" w:after="0" w:line="240" w:lineRule="auto"/>
            </w:pPr>
            <w:r/>
            <w:r>
              <w:rPr>
                <w:rFonts w:ascii="Arial" w:hAnsi="Arial" w:cs="Arial"/>
                <w:b w:val="0"/>
                <w:color w:val="333333"/>
                <w:sz w:val="17"/>
              </w:rPr>
              <w:t>nivel oficial</w:t>
            </w:r>
          </w:p>
        </w:tc>
      </w:tr>
      <w:tr>
        <w:tc>
          <w:tcPr>
            <w:tcW w:type="dxa" w:w="2600"/>
            <w:vAlign w:val="center"/>
          </w:tcPr>
          <w:p>
            <w:pPr>
              <w:spacing w:before="0" w:after="0" w:line="240" w:lineRule="auto"/>
            </w:pPr>
            <w:r/>
            <w:r>
              <w:rPr>
                <w:rFonts w:ascii="Arial" w:hAnsi="Arial" w:cs="Arial"/>
                <w:b w:val="0"/>
                <w:color w:val="333333"/>
                <w:sz w:val="17"/>
              </w:rPr>
              <w:t>Fecha de actualización</w:t>
            </w:r>
          </w:p>
        </w:tc>
        <w:tc>
          <w:tcPr>
            <w:tcW w:type="dxa" w:w="6426"/>
            <w:vAlign w:val="center"/>
          </w:tcPr>
          <w:p>
            <w:pPr>
              <w:spacing w:before="0" w:after="0" w:line="240" w:lineRule="auto"/>
            </w:pPr>
            <w:r/>
            <w:r>
              <w:rPr>
                <w:rFonts w:ascii="Arial" w:hAnsi="Arial" w:cs="Arial"/>
                <w:b w:val="0"/>
                <w:color w:val="333333"/>
                <w:sz w:val="17"/>
              </w:rPr>
              <w:t>30 de julio de 2026</w:t>
            </w:r>
          </w:p>
        </w:tc>
      </w:tr>
    </w:tbl>
    <w:p>
      <w:pPr>
        <w:spacing w:after="80"/>
      </w:pPr>
    </w:p>
    <w:p>
      <w:pPr>
        <w:shd w:fill="FFF2CC"/>
      </w:pPr>
      <w:r>
        <w:rPr>
          <w:rFonts w:ascii="Arial" w:hAnsi="Arial" w:cs="Arial"/>
          <w:b/>
          <w:sz w:val="20"/>
        </w:rPr>
        <w:t>No consulte la plantilla durante la realización.</w:t>
      </w:r>
      <w:r>
        <w:rPr>
          <w:rFonts w:ascii="Arial" w:hAnsi="Arial" w:cs="Arial"/>
          <w:sz w:val="20"/>
        </w:rPr>
        <w:t xml:space="preserve"> Controle el tiempo de forma conjunta y reserve unos minutos para revisar omisiones y traslados de respuesta.</w:t>
      </w:r>
    </w:p>
    <w:p>
      <w:pPr>
        <w:pStyle w:val="Heading1"/>
      </w:pPr>
      <w:r>
        <w:t>Primera parte · cuestionario teórico</w:t>
      </w:r>
    </w:p>
    <w:p>
      <w:pPr>
        <w:pStyle w:val="Question"/>
        <w:keepNext/>
      </w:pPr>
      <w:r>
        <w:rPr>
          <w:rFonts w:ascii="Arial" w:hAnsi="Arial" w:cs="Arial"/>
          <w:sz w:val="22"/>
        </w:rPr>
        <w:t>1. Conforme al ordenamiento vigente a la fecha de corte, si ambos reúnen requisitos para la prestación de corresponsabilidad:</w:t>
      </w:r>
    </w:p>
    <w:p>
      <w:pPr>
        <w:keepNext/>
        <w:keepLines/>
        <w:spacing w:after="40"/>
        <w:ind w:left="369" w:hanging="198"/>
      </w:pPr>
      <w:r>
        <w:rPr>
          <w:rFonts w:ascii="Arial" w:hAnsi="Arial" w:cs="Arial"/>
          <w:b w:val="0"/>
          <w:sz w:val="21"/>
        </w:rPr>
        <w:t>A) Cobran ambos el subsidio completo.</w:t>
      </w:r>
    </w:p>
    <w:p>
      <w:pPr>
        <w:keepNext/>
        <w:keepLines/>
        <w:spacing w:after="40"/>
        <w:ind w:left="369" w:hanging="198"/>
      </w:pPr>
      <w:r>
        <w:rPr>
          <w:rFonts w:ascii="Arial" w:hAnsi="Arial" w:cs="Arial"/>
          <w:b w:val="0"/>
          <w:sz w:val="21"/>
        </w:rPr>
        <w:t>B) Solo uno puede ser beneficiario económico.</w:t>
      </w:r>
    </w:p>
    <w:p>
      <w:pPr>
        <w:keepNext/>
        <w:keepLines/>
        <w:spacing w:after="40"/>
        <w:ind w:left="369" w:hanging="198"/>
      </w:pPr>
      <w:r>
        <w:rPr>
          <w:rFonts w:ascii="Arial" w:hAnsi="Arial" w:cs="Arial"/>
          <w:b w:val="0"/>
          <w:sz w:val="21"/>
        </w:rPr>
        <w:t>C) No cobra ninguno.</w:t>
      </w:r>
    </w:p>
    <w:p>
      <w:pPr>
        <w:keepNext/>
        <w:keepLines/>
        <w:spacing w:after="40"/>
        <w:ind w:left="369" w:hanging="198"/>
      </w:pPr>
      <w:r>
        <w:rPr>
          <w:rFonts w:ascii="Arial" w:hAnsi="Arial" w:cs="Arial"/>
          <w:b w:val="0"/>
          <w:sz w:val="21"/>
        </w:rPr>
        <w:t>D) Deben transferir el derecho a la empresa.</w:t>
      </w:r>
    </w:p>
    <w:p>
      <w:pPr>
        <w:pStyle w:val="Question"/>
        <w:keepNext/>
      </w:pPr>
      <w:r>
        <w:rPr>
          <w:rFonts w:ascii="Arial" w:hAnsi="Arial" w:cs="Arial"/>
          <w:sz w:val="22"/>
        </w:rPr>
        <w:t>2. A efectos de aplicar correctamente la regla examinada, la información general administrativa:</w:t>
      </w:r>
    </w:p>
    <w:p>
      <w:pPr>
        <w:keepNext/>
        <w:keepLines/>
        <w:spacing w:after="40"/>
        <w:ind w:left="369" w:hanging="198"/>
      </w:pPr>
      <w:r>
        <w:rPr>
          <w:rFonts w:ascii="Arial" w:hAnsi="Arial" w:cs="Arial"/>
          <w:b w:val="0"/>
          <w:sz w:val="21"/>
        </w:rPr>
        <w:t>A) Solo puede darse a quien sea interesado en un expediente.</w:t>
      </w:r>
    </w:p>
    <w:p>
      <w:pPr>
        <w:keepNext/>
        <w:keepLines/>
        <w:spacing w:after="40"/>
        <w:ind w:left="369" w:hanging="198"/>
      </w:pPr>
      <w:r>
        <w:rPr>
          <w:rFonts w:ascii="Arial" w:hAnsi="Arial" w:cs="Arial"/>
          <w:b w:val="0"/>
          <w:sz w:val="21"/>
        </w:rPr>
        <w:t>B) Requiere siempre representación notarial.</w:t>
      </w:r>
    </w:p>
    <w:p>
      <w:pPr>
        <w:keepNext/>
        <w:keepLines/>
        <w:spacing w:after="40"/>
        <w:ind w:left="369" w:hanging="198"/>
      </w:pPr>
      <w:r>
        <w:rPr>
          <w:rFonts w:ascii="Arial" w:hAnsi="Arial" w:cs="Arial"/>
          <w:b w:val="0"/>
          <w:sz w:val="21"/>
        </w:rPr>
        <w:t>C) Comprende todos los datos personales de expedientes en curso.</w:t>
      </w:r>
    </w:p>
    <w:p>
      <w:pPr>
        <w:keepNext/>
        <w:keepLines/>
        <w:spacing w:after="40"/>
        <w:ind w:left="369" w:hanging="198"/>
      </w:pPr>
      <w:r>
        <w:rPr>
          <w:rFonts w:ascii="Arial" w:hAnsi="Arial" w:cs="Arial"/>
          <w:b w:val="0"/>
          <w:sz w:val="21"/>
        </w:rPr>
        <w:t>D) Se facilita obligatoriamente sin exigir acreditación de legitimación.</w:t>
      </w:r>
    </w:p>
    <w:p>
      <w:pPr>
        <w:pStyle w:val="Question"/>
        <w:keepNext/>
      </w:pPr>
      <w:r>
        <w:rPr>
          <w:rFonts w:ascii="Arial" w:hAnsi="Arial" w:cs="Arial"/>
          <w:sz w:val="22"/>
        </w:rPr>
        <w:t>3. A efectos de aplicar correctamente la regla examinada, si el candidato no obtiene mayoría absoluta en la primera votación, la segunda se celebra:</w:t>
      </w:r>
    </w:p>
    <w:p>
      <w:pPr>
        <w:keepNext/>
        <w:keepLines/>
        <w:spacing w:after="40"/>
        <w:ind w:left="369" w:hanging="198"/>
      </w:pPr>
      <w:r>
        <w:rPr>
          <w:rFonts w:ascii="Arial" w:hAnsi="Arial" w:cs="Arial"/>
          <w:b w:val="0"/>
          <w:sz w:val="21"/>
        </w:rPr>
        <w:t>A) Veinticuatro horas después.</w:t>
      </w:r>
    </w:p>
    <w:p>
      <w:pPr>
        <w:keepNext/>
        <w:keepLines/>
        <w:spacing w:after="40"/>
        <w:ind w:left="369" w:hanging="198"/>
      </w:pPr>
      <w:r>
        <w:rPr>
          <w:rFonts w:ascii="Arial" w:hAnsi="Arial" w:cs="Arial"/>
          <w:b w:val="0"/>
          <w:sz w:val="21"/>
        </w:rPr>
        <w:t>B) Cuarenta y ocho horas después.</w:t>
      </w:r>
    </w:p>
    <w:p>
      <w:pPr>
        <w:keepNext/>
        <w:keepLines/>
        <w:spacing w:after="40"/>
        <w:ind w:left="369" w:hanging="198"/>
      </w:pPr>
      <w:r>
        <w:rPr>
          <w:rFonts w:ascii="Arial" w:hAnsi="Arial" w:cs="Arial"/>
          <w:b w:val="0"/>
          <w:sz w:val="21"/>
        </w:rPr>
        <w:t>C) Cinco días después.</w:t>
      </w:r>
    </w:p>
    <w:p>
      <w:pPr>
        <w:keepNext/>
        <w:keepLines/>
        <w:spacing w:after="40"/>
        <w:ind w:left="369" w:hanging="198"/>
      </w:pPr>
      <w:r>
        <w:rPr>
          <w:rFonts w:ascii="Arial" w:hAnsi="Arial" w:cs="Arial"/>
          <w:b w:val="0"/>
          <w:sz w:val="21"/>
        </w:rPr>
        <w:t>D) Dos meses después.</w:t>
      </w:r>
    </w:p>
    <w:p>
      <w:pPr>
        <w:pStyle w:val="Question"/>
        <w:keepNext/>
      </w:pPr>
      <w:r>
        <w:rPr>
          <w:rFonts w:ascii="Arial" w:hAnsi="Arial" w:cs="Arial"/>
          <w:sz w:val="22"/>
        </w:rPr>
        <w:t>4. En una comprobación jurídica del expediente, cuando la lesión tiene origen inmediato y directo en un órgano judicial, el plazo de amparo es:</w:t>
      </w:r>
    </w:p>
    <w:p>
      <w:pPr>
        <w:keepNext/>
        <w:keepLines/>
        <w:spacing w:after="40"/>
        <w:ind w:left="369" w:hanging="198"/>
      </w:pPr>
      <w:r>
        <w:rPr>
          <w:rFonts w:ascii="Arial" w:hAnsi="Arial" w:cs="Arial"/>
          <w:b w:val="0"/>
          <w:sz w:val="21"/>
        </w:rPr>
        <w:t>A) Treinta días desde la notificación de la resolución recaída en el proceso.</w:t>
      </w:r>
    </w:p>
    <w:p>
      <w:pPr>
        <w:keepNext/>
        <w:keepLines/>
        <w:spacing w:after="40"/>
        <w:ind w:left="369" w:hanging="198"/>
      </w:pPr>
      <w:r>
        <w:rPr>
          <w:rFonts w:ascii="Arial" w:hAnsi="Arial" w:cs="Arial"/>
          <w:b w:val="0"/>
          <w:sz w:val="21"/>
        </w:rPr>
        <w:t>B) Veinte días desde la actuación inicial.</w:t>
      </w:r>
    </w:p>
    <w:p>
      <w:pPr>
        <w:keepNext/>
        <w:keepLines/>
        <w:spacing w:after="40"/>
        <w:ind w:left="369" w:hanging="198"/>
      </w:pPr>
      <w:r>
        <w:rPr>
          <w:rFonts w:ascii="Arial" w:hAnsi="Arial" w:cs="Arial"/>
          <w:b w:val="0"/>
          <w:sz w:val="21"/>
        </w:rPr>
        <w:t>C) Tres meses desde la firmeza interna.</w:t>
      </w:r>
    </w:p>
    <w:p>
      <w:pPr>
        <w:keepNext/>
        <w:keepLines/>
        <w:spacing w:after="40"/>
        <w:ind w:left="369" w:hanging="198"/>
      </w:pPr>
      <w:r>
        <w:rPr>
          <w:rFonts w:ascii="Arial" w:hAnsi="Arial" w:cs="Arial"/>
          <w:b w:val="0"/>
          <w:sz w:val="21"/>
        </w:rPr>
        <w:t>D) Quince días desde que se denunció la lesión.</w:t>
      </w:r>
    </w:p>
    <w:p>
      <w:pPr>
        <w:pStyle w:val="Question"/>
        <w:keepNext/>
      </w:pPr>
      <w:r>
        <w:rPr>
          <w:rFonts w:ascii="Arial" w:hAnsi="Arial" w:cs="Arial"/>
          <w:sz w:val="22"/>
        </w:rPr>
        <w:t>5. Conforme al ordenamiento vigente a la fecha de corte, las delegaciones legislativas otorgadas a un Gobierno que queda en funciones por elecciones generales:</w:t>
      </w:r>
    </w:p>
    <w:p>
      <w:pPr>
        <w:keepNext/>
        <w:keepLines/>
        <w:spacing w:after="40"/>
        <w:ind w:left="369" w:hanging="198"/>
      </w:pPr>
      <w:r>
        <w:rPr>
          <w:rFonts w:ascii="Arial" w:hAnsi="Arial" w:cs="Arial"/>
          <w:b w:val="0"/>
          <w:sz w:val="21"/>
        </w:rPr>
        <w:t>A) Caducan definitivamente.</w:t>
      </w:r>
    </w:p>
    <w:p>
      <w:pPr>
        <w:keepNext/>
        <w:keepLines/>
        <w:spacing w:after="40"/>
        <w:ind w:left="369" w:hanging="198"/>
      </w:pPr>
      <w:r>
        <w:rPr>
          <w:rFonts w:ascii="Arial" w:hAnsi="Arial" w:cs="Arial"/>
          <w:b w:val="0"/>
          <w:sz w:val="21"/>
        </w:rPr>
        <w:t>B) Se transfieren al Congreso.</w:t>
      </w:r>
    </w:p>
    <w:p>
      <w:pPr>
        <w:keepNext/>
        <w:keepLines/>
        <w:spacing w:after="40"/>
        <w:ind w:left="369" w:hanging="198"/>
      </w:pPr>
      <w:r>
        <w:rPr>
          <w:rFonts w:ascii="Arial" w:hAnsi="Arial" w:cs="Arial"/>
          <w:b w:val="0"/>
          <w:sz w:val="21"/>
        </w:rPr>
        <w:t>C) Continúan sin limitación.</w:t>
      </w:r>
    </w:p>
    <w:p>
      <w:pPr>
        <w:keepNext/>
        <w:keepLines/>
        <w:spacing w:after="40"/>
        <w:ind w:left="369" w:hanging="198"/>
      </w:pPr>
      <w:r>
        <w:rPr>
          <w:rFonts w:ascii="Arial" w:hAnsi="Arial" w:cs="Arial"/>
          <w:b w:val="0"/>
          <w:sz w:val="21"/>
        </w:rPr>
        <w:t>D) Quedan en suspenso mientras dure esa situación.</w:t>
      </w:r>
    </w:p>
    <w:p>
      <w:pPr>
        <w:pStyle w:val="Question"/>
        <w:keepNext/>
      </w:pPr>
      <w:r>
        <w:rPr>
          <w:rFonts w:ascii="Arial" w:hAnsi="Arial" w:cs="Arial"/>
          <w:sz w:val="22"/>
        </w:rPr>
        <w:t>6. Conforme al ordenamiento vigente a la fecha de corte, si la primera subasta de un inmueble queda desierta, el Real Decreto 1221/1992 permite:</w:t>
      </w:r>
    </w:p>
    <w:p>
      <w:pPr>
        <w:keepNext/>
        <w:keepLines/>
        <w:spacing w:after="40"/>
        <w:ind w:left="369" w:hanging="198"/>
      </w:pPr>
      <w:r>
        <w:rPr>
          <w:rFonts w:ascii="Arial" w:hAnsi="Arial" w:cs="Arial"/>
          <w:b w:val="0"/>
          <w:sz w:val="21"/>
        </w:rPr>
        <w:t>A) Una sola nueva subasta sin cambiar el tipo.</w:t>
      </w:r>
    </w:p>
    <w:p>
      <w:pPr>
        <w:keepNext/>
        <w:keepLines/>
        <w:spacing w:after="40"/>
        <w:ind w:left="369" w:hanging="198"/>
      </w:pPr>
      <w:r>
        <w:rPr>
          <w:rFonts w:ascii="Arial" w:hAnsi="Arial" w:cs="Arial"/>
          <w:b w:val="0"/>
          <w:sz w:val="21"/>
        </w:rPr>
        <w:t>B) Vender automáticamente a la primera oferta posterior.</w:t>
      </w:r>
    </w:p>
    <w:p>
      <w:pPr>
        <w:keepNext/>
        <w:keepLines/>
        <w:spacing w:after="40"/>
        <w:ind w:left="369" w:hanging="198"/>
      </w:pPr>
      <w:r>
        <w:rPr>
          <w:rFonts w:ascii="Arial" w:hAnsi="Arial" w:cs="Arial"/>
          <w:b w:val="0"/>
          <w:sz w:val="21"/>
        </w:rPr>
        <w:t>C) Celebrar hasta tres subastas más, conforme al expediente y las reglas aplicables.</w:t>
      </w:r>
    </w:p>
    <w:p>
      <w:pPr>
        <w:keepNext/>
        <w:keepLines/>
        <w:spacing w:after="40"/>
        <w:ind w:left="369" w:hanging="198"/>
      </w:pPr>
      <w:r>
        <w:rPr>
          <w:rFonts w:ascii="Arial" w:hAnsi="Arial" w:cs="Arial"/>
          <w:b w:val="0"/>
          <w:sz w:val="21"/>
        </w:rPr>
        <w:t>D) Donar obligatoriamente el inmueble.</w:t>
      </w:r>
    </w:p>
    <w:p>
      <w:pPr>
        <w:pStyle w:val="Question"/>
        <w:keepNext/>
      </w:pPr>
      <w:r>
        <w:rPr>
          <w:rFonts w:ascii="Arial" w:hAnsi="Arial" w:cs="Arial"/>
          <w:sz w:val="22"/>
        </w:rPr>
        <w:t>7. Conforme al ordenamiento vigente a la fecha de corte, en un procedimiento a solicitud del interesado, la resolución:</w:t>
      </w:r>
    </w:p>
    <w:p>
      <w:pPr>
        <w:keepNext/>
        <w:keepLines/>
        <w:spacing w:after="40"/>
        <w:ind w:left="369" w:hanging="198"/>
      </w:pPr>
      <w:r>
        <w:rPr>
          <w:rFonts w:ascii="Arial" w:hAnsi="Arial" w:cs="Arial"/>
          <w:b w:val="0"/>
          <w:sz w:val="21"/>
        </w:rPr>
        <w:t>A) Puede agravar libremente su situación si aprecia interés público.</w:t>
      </w:r>
    </w:p>
    <w:p>
      <w:pPr>
        <w:keepNext/>
        <w:keepLines/>
        <w:spacing w:after="40"/>
        <w:ind w:left="369" w:hanging="198"/>
      </w:pPr>
      <w:r>
        <w:rPr>
          <w:rFonts w:ascii="Arial" w:hAnsi="Arial" w:cs="Arial"/>
          <w:b w:val="0"/>
          <w:sz w:val="21"/>
        </w:rPr>
        <w:t>B) Solo debe resolver la petición principal y no las cuestiones derivadas.</w:t>
      </w:r>
    </w:p>
    <w:p>
      <w:pPr>
        <w:keepNext/>
        <w:keepLines/>
        <w:spacing w:after="40"/>
        <w:ind w:left="369" w:hanging="198"/>
      </w:pPr>
      <w:r>
        <w:rPr>
          <w:rFonts w:ascii="Arial" w:hAnsi="Arial" w:cs="Arial"/>
          <w:b w:val="0"/>
          <w:sz w:val="21"/>
        </w:rPr>
        <w:t>C) Puede dejar de dictarse si existe oscuridad normativa.</w:t>
      </w:r>
    </w:p>
    <w:p>
      <w:pPr>
        <w:keepNext/>
        <w:keepLines/>
        <w:spacing w:after="40"/>
        <w:ind w:left="369" w:hanging="198"/>
      </w:pPr>
      <w:r>
        <w:rPr>
          <w:rFonts w:ascii="Arial" w:hAnsi="Arial" w:cs="Arial"/>
          <w:b w:val="0"/>
          <w:sz w:val="21"/>
        </w:rPr>
        <w:t>D) Debe ser congruente y no puede agravar su situación inicial, sin perjuicio de una nueva incoación de oficio.</w:t>
      </w:r>
    </w:p>
    <w:p>
      <w:pPr>
        <w:pStyle w:val="Question"/>
        <w:keepNext/>
      </w:pPr>
      <w:r>
        <w:rPr>
          <w:rFonts w:ascii="Arial" w:hAnsi="Arial" w:cs="Arial"/>
          <w:sz w:val="22"/>
        </w:rPr>
        <w:t>8. Conforme al ordenamiento vigente a la fecha de corte, ¿Qué efecto principal produjo la reforma constitucional de 19 de mayo de 2026 sobre la representación insular en el Senado?</w:t>
      </w:r>
    </w:p>
    <w:p>
      <w:pPr>
        <w:keepNext/>
        <w:keepLines/>
        <w:spacing w:after="40"/>
        <w:ind w:left="369" w:hanging="198"/>
      </w:pPr>
      <w:r>
        <w:rPr>
          <w:rFonts w:ascii="Arial" w:hAnsi="Arial" w:cs="Arial"/>
          <w:b w:val="0"/>
          <w:sz w:val="21"/>
        </w:rPr>
        <w:t>A) Asignó dos senadores a Formentera.</w:t>
      </w:r>
    </w:p>
    <w:p>
      <w:pPr>
        <w:keepNext/>
        <w:keepLines/>
        <w:spacing w:after="40"/>
        <w:ind w:left="369" w:hanging="198"/>
      </w:pPr>
      <w:r>
        <w:rPr>
          <w:rFonts w:ascii="Arial" w:hAnsi="Arial" w:cs="Arial"/>
          <w:b w:val="0"/>
          <w:sz w:val="21"/>
        </w:rPr>
        <w:t>B) Suprimió la circunscripción de Ibiza.</w:t>
      </w:r>
    </w:p>
    <w:p>
      <w:pPr>
        <w:keepNext/>
        <w:keepLines/>
        <w:spacing w:after="40"/>
        <w:ind w:left="369" w:hanging="198"/>
      </w:pPr>
      <w:r>
        <w:rPr>
          <w:rFonts w:ascii="Arial" w:hAnsi="Arial" w:cs="Arial"/>
          <w:b w:val="0"/>
          <w:sz w:val="21"/>
        </w:rPr>
        <w:t>C) Integró Formentera en la circunscripción de Mallorca.</w:t>
      </w:r>
    </w:p>
    <w:p>
      <w:pPr>
        <w:keepNext/>
        <w:keepLines/>
        <w:spacing w:after="40"/>
        <w:ind w:left="369" w:hanging="198"/>
      </w:pPr>
      <w:r>
        <w:rPr>
          <w:rFonts w:ascii="Arial" w:hAnsi="Arial" w:cs="Arial"/>
          <w:b w:val="0"/>
          <w:sz w:val="21"/>
        </w:rPr>
        <w:t>D) Reconoció a Ibiza y Formentera como circunscripciones separadas, con un senador cada una.</w:t>
      </w:r>
    </w:p>
    <w:p>
      <w:pPr>
        <w:pStyle w:val="Question"/>
        <w:keepNext/>
      </w:pPr>
      <w:r>
        <w:rPr>
          <w:rFonts w:ascii="Arial" w:hAnsi="Arial" w:cs="Arial"/>
          <w:sz w:val="22"/>
        </w:rPr>
        <w:t>9. Conforme al ordenamiento vigente a la fecha de corte, ¿Qué afirmación describe correctamente el artículo 148 de la Constitución?</w:t>
      </w:r>
    </w:p>
    <w:p>
      <w:pPr>
        <w:keepNext/>
        <w:keepLines/>
        <w:spacing w:after="40"/>
        <w:ind w:left="369" w:hanging="198"/>
      </w:pPr>
      <w:r>
        <w:rPr>
          <w:rFonts w:ascii="Arial" w:hAnsi="Arial" w:cs="Arial"/>
          <w:b w:val="0"/>
          <w:sz w:val="21"/>
        </w:rPr>
        <w:t>A) Enumera materias que las Comunidades podían asumir, pero la asunción efectiva depende del Estatuto.</w:t>
      </w:r>
    </w:p>
    <w:p>
      <w:pPr>
        <w:keepNext/>
        <w:keepLines/>
        <w:spacing w:after="40"/>
        <w:ind w:left="369" w:hanging="198"/>
      </w:pPr>
      <w:r>
        <w:rPr>
          <w:rFonts w:ascii="Arial" w:hAnsi="Arial" w:cs="Arial"/>
          <w:b w:val="0"/>
          <w:sz w:val="21"/>
        </w:rPr>
        <w:t>B) Atribuye automáticamente todas sus materias a cada Comunidad.</w:t>
      </w:r>
    </w:p>
    <w:p>
      <w:pPr>
        <w:keepNext/>
        <w:keepLines/>
        <w:spacing w:after="40"/>
        <w:ind w:left="369" w:hanging="198"/>
      </w:pPr>
      <w:r>
        <w:rPr>
          <w:rFonts w:ascii="Arial" w:hAnsi="Arial" w:cs="Arial"/>
          <w:b w:val="0"/>
          <w:sz w:val="21"/>
        </w:rPr>
        <w:t>C) Contiene únicamente competencias exclusivas e indelegables del Estado.</w:t>
      </w:r>
    </w:p>
    <w:p>
      <w:pPr>
        <w:keepNext/>
        <w:keepLines/>
        <w:spacing w:after="40"/>
        <w:ind w:left="369" w:hanging="198"/>
      </w:pPr>
      <w:r>
        <w:rPr>
          <w:rFonts w:ascii="Arial" w:hAnsi="Arial" w:cs="Arial"/>
          <w:b w:val="0"/>
          <w:sz w:val="21"/>
        </w:rPr>
        <w:t>D) Regula los controles económico-presupuestarios sobre las Comunidades.</w:t>
      </w:r>
    </w:p>
    <w:p>
      <w:pPr>
        <w:pStyle w:val="Question"/>
        <w:keepNext/>
      </w:pPr>
      <w:r>
        <w:rPr>
          <w:rFonts w:ascii="Arial" w:hAnsi="Arial" w:cs="Arial"/>
          <w:sz w:val="22"/>
        </w:rPr>
        <w:t>10. Conforme al ordenamiento vigente a la fecha de corte, existe pluriempleo cuando una persona:</w:t>
      </w:r>
    </w:p>
    <w:p>
      <w:pPr>
        <w:keepNext/>
        <w:keepLines/>
        <w:spacing w:after="40"/>
        <w:ind w:left="369" w:hanging="198"/>
      </w:pPr>
      <w:r>
        <w:rPr>
          <w:rFonts w:ascii="Arial" w:hAnsi="Arial" w:cs="Arial"/>
          <w:b w:val="0"/>
          <w:sz w:val="21"/>
        </w:rPr>
        <w:t>A) Trabaja en dos actividades incluidas en regímenes distintos.</w:t>
      </w:r>
    </w:p>
    <w:p>
      <w:pPr>
        <w:keepNext/>
        <w:keepLines/>
        <w:spacing w:after="40"/>
        <w:ind w:left="369" w:hanging="198"/>
      </w:pPr>
      <w:r>
        <w:rPr>
          <w:rFonts w:ascii="Arial" w:hAnsi="Arial" w:cs="Arial"/>
          <w:b w:val="0"/>
          <w:sz w:val="21"/>
        </w:rPr>
        <w:t>B) Cotiza simultáneamente por convenio especial y RETA.</w:t>
      </w:r>
    </w:p>
    <w:p>
      <w:pPr>
        <w:keepNext/>
        <w:keepLines/>
        <w:spacing w:after="40"/>
        <w:ind w:left="369" w:hanging="198"/>
      </w:pPr>
      <w:r>
        <w:rPr>
          <w:rFonts w:ascii="Arial" w:hAnsi="Arial" w:cs="Arial"/>
          <w:b w:val="0"/>
          <w:sz w:val="21"/>
        </w:rPr>
        <w:t>C) Trabaja para dos o más empresas con inclusión en el mismo régimen.</w:t>
      </w:r>
    </w:p>
    <w:p>
      <w:pPr>
        <w:keepNext/>
        <w:keepLines/>
        <w:spacing w:after="40"/>
        <w:ind w:left="369" w:hanging="198"/>
      </w:pPr>
      <w:r>
        <w:rPr>
          <w:rFonts w:ascii="Arial" w:hAnsi="Arial" w:cs="Arial"/>
          <w:b w:val="0"/>
          <w:sz w:val="21"/>
        </w:rPr>
        <w:t>D) Tiene dos categorías en una sola empresa.</w:t>
      </w:r>
    </w:p>
    <w:p>
      <w:pPr>
        <w:pStyle w:val="Question"/>
        <w:keepNext/>
      </w:pPr>
      <w:r>
        <w:rPr>
          <w:rFonts w:ascii="Arial" w:hAnsi="Arial" w:cs="Arial"/>
          <w:sz w:val="22"/>
        </w:rPr>
        <w:t>11. Conforme al ordenamiento vigente a la fecha de corte, desde el 3 de abril de 2025, ¿cuál es una causa legal para omitir la consulta pública previa estatal?</w:t>
      </w:r>
    </w:p>
    <w:p>
      <w:pPr>
        <w:keepNext/>
        <w:keepLines/>
        <w:spacing w:after="40"/>
        <w:ind w:left="369" w:hanging="198"/>
      </w:pPr>
      <w:r>
        <w:rPr>
          <w:rFonts w:ascii="Arial" w:hAnsi="Arial" w:cs="Arial"/>
          <w:b w:val="0"/>
          <w:sz w:val="21"/>
        </w:rPr>
        <w:t>A) Que el centro directivo prefiera acelerar cualquier expediente.</w:t>
      </w:r>
    </w:p>
    <w:p>
      <w:pPr>
        <w:keepNext/>
        <w:keepLines/>
        <w:spacing w:after="40"/>
        <w:ind w:left="369" w:hanging="198"/>
      </w:pPr>
      <w:r>
        <w:rPr>
          <w:rFonts w:ascii="Arial" w:hAnsi="Arial" w:cs="Arial"/>
          <w:b w:val="0"/>
          <w:sz w:val="21"/>
        </w:rPr>
        <w:t>B) Que la norma afecte derechos fundamentales.</w:t>
      </w:r>
    </w:p>
    <w:p>
      <w:pPr>
        <w:keepNext/>
        <w:keepLines/>
        <w:spacing w:after="40"/>
        <w:ind w:left="369" w:hanging="198"/>
      </w:pPr>
      <w:r>
        <w:rPr>
          <w:rFonts w:ascii="Arial" w:hAnsi="Arial" w:cs="Arial"/>
          <w:b w:val="0"/>
          <w:sz w:val="21"/>
        </w:rPr>
        <w:t>C) Que no exista unanimidad entre asociaciones consultadas.</w:t>
      </w:r>
    </w:p>
    <w:p>
      <w:pPr>
        <w:keepNext/>
        <w:keepLines/>
        <w:spacing w:after="40"/>
        <w:ind w:left="369" w:hanging="198"/>
      </w:pPr>
      <w:r>
        <w:rPr>
          <w:rFonts w:ascii="Arial" w:hAnsi="Arial" w:cs="Arial"/>
          <w:b w:val="0"/>
          <w:sz w:val="21"/>
        </w:rPr>
        <w:t>D) Que la propuesta regule aspectos parciales de una materia, con motivación en la MAIN.</w:t>
      </w:r>
    </w:p>
    <w:p>
      <w:pPr>
        <w:pStyle w:val="Question"/>
        <w:keepNext/>
      </w:pPr>
      <w:r>
        <w:rPr>
          <w:rFonts w:ascii="Arial" w:hAnsi="Arial" w:cs="Arial"/>
          <w:sz w:val="22"/>
        </w:rPr>
        <w:t>12. Conforme al ordenamiento vigente a la fecha de corte, en una votación del Consejo que exige unanimidad:</w:t>
      </w:r>
    </w:p>
    <w:p>
      <w:pPr>
        <w:keepNext/>
        <w:keepLines/>
        <w:spacing w:after="40"/>
        <w:ind w:left="369" w:hanging="198"/>
      </w:pPr>
      <w:r>
        <w:rPr>
          <w:rFonts w:ascii="Arial" w:hAnsi="Arial" w:cs="Arial"/>
          <w:b w:val="0"/>
          <w:sz w:val="21"/>
        </w:rPr>
        <w:t>A) Una abstención equivale siempre a veto.</w:t>
      </w:r>
    </w:p>
    <w:p>
      <w:pPr>
        <w:keepNext/>
        <w:keepLines/>
        <w:spacing w:after="40"/>
        <w:ind w:left="369" w:hanging="198"/>
      </w:pPr>
      <w:r>
        <w:rPr>
          <w:rFonts w:ascii="Arial" w:hAnsi="Arial" w:cs="Arial"/>
          <w:b w:val="0"/>
          <w:sz w:val="21"/>
        </w:rPr>
        <w:t>B) La abstención de un miembro presente no impide adoptar el acuerdo.</w:t>
      </w:r>
    </w:p>
    <w:p>
      <w:pPr>
        <w:keepNext/>
        <w:keepLines/>
        <w:spacing w:after="40"/>
        <w:ind w:left="369" w:hanging="198"/>
      </w:pPr>
      <w:r>
        <w:rPr>
          <w:rFonts w:ascii="Arial" w:hAnsi="Arial" w:cs="Arial"/>
          <w:b w:val="0"/>
          <w:sz w:val="21"/>
        </w:rPr>
        <w:t>C) Se exige también el 65 % de la población.</w:t>
      </w:r>
    </w:p>
    <w:p>
      <w:pPr>
        <w:keepNext/>
        <w:keepLines/>
        <w:spacing w:after="40"/>
        <w:ind w:left="369" w:hanging="198"/>
      </w:pPr>
      <w:r>
        <w:rPr>
          <w:rFonts w:ascii="Arial" w:hAnsi="Arial" w:cs="Arial"/>
          <w:b w:val="0"/>
          <w:sz w:val="21"/>
        </w:rPr>
        <w:t>D) La ausencia y la abstención tienen siempre el mismo régimen.</w:t>
      </w:r>
    </w:p>
    <w:p>
      <w:pPr>
        <w:pStyle w:val="Question"/>
        <w:keepNext/>
      </w:pPr>
      <w:r>
        <w:rPr>
          <w:rFonts w:ascii="Arial" w:hAnsi="Arial" w:cs="Arial"/>
          <w:sz w:val="22"/>
        </w:rPr>
        <w:t>13. A efectos de aplicar correctamente la regla examinada, a efectos de la estructura del Ministerio, la Gerencia de Informática de la Seguridad Social se configura como:</w:t>
      </w:r>
    </w:p>
    <w:p>
      <w:pPr>
        <w:keepNext/>
        <w:keepLines/>
        <w:spacing w:after="40"/>
        <w:ind w:left="369" w:hanging="198"/>
      </w:pPr>
      <w:r>
        <w:rPr>
          <w:rFonts w:ascii="Arial" w:hAnsi="Arial" w:cs="Arial"/>
          <w:b w:val="0"/>
          <w:sz w:val="21"/>
        </w:rPr>
        <w:t>A) Carece de personalidad jurídica y tiene rango de Dirección General.</w:t>
      </w:r>
    </w:p>
    <w:p>
      <w:pPr>
        <w:keepNext/>
        <w:keepLines/>
        <w:spacing w:after="40"/>
        <w:ind w:left="369" w:hanging="198"/>
      </w:pPr>
      <w:r>
        <w:rPr>
          <w:rFonts w:ascii="Arial" w:hAnsi="Arial" w:cs="Arial"/>
          <w:b w:val="0"/>
          <w:sz w:val="21"/>
        </w:rPr>
        <w:t>B) Es una entidad gestora de prestaciones.</w:t>
      </w:r>
    </w:p>
    <w:p>
      <w:pPr>
        <w:keepNext/>
        <w:keepLines/>
        <w:spacing w:after="40"/>
        <w:ind w:left="369" w:hanging="198"/>
      </w:pPr>
      <w:r>
        <w:rPr>
          <w:rFonts w:ascii="Arial" w:hAnsi="Arial" w:cs="Arial"/>
          <w:b w:val="0"/>
          <w:sz w:val="21"/>
        </w:rPr>
        <w:t>C) Depende exclusivamente de la Subsecretaría.</w:t>
      </w:r>
    </w:p>
    <w:p>
      <w:pPr>
        <w:keepNext/>
        <w:keepLines/>
        <w:spacing w:after="40"/>
        <w:ind w:left="369" w:hanging="198"/>
      </w:pPr>
      <w:r>
        <w:rPr>
          <w:rFonts w:ascii="Arial" w:hAnsi="Arial" w:cs="Arial"/>
          <w:b w:val="0"/>
          <w:sz w:val="21"/>
        </w:rPr>
        <w:t>D) Es un servicio común con personalidad jurídica propia y nivel orgánico de Subdirección General.</w:t>
      </w:r>
    </w:p>
    <w:p>
      <w:pPr>
        <w:pStyle w:val="Question"/>
        <w:keepNext/>
      </w:pPr>
      <w:r>
        <w:rPr>
          <w:rFonts w:ascii="Arial" w:hAnsi="Arial" w:cs="Arial"/>
          <w:sz w:val="22"/>
        </w:rPr>
        <w:t>14. A efectos de aplicar correctamente la regla examinada, las cuotas del Régimen General se ingresan, como regla general:</w:t>
      </w:r>
    </w:p>
    <w:p>
      <w:pPr>
        <w:keepNext/>
        <w:keepLines/>
        <w:spacing w:after="40"/>
        <w:ind w:left="369" w:hanging="198"/>
      </w:pPr>
      <w:r>
        <w:rPr>
          <w:rFonts w:ascii="Arial" w:hAnsi="Arial" w:cs="Arial"/>
          <w:b w:val="0"/>
          <w:sz w:val="21"/>
        </w:rPr>
        <w:t>A) Dentro del mes siguiente al que corresponde su devengo.</w:t>
      </w:r>
    </w:p>
    <w:p>
      <w:pPr>
        <w:keepNext/>
        <w:keepLines/>
        <w:spacing w:after="40"/>
        <w:ind w:left="369" w:hanging="198"/>
      </w:pPr>
      <w:r>
        <w:rPr>
          <w:rFonts w:ascii="Arial" w:hAnsi="Arial" w:cs="Arial"/>
          <w:b w:val="0"/>
          <w:sz w:val="21"/>
        </w:rPr>
        <w:t>B) En el mismo día en que se devengan.</w:t>
      </w:r>
    </w:p>
    <w:p>
      <w:pPr>
        <w:keepNext/>
        <w:keepLines/>
        <w:spacing w:after="40"/>
        <w:ind w:left="369" w:hanging="198"/>
      </w:pPr>
      <w:r>
        <w:rPr>
          <w:rFonts w:ascii="Arial" w:hAnsi="Arial" w:cs="Arial"/>
          <w:b w:val="0"/>
          <w:sz w:val="21"/>
        </w:rPr>
        <w:t>C) Dentro del trimestre siguiente.</w:t>
      </w:r>
    </w:p>
    <w:p>
      <w:pPr>
        <w:keepNext/>
        <w:keepLines/>
        <w:spacing w:after="40"/>
        <w:ind w:left="369" w:hanging="198"/>
      </w:pPr>
      <w:r>
        <w:rPr>
          <w:rFonts w:ascii="Arial" w:hAnsi="Arial" w:cs="Arial"/>
          <w:b w:val="0"/>
          <w:sz w:val="21"/>
        </w:rPr>
        <w:t>D) En enero del año posterior.</w:t>
      </w:r>
    </w:p>
    <w:p>
      <w:pPr>
        <w:pStyle w:val="Question"/>
        <w:keepNext/>
      </w:pPr>
      <w:r>
        <w:rPr>
          <w:rFonts w:ascii="Arial" w:hAnsi="Arial" w:cs="Arial"/>
          <w:sz w:val="22"/>
        </w:rPr>
        <w:t>15. Conforme al ordenamiento vigente a la fecha de corte, si la persona tiene menos de 21 años en el hecho de referencia:</w:t>
      </w:r>
    </w:p>
    <w:p>
      <w:pPr>
        <w:keepNext/>
        <w:keepLines/>
        <w:spacing w:after="40"/>
        <w:ind w:left="369" w:hanging="198"/>
      </w:pPr>
      <w:r>
        <w:rPr>
          <w:rFonts w:ascii="Arial" w:hAnsi="Arial" w:cs="Arial"/>
          <w:b w:val="0"/>
          <w:sz w:val="21"/>
        </w:rPr>
        <w:t>A) No se exige cotización previa.</w:t>
      </w:r>
    </w:p>
    <w:p>
      <w:pPr>
        <w:keepNext/>
        <w:keepLines/>
        <w:spacing w:after="40"/>
        <w:ind w:left="369" w:hanging="198"/>
      </w:pPr>
      <w:r>
        <w:rPr>
          <w:rFonts w:ascii="Arial" w:hAnsi="Arial" w:cs="Arial"/>
          <w:b w:val="0"/>
          <w:sz w:val="21"/>
        </w:rPr>
        <w:t>B) Se exigen 90 días en siete años.</w:t>
      </w:r>
    </w:p>
    <w:p>
      <w:pPr>
        <w:keepNext/>
        <w:keepLines/>
        <w:spacing w:after="40"/>
        <w:ind w:left="369" w:hanging="198"/>
      </w:pPr>
      <w:r>
        <w:rPr>
          <w:rFonts w:ascii="Arial" w:hAnsi="Arial" w:cs="Arial"/>
          <w:b w:val="0"/>
          <w:sz w:val="21"/>
        </w:rPr>
        <w:t>C) Se exigen 180 días en siete años.</w:t>
      </w:r>
    </w:p>
    <w:p>
      <w:pPr>
        <w:keepNext/>
        <w:keepLines/>
        <w:spacing w:after="40"/>
        <w:ind w:left="369" w:hanging="198"/>
      </w:pPr>
      <w:r>
        <w:rPr>
          <w:rFonts w:ascii="Arial" w:hAnsi="Arial" w:cs="Arial"/>
          <w:b w:val="0"/>
          <w:sz w:val="21"/>
        </w:rPr>
        <w:t>D) Se exigen 360 días en toda la vida.</w:t>
      </w:r>
    </w:p>
    <w:p>
      <w:pPr>
        <w:pStyle w:val="Question"/>
        <w:keepNext/>
      </w:pPr>
      <w:r>
        <w:rPr>
          <w:rFonts w:ascii="Arial" w:hAnsi="Arial" w:cs="Arial"/>
          <w:sz w:val="22"/>
        </w:rPr>
        <w:t>16. Conforme al ordenamiento vigente a la fecha de corte, la corresponsabilidad en el cuidado del lactante exige:</w:t>
      </w:r>
    </w:p>
    <w:p>
      <w:pPr>
        <w:keepNext/>
        <w:keepLines/>
        <w:spacing w:after="40"/>
        <w:ind w:left="369" w:hanging="198"/>
      </w:pPr>
      <w:r>
        <w:rPr>
          <w:rFonts w:ascii="Arial" w:hAnsi="Arial" w:cs="Arial"/>
          <w:b w:val="0"/>
          <w:sz w:val="21"/>
        </w:rPr>
        <w:t>A) Reducción solo de quien solicita.</w:t>
      </w:r>
    </w:p>
    <w:p>
      <w:pPr>
        <w:keepNext/>
        <w:keepLines/>
        <w:spacing w:after="40"/>
        <w:ind w:left="369" w:hanging="198"/>
      </w:pPr>
      <w:r>
        <w:rPr>
          <w:rFonts w:ascii="Arial" w:hAnsi="Arial" w:cs="Arial"/>
          <w:b w:val="0"/>
          <w:sz w:val="21"/>
        </w:rPr>
        <w:t>B) Suspensión completa desde el nacimiento.</w:t>
      </w:r>
    </w:p>
    <w:p>
      <w:pPr>
        <w:keepNext/>
        <w:keepLines/>
        <w:spacing w:after="40"/>
        <w:ind w:left="369" w:hanging="198"/>
      </w:pPr>
      <w:r>
        <w:rPr>
          <w:rFonts w:ascii="Arial" w:hAnsi="Arial" w:cs="Arial"/>
          <w:b w:val="0"/>
          <w:sz w:val="21"/>
        </w:rPr>
        <w:t>C) Reducción de media hora por ambos, con igual duración y régimen, de 9 a 12 meses.</w:t>
      </w:r>
    </w:p>
    <w:p>
      <w:pPr>
        <w:keepNext/>
        <w:keepLines/>
        <w:spacing w:after="40"/>
        <w:ind w:left="369" w:hanging="198"/>
      </w:pPr>
      <w:r>
        <w:rPr>
          <w:rFonts w:ascii="Arial" w:hAnsi="Arial" w:cs="Arial"/>
          <w:b w:val="0"/>
          <w:sz w:val="21"/>
        </w:rPr>
        <w:t>D) Que uno de los progenitores no trabaje.</w:t>
      </w:r>
    </w:p>
    <w:p>
      <w:pPr>
        <w:pStyle w:val="Question"/>
        <w:keepNext/>
      </w:pPr>
      <w:r>
        <w:rPr>
          <w:rFonts w:ascii="Arial" w:hAnsi="Arial" w:cs="Arial"/>
          <w:sz w:val="22"/>
        </w:rPr>
        <w:t>17. Conforme al ordenamiento vigente a la fecha de corte, la relación general entre ley orgánica y ley ordinaria se explica principalmente por:</w:t>
      </w:r>
    </w:p>
    <w:p>
      <w:pPr>
        <w:keepNext/>
        <w:keepLines/>
        <w:spacing w:after="40"/>
        <w:ind w:left="369" w:hanging="198"/>
      </w:pPr>
      <w:r>
        <w:rPr>
          <w:rFonts w:ascii="Arial" w:hAnsi="Arial" w:cs="Arial"/>
          <w:b w:val="0"/>
          <w:sz w:val="21"/>
        </w:rPr>
        <w:t>A) La libre elección del legislador para cualquier materia.</w:t>
      </w:r>
    </w:p>
    <w:p>
      <w:pPr>
        <w:keepNext/>
        <w:keepLines/>
        <w:spacing w:after="40"/>
        <w:ind w:left="369" w:hanging="198"/>
      </w:pPr>
      <w:r>
        <w:rPr>
          <w:rFonts w:ascii="Arial" w:hAnsi="Arial" w:cs="Arial"/>
          <w:b w:val="0"/>
          <w:sz w:val="21"/>
        </w:rPr>
        <w:t>B) La prevalencia temporal de la ley orgánica aunque sea anterior.</w:t>
      </w:r>
    </w:p>
    <w:p>
      <w:pPr>
        <w:keepNext/>
        <w:keepLines/>
        <w:spacing w:after="40"/>
        <w:ind w:left="369" w:hanging="198"/>
      </w:pPr>
      <w:r>
        <w:rPr>
          <w:rFonts w:ascii="Arial" w:hAnsi="Arial" w:cs="Arial"/>
          <w:b w:val="0"/>
          <w:sz w:val="21"/>
        </w:rPr>
        <w:t>C) La reserva material y el principio de competencia, no por una superioridad orgánica universal.</w:t>
      </w:r>
    </w:p>
    <w:p>
      <w:pPr>
        <w:keepNext/>
        <w:keepLines/>
        <w:spacing w:after="40"/>
        <w:ind w:left="369" w:hanging="198"/>
      </w:pPr>
      <w:r>
        <w:rPr>
          <w:rFonts w:ascii="Arial" w:hAnsi="Arial" w:cs="Arial"/>
          <w:b w:val="0"/>
          <w:sz w:val="21"/>
        </w:rPr>
        <w:t>D) La subordinación de toda ley ordinaria a cualquier precepto orgánico.</w:t>
      </w:r>
    </w:p>
    <w:p>
      <w:pPr>
        <w:pStyle w:val="Question"/>
        <w:keepNext/>
      </w:pPr>
      <w:r>
        <w:rPr>
          <w:rFonts w:ascii="Arial" w:hAnsi="Arial" w:cs="Arial"/>
          <w:sz w:val="22"/>
        </w:rPr>
        <w:t>18. Conforme al ordenamiento vigente a la fecha de corte, la TGSS comprueba que una persona incluida en los periodos de inactividad agraria no alcanzó 30 jornadas reales en los últimos 365 días. La exclusión de oficio surtirá efectos:</w:t>
      </w:r>
    </w:p>
    <w:p>
      <w:pPr>
        <w:keepNext/>
        <w:keepLines/>
        <w:spacing w:after="40"/>
        <w:ind w:left="369" w:hanging="198"/>
      </w:pPr>
      <w:r>
        <w:rPr>
          <w:rFonts w:ascii="Arial" w:hAnsi="Arial" w:cs="Arial"/>
          <w:b w:val="0"/>
          <w:sz w:val="21"/>
        </w:rPr>
        <w:t>A) Desde el primer día del mes siguiente al de la notificación de la resolución.</w:t>
      </w:r>
    </w:p>
    <w:p>
      <w:pPr>
        <w:keepNext/>
        <w:keepLines/>
        <w:spacing w:after="40"/>
        <w:ind w:left="369" w:hanging="198"/>
      </w:pPr>
      <w:r>
        <w:rPr>
          <w:rFonts w:ascii="Arial" w:hAnsi="Arial" w:cs="Arial"/>
          <w:b w:val="0"/>
          <w:sz w:val="21"/>
        </w:rPr>
        <w:t>B) Retroactivamente desde la primera jornada del periodo examinado.</w:t>
      </w:r>
    </w:p>
    <w:p>
      <w:pPr>
        <w:keepNext/>
        <w:keepLines/>
        <w:spacing w:after="40"/>
        <w:ind w:left="369" w:hanging="198"/>
      </w:pPr>
      <w:r>
        <w:rPr>
          <w:rFonts w:ascii="Arial" w:hAnsi="Arial" w:cs="Arial"/>
          <w:b w:val="0"/>
          <w:sz w:val="21"/>
        </w:rPr>
        <w:t>C) Desde el primer día del año siguiente.</w:t>
      </w:r>
    </w:p>
    <w:p>
      <w:pPr>
        <w:keepNext/>
        <w:keepLines/>
        <w:spacing w:after="40"/>
        <w:ind w:left="369" w:hanging="198"/>
      </w:pPr>
      <w:r>
        <w:rPr>
          <w:rFonts w:ascii="Arial" w:hAnsi="Arial" w:cs="Arial"/>
          <w:b w:val="0"/>
          <w:sz w:val="21"/>
        </w:rPr>
        <w:t>D) El mismo día en que se complete la comprobación interna.</w:t>
      </w:r>
    </w:p>
    <w:p>
      <w:pPr>
        <w:pStyle w:val="Question"/>
        <w:keepNext/>
      </w:pPr>
      <w:r>
        <w:rPr>
          <w:rFonts w:ascii="Arial" w:hAnsi="Arial" w:cs="Arial"/>
          <w:sz w:val="22"/>
        </w:rPr>
        <w:t>19. Conforme al ordenamiento vigente a la fecha de corte, el principio de equivalencia exige que las reglas procesales nacionales aplicables a derechos de la Unión:</w:t>
      </w:r>
    </w:p>
    <w:p>
      <w:pPr>
        <w:keepNext/>
        <w:keepLines/>
        <w:spacing w:after="40"/>
        <w:ind w:left="369" w:hanging="198"/>
      </w:pPr>
      <w:r>
        <w:rPr>
          <w:rFonts w:ascii="Arial" w:hAnsi="Arial" w:cs="Arial"/>
          <w:b w:val="0"/>
          <w:sz w:val="21"/>
        </w:rPr>
        <w:t>A) Sean idénticas en todos los Estados miembros.</w:t>
      </w:r>
    </w:p>
    <w:p>
      <w:pPr>
        <w:keepNext/>
        <w:keepLines/>
        <w:spacing w:after="40"/>
        <w:ind w:left="369" w:hanging="198"/>
      </w:pPr>
      <w:r>
        <w:rPr>
          <w:rFonts w:ascii="Arial" w:hAnsi="Arial" w:cs="Arial"/>
          <w:b w:val="0"/>
          <w:sz w:val="21"/>
        </w:rPr>
        <w:t>B) Eliminen cualquier plazo de caducidad.</w:t>
      </w:r>
    </w:p>
    <w:p>
      <w:pPr>
        <w:keepNext/>
        <w:keepLines/>
        <w:spacing w:after="40"/>
        <w:ind w:left="369" w:hanging="198"/>
      </w:pPr>
      <w:r>
        <w:rPr>
          <w:rFonts w:ascii="Arial" w:hAnsi="Arial" w:cs="Arial"/>
          <w:b w:val="0"/>
          <w:sz w:val="21"/>
        </w:rPr>
        <w:t>C) Permitan siempre una segunda instancia.</w:t>
      </w:r>
    </w:p>
    <w:p>
      <w:pPr>
        <w:keepNext/>
        <w:keepLines/>
        <w:spacing w:after="40"/>
        <w:ind w:left="369" w:hanging="198"/>
      </w:pPr>
      <w:r>
        <w:rPr>
          <w:rFonts w:ascii="Arial" w:hAnsi="Arial" w:cs="Arial"/>
          <w:b w:val="0"/>
          <w:sz w:val="21"/>
        </w:rPr>
        <w:t>D) No sean menos favorables que las de recursos internos semejantes.</w:t>
      </w:r>
    </w:p>
    <w:p>
      <w:pPr>
        <w:pStyle w:val="Question"/>
        <w:keepNext/>
      </w:pPr>
      <w:r>
        <w:rPr>
          <w:rFonts w:ascii="Arial" w:hAnsi="Arial" w:cs="Arial"/>
          <w:sz w:val="22"/>
        </w:rPr>
        <w:t>20. Conforme al ordenamiento vigente a la fecha de corte, una notificación electrónica obligatoria no abierta se entiende rechazada, como regla, tras:</w:t>
      </w:r>
    </w:p>
    <w:p>
      <w:pPr>
        <w:keepNext/>
        <w:keepLines/>
        <w:spacing w:after="40"/>
        <w:ind w:left="369" w:hanging="198"/>
      </w:pPr>
      <w:r>
        <w:rPr>
          <w:rFonts w:ascii="Arial" w:hAnsi="Arial" w:cs="Arial"/>
          <w:b w:val="0"/>
          <w:sz w:val="21"/>
        </w:rPr>
        <w:t>A) Diez días hábiles desde el aviso.</w:t>
      </w:r>
    </w:p>
    <w:p>
      <w:pPr>
        <w:keepNext/>
        <w:keepLines/>
        <w:spacing w:after="40"/>
        <w:ind w:left="369" w:hanging="198"/>
      </w:pPr>
      <w:r>
        <w:rPr>
          <w:rFonts w:ascii="Arial" w:hAnsi="Arial" w:cs="Arial"/>
          <w:b w:val="0"/>
          <w:sz w:val="21"/>
        </w:rPr>
        <w:t>B) Diez días naturales desde su puesta a disposición.</w:t>
      </w:r>
    </w:p>
    <w:p>
      <w:pPr>
        <w:keepNext/>
        <w:keepLines/>
        <w:spacing w:after="40"/>
        <w:ind w:left="369" w:hanging="198"/>
      </w:pPr>
      <w:r>
        <w:rPr>
          <w:rFonts w:ascii="Arial" w:hAnsi="Arial" w:cs="Arial"/>
          <w:b w:val="0"/>
          <w:sz w:val="21"/>
        </w:rPr>
        <w:t>C) Quince días naturales desde el acto.</w:t>
      </w:r>
    </w:p>
    <w:p>
      <w:pPr>
        <w:keepNext/>
        <w:keepLines/>
        <w:spacing w:after="40"/>
        <w:ind w:left="369" w:hanging="198"/>
      </w:pPr>
      <w:r>
        <w:rPr>
          <w:rFonts w:ascii="Arial" w:hAnsi="Arial" w:cs="Arial"/>
          <w:b w:val="0"/>
          <w:sz w:val="21"/>
        </w:rPr>
        <w:t>D) Tres meses desde el registro.</w:t>
      </w:r>
    </w:p>
    <w:p>
      <w:pPr>
        <w:pStyle w:val="Question"/>
        <w:keepNext/>
      </w:pPr>
      <w:r>
        <w:rPr>
          <w:rFonts w:ascii="Arial" w:hAnsi="Arial" w:cs="Arial"/>
          <w:sz w:val="22"/>
        </w:rPr>
        <w:t>21. Conforme al ordenamiento vigente a la fecha de corte, las cuestiones incidentales, incluso las relativas a nulidad de actuaciones:</w:t>
      </w:r>
    </w:p>
    <w:p>
      <w:pPr>
        <w:keepNext/>
        <w:keepLines/>
        <w:spacing w:after="40"/>
        <w:ind w:left="369" w:hanging="198"/>
      </w:pPr>
      <w:r>
        <w:rPr>
          <w:rFonts w:ascii="Arial" w:hAnsi="Arial" w:cs="Arial"/>
          <w:b w:val="0"/>
          <w:sz w:val="21"/>
        </w:rPr>
        <w:t>A) Suspenden siempre el procedimiento.</w:t>
      </w:r>
    </w:p>
    <w:p>
      <w:pPr>
        <w:keepNext/>
        <w:keepLines/>
        <w:spacing w:after="40"/>
        <w:ind w:left="369" w:hanging="198"/>
      </w:pPr>
      <w:r>
        <w:rPr>
          <w:rFonts w:ascii="Arial" w:hAnsi="Arial" w:cs="Arial"/>
          <w:b w:val="0"/>
          <w:sz w:val="21"/>
        </w:rPr>
        <w:t>B) Solo suspenden si lo pide un interesado.</w:t>
      </w:r>
    </w:p>
    <w:p>
      <w:pPr>
        <w:keepNext/>
        <w:keepLines/>
        <w:spacing w:after="40"/>
        <w:ind w:left="369" w:hanging="198"/>
      </w:pPr>
      <w:r>
        <w:rPr>
          <w:rFonts w:ascii="Arial" w:hAnsi="Arial" w:cs="Arial"/>
          <w:b w:val="0"/>
          <w:sz w:val="21"/>
        </w:rPr>
        <w:t>C) Nunca suspenden, ni siquiera la recusación.</w:t>
      </w:r>
    </w:p>
    <w:p>
      <w:pPr>
        <w:keepNext/>
        <w:keepLines/>
        <w:spacing w:after="40"/>
        <w:ind w:left="369" w:hanging="198"/>
      </w:pPr>
      <w:r>
        <w:rPr>
          <w:rFonts w:ascii="Arial" w:hAnsi="Arial" w:cs="Arial"/>
          <w:b w:val="0"/>
          <w:sz w:val="21"/>
        </w:rPr>
        <w:t>D) No suspenden la tramitación, salvo la recusación.</w:t>
      </w:r>
    </w:p>
    <w:p>
      <w:pPr>
        <w:pStyle w:val="Question"/>
        <w:keepNext/>
      </w:pPr>
      <w:r>
        <w:rPr>
          <w:rFonts w:ascii="Arial" w:hAnsi="Arial" w:cs="Arial"/>
          <w:sz w:val="22"/>
        </w:rPr>
        <w:t>22. A efectos de aplicar correctamente la regla examinada, el mandato constitucional de promover condiciones para que libertad e igualdad sean reales y efectivas se contiene en:</w:t>
      </w:r>
    </w:p>
    <w:p>
      <w:pPr>
        <w:keepNext/>
        <w:keepLines/>
        <w:spacing w:after="40"/>
        <w:ind w:left="369" w:hanging="198"/>
      </w:pPr>
      <w:r>
        <w:rPr>
          <w:rFonts w:ascii="Arial" w:hAnsi="Arial" w:cs="Arial"/>
          <w:b w:val="0"/>
          <w:sz w:val="21"/>
        </w:rPr>
        <w:t>A) El artículo 14 exclusivamente.</w:t>
      </w:r>
    </w:p>
    <w:p>
      <w:pPr>
        <w:keepNext/>
        <w:keepLines/>
        <w:spacing w:after="40"/>
        <w:ind w:left="369" w:hanging="198"/>
      </w:pPr>
      <w:r>
        <w:rPr>
          <w:rFonts w:ascii="Arial" w:hAnsi="Arial" w:cs="Arial"/>
          <w:b w:val="0"/>
          <w:sz w:val="21"/>
        </w:rPr>
        <w:t>B) El artículo 9.2 de la Constitución.</w:t>
      </w:r>
    </w:p>
    <w:p>
      <w:pPr>
        <w:keepNext/>
        <w:keepLines/>
        <w:spacing w:after="40"/>
        <w:ind w:left="369" w:hanging="198"/>
      </w:pPr>
      <w:r>
        <w:rPr>
          <w:rFonts w:ascii="Arial" w:hAnsi="Arial" w:cs="Arial"/>
          <w:b w:val="0"/>
          <w:sz w:val="21"/>
        </w:rPr>
        <w:t>C) El artículo 49 exclusivamente.</w:t>
      </w:r>
    </w:p>
    <w:p>
      <w:pPr>
        <w:keepNext/>
        <w:keepLines/>
        <w:spacing w:after="40"/>
        <w:ind w:left="369" w:hanging="198"/>
      </w:pPr>
      <w:r>
        <w:rPr>
          <w:rFonts w:ascii="Arial" w:hAnsi="Arial" w:cs="Arial"/>
          <w:b w:val="0"/>
          <w:sz w:val="21"/>
        </w:rPr>
        <w:t>D) El artículo 103.1.</w:t>
      </w:r>
    </w:p>
    <w:p>
      <w:pPr>
        <w:pStyle w:val="Question"/>
        <w:keepNext/>
      </w:pPr>
      <w:r>
        <w:rPr>
          <w:rFonts w:ascii="Arial" w:hAnsi="Arial" w:cs="Arial"/>
          <w:sz w:val="22"/>
        </w:rPr>
        <w:t>23. A efectos de aplicar correctamente la regla examinada, es recurrible de forma autónoma un acto de trámite que:</w:t>
      </w:r>
    </w:p>
    <w:p>
      <w:pPr>
        <w:keepNext/>
        <w:keepLines/>
        <w:spacing w:after="40"/>
        <w:ind w:left="369" w:hanging="198"/>
      </w:pPr>
      <w:r>
        <w:rPr>
          <w:rFonts w:ascii="Arial" w:hAnsi="Arial" w:cs="Arial"/>
          <w:b w:val="0"/>
          <w:sz w:val="21"/>
        </w:rPr>
        <w:t>A) Se limite a impulsar el expediente.</w:t>
      </w:r>
    </w:p>
    <w:p>
      <w:pPr>
        <w:keepNext/>
        <w:keepLines/>
        <w:spacing w:after="40"/>
        <w:ind w:left="369" w:hanging="198"/>
      </w:pPr>
      <w:r>
        <w:rPr>
          <w:rFonts w:ascii="Arial" w:hAnsi="Arial" w:cs="Arial"/>
          <w:b w:val="0"/>
          <w:sz w:val="21"/>
        </w:rPr>
        <w:t>B) Sea una mera comunicación interna.</w:t>
      </w:r>
    </w:p>
    <w:p>
      <w:pPr>
        <w:keepNext/>
        <w:keepLines/>
        <w:spacing w:after="40"/>
        <w:ind w:left="369" w:hanging="198"/>
      </w:pPr>
      <w:r>
        <w:rPr>
          <w:rFonts w:ascii="Arial" w:hAnsi="Arial" w:cs="Arial"/>
          <w:b w:val="0"/>
          <w:sz w:val="21"/>
        </w:rPr>
        <w:t>C) Conceda un plazo ordinario para alegaciones.</w:t>
      </w:r>
    </w:p>
    <w:p>
      <w:pPr>
        <w:keepNext/>
        <w:keepLines/>
        <w:spacing w:after="40"/>
        <w:ind w:left="369" w:hanging="198"/>
      </w:pPr>
      <w:r>
        <w:rPr>
          <w:rFonts w:ascii="Arial" w:hAnsi="Arial" w:cs="Arial"/>
          <w:b w:val="0"/>
          <w:sz w:val="21"/>
        </w:rPr>
        <w:t>D) Decida directa o indirectamente el fondo del asunto.</w:t>
      </w:r>
    </w:p>
    <w:p>
      <w:pPr>
        <w:pStyle w:val="Question"/>
        <w:keepNext/>
      </w:pPr>
      <w:r>
        <w:rPr>
          <w:rFonts w:ascii="Arial" w:hAnsi="Arial" w:cs="Arial"/>
          <w:sz w:val="22"/>
        </w:rPr>
        <w:t>24. En una comprobación jurídica del expediente, en accidente de trabajo, el subsidio es, con carácter general:</w:t>
      </w:r>
    </w:p>
    <w:p>
      <w:pPr>
        <w:keepNext/>
        <w:keepLines/>
        <w:spacing w:after="40"/>
        <w:ind w:left="369" w:hanging="198"/>
      </w:pPr>
      <w:r>
        <w:rPr>
          <w:rFonts w:ascii="Arial" w:hAnsi="Arial" w:cs="Arial"/>
          <w:b w:val="0"/>
          <w:sz w:val="21"/>
        </w:rPr>
        <w:t>A) 60 por ciento desde el cuarto día.</w:t>
      </w:r>
    </w:p>
    <w:p>
      <w:pPr>
        <w:keepNext/>
        <w:keepLines/>
        <w:spacing w:after="40"/>
        <w:ind w:left="369" w:hanging="198"/>
      </w:pPr>
      <w:r>
        <w:rPr>
          <w:rFonts w:ascii="Arial" w:hAnsi="Arial" w:cs="Arial"/>
          <w:b w:val="0"/>
          <w:sz w:val="21"/>
        </w:rPr>
        <w:t>B) 100 por ciento desde el mismo día.</w:t>
      </w:r>
    </w:p>
    <w:p>
      <w:pPr>
        <w:keepNext/>
        <w:keepLines/>
        <w:spacing w:after="40"/>
        <w:ind w:left="369" w:hanging="198"/>
      </w:pPr>
      <w:r>
        <w:rPr>
          <w:rFonts w:ascii="Arial" w:hAnsi="Arial" w:cs="Arial"/>
          <w:b w:val="0"/>
          <w:sz w:val="21"/>
        </w:rPr>
        <w:t>C) 75 por ciento desde el día siguiente a la baja.</w:t>
      </w:r>
    </w:p>
    <w:p>
      <w:pPr>
        <w:keepNext/>
        <w:keepLines/>
        <w:spacing w:after="40"/>
        <w:ind w:left="369" w:hanging="198"/>
      </w:pPr>
      <w:r>
        <w:rPr>
          <w:rFonts w:ascii="Arial" w:hAnsi="Arial" w:cs="Arial"/>
          <w:b w:val="0"/>
          <w:sz w:val="21"/>
        </w:rPr>
        <w:t>D) 55 por ciento desde el día 16.</w:t>
      </w:r>
    </w:p>
    <w:p>
      <w:pPr>
        <w:pStyle w:val="Question"/>
        <w:keepNext/>
      </w:pPr>
      <w:r>
        <w:rPr>
          <w:rFonts w:ascii="Arial" w:hAnsi="Arial" w:cs="Arial"/>
          <w:sz w:val="22"/>
        </w:rPr>
        <w:t>25. Conforme al ordenamiento vigente a la fecha de corte, ¿En qué supuesto permite la LOTC revisar excepcionalmente un proceso terminado por sentencia firme tras declararse inconstitucional la norma aplicada?</w:t>
      </w:r>
    </w:p>
    <w:p>
      <w:pPr>
        <w:keepNext/>
        <w:keepLines/>
        <w:spacing w:after="40"/>
        <w:ind w:left="369" w:hanging="198"/>
      </w:pPr>
      <w:r>
        <w:rPr>
          <w:rFonts w:ascii="Arial" w:hAnsi="Arial" w:cs="Arial"/>
          <w:b w:val="0"/>
          <w:sz w:val="21"/>
        </w:rPr>
        <w:t>A) En procesos penales o contencioso-administrativos sancionadores cuando resulte una reducción de pena o sanción, o una exclusión, exención o limitación de responsabilidad.</w:t>
      </w:r>
    </w:p>
    <w:p>
      <w:pPr>
        <w:keepNext/>
        <w:keepLines/>
        <w:spacing w:after="40"/>
        <w:ind w:left="369" w:hanging="198"/>
      </w:pPr>
      <w:r>
        <w:rPr>
          <w:rFonts w:ascii="Arial" w:hAnsi="Arial" w:cs="Arial"/>
          <w:b w:val="0"/>
          <w:sz w:val="21"/>
        </w:rPr>
        <w:t>B) En cualquier proceso civil si una parte lo solicita dentro de un año.</w:t>
      </w:r>
    </w:p>
    <w:p>
      <w:pPr>
        <w:keepNext/>
        <w:keepLines/>
        <w:spacing w:after="40"/>
        <w:ind w:left="369" w:hanging="198"/>
      </w:pPr>
      <w:r>
        <w:rPr>
          <w:rFonts w:ascii="Arial" w:hAnsi="Arial" w:cs="Arial"/>
          <w:b w:val="0"/>
          <w:sz w:val="21"/>
        </w:rPr>
        <w:t>C) Únicamente en procesos laborales colectivos.</w:t>
      </w:r>
    </w:p>
    <w:p>
      <w:pPr>
        <w:keepNext/>
        <w:keepLines/>
        <w:spacing w:after="40"/>
        <w:ind w:left="369" w:hanging="198"/>
      </w:pPr>
      <w:r>
        <w:rPr>
          <w:rFonts w:ascii="Arial" w:hAnsi="Arial" w:cs="Arial"/>
          <w:b w:val="0"/>
          <w:sz w:val="21"/>
        </w:rPr>
        <w:t>D) Nunca, porque la cosa juzgada carece de excepciones.</w:t>
      </w:r>
    </w:p>
    <w:p>
      <w:pPr>
        <w:pStyle w:val="Question"/>
        <w:keepNext/>
      </w:pPr>
      <w:r>
        <w:rPr>
          <w:rFonts w:ascii="Arial" w:hAnsi="Arial" w:cs="Arial"/>
          <w:sz w:val="22"/>
        </w:rPr>
        <w:t>26. A efectos de aplicar correctamente la regla examinada, si la deuda no se extingue antes, el periodo voluntario de recaudación termina:</w:t>
      </w:r>
    </w:p>
    <w:p>
      <w:pPr>
        <w:keepNext/>
        <w:keepLines/>
        <w:spacing w:after="40"/>
        <w:ind w:left="369" w:hanging="198"/>
      </w:pPr>
      <w:r>
        <w:rPr>
          <w:rFonts w:ascii="Arial" w:hAnsi="Arial" w:cs="Arial"/>
          <w:b w:val="0"/>
          <w:sz w:val="21"/>
        </w:rPr>
        <w:t>A) Siempre el último día del mes de devengo.</w:t>
      </w:r>
    </w:p>
    <w:p>
      <w:pPr>
        <w:keepNext/>
        <w:keepLines/>
        <w:spacing w:after="40"/>
        <w:ind w:left="369" w:hanging="198"/>
      </w:pPr>
      <w:r>
        <w:rPr>
          <w:rFonts w:ascii="Arial" w:hAnsi="Arial" w:cs="Arial"/>
          <w:b w:val="0"/>
          <w:sz w:val="21"/>
        </w:rPr>
        <w:t>B) Con la primera llamada telefónica al deudor.</w:t>
      </w:r>
    </w:p>
    <w:p>
      <w:pPr>
        <w:keepNext/>
        <w:keepLines/>
        <w:spacing w:after="40"/>
        <w:ind w:left="369" w:hanging="198"/>
      </w:pPr>
      <w:r>
        <w:rPr>
          <w:rFonts w:ascii="Arial" w:hAnsi="Arial" w:cs="Arial"/>
          <w:b w:val="0"/>
          <w:sz w:val="21"/>
        </w:rPr>
        <w:t>C) Al presentarse los datos de liquidación.</w:t>
      </w:r>
    </w:p>
    <w:p>
      <w:pPr>
        <w:keepNext/>
        <w:keepLines/>
        <w:spacing w:after="40"/>
        <w:ind w:left="369" w:hanging="198"/>
      </w:pPr>
      <w:r>
        <w:rPr>
          <w:rFonts w:ascii="Arial" w:hAnsi="Arial" w:cs="Arial"/>
          <w:b w:val="0"/>
          <w:sz w:val="21"/>
        </w:rPr>
        <w:t>D) Con la emisión de la providencia de apremio, que inicia el periodo ejecutivo.</w:t>
      </w:r>
    </w:p>
    <w:p>
      <w:pPr>
        <w:pStyle w:val="Question"/>
        <w:keepNext/>
      </w:pPr>
      <w:r>
        <w:rPr>
          <w:rFonts w:ascii="Arial" w:hAnsi="Arial" w:cs="Arial"/>
          <w:sz w:val="22"/>
        </w:rPr>
        <w:t>27. A efectos de aplicar correctamente la regla examinada, todos los municipios deben prestar:</w:t>
      </w:r>
    </w:p>
    <w:p>
      <w:pPr>
        <w:keepNext/>
        <w:keepLines/>
        <w:spacing w:after="40"/>
        <w:ind w:left="369" w:hanging="198"/>
      </w:pPr>
      <w:r>
        <w:rPr>
          <w:rFonts w:ascii="Arial" w:hAnsi="Arial" w:cs="Arial"/>
          <w:b w:val="0"/>
          <w:sz w:val="21"/>
        </w:rPr>
        <w:t>A) Biblioteca, parque, transporte urbano y bomberos.</w:t>
      </w:r>
    </w:p>
    <w:p>
      <w:pPr>
        <w:keepNext/>
        <w:keepLines/>
        <w:spacing w:after="40"/>
        <w:ind w:left="369" w:hanging="198"/>
      </w:pPr>
      <w:r>
        <w:rPr>
          <w:rFonts w:ascii="Arial" w:hAnsi="Arial" w:cs="Arial"/>
          <w:b w:val="0"/>
          <w:sz w:val="21"/>
        </w:rPr>
        <w:t>B) Tratamiento de residuos, protección civil y polideportivo.</w:t>
      </w:r>
    </w:p>
    <w:p>
      <w:pPr>
        <w:keepNext/>
        <w:keepLines/>
        <w:spacing w:after="40"/>
        <w:ind w:left="369" w:hanging="198"/>
      </w:pPr>
      <w:r>
        <w:rPr>
          <w:rFonts w:ascii="Arial" w:hAnsi="Arial" w:cs="Arial"/>
          <w:b w:val="0"/>
          <w:sz w:val="21"/>
        </w:rPr>
        <w:t>C) Alumbrado público, cementerio, recogida de residuos, limpieza viaria, agua, alcantarillado, acceso a núcleos y pavimentación.</w:t>
      </w:r>
    </w:p>
    <w:p>
      <w:pPr>
        <w:keepNext/>
        <w:keepLines/>
        <w:spacing w:after="40"/>
        <w:ind w:left="369" w:hanging="198"/>
      </w:pPr>
      <w:r>
        <w:rPr>
          <w:rFonts w:ascii="Arial" w:hAnsi="Arial" w:cs="Arial"/>
          <w:b w:val="0"/>
          <w:sz w:val="21"/>
        </w:rPr>
        <w:t>D) Medio ambiente urbano, biblioteca y transporte colectivo.</w:t>
      </w:r>
    </w:p>
    <w:p>
      <w:pPr>
        <w:pStyle w:val="Question"/>
        <w:keepNext/>
      </w:pPr>
      <w:r>
        <w:rPr>
          <w:rFonts w:ascii="Arial" w:hAnsi="Arial" w:cs="Arial"/>
          <w:sz w:val="22"/>
        </w:rPr>
        <w:t>28. A efectos de aplicar correctamente la regla examinada, si se extinguen todas las líneas llamadas en Derecho, ¿quién provee a la sucesión?</w:t>
      </w:r>
    </w:p>
    <w:p>
      <w:pPr>
        <w:keepNext/>
        <w:keepLines/>
        <w:spacing w:after="40"/>
        <w:ind w:left="369" w:hanging="198"/>
      </w:pPr>
      <w:r>
        <w:rPr>
          <w:rFonts w:ascii="Arial" w:hAnsi="Arial" w:cs="Arial"/>
          <w:b w:val="0"/>
          <w:sz w:val="21"/>
        </w:rPr>
        <w:t>A) Las Cortes Generales, en la forma que más convenga a los intereses de España.</w:t>
      </w:r>
    </w:p>
    <w:p>
      <w:pPr>
        <w:keepNext/>
        <w:keepLines/>
        <w:spacing w:after="40"/>
        <w:ind w:left="369" w:hanging="198"/>
      </w:pPr>
      <w:r>
        <w:rPr>
          <w:rFonts w:ascii="Arial" w:hAnsi="Arial" w:cs="Arial"/>
          <w:b w:val="0"/>
          <w:sz w:val="21"/>
        </w:rPr>
        <w:t>B) El Gobierno.</w:t>
      </w:r>
    </w:p>
    <w:p>
      <w:pPr>
        <w:keepNext/>
        <w:keepLines/>
        <w:spacing w:after="40"/>
        <w:ind w:left="369" w:hanging="198"/>
      </w:pPr>
      <w:r>
        <w:rPr>
          <w:rFonts w:ascii="Arial" w:hAnsi="Arial" w:cs="Arial"/>
          <w:b w:val="0"/>
          <w:sz w:val="21"/>
        </w:rPr>
        <w:t>C) El Tribunal Constitucional.</w:t>
      </w:r>
    </w:p>
    <w:p>
      <w:pPr>
        <w:keepNext/>
        <w:keepLines/>
        <w:spacing w:after="40"/>
        <w:ind w:left="369" w:hanging="198"/>
      </w:pPr>
      <w:r>
        <w:rPr>
          <w:rFonts w:ascii="Arial" w:hAnsi="Arial" w:cs="Arial"/>
          <w:b w:val="0"/>
          <w:sz w:val="21"/>
        </w:rPr>
        <w:t>D) El Consejo de Estado.</w:t>
      </w:r>
    </w:p>
    <w:p>
      <w:pPr>
        <w:pStyle w:val="Question"/>
        <w:keepNext/>
      </w:pPr>
      <w:r>
        <w:rPr>
          <w:rFonts w:ascii="Arial" w:hAnsi="Arial" w:cs="Arial"/>
          <w:sz w:val="22"/>
        </w:rPr>
        <w:t>29. Conforme al ordenamiento vigente a la fecha de corte, respecto de las oficinas consulares, es correcto afirmar que:</w:t>
      </w:r>
    </w:p>
    <w:p>
      <w:pPr>
        <w:keepNext/>
        <w:keepLines/>
        <w:spacing w:after="40"/>
        <w:ind w:left="369" w:hanging="198"/>
      </w:pPr>
      <w:r>
        <w:rPr>
          <w:rFonts w:ascii="Arial" w:hAnsi="Arial" w:cs="Arial"/>
          <w:b w:val="0"/>
          <w:sz w:val="21"/>
        </w:rPr>
        <w:t>A) Las oficinas de carrera se crean por real decreto del Consejo y las honorarias por orden de Asuntos Exteriores.</w:t>
      </w:r>
    </w:p>
    <w:p>
      <w:pPr>
        <w:keepNext/>
        <w:keepLines/>
        <w:spacing w:after="40"/>
        <w:ind w:left="369" w:hanging="198"/>
      </w:pPr>
      <w:r>
        <w:rPr>
          <w:rFonts w:ascii="Arial" w:hAnsi="Arial" w:cs="Arial"/>
          <w:b w:val="0"/>
          <w:sz w:val="21"/>
        </w:rPr>
        <w:t>B) Todas se crean por orden ministerial.</w:t>
      </w:r>
    </w:p>
    <w:p>
      <w:pPr>
        <w:keepNext/>
        <w:keepLines/>
        <w:spacing w:after="40"/>
        <w:ind w:left="369" w:hanging="198"/>
      </w:pPr>
      <w:r>
        <w:rPr>
          <w:rFonts w:ascii="Arial" w:hAnsi="Arial" w:cs="Arial"/>
          <w:b w:val="0"/>
          <w:sz w:val="21"/>
        </w:rPr>
        <w:t>C) Todas deben estar dirigidas por funcionarios de la Carrera Diplomática.</w:t>
      </w:r>
    </w:p>
    <w:p>
      <w:pPr>
        <w:keepNext/>
        <w:keepLines/>
        <w:spacing w:after="40"/>
        <w:ind w:left="369" w:hanging="198"/>
      </w:pPr>
      <w:r>
        <w:rPr>
          <w:rFonts w:ascii="Arial" w:hAnsi="Arial" w:cs="Arial"/>
          <w:b w:val="0"/>
          <w:sz w:val="21"/>
        </w:rPr>
        <w:t>D) Las honorarias se crean por real decreto y las de carrera por orden.</w:t>
      </w:r>
    </w:p>
    <w:p>
      <w:pPr>
        <w:pStyle w:val="Question"/>
        <w:keepNext/>
      </w:pPr>
      <w:r>
        <w:rPr>
          <w:rFonts w:ascii="Arial" w:hAnsi="Arial" w:cs="Arial"/>
          <w:sz w:val="22"/>
        </w:rPr>
        <w:t>30. A efectos de aplicar correctamente la regla examinada, en un procedimiento sancionador iniciado de oficio, el vencimiento del plazo máximo sin resolución notificada produce:</w:t>
      </w:r>
    </w:p>
    <w:p>
      <w:pPr>
        <w:keepNext/>
        <w:keepLines/>
        <w:spacing w:after="40"/>
        <w:ind w:left="369" w:hanging="198"/>
      </w:pPr>
      <w:r>
        <w:rPr>
          <w:rFonts w:ascii="Arial" w:hAnsi="Arial" w:cs="Arial"/>
          <w:b w:val="0"/>
          <w:sz w:val="21"/>
        </w:rPr>
        <w:t>A) Caducidad y archivo de las actuaciones.</w:t>
      </w:r>
    </w:p>
    <w:p>
      <w:pPr>
        <w:keepNext/>
        <w:keepLines/>
        <w:spacing w:after="40"/>
        <w:ind w:left="369" w:hanging="198"/>
      </w:pPr>
      <w:r>
        <w:rPr>
          <w:rFonts w:ascii="Arial" w:hAnsi="Arial" w:cs="Arial"/>
          <w:b w:val="0"/>
          <w:sz w:val="21"/>
        </w:rPr>
        <w:t>B) Estimación de la posición administrativa.</w:t>
      </w:r>
    </w:p>
    <w:p>
      <w:pPr>
        <w:keepNext/>
        <w:keepLines/>
        <w:spacing w:after="40"/>
        <w:ind w:left="369" w:hanging="198"/>
      </w:pPr>
      <w:r>
        <w:rPr>
          <w:rFonts w:ascii="Arial" w:hAnsi="Arial" w:cs="Arial"/>
          <w:b w:val="0"/>
          <w:sz w:val="21"/>
        </w:rPr>
        <w:t>C) Una sanción presunta.</w:t>
      </w:r>
    </w:p>
    <w:p>
      <w:pPr>
        <w:keepNext/>
        <w:keepLines/>
        <w:spacing w:after="40"/>
        <w:ind w:left="369" w:hanging="198"/>
      </w:pPr>
      <w:r>
        <w:rPr>
          <w:rFonts w:ascii="Arial" w:hAnsi="Arial" w:cs="Arial"/>
          <w:b w:val="0"/>
          <w:sz w:val="21"/>
        </w:rPr>
        <w:t>D) Conversión en procedimiento a solicitud.</w:t>
      </w:r>
    </w:p>
    <w:p>
      <w:pPr>
        <w:pStyle w:val="Question"/>
        <w:keepNext/>
      </w:pPr>
      <w:r>
        <w:rPr>
          <w:rFonts w:ascii="Arial" w:hAnsi="Arial" w:cs="Arial"/>
          <w:sz w:val="22"/>
        </w:rPr>
        <w:t>31. Conforme al ordenamiento vigente a la fecha de corte, tras la STC 55/2018, respecto del título VI de la Ley 39/2015:</w:t>
      </w:r>
    </w:p>
    <w:p>
      <w:pPr>
        <w:keepNext/>
        <w:keepLines/>
        <w:spacing w:after="40"/>
        <w:ind w:left="369" w:hanging="198"/>
      </w:pPr>
      <w:r>
        <w:rPr>
          <w:rFonts w:ascii="Arial" w:hAnsi="Arial" w:cs="Arial"/>
          <w:b w:val="0"/>
          <w:sz w:val="21"/>
        </w:rPr>
        <w:t>A) Quedaron anulados todos los principios de buena regulación.</w:t>
      </w:r>
    </w:p>
    <w:p>
      <w:pPr>
        <w:keepNext/>
        <w:keepLines/>
        <w:spacing w:after="40"/>
        <w:ind w:left="369" w:hanging="198"/>
      </w:pPr>
      <w:r>
        <w:rPr>
          <w:rFonts w:ascii="Arial" w:hAnsi="Arial" w:cs="Arial"/>
          <w:b w:val="0"/>
          <w:sz w:val="21"/>
        </w:rPr>
        <w:t>B) No cabe afirmar que todos sus detalles procedimentales se impongan con idéntico alcance a las iniciativas autonómicas.</w:t>
      </w:r>
    </w:p>
    <w:p>
      <w:pPr>
        <w:keepNext/>
        <w:keepLines/>
        <w:spacing w:after="40"/>
        <w:ind w:left="369" w:hanging="198"/>
      </w:pPr>
      <w:r>
        <w:rPr>
          <w:rFonts w:ascii="Arial" w:hAnsi="Arial" w:cs="Arial"/>
          <w:b w:val="0"/>
          <w:sz w:val="21"/>
        </w:rPr>
        <w:t>C) La Ley del Gobierno dejó de aplicarse a la AGE.</w:t>
      </w:r>
    </w:p>
    <w:p>
      <w:pPr>
        <w:keepNext/>
        <w:keepLines/>
        <w:spacing w:after="40"/>
        <w:ind w:left="369" w:hanging="198"/>
      </w:pPr>
      <w:r>
        <w:rPr>
          <w:rFonts w:ascii="Arial" w:hAnsi="Arial" w:cs="Arial"/>
          <w:b w:val="0"/>
          <w:sz w:val="21"/>
        </w:rPr>
        <w:t>D) Las comunidades perdieron toda potestad reglamentaria.</w:t>
      </w:r>
    </w:p>
    <w:p>
      <w:pPr>
        <w:pStyle w:val="Question"/>
        <w:keepNext/>
      </w:pPr>
      <w:r>
        <w:rPr>
          <w:rFonts w:ascii="Arial" w:hAnsi="Arial" w:cs="Arial"/>
          <w:sz w:val="22"/>
        </w:rPr>
        <w:t>32. En una comprobación jurídica del expediente, ¿Cómo se organiza territorialmente el Estado a efectos judiciales?</w:t>
      </w:r>
    </w:p>
    <w:p>
      <w:pPr>
        <w:keepNext/>
        <w:keepLines/>
        <w:spacing w:after="40"/>
        <w:ind w:left="369" w:hanging="198"/>
      </w:pPr>
      <w:r>
        <w:rPr>
          <w:rFonts w:ascii="Arial" w:hAnsi="Arial" w:cs="Arial"/>
          <w:b w:val="0"/>
          <w:sz w:val="21"/>
        </w:rPr>
        <w:t>A) Municipios, comarcas y regiones.</w:t>
      </w:r>
    </w:p>
    <w:p>
      <w:pPr>
        <w:keepNext/>
        <w:keepLines/>
        <w:spacing w:after="40"/>
        <w:ind w:left="369" w:hanging="198"/>
      </w:pPr>
      <w:r>
        <w:rPr>
          <w:rFonts w:ascii="Arial" w:hAnsi="Arial" w:cs="Arial"/>
          <w:b w:val="0"/>
          <w:sz w:val="21"/>
        </w:rPr>
        <w:t>B) Partidos, provincias y Estado, sin municipios.</w:t>
      </w:r>
    </w:p>
    <w:p>
      <w:pPr>
        <w:keepNext/>
        <w:keepLines/>
        <w:spacing w:after="40"/>
        <w:ind w:left="369" w:hanging="198"/>
      </w:pPr>
      <w:r>
        <w:rPr>
          <w:rFonts w:ascii="Arial" w:hAnsi="Arial" w:cs="Arial"/>
          <w:b w:val="0"/>
          <w:sz w:val="21"/>
        </w:rPr>
        <w:t>C) Municipios, partidos, provincias y Comunidades Autónomas.</w:t>
      </w:r>
    </w:p>
    <w:p>
      <w:pPr>
        <w:keepNext/>
        <w:keepLines/>
        <w:spacing w:after="40"/>
        <w:ind w:left="369" w:hanging="198"/>
      </w:pPr>
      <w:r>
        <w:rPr>
          <w:rFonts w:ascii="Arial" w:hAnsi="Arial" w:cs="Arial"/>
          <w:b w:val="0"/>
          <w:sz w:val="21"/>
        </w:rPr>
        <w:t>D) Municipios, islas y Comunidades Autónomas exclusivamente.</w:t>
      </w:r>
    </w:p>
    <w:p>
      <w:pPr>
        <w:pStyle w:val="Question"/>
        <w:keepNext/>
      </w:pPr>
      <w:r>
        <w:rPr>
          <w:rFonts w:ascii="Arial" w:hAnsi="Arial" w:cs="Arial"/>
          <w:sz w:val="22"/>
        </w:rPr>
        <w:t>33. Conforme al ordenamiento vigente a la fecha de corte, la falta del aviso al correo o dispositivo sobre una notificación electrónica:</w:t>
      </w:r>
    </w:p>
    <w:p>
      <w:pPr>
        <w:keepNext/>
        <w:keepLines/>
        <w:spacing w:after="40"/>
        <w:ind w:left="369" w:hanging="198"/>
      </w:pPr>
      <w:r>
        <w:rPr>
          <w:rFonts w:ascii="Arial" w:hAnsi="Arial" w:cs="Arial"/>
          <w:b w:val="0"/>
          <w:sz w:val="21"/>
        </w:rPr>
        <w:t>A) Anula siempre el acto.</w:t>
      </w:r>
    </w:p>
    <w:p>
      <w:pPr>
        <w:keepNext/>
        <w:keepLines/>
        <w:spacing w:after="40"/>
        <w:ind w:left="369" w:hanging="198"/>
      </w:pPr>
      <w:r>
        <w:rPr>
          <w:rFonts w:ascii="Arial" w:hAnsi="Arial" w:cs="Arial"/>
          <w:b w:val="0"/>
          <w:sz w:val="21"/>
        </w:rPr>
        <w:t>B) No impide que la notificación sea válida.</w:t>
      </w:r>
    </w:p>
    <w:p>
      <w:pPr>
        <w:keepNext/>
        <w:keepLines/>
        <w:spacing w:after="40"/>
        <w:ind w:left="369" w:hanging="198"/>
      </w:pPr>
      <w:r>
        <w:rPr>
          <w:rFonts w:ascii="Arial" w:hAnsi="Arial" w:cs="Arial"/>
          <w:b w:val="0"/>
          <w:sz w:val="21"/>
        </w:rPr>
        <w:t>C) Obliga a repetir todo el procedimiento.</w:t>
      </w:r>
    </w:p>
    <w:p>
      <w:pPr>
        <w:keepNext/>
        <w:keepLines/>
        <w:spacing w:after="40"/>
        <w:ind w:left="369" w:hanging="198"/>
      </w:pPr>
      <w:r>
        <w:rPr>
          <w:rFonts w:ascii="Arial" w:hAnsi="Arial" w:cs="Arial"/>
          <w:b w:val="0"/>
          <w:sz w:val="21"/>
        </w:rPr>
        <w:t>D) Convierte la notificación en publicación.</w:t>
      </w:r>
    </w:p>
    <w:p>
      <w:pPr>
        <w:pStyle w:val="Question"/>
        <w:keepNext/>
      </w:pPr>
      <w:r>
        <w:rPr>
          <w:rFonts w:ascii="Arial" w:hAnsi="Arial" w:cs="Arial"/>
          <w:sz w:val="22"/>
        </w:rPr>
        <w:t>34. Conforme al ordenamiento vigente a la fecha de corte, ¿Cuál es la afirmación correcta sobre acto definitivo y acto firme?</w:t>
      </w:r>
    </w:p>
    <w:p>
      <w:pPr>
        <w:keepNext/>
        <w:keepLines/>
        <w:spacing w:after="40"/>
        <w:ind w:left="369" w:hanging="198"/>
      </w:pPr>
      <w:r>
        <w:rPr>
          <w:rFonts w:ascii="Arial" w:hAnsi="Arial" w:cs="Arial"/>
          <w:b w:val="0"/>
          <w:sz w:val="21"/>
        </w:rPr>
        <w:t>A) Todo acto definitivo es firme desde que se firma.</w:t>
      </w:r>
    </w:p>
    <w:p>
      <w:pPr>
        <w:keepNext/>
        <w:keepLines/>
        <w:spacing w:after="40"/>
        <w:ind w:left="369" w:hanging="198"/>
      </w:pPr>
      <w:r>
        <w:rPr>
          <w:rFonts w:ascii="Arial" w:hAnsi="Arial" w:cs="Arial"/>
          <w:b w:val="0"/>
          <w:sz w:val="21"/>
        </w:rPr>
        <w:t>B) Solo los actos de trámite pueden adquirir firmeza.</w:t>
      </w:r>
    </w:p>
    <w:p>
      <w:pPr>
        <w:keepNext/>
        <w:keepLines/>
        <w:spacing w:after="40"/>
        <w:ind w:left="369" w:hanging="198"/>
      </w:pPr>
      <w:r>
        <w:rPr>
          <w:rFonts w:ascii="Arial" w:hAnsi="Arial" w:cs="Arial"/>
          <w:b w:val="0"/>
          <w:sz w:val="21"/>
        </w:rPr>
        <w:t>C) Son dos denominaciones legales equivalentes.</w:t>
      </w:r>
    </w:p>
    <w:p>
      <w:pPr>
        <w:keepNext/>
        <w:keepLines/>
        <w:spacing w:after="40"/>
        <w:ind w:left="369" w:hanging="198"/>
      </w:pPr>
      <w:r>
        <w:rPr>
          <w:rFonts w:ascii="Arial" w:hAnsi="Arial" w:cs="Arial"/>
          <w:b w:val="0"/>
          <w:sz w:val="21"/>
        </w:rPr>
        <w:t>D) El definitivo resuelve el procedimiento; el firme ya no admite los recursos ordinarios correspondientes.</w:t>
      </w:r>
    </w:p>
    <w:p>
      <w:pPr>
        <w:pStyle w:val="Question"/>
        <w:keepNext/>
      </w:pPr>
      <w:r>
        <w:rPr>
          <w:rFonts w:ascii="Arial" w:hAnsi="Arial" w:cs="Arial"/>
          <w:sz w:val="22"/>
        </w:rPr>
        <w:t>35. Conforme al ordenamiento vigente a la fecha de corte, los originales presentados en papel ante una oficina de asistencia, tras digitalizarlos:</w:t>
      </w:r>
    </w:p>
    <w:p>
      <w:pPr>
        <w:keepNext/>
        <w:keepLines/>
        <w:spacing w:after="40"/>
        <w:ind w:left="369" w:hanging="198"/>
      </w:pPr>
      <w:r>
        <w:rPr>
          <w:rFonts w:ascii="Arial" w:hAnsi="Arial" w:cs="Arial"/>
          <w:b w:val="0"/>
          <w:sz w:val="21"/>
        </w:rPr>
        <w:t>A) Se devuelven, salvo custodia legal o imposibilidad por su naturaleza.</w:t>
      </w:r>
    </w:p>
    <w:p>
      <w:pPr>
        <w:keepNext/>
        <w:keepLines/>
        <w:spacing w:after="40"/>
        <w:ind w:left="369" w:hanging="198"/>
      </w:pPr>
      <w:r>
        <w:rPr>
          <w:rFonts w:ascii="Arial" w:hAnsi="Arial" w:cs="Arial"/>
          <w:b w:val="0"/>
          <w:sz w:val="21"/>
        </w:rPr>
        <w:t>B) Se destruyen siempre de inmediato.</w:t>
      </w:r>
    </w:p>
    <w:p>
      <w:pPr>
        <w:keepNext/>
        <w:keepLines/>
        <w:spacing w:after="40"/>
        <w:ind w:left="369" w:hanging="198"/>
      </w:pPr>
      <w:r>
        <w:rPr>
          <w:rFonts w:ascii="Arial" w:hAnsi="Arial" w:cs="Arial"/>
          <w:b w:val="0"/>
          <w:sz w:val="21"/>
        </w:rPr>
        <w:t>C) Se envían necesariamente al archivo histórico.</w:t>
      </w:r>
    </w:p>
    <w:p>
      <w:pPr>
        <w:keepNext/>
        <w:keepLines/>
        <w:spacing w:after="40"/>
        <w:ind w:left="369" w:hanging="198"/>
      </w:pPr>
      <w:r>
        <w:rPr>
          <w:rFonts w:ascii="Arial" w:hAnsi="Arial" w:cs="Arial"/>
          <w:b w:val="0"/>
          <w:sz w:val="21"/>
        </w:rPr>
        <w:t>D) Nunca se incorporan al expediente.</w:t>
      </w:r>
    </w:p>
    <w:p>
      <w:pPr>
        <w:pStyle w:val="Question"/>
        <w:keepNext/>
      </w:pPr>
      <w:r>
        <w:rPr>
          <w:rFonts w:ascii="Arial" w:hAnsi="Arial" w:cs="Arial"/>
          <w:sz w:val="22"/>
        </w:rPr>
        <w:t>36. A efectos de aplicar correctamente la regla examinada, son elementos del municipio:</w:t>
      </w:r>
    </w:p>
    <w:p>
      <w:pPr>
        <w:keepNext/>
        <w:keepLines/>
        <w:spacing w:after="40"/>
        <w:ind w:left="369" w:hanging="198"/>
      </w:pPr>
      <w:r>
        <w:rPr>
          <w:rFonts w:ascii="Arial" w:hAnsi="Arial" w:cs="Arial"/>
          <w:b w:val="0"/>
          <w:sz w:val="21"/>
        </w:rPr>
        <w:t>A) Alcalde, Diputación y población.</w:t>
      </w:r>
    </w:p>
    <w:p>
      <w:pPr>
        <w:keepNext/>
        <w:keepLines/>
        <w:spacing w:after="40"/>
        <w:ind w:left="369" w:hanging="198"/>
      </w:pPr>
      <w:r>
        <w:rPr>
          <w:rFonts w:ascii="Arial" w:hAnsi="Arial" w:cs="Arial"/>
          <w:b w:val="0"/>
          <w:sz w:val="21"/>
        </w:rPr>
        <w:t>B) Provincia, padrón y comarca.</w:t>
      </w:r>
    </w:p>
    <w:p>
      <w:pPr>
        <w:keepNext/>
        <w:keepLines/>
        <w:spacing w:after="40"/>
        <w:ind w:left="369" w:hanging="198"/>
      </w:pPr>
      <w:r>
        <w:rPr>
          <w:rFonts w:ascii="Arial" w:hAnsi="Arial" w:cs="Arial"/>
          <w:b w:val="0"/>
          <w:sz w:val="21"/>
        </w:rPr>
        <w:t>C) Territorio, población y organización.</w:t>
      </w:r>
    </w:p>
    <w:p>
      <w:pPr>
        <w:keepNext/>
        <w:keepLines/>
        <w:spacing w:after="40"/>
        <w:ind w:left="369" w:hanging="198"/>
      </w:pPr>
      <w:r>
        <w:rPr>
          <w:rFonts w:ascii="Arial" w:hAnsi="Arial" w:cs="Arial"/>
          <w:b w:val="0"/>
          <w:sz w:val="21"/>
        </w:rPr>
        <w:t>D) Territorio, presupuesto y ordenanza.</w:t>
      </w:r>
    </w:p>
    <w:p>
      <w:pPr>
        <w:pStyle w:val="Question"/>
        <w:keepNext/>
      </w:pPr>
      <w:r>
        <w:rPr>
          <w:rFonts w:ascii="Arial" w:hAnsi="Arial" w:cs="Arial"/>
          <w:sz w:val="22"/>
        </w:rPr>
        <w:t>37. En una comprobación jurídica del expediente, la forma ordinaria de enajenación de inmuebles del patrimonio de la Seguridad Social es:</w:t>
      </w:r>
    </w:p>
    <w:p>
      <w:pPr>
        <w:keepNext/>
        <w:keepLines/>
        <w:spacing w:after="40"/>
        <w:ind w:left="369" w:hanging="198"/>
      </w:pPr>
      <w:r>
        <w:rPr>
          <w:rFonts w:ascii="Arial" w:hAnsi="Arial" w:cs="Arial"/>
          <w:b w:val="0"/>
          <w:sz w:val="21"/>
        </w:rPr>
        <w:t>A) El concurso de proyectos.</w:t>
      </w:r>
    </w:p>
    <w:p>
      <w:pPr>
        <w:keepNext/>
        <w:keepLines/>
        <w:spacing w:after="40"/>
        <w:ind w:left="369" w:hanging="198"/>
      </w:pPr>
      <w:r>
        <w:rPr>
          <w:rFonts w:ascii="Arial" w:hAnsi="Arial" w:cs="Arial"/>
          <w:b w:val="0"/>
          <w:sz w:val="21"/>
        </w:rPr>
        <w:t>B) La cesión gratuita.</w:t>
      </w:r>
    </w:p>
    <w:p>
      <w:pPr>
        <w:keepNext/>
        <w:keepLines/>
        <w:spacing w:after="40"/>
        <w:ind w:left="369" w:hanging="198"/>
      </w:pPr>
      <w:r>
        <w:rPr>
          <w:rFonts w:ascii="Arial" w:hAnsi="Arial" w:cs="Arial"/>
          <w:b w:val="0"/>
          <w:sz w:val="21"/>
        </w:rPr>
        <w:t>C) La subasta pública, sin perjuicio de los supuestos de adjudicación directa.</w:t>
      </w:r>
    </w:p>
    <w:p>
      <w:pPr>
        <w:keepNext/>
        <w:keepLines/>
        <w:spacing w:after="40"/>
        <w:ind w:left="369" w:hanging="198"/>
      </w:pPr>
      <w:r>
        <w:rPr>
          <w:rFonts w:ascii="Arial" w:hAnsi="Arial" w:cs="Arial"/>
          <w:b w:val="0"/>
          <w:sz w:val="21"/>
        </w:rPr>
        <w:t>D) El sorteo entre las entidades interesadas.</w:t>
      </w:r>
    </w:p>
    <w:p>
      <w:pPr>
        <w:pStyle w:val="Question"/>
        <w:keepNext/>
      </w:pPr>
      <w:r>
        <w:rPr>
          <w:rFonts w:ascii="Arial" w:hAnsi="Arial" w:cs="Arial"/>
          <w:sz w:val="22"/>
        </w:rPr>
        <w:t>38. Conforme al ordenamiento vigente a la fecha de corte, para la pensión de un trabajador responsable de sus cuotas se presumen inicialmente ingresadas las cuotas aún no reflejadas del:</w:t>
      </w:r>
    </w:p>
    <w:p>
      <w:pPr>
        <w:keepNext/>
        <w:keepLines/>
        <w:spacing w:after="40"/>
        <w:ind w:left="369" w:hanging="198"/>
      </w:pPr>
      <w:r>
        <w:rPr>
          <w:rFonts w:ascii="Arial" w:hAnsi="Arial" w:cs="Arial"/>
          <w:b w:val="0"/>
          <w:sz w:val="21"/>
        </w:rPr>
        <w:t>A) Año anterior completo.</w:t>
      </w:r>
    </w:p>
    <w:p>
      <w:pPr>
        <w:keepNext/>
        <w:keepLines/>
        <w:spacing w:after="40"/>
        <w:ind w:left="369" w:hanging="198"/>
      </w:pPr>
      <w:r>
        <w:rPr>
          <w:rFonts w:ascii="Arial" w:hAnsi="Arial" w:cs="Arial"/>
          <w:b w:val="0"/>
          <w:sz w:val="21"/>
        </w:rPr>
        <w:t>B) Mes del hecho causante y los dos meses previos.</w:t>
      </w:r>
    </w:p>
    <w:p>
      <w:pPr>
        <w:keepNext/>
        <w:keepLines/>
        <w:spacing w:after="40"/>
        <w:ind w:left="369" w:hanging="198"/>
      </w:pPr>
      <w:r>
        <w:rPr>
          <w:rFonts w:ascii="Arial" w:hAnsi="Arial" w:cs="Arial"/>
          <w:b w:val="0"/>
          <w:sz w:val="21"/>
        </w:rPr>
        <w:t>C) Mes posterior y los dos siguientes.</w:t>
      </w:r>
    </w:p>
    <w:p>
      <w:pPr>
        <w:keepNext/>
        <w:keepLines/>
        <w:spacing w:after="40"/>
        <w:ind w:left="369" w:hanging="198"/>
      </w:pPr>
      <w:r>
        <w:rPr>
          <w:rFonts w:ascii="Arial" w:hAnsi="Arial" w:cs="Arial"/>
          <w:b w:val="0"/>
          <w:sz w:val="21"/>
        </w:rPr>
        <w:t>D) Último semestre.</w:t>
      </w:r>
    </w:p>
    <w:p>
      <w:pPr>
        <w:pStyle w:val="Question"/>
        <w:keepNext/>
      </w:pPr>
      <w:r>
        <w:rPr>
          <w:rFonts w:ascii="Arial" w:hAnsi="Arial" w:cs="Arial"/>
          <w:sz w:val="22"/>
        </w:rPr>
        <w:t>39. Conforme al ordenamiento vigente a la fecha de corte, tratar solo datos adecuados, pertinentes y limitados a lo necesario expresa el principio de:</w:t>
      </w:r>
    </w:p>
    <w:p>
      <w:pPr>
        <w:keepNext/>
        <w:keepLines/>
        <w:spacing w:after="40"/>
        <w:ind w:left="369" w:hanging="198"/>
      </w:pPr>
      <w:r>
        <w:rPr>
          <w:rFonts w:ascii="Arial" w:hAnsi="Arial" w:cs="Arial"/>
          <w:b w:val="0"/>
          <w:sz w:val="21"/>
        </w:rPr>
        <w:t>A) Conservación ilimitada.</w:t>
      </w:r>
    </w:p>
    <w:p>
      <w:pPr>
        <w:keepNext/>
        <w:keepLines/>
        <w:spacing w:after="40"/>
        <w:ind w:left="369" w:hanging="198"/>
      </w:pPr>
      <w:r>
        <w:rPr>
          <w:rFonts w:ascii="Arial" w:hAnsi="Arial" w:cs="Arial"/>
          <w:b w:val="0"/>
          <w:sz w:val="21"/>
        </w:rPr>
        <w:t>B) Minimización de datos.</w:t>
      </w:r>
    </w:p>
    <w:p>
      <w:pPr>
        <w:keepNext/>
        <w:keepLines/>
        <w:spacing w:after="40"/>
        <w:ind w:left="369" w:hanging="198"/>
      </w:pPr>
      <w:r>
        <w:rPr>
          <w:rFonts w:ascii="Arial" w:hAnsi="Arial" w:cs="Arial"/>
          <w:b w:val="0"/>
          <w:sz w:val="21"/>
        </w:rPr>
        <w:t>C) Publicidad.</w:t>
      </w:r>
    </w:p>
    <w:p>
      <w:pPr>
        <w:keepNext/>
        <w:keepLines/>
        <w:spacing w:after="40"/>
        <w:ind w:left="369" w:hanging="198"/>
      </w:pPr>
      <w:r>
        <w:rPr>
          <w:rFonts w:ascii="Arial" w:hAnsi="Arial" w:cs="Arial"/>
          <w:b w:val="0"/>
          <w:sz w:val="21"/>
        </w:rPr>
        <w:t>D) Exactitud histórica.</w:t>
      </w:r>
    </w:p>
    <w:p>
      <w:pPr>
        <w:pStyle w:val="Question"/>
        <w:keepNext/>
      </w:pPr>
      <w:r>
        <w:rPr>
          <w:rFonts w:ascii="Arial" w:hAnsi="Arial" w:cs="Arial"/>
          <w:sz w:val="22"/>
        </w:rPr>
        <w:t>40. Conforme al ordenamiento vigente a la fecha de corte, la directiva obliga:</w:t>
      </w:r>
    </w:p>
    <w:p>
      <w:pPr>
        <w:keepNext/>
        <w:keepLines/>
        <w:spacing w:after="40"/>
        <w:ind w:left="369" w:hanging="198"/>
      </w:pPr>
      <w:r>
        <w:rPr>
          <w:rFonts w:ascii="Arial" w:hAnsi="Arial" w:cs="Arial"/>
          <w:b w:val="0"/>
          <w:sz w:val="21"/>
        </w:rPr>
        <w:t>A) A toda persona física de la Unión desde su publicación.</w:t>
      </w:r>
    </w:p>
    <w:p>
      <w:pPr>
        <w:keepNext/>
        <w:keepLines/>
        <w:spacing w:after="40"/>
        <w:ind w:left="369" w:hanging="198"/>
      </w:pPr>
      <w:r>
        <w:rPr>
          <w:rFonts w:ascii="Arial" w:hAnsi="Arial" w:cs="Arial"/>
          <w:b w:val="0"/>
          <w:sz w:val="21"/>
        </w:rPr>
        <w:t>B) En todos sus elementos y sin necesidad de transposición.</w:t>
      </w:r>
    </w:p>
    <w:p>
      <w:pPr>
        <w:keepNext/>
        <w:keepLines/>
        <w:spacing w:after="40"/>
        <w:ind w:left="369" w:hanging="198"/>
      </w:pPr>
      <w:r>
        <w:rPr>
          <w:rFonts w:ascii="Arial" w:hAnsi="Arial" w:cs="Arial"/>
          <w:b w:val="0"/>
          <w:sz w:val="21"/>
        </w:rPr>
        <w:t>C) Al Estado miembro destinatario en cuanto al resultado, dejando la elección de la forma y de los medios.</w:t>
      </w:r>
    </w:p>
    <w:p>
      <w:pPr>
        <w:keepNext/>
        <w:keepLines/>
        <w:spacing w:after="40"/>
        <w:ind w:left="369" w:hanging="198"/>
      </w:pPr>
      <w:r>
        <w:rPr>
          <w:rFonts w:ascii="Arial" w:hAnsi="Arial" w:cs="Arial"/>
          <w:b w:val="0"/>
          <w:sz w:val="21"/>
        </w:rPr>
        <w:t>D) Solo a las instituciones que la adoptan.</w:t>
      </w:r>
    </w:p>
    <w:p>
      <w:pPr>
        <w:pStyle w:val="Question"/>
        <w:keepNext/>
      </w:pPr>
      <w:r>
        <w:rPr>
          <w:rFonts w:ascii="Arial" w:hAnsi="Arial" w:cs="Arial"/>
          <w:sz w:val="22"/>
        </w:rPr>
        <w:t>41. En una comprobación jurídica del expediente, el archivo electrónico único comprende, como regla, documentos:</w:t>
      </w:r>
    </w:p>
    <w:p>
      <w:pPr>
        <w:keepNext/>
        <w:keepLines/>
        <w:spacing w:after="40"/>
        <w:ind w:left="369" w:hanging="198"/>
      </w:pPr>
      <w:r>
        <w:rPr>
          <w:rFonts w:ascii="Arial" w:hAnsi="Arial" w:cs="Arial"/>
          <w:b w:val="0"/>
          <w:sz w:val="21"/>
        </w:rPr>
        <w:t>A) Solo de procedimientos aún no iniciados.</w:t>
      </w:r>
    </w:p>
    <w:p>
      <w:pPr>
        <w:keepNext/>
        <w:keepLines/>
        <w:spacing w:after="40"/>
        <w:ind w:left="369" w:hanging="198"/>
      </w:pPr>
      <w:r>
        <w:rPr>
          <w:rFonts w:ascii="Arial" w:hAnsi="Arial" w:cs="Arial"/>
          <w:b w:val="0"/>
          <w:sz w:val="21"/>
        </w:rPr>
        <w:t>B) Únicamente en papel.</w:t>
      </w:r>
    </w:p>
    <w:p>
      <w:pPr>
        <w:keepNext/>
        <w:keepLines/>
        <w:spacing w:after="40"/>
        <w:ind w:left="369" w:hanging="198"/>
      </w:pPr>
      <w:r>
        <w:rPr>
          <w:rFonts w:ascii="Arial" w:hAnsi="Arial" w:cs="Arial"/>
          <w:b w:val="0"/>
          <w:sz w:val="21"/>
        </w:rPr>
        <w:t>C) Correspondientes a procedimientos finalizados.</w:t>
      </w:r>
    </w:p>
    <w:p>
      <w:pPr>
        <w:keepNext/>
        <w:keepLines/>
        <w:spacing w:after="40"/>
        <w:ind w:left="369" w:hanging="198"/>
      </w:pPr>
      <w:r>
        <w:rPr>
          <w:rFonts w:ascii="Arial" w:hAnsi="Arial" w:cs="Arial"/>
          <w:b w:val="0"/>
          <w:sz w:val="21"/>
        </w:rPr>
        <w:t>D) Que carezcan de valor probatorio.</w:t>
      </w:r>
    </w:p>
    <w:p>
      <w:pPr>
        <w:pStyle w:val="Question"/>
        <w:keepNext/>
      </w:pPr>
      <w:r>
        <w:rPr>
          <w:rFonts w:ascii="Arial" w:hAnsi="Arial" w:cs="Arial"/>
          <w:sz w:val="22"/>
        </w:rPr>
        <w:t>42. A efectos de aplicar correctamente la regla examinada, ¿Cuántas Salas tiene el Tribunal Constitucional?</w:t>
      </w:r>
    </w:p>
    <w:p>
      <w:pPr>
        <w:keepNext/>
        <w:keepLines/>
        <w:spacing w:after="40"/>
        <w:ind w:left="369" w:hanging="198"/>
      </w:pPr>
      <w:r>
        <w:rPr>
          <w:rFonts w:ascii="Arial" w:hAnsi="Arial" w:cs="Arial"/>
          <w:b w:val="0"/>
          <w:sz w:val="21"/>
        </w:rPr>
        <w:t>A) Una.</w:t>
      </w:r>
    </w:p>
    <w:p>
      <w:pPr>
        <w:keepNext/>
        <w:keepLines/>
        <w:spacing w:after="40"/>
        <w:ind w:left="369" w:hanging="198"/>
      </w:pPr>
      <w:r>
        <w:rPr>
          <w:rFonts w:ascii="Arial" w:hAnsi="Arial" w:cs="Arial"/>
          <w:b w:val="0"/>
          <w:sz w:val="21"/>
        </w:rPr>
        <w:t>B) Dos.</w:t>
      </w:r>
    </w:p>
    <w:p>
      <w:pPr>
        <w:keepNext/>
        <w:keepLines/>
        <w:spacing w:after="40"/>
        <w:ind w:left="369" w:hanging="198"/>
      </w:pPr>
      <w:r>
        <w:rPr>
          <w:rFonts w:ascii="Arial" w:hAnsi="Arial" w:cs="Arial"/>
          <w:b w:val="0"/>
          <w:sz w:val="21"/>
        </w:rPr>
        <w:t>C) Tres.</w:t>
      </w:r>
    </w:p>
    <w:p>
      <w:pPr>
        <w:keepNext/>
        <w:keepLines/>
        <w:spacing w:after="40"/>
        <w:ind w:left="369" w:hanging="198"/>
      </w:pPr>
      <w:r>
        <w:rPr>
          <w:rFonts w:ascii="Arial" w:hAnsi="Arial" w:cs="Arial"/>
          <w:b w:val="0"/>
          <w:sz w:val="21"/>
        </w:rPr>
        <w:t>D) Cuatro.</w:t>
      </w:r>
    </w:p>
    <w:p>
      <w:pPr>
        <w:pStyle w:val="Question"/>
        <w:keepNext/>
      </w:pPr>
      <w:r>
        <w:rPr>
          <w:rFonts w:ascii="Arial" w:hAnsi="Arial" w:cs="Arial"/>
          <w:sz w:val="22"/>
        </w:rPr>
        <w:t>43. Conforme al ordenamiento vigente a la fecha de corte, según la Ley 53/1984, la regla general respecto de puestos en el sector público es:</w:t>
      </w:r>
    </w:p>
    <w:p>
      <w:pPr>
        <w:keepNext/>
        <w:keepLines/>
        <w:spacing w:after="40"/>
        <w:ind w:left="369" w:hanging="198"/>
      </w:pPr>
      <w:r>
        <w:rPr>
          <w:rFonts w:ascii="Arial" w:hAnsi="Arial" w:cs="Arial"/>
          <w:b w:val="0"/>
          <w:sz w:val="21"/>
        </w:rPr>
        <w:t>A) La acumulación libre si los horarios no coinciden.</w:t>
      </w:r>
    </w:p>
    <w:p>
      <w:pPr>
        <w:keepNext/>
        <w:keepLines/>
        <w:spacing w:after="40"/>
        <w:ind w:left="369" w:hanging="198"/>
      </w:pPr>
      <w:r>
        <w:rPr>
          <w:rFonts w:ascii="Arial" w:hAnsi="Arial" w:cs="Arial"/>
          <w:b w:val="0"/>
          <w:sz w:val="21"/>
        </w:rPr>
        <w:t>B) El desempeño de un solo puesto, salvo las excepciones legales.</w:t>
      </w:r>
    </w:p>
    <w:p>
      <w:pPr>
        <w:keepNext/>
        <w:keepLines/>
        <w:spacing w:after="40"/>
        <w:ind w:left="369" w:hanging="198"/>
      </w:pPr>
      <w:r>
        <w:rPr>
          <w:rFonts w:ascii="Arial" w:hAnsi="Arial" w:cs="Arial"/>
          <w:b w:val="0"/>
          <w:sz w:val="21"/>
        </w:rPr>
        <w:t>C) La compatibilidad automática de dos puestos.</w:t>
      </w:r>
    </w:p>
    <w:p>
      <w:pPr>
        <w:keepNext/>
        <w:keepLines/>
        <w:spacing w:after="40"/>
        <w:ind w:left="369" w:hanging="198"/>
      </w:pPr>
      <w:r>
        <w:rPr>
          <w:rFonts w:ascii="Arial" w:hAnsi="Arial" w:cs="Arial"/>
          <w:b w:val="0"/>
          <w:sz w:val="21"/>
        </w:rPr>
        <w:t>D) La elección anual de cuantos puestos se deseen.</w:t>
      </w:r>
    </w:p>
    <w:p>
      <w:pPr>
        <w:pStyle w:val="Question"/>
        <w:keepNext/>
      </w:pPr>
      <w:r>
        <w:rPr>
          <w:rFonts w:ascii="Arial" w:hAnsi="Arial" w:cs="Arial"/>
          <w:sz w:val="22"/>
        </w:rPr>
        <w:t>44. A efectos de aplicar correctamente la regla examinada, la novedad introducida en marzo de 2026 en el artículo 25.2 LBRL se refiere:</w:t>
      </w:r>
    </w:p>
    <w:p>
      <w:pPr>
        <w:keepNext/>
        <w:keepLines/>
        <w:spacing w:after="40"/>
        <w:ind w:left="369" w:hanging="198"/>
      </w:pPr>
      <w:r>
        <w:rPr>
          <w:rFonts w:ascii="Arial" w:hAnsi="Arial" w:cs="Arial"/>
          <w:b w:val="0"/>
          <w:sz w:val="21"/>
        </w:rPr>
        <w:t>A) A la creación obligatoria de una policía autonómica.</w:t>
      </w:r>
    </w:p>
    <w:p>
      <w:pPr>
        <w:keepNext/>
        <w:keepLines/>
        <w:spacing w:after="40"/>
        <w:ind w:left="369" w:hanging="198"/>
      </w:pPr>
      <w:r>
        <w:rPr>
          <w:rFonts w:ascii="Arial" w:hAnsi="Arial" w:cs="Arial"/>
          <w:b w:val="0"/>
          <w:sz w:val="21"/>
        </w:rPr>
        <w:t>B) A la conversión de todos los municipios en comunidades energéticas.</w:t>
      </w:r>
    </w:p>
    <w:p>
      <w:pPr>
        <w:keepNext/>
        <w:keepLines/>
        <w:spacing w:after="40"/>
        <w:ind w:left="369" w:hanging="198"/>
      </w:pPr>
      <w:r>
        <w:rPr>
          <w:rFonts w:ascii="Arial" w:hAnsi="Arial" w:cs="Arial"/>
          <w:b w:val="0"/>
          <w:sz w:val="21"/>
        </w:rPr>
        <w:t>C) A la promoción y participación en comunidades energéticas y al impulso de actuaciones de transición energética.</w:t>
      </w:r>
    </w:p>
    <w:p>
      <w:pPr>
        <w:keepNext/>
        <w:keepLines/>
        <w:spacing w:after="40"/>
        <w:ind w:left="369" w:hanging="198"/>
      </w:pPr>
      <w:r>
        <w:rPr>
          <w:rFonts w:ascii="Arial" w:hAnsi="Arial" w:cs="Arial"/>
          <w:b w:val="0"/>
          <w:sz w:val="21"/>
        </w:rPr>
        <w:t>D) A un nuevo servicio mínimo de transporte en municipios de 5.000 habitantes.</w:t>
      </w:r>
    </w:p>
    <w:p>
      <w:pPr>
        <w:pStyle w:val="Question"/>
        <w:keepNext/>
      </w:pPr>
      <w:r>
        <w:rPr>
          <w:rFonts w:ascii="Arial" w:hAnsi="Arial" w:cs="Arial"/>
          <w:sz w:val="22"/>
        </w:rPr>
        <w:t>45. En una comprobación jurídica del expediente, los trámites que deban cumplir los interesados se realizarán, salvo plazo especial, en:</w:t>
      </w:r>
    </w:p>
    <w:p>
      <w:pPr>
        <w:keepNext/>
        <w:keepLines/>
        <w:spacing w:after="40"/>
        <w:ind w:left="369" w:hanging="198"/>
      </w:pPr>
      <w:r>
        <w:rPr>
          <w:rFonts w:ascii="Arial" w:hAnsi="Arial" w:cs="Arial"/>
          <w:b w:val="0"/>
          <w:sz w:val="21"/>
        </w:rPr>
        <w:t>A) Cinco días desde la notificación.</w:t>
      </w:r>
    </w:p>
    <w:p>
      <w:pPr>
        <w:keepNext/>
        <w:keepLines/>
        <w:spacing w:after="40"/>
        <w:ind w:left="369" w:hanging="198"/>
      </w:pPr>
      <w:r>
        <w:rPr>
          <w:rFonts w:ascii="Arial" w:hAnsi="Arial" w:cs="Arial"/>
          <w:b w:val="0"/>
          <w:sz w:val="21"/>
        </w:rPr>
        <w:t>B) Diez días a partir del siguiente al de la notificación.</w:t>
      </w:r>
    </w:p>
    <w:p>
      <w:pPr>
        <w:keepNext/>
        <w:keepLines/>
        <w:spacing w:after="40"/>
        <w:ind w:left="369" w:hanging="198"/>
      </w:pPr>
      <w:r>
        <w:rPr>
          <w:rFonts w:ascii="Arial" w:hAnsi="Arial" w:cs="Arial"/>
          <w:b w:val="0"/>
          <w:sz w:val="21"/>
        </w:rPr>
        <w:t>C) Diez días desde la fecha del acto.</w:t>
      </w:r>
    </w:p>
    <w:p>
      <w:pPr>
        <w:keepNext/>
        <w:keepLines/>
        <w:spacing w:after="40"/>
        <w:ind w:left="369" w:hanging="198"/>
      </w:pPr>
      <w:r>
        <w:rPr>
          <w:rFonts w:ascii="Arial" w:hAnsi="Arial" w:cs="Arial"/>
          <w:b w:val="0"/>
          <w:sz w:val="21"/>
        </w:rPr>
        <w:t>D) Quince días hábiles desde la publicación.</w:t>
      </w:r>
    </w:p>
    <w:p>
      <w:pPr>
        <w:pStyle w:val="Question"/>
        <w:keepNext/>
      </w:pPr>
      <w:r>
        <w:rPr>
          <w:rFonts w:ascii="Arial" w:hAnsi="Arial" w:cs="Arial"/>
          <w:sz w:val="22"/>
        </w:rPr>
        <w:t>46. Conforme al ordenamiento vigente a la fecha de corte, ¿Cómo se convoca el referéndum consultivo previsto en el artículo 92?</w:t>
      </w:r>
    </w:p>
    <w:p>
      <w:pPr>
        <w:keepNext/>
        <w:keepLines/>
        <w:spacing w:after="40"/>
        <w:ind w:left="369" w:hanging="198"/>
      </w:pPr>
      <w:r>
        <w:rPr>
          <w:rFonts w:ascii="Arial" w:hAnsi="Arial" w:cs="Arial"/>
          <w:b w:val="0"/>
          <w:sz w:val="21"/>
        </w:rPr>
        <w:t>A) Por el Congreso, a propuesta del Rey.</w:t>
      </w:r>
    </w:p>
    <w:p>
      <w:pPr>
        <w:keepNext/>
        <w:keepLines/>
        <w:spacing w:after="40"/>
        <w:ind w:left="369" w:hanging="198"/>
      </w:pPr>
      <w:r>
        <w:rPr>
          <w:rFonts w:ascii="Arial" w:hAnsi="Arial" w:cs="Arial"/>
          <w:b w:val="0"/>
          <w:sz w:val="21"/>
        </w:rPr>
        <w:t>B) Por el Rey, a propuesta del Presidente del Gobierno y previa autorización del Congreso.</w:t>
      </w:r>
    </w:p>
    <w:p>
      <w:pPr>
        <w:keepNext/>
        <w:keepLines/>
        <w:spacing w:after="40"/>
        <w:ind w:left="369" w:hanging="198"/>
      </w:pPr>
      <w:r>
        <w:rPr>
          <w:rFonts w:ascii="Arial" w:hAnsi="Arial" w:cs="Arial"/>
          <w:b w:val="0"/>
          <w:sz w:val="21"/>
        </w:rPr>
        <w:t>C) Por el Gobierno, previa autorización del Senado.</w:t>
      </w:r>
    </w:p>
    <w:p>
      <w:pPr>
        <w:keepNext/>
        <w:keepLines/>
        <w:spacing w:after="40"/>
        <w:ind w:left="369" w:hanging="198"/>
      </w:pPr>
      <w:r>
        <w:rPr>
          <w:rFonts w:ascii="Arial" w:hAnsi="Arial" w:cs="Arial"/>
          <w:b w:val="0"/>
          <w:sz w:val="21"/>
        </w:rPr>
        <w:t>D) Por el Rey, a propuesta de las Cortes en sesión conjunta.</w:t>
      </w:r>
    </w:p>
    <w:p>
      <w:pPr>
        <w:pStyle w:val="Question"/>
        <w:keepNext/>
      </w:pPr>
      <w:r>
        <w:rPr>
          <w:rFonts w:ascii="Arial" w:hAnsi="Arial" w:cs="Arial"/>
          <w:sz w:val="22"/>
        </w:rPr>
        <w:t>47. A efectos de aplicar correctamente la regla examinada, respecto del trabajo del pensionista, ¿cuál es la regla general?</w:t>
      </w:r>
    </w:p>
    <w:p>
      <w:pPr>
        <w:keepNext/>
        <w:keepLines/>
        <w:spacing w:after="40"/>
        <w:ind w:left="369" w:hanging="198"/>
      </w:pPr>
      <w:r>
        <w:rPr>
          <w:rFonts w:ascii="Arial" w:hAnsi="Arial" w:cs="Arial"/>
          <w:b w:val="0"/>
          <w:sz w:val="21"/>
        </w:rPr>
        <w:t>A) La compatibilidad plena sin obligación de comunicar.</w:t>
      </w:r>
    </w:p>
    <w:p>
      <w:pPr>
        <w:keepNext/>
        <w:keepLines/>
        <w:spacing w:after="40"/>
        <w:ind w:left="369" w:hanging="198"/>
      </w:pPr>
      <w:r>
        <w:rPr>
          <w:rFonts w:ascii="Arial" w:hAnsi="Arial" w:cs="Arial"/>
          <w:b w:val="0"/>
          <w:sz w:val="21"/>
        </w:rPr>
        <w:t>B) La extinción automática de la pensión por cualquier actividad.</w:t>
      </w:r>
    </w:p>
    <w:p>
      <w:pPr>
        <w:keepNext/>
        <w:keepLines/>
        <w:spacing w:after="40"/>
        <w:ind w:left="369" w:hanging="198"/>
      </w:pPr>
      <w:r>
        <w:rPr>
          <w:rFonts w:ascii="Arial" w:hAnsi="Arial" w:cs="Arial"/>
          <w:b w:val="0"/>
          <w:sz w:val="21"/>
        </w:rPr>
        <w:t>C) La compatibilidad solo cuando el trabajo sea por cuenta ajena.</w:t>
      </w:r>
    </w:p>
    <w:p>
      <w:pPr>
        <w:keepNext/>
        <w:keepLines/>
        <w:spacing w:after="40"/>
        <w:ind w:left="369" w:hanging="198"/>
      </w:pPr>
      <w:r>
        <w:rPr>
          <w:rFonts w:ascii="Arial" w:hAnsi="Arial" w:cs="Arial"/>
          <w:b w:val="0"/>
          <w:sz w:val="21"/>
        </w:rPr>
        <w:t>D) La incompatibilidad, sin perjuicio de las excepciones expresamente previstas.</w:t>
      </w:r>
    </w:p>
    <w:p>
      <w:pPr>
        <w:pStyle w:val="Question"/>
        <w:keepNext/>
      </w:pPr>
      <w:r>
        <w:rPr>
          <w:rFonts w:ascii="Arial" w:hAnsi="Arial" w:cs="Arial"/>
          <w:sz w:val="22"/>
        </w:rPr>
        <w:t>48. A efectos de aplicar correctamente la regla examinada, una persona incluida en los periodos de inactividad del sistema especial agrario solicita voluntariamente su exclusión. Esta produce efectos:</w:t>
      </w:r>
    </w:p>
    <w:p>
      <w:pPr>
        <w:keepNext/>
        <w:keepLines/>
        <w:spacing w:after="40"/>
        <w:ind w:left="369" w:hanging="198"/>
      </w:pPr>
      <w:r>
        <w:rPr>
          <w:rFonts w:ascii="Arial" w:hAnsi="Arial" w:cs="Arial"/>
          <w:b w:val="0"/>
          <w:sz w:val="21"/>
        </w:rPr>
        <w:t>A) Desde el último día del año natural.</w:t>
      </w:r>
    </w:p>
    <w:p>
      <w:pPr>
        <w:keepNext/>
        <w:keepLines/>
        <w:spacing w:after="40"/>
        <w:ind w:left="369" w:hanging="198"/>
      </w:pPr>
      <w:r>
        <w:rPr>
          <w:rFonts w:ascii="Arial" w:hAnsi="Arial" w:cs="Arial"/>
          <w:b w:val="0"/>
          <w:sz w:val="21"/>
        </w:rPr>
        <w:t>B) Desde la fecha de la última jornada real, cualquiera que sea la solicitud.</w:t>
      </w:r>
    </w:p>
    <w:p>
      <w:pPr>
        <w:keepNext/>
        <w:keepLines/>
        <w:spacing w:after="40"/>
        <w:ind w:left="369" w:hanging="198"/>
      </w:pPr>
      <w:r>
        <w:rPr>
          <w:rFonts w:ascii="Arial" w:hAnsi="Arial" w:cs="Arial"/>
          <w:b w:val="0"/>
          <w:sz w:val="21"/>
        </w:rPr>
        <w:t>C) Desde el primer día del mes siguiente al de la solicitud.</w:t>
      </w:r>
    </w:p>
    <w:p>
      <w:pPr>
        <w:keepNext/>
        <w:keepLines/>
        <w:spacing w:after="40"/>
        <w:ind w:left="369" w:hanging="198"/>
      </w:pPr>
      <w:r>
        <w:rPr>
          <w:rFonts w:ascii="Arial" w:hAnsi="Arial" w:cs="Arial"/>
          <w:b w:val="0"/>
          <w:sz w:val="21"/>
        </w:rPr>
        <w:t>D) Seis meses después de la resolución.</w:t>
      </w:r>
    </w:p>
    <w:p>
      <w:pPr>
        <w:pStyle w:val="Question"/>
        <w:keepNext/>
      </w:pPr>
      <w:r>
        <w:rPr>
          <w:rFonts w:ascii="Arial" w:hAnsi="Arial" w:cs="Arial"/>
          <w:sz w:val="22"/>
        </w:rPr>
        <w:t>49. Conforme al ordenamiento vigente a la fecha de corte, ¿Qué Cámara convalida o deroga un decreto-ley dentro de los treinta días siguientes a su promulgación?</w:t>
      </w:r>
    </w:p>
    <w:p>
      <w:pPr>
        <w:keepNext/>
        <w:keepLines/>
        <w:spacing w:after="40"/>
        <w:ind w:left="369" w:hanging="198"/>
      </w:pPr>
      <w:r>
        <w:rPr>
          <w:rFonts w:ascii="Arial" w:hAnsi="Arial" w:cs="Arial"/>
          <w:b w:val="0"/>
          <w:sz w:val="21"/>
        </w:rPr>
        <w:t>A) El Senado.</w:t>
      </w:r>
    </w:p>
    <w:p>
      <w:pPr>
        <w:keepNext/>
        <w:keepLines/>
        <w:spacing w:after="40"/>
        <w:ind w:left="369" w:hanging="198"/>
      </w:pPr>
      <w:r>
        <w:rPr>
          <w:rFonts w:ascii="Arial" w:hAnsi="Arial" w:cs="Arial"/>
          <w:b w:val="0"/>
          <w:sz w:val="21"/>
        </w:rPr>
        <w:t>B) Ambas Cámaras en sesión conjunta.</w:t>
      </w:r>
    </w:p>
    <w:p>
      <w:pPr>
        <w:keepNext/>
        <w:keepLines/>
        <w:spacing w:after="40"/>
        <w:ind w:left="369" w:hanging="198"/>
      </w:pPr>
      <w:r>
        <w:rPr>
          <w:rFonts w:ascii="Arial" w:hAnsi="Arial" w:cs="Arial"/>
          <w:b w:val="0"/>
          <w:sz w:val="21"/>
        </w:rPr>
        <w:t>C) La Diputación Permanente del Senado en todo caso.</w:t>
      </w:r>
    </w:p>
    <w:p>
      <w:pPr>
        <w:keepNext/>
        <w:keepLines/>
        <w:spacing w:after="40"/>
        <w:ind w:left="369" w:hanging="198"/>
      </w:pPr>
      <w:r>
        <w:rPr>
          <w:rFonts w:ascii="Arial" w:hAnsi="Arial" w:cs="Arial"/>
          <w:b w:val="0"/>
          <w:sz w:val="21"/>
        </w:rPr>
        <w:t>D) El Congreso de los Diputados.</w:t>
      </w:r>
    </w:p>
    <w:p>
      <w:pPr>
        <w:pStyle w:val="Question"/>
        <w:keepNext/>
      </w:pPr>
      <w:r>
        <w:rPr>
          <w:rFonts w:ascii="Arial" w:hAnsi="Arial" w:cs="Arial"/>
          <w:sz w:val="22"/>
        </w:rPr>
        <w:t>50. Sin añadir circunstancias distintas de las indicadas, ¿Cuál de los siguientes conceptos constituye un recurso general de la Seguridad Social?</w:t>
      </w:r>
    </w:p>
    <w:p>
      <w:pPr>
        <w:keepNext/>
        <w:keepLines/>
        <w:spacing w:after="40"/>
        <w:ind w:left="369" w:hanging="198"/>
      </w:pPr>
      <w:r>
        <w:rPr>
          <w:rFonts w:ascii="Arial" w:hAnsi="Arial" w:cs="Arial"/>
          <w:b w:val="0"/>
          <w:sz w:val="21"/>
        </w:rPr>
        <w:t>A) Las cuotas de las personas obligadas y los recargos y sanciones que procedan.</w:t>
      </w:r>
    </w:p>
    <w:p>
      <w:pPr>
        <w:keepNext/>
        <w:keepLines/>
        <w:spacing w:after="40"/>
        <w:ind w:left="369" w:hanging="198"/>
      </w:pPr>
      <w:r>
        <w:rPr>
          <w:rFonts w:ascii="Arial" w:hAnsi="Arial" w:cs="Arial"/>
          <w:b w:val="0"/>
          <w:sz w:val="21"/>
        </w:rPr>
        <w:t>B) Solo los rendimientos de bienes inmuebles.</w:t>
      </w:r>
    </w:p>
    <w:p>
      <w:pPr>
        <w:keepNext/>
        <w:keepLines/>
        <w:spacing w:after="40"/>
        <w:ind w:left="369" w:hanging="198"/>
      </w:pPr>
      <w:r>
        <w:rPr>
          <w:rFonts w:ascii="Arial" w:hAnsi="Arial" w:cs="Arial"/>
          <w:b w:val="0"/>
          <w:sz w:val="21"/>
        </w:rPr>
        <w:t>C) Exclusivamente las aportaciones del Estado.</w:t>
      </w:r>
    </w:p>
    <w:p>
      <w:pPr>
        <w:keepNext/>
        <w:keepLines/>
        <w:spacing w:after="40"/>
        <w:ind w:left="369" w:hanging="198"/>
      </w:pPr>
      <w:r>
        <w:rPr>
          <w:rFonts w:ascii="Arial" w:hAnsi="Arial" w:cs="Arial"/>
          <w:b w:val="0"/>
          <w:sz w:val="21"/>
        </w:rPr>
        <w:t>D) Únicamente los ingresos obtenidos por el INSS.</w:t>
      </w:r>
    </w:p>
    <w:p>
      <w:pPr>
        <w:pStyle w:val="Question"/>
        <w:keepNext/>
      </w:pPr>
      <w:r>
        <w:rPr>
          <w:rFonts w:ascii="Arial" w:hAnsi="Arial" w:cs="Arial"/>
          <w:sz w:val="22"/>
        </w:rPr>
        <w:t>51. Conforme al ordenamiento vigente a la fecha de corte, el grado III+ de dependencia extrema:</w:t>
      </w:r>
    </w:p>
    <w:p>
      <w:pPr>
        <w:keepNext/>
        <w:keepLines/>
        <w:spacing w:after="40"/>
        <w:ind w:left="369" w:hanging="198"/>
      </w:pPr>
      <w:r>
        <w:rPr>
          <w:rFonts w:ascii="Arial" w:hAnsi="Arial" w:cs="Arial"/>
          <w:b w:val="0"/>
          <w:sz w:val="21"/>
        </w:rPr>
        <w:t>A) Es un grado IV que sustituye al III.</w:t>
      </w:r>
    </w:p>
    <w:p>
      <w:pPr>
        <w:keepNext/>
        <w:keepLines/>
        <w:spacing w:after="40"/>
        <w:ind w:left="369" w:hanging="198"/>
      </w:pPr>
      <w:r>
        <w:rPr>
          <w:rFonts w:ascii="Arial" w:hAnsi="Arial" w:cs="Arial"/>
          <w:b w:val="0"/>
          <w:sz w:val="21"/>
        </w:rPr>
        <w:t>B) Es una cualificación reforzada de determinados supuestos de grado III, vigente desde octubre de 2025.</w:t>
      </w:r>
    </w:p>
    <w:p>
      <w:pPr>
        <w:keepNext/>
        <w:keepLines/>
        <w:spacing w:after="40"/>
        <w:ind w:left="369" w:hanging="198"/>
      </w:pPr>
      <w:r>
        <w:rPr>
          <w:rFonts w:ascii="Arial" w:hAnsi="Arial" w:cs="Arial"/>
          <w:b w:val="0"/>
          <w:sz w:val="21"/>
        </w:rPr>
        <w:t>C) Está vigente desde la aprobación originaria de la Ley 39/2006.</w:t>
      </w:r>
    </w:p>
    <w:p>
      <w:pPr>
        <w:keepNext/>
        <w:keepLines/>
        <w:spacing w:after="40"/>
        <w:ind w:left="369" w:hanging="198"/>
      </w:pPr>
      <w:r>
        <w:rPr>
          <w:rFonts w:ascii="Arial" w:hAnsi="Arial" w:cs="Arial"/>
          <w:b w:val="0"/>
          <w:sz w:val="21"/>
        </w:rPr>
        <w:t>D) Se reconoce a cualquier persona con un 33 % de discapacidad.</w:t>
      </w:r>
    </w:p>
    <w:p>
      <w:pPr>
        <w:pStyle w:val="Question"/>
        <w:keepNext/>
      </w:pPr>
      <w:r>
        <w:rPr>
          <w:rFonts w:ascii="Arial" w:hAnsi="Arial" w:cs="Arial"/>
          <w:sz w:val="22"/>
        </w:rPr>
        <w:t>52. Conforme al ordenamiento vigente a la fecha de corte, ¿Qué debe hacer una Sala si considera necesario apartarse de la doctrina constitucional precedente?</w:t>
      </w:r>
    </w:p>
    <w:p>
      <w:pPr>
        <w:keepNext/>
        <w:keepLines/>
        <w:spacing w:after="40"/>
        <w:ind w:left="369" w:hanging="198"/>
      </w:pPr>
      <w:r>
        <w:rPr>
          <w:rFonts w:ascii="Arial" w:hAnsi="Arial" w:cs="Arial"/>
          <w:b w:val="0"/>
          <w:sz w:val="21"/>
        </w:rPr>
        <w:t>A) Resolver por unanimidad y publicar un voto explicativo.</w:t>
      </w:r>
    </w:p>
    <w:p>
      <w:pPr>
        <w:keepNext/>
        <w:keepLines/>
        <w:spacing w:after="40"/>
        <w:ind w:left="369" w:hanging="198"/>
      </w:pPr>
      <w:r>
        <w:rPr>
          <w:rFonts w:ascii="Arial" w:hAnsi="Arial" w:cs="Arial"/>
          <w:b w:val="0"/>
          <w:sz w:val="21"/>
        </w:rPr>
        <w:t>B) Someter la cuestión a la decisión del Pleno.</w:t>
      </w:r>
    </w:p>
    <w:p>
      <w:pPr>
        <w:keepNext/>
        <w:keepLines/>
        <w:spacing w:after="40"/>
        <w:ind w:left="369" w:hanging="198"/>
      </w:pPr>
      <w:r>
        <w:rPr>
          <w:rFonts w:ascii="Arial" w:hAnsi="Arial" w:cs="Arial"/>
          <w:b w:val="0"/>
          <w:sz w:val="21"/>
        </w:rPr>
        <w:t>C) Plantear una cuestión prejudicial al Tribunal Supremo.</w:t>
      </w:r>
    </w:p>
    <w:p>
      <w:pPr>
        <w:keepNext/>
        <w:keepLines/>
        <w:spacing w:after="40"/>
        <w:ind w:left="369" w:hanging="198"/>
      </w:pPr>
      <w:r>
        <w:rPr>
          <w:rFonts w:ascii="Arial" w:hAnsi="Arial" w:cs="Arial"/>
          <w:b w:val="0"/>
          <w:sz w:val="21"/>
        </w:rPr>
        <w:t>D) Remitir el asunto a una Sección distinta.</w:t>
      </w:r>
    </w:p>
    <w:p>
      <w:pPr>
        <w:pStyle w:val="Question"/>
        <w:keepNext/>
      </w:pPr>
      <w:r>
        <w:rPr>
          <w:rFonts w:ascii="Arial" w:hAnsi="Arial" w:cs="Arial"/>
          <w:sz w:val="22"/>
        </w:rPr>
        <w:t>53. A efectos de aplicar correctamente la regla examinada, el título I de la Constitución comprende:</w:t>
      </w:r>
    </w:p>
    <w:p>
      <w:pPr>
        <w:keepNext/>
        <w:keepLines/>
        <w:spacing w:after="40"/>
        <w:ind w:left="369" w:hanging="198"/>
      </w:pPr>
      <w:r>
        <w:rPr>
          <w:rFonts w:ascii="Arial" w:hAnsi="Arial" w:cs="Arial"/>
          <w:b w:val="0"/>
          <w:sz w:val="21"/>
        </w:rPr>
        <w:t>A) Los artículos 1 a 55.</w:t>
      </w:r>
    </w:p>
    <w:p>
      <w:pPr>
        <w:keepNext/>
        <w:keepLines/>
        <w:spacing w:after="40"/>
        <w:ind w:left="369" w:hanging="198"/>
      </w:pPr>
      <w:r>
        <w:rPr>
          <w:rFonts w:ascii="Arial" w:hAnsi="Arial" w:cs="Arial"/>
          <w:b w:val="0"/>
          <w:sz w:val="21"/>
        </w:rPr>
        <w:t>B) Los artículos 14 a 55.</w:t>
      </w:r>
    </w:p>
    <w:p>
      <w:pPr>
        <w:keepNext/>
        <w:keepLines/>
        <w:spacing w:after="40"/>
        <w:ind w:left="369" w:hanging="198"/>
      </w:pPr>
      <w:r>
        <w:rPr>
          <w:rFonts w:ascii="Arial" w:hAnsi="Arial" w:cs="Arial"/>
          <w:b w:val="0"/>
          <w:sz w:val="21"/>
        </w:rPr>
        <w:t>C) Los artículos 10 a 54.</w:t>
      </w:r>
    </w:p>
    <w:p>
      <w:pPr>
        <w:keepNext/>
        <w:keepLines/>
        <w:spacing w:after="40"/>
        <w:ind w:left="369" w:hanging="198"/>
      </w:pPr>
      <w:r>
        <w:rPr>
          <w:rFonts w:ascii="Arial" w:hAnsi="Arial" w:cs="Arial"/>
          <w:b w:val="0"/>
          <w:sz w:val="21"/>
        </w:rPr>
        <w:t>D) Los artículos 10 a 55.</w:t>
      </w:r>
    </w:p>
    <w:p>
      <w:pPr>
        <w:pStyle w:val="Question"/>
        <w:keepNext/>
      </w:pPr>
      <w:r>
        <w:rPr>
          <w:rFonts w:ascii="Arial" w:hAnsi="Arial" w:cs="Arial"/>
          <w:sz w:val="22"/>
        </w:rPr>
        <w:t>54. A efectos de aplicar correctamente la regla examinada, la regla general del Régimen General incluye obligatoriamente:</w:t>
      </w:r>
    </w:p>
    <w:p>
      <w:pPr>
        <w:keepNext/>
        <w:keepLines/>
        <w:spacing w:after="40"/>
        <w:ind w:left="369" w:hanging="198"/>
      </w:pPr>
      <w:r>
        <w:rPr>
          <w:rFonts w:ascii="Arial" w:hAnsi="Arial" w:cs="Arial"/>
          <w:b w:val="0"/>
          <w:sz w:val="21"/>
        </w:rPr>
        <w:t>A) A toda persona mayor de edad, aunque no realice actividad.</w:t>
      </w:r>
    </w:p>
    <w:p>
      <w:pPr>
        <w:keepNext/>
        <w:keepLines/>
        <w:spacing w:after="40"/>
        <w:ind w:left="369" w:hanging="198"/>
      </w:pPr>
      <w:r>
        <w:rPr>
          <w:rFonts w:ascii="Arial" w:hAnsi="Arial" w:cs="Arial"/>
          <w:b w:val="0"/>
          <w:sz w:val="21"/>
        </w:rPr>
        <w:t>B) Solo a quienes tengan contrato indefinido y jornada completa.</w:t>
      </w:r>
    </w:p>
    <w:p>
      <w:pPr>
        <w:keepNext/>
        <w:keepLines/>
        <w:spacing w:after="40"/>
        <w:ind w:left="369" w:hanging="198"/>
      </w:pPr>
      <w:r>
        <w:rPr>
          <w:rFonts w:ascii="Arial" w:hAnsi="Arial" w:cs="Arial"/>
          <w:b w:val="0"/>
          <w:sz w:val="21"/>
        </w:rPr>
        <w:t>C) A los autónomos con independencia de su actividad.</w:t>
      </w:r>
    </w:p>
    <w:p>
      <w:pPr>
        <w:keepNext/>
        <w:keepLines/>
        <w:spacing w:after="40"/>
        <w:ind w:left="369" w:hanging="198"/>
      </w:pPr>
      <w:r>
        <w:rPr>
          <w:rFonts w:ascii="Arial" w:hAnsi="Arial" w:cs="Arial"/>
          <w:b w:val="0"/>
          <w:sz w:val="21"/>
        </w:rPr>
        <w:t>D) A trabajadores por cuenta ajena y asimilados que no deban quedar incluidos en un régimen especial.</w:t>
      </w:r>
    </w:p>
    <w:p>
      <w:pPr>
        <w:pStyle w:val="Question"/>
        <w:keepNext/>
      </w:pPr>
      <w:r>
        <w:rPr>
          <w:rFonts w:ascii="Arial" w:hAnsi="Arial" w:cs="Arial"/>
          <w:sz w:val="22"/>
        </w:rPr>
        <w:t>55. A efectos de aplicar correctamente la regla examinada, puede dictarse providencia sin reclamación de deuda ni acta previa cuando:</w:t>
      </w:r>
    </w:p>
    <w:p>
      <w:pPr>
        <w:keepNext/>
        <w:keepLines/>
        <w:spacing w:after="40"/>
        <w:ind w:left="369" w:hanging="198"/>
      </w:pPr>
      <w:r>
        <w:rPr>
          <w:rFonts w:ascii="Arial" w:hAnsi="Arial" w:cs="Arial"/>
          <w:b w:val="0"/>
          <w:sz w:val="21"/>
        </w:rPr>
        <w:t>A) Se dejaron de ingresar cuotas de trabajadores en alta correctamente liquidadas mediante los sistemas o documentos presentados en plazo.</w:t>
      </w:r>
    </w:p>
    <w:p>
      <w:pPr>
        <w:keepNext/>
        <w:keepLines/>
        <w:spacing w:after="40"/>
        <w:ind w:left="369" w:hanging="198"/>
      </w:pPr>
      <w:r>
        <w:rPr>
          <w:rFonts w:ascii="Arial" w:hAnsi="Arial" w:cs="Arial"/>
          <w:b w:val="0"/>
          <w:sz w:val="21"/>
        </w:rPr>
        <w:t>B) La deuda depende de hechos no comprobados y nunca fue liquidada.</w:t>
      </w:r>
    </w:p>
    <w:p>
      <w:pPr>
        <w:keepNext/>
        <w:keepLines/>
        <w:spacing w:after="40"/>
        <w:ind w:left="369" w:hanging="198"/>
      </w:pPr>
      <w:r>
        <w:rPr>
          <w:rFonts w:ascii="Arial" w:hAnsi="Arial" w:cs="Arial"/>
          <w:b w:val="0"/>
          <w:sz w:val="21"/>
        </w:rPr>
        <w:t>C) Falta toda identificación del responsable.</w:t>
      </w:r>
    </w:p>
    <w:p>
      <w:pPr>
        <w:keepNext/>
        <w:keepLines/>
        <w:spacing w:after="40"/>
        <w:ind w:left="369" w:hanging="198"/>
      </w:pPr>
      <w:r>
        <w:rPr>
          <w:rFonts w:ascii="Arial" w:hAnsi="Arial" w:cs="Arial"/>
          <w:b w:val="0"/>
          <w:sz w:val="21"/>
        </w:rPr>
        <w:t>D) Existe un aplazamiento vigente y cumplido.</w:t>
      </w:r>
    </w:p>
    <w:p>
      <w:pPr>
        <w:pStyle w:val="Question"/>
        <w:keepNext/>
      </w:pPr>
      <w:r>
        <w:rPr>
          <w:rFonts w:ascii="Arial" w:hAnsi="Arial" w:cs="Arial"/>
          <w:sz w:val="22"/>
        </w:rPr>
        <w:t>56. Conforme al ordenamiento vigente a la fecha de corte, en la explotación mediante arrendamiento de un inmueble innecesario:</w:t>
      </w:r>
    </w:p>
    <w:p>
      <w:pPr>
        <w:keepNext/>
        <w:keepLines/>
        <w:spacing w:after="40"/>
        <w:ind w:left="369" w:hanging="198"/>
      </w:pPr>
      <w:r>
        <w:rPr>
          <w:rFonts w:ascii="Arial" w:hAnsi="Arial" w:cs="Arial"/>
          <w:b w:val="0"/>
          <w:sz w:val="21"/>
        </w:rPr>
        <w:t>A) Nunca puede pactarse una renta en especie.</w:t>
      </w:r>
    </w:p>
    <w:p>
      <w:pPr>
        <w:keepNext/>
        <w:keepLines/>
        <w:spacing w:after="40"/>
        <w:ind w:left="369" w:hanging="198"/>
      </w:pPr>
      <w:r>
        <w:rPr>
          <w:rFonts w:ascii="Arial" w:hAnsi="Arial" w:cs="Arial"/>
          <w:b w:val="0"/>
          <w:sz w:val="21"/>
        </w:rPr>
        <w:t>B) Puede sustituirse total o parcialmente la renta por obras de reforma o rehabilitación en los términos pactados.</w:t>
      </w:r>
    </w:p>
    <w:p>
      <w:pPr>
        <w:keepNext/>
        <w:keepLines/>
        <w:spacing w:after="40"/>
        <w:ind w:left="369" w:hanging="198"/>
      </w:pPr>
      <w:r>
        <w:rPr>
          <w:rFonts w:ascii="Arial" w:hAnsi="Arial" w:cs="Arial"/>
          <w:b w:val="0"/>
          <w:sz w:val="21"/>
        </w:rPr>
        <w:t>C) La duración inicial debe ser necesariamente de un año.</w:t>
      </w:r>
    </w:p>
    <w:p>
      <w:pPr>
        <w:keepNext/>
        <w:keepLines/>
        <w:spacing w:after="40"/>
        <w:ind w:left="369" w:hanging="198"/>
      </w:pPr>
      <w:r>
        <w:rPr>
          <w:rFonts w:ascii="Arial" w:hAnsi="Arial" w:cs="Arial"/>
          <w:b w:val="0"/>
          <w:sz w:val="21"/>
        </w:rPr>
        <w:t>D) El arrendatario adquiere la propiedad al finalizar.</w:t>
      </w:r>
    </w:p>
    <w:p>
      <w:pPr>
        <w:pStyle w:val="Question"/>
        <w:keepNext/>
      </w:pPr>
      <w:r>
        <w:rPr>
          <w:rFonts w:ascii="Arial" w:hAnsi="Arial" w:cs="Arial"/>
          <w:sz w:val="22"/>
        </w:rPr>
        <w:t>57. Conforme al ordenamiento vigente a la fecha de corte, ¿En qué supuesto puede autorizarse la enajenación por concurso?</w:t>
      </w:r>
    </w:p>
    <w:p>
      <w:pPr>
        <w:keepNext/>
        <w:keepLines/>
        <w:spacing w:after="40"/>
        <w:ind w:left="369" w:hanging="198"/>
      </w:pPr>
      <w:r>
        <w:rPr>
          <w:rFonts w:ascii="Arial" w:hAnsi="Arial" w:cs="Arial"/>
          <w:b w:val="0"/>
          <w:sz w:val="21"/>
        </w:rPr>
        <w:t>A) Para bienes muebles o semovientes cuando sus circunstancias, volumen o valor lo aconsejen.</w:t>
      </w:r>
    </w:p>
    <w:p>
      <w:pPr>
        <w:keepNext/>
        <w:keepLines/>
        <w:spacing w:after="40"/>
        <w:ind w:left="369" w:hanging="198"/>
      </w:pPr>
      <w:r>
        <w:rPr>
          <w:rFonts w:ascii="Arial" w:hAnsi="Arial" w:cs="Arial"/>
          <w:b w:val="0"/>
          <w:sz w:val="21"/>
        </w:rPr>
        <w:t>B) Para cualquier inmueble, como modalidad ordinaria y obligatoria.</w:t>
      </w:r>
    </w:p>
    <w:p>
      <w:pPr>
        <w:keepNext/>
        <w:keepLines/>
        <w:spacing w:after="40"/>
        <w:ind w:left="369" w:hanging="198"/>
      </w:pPr>
      <w:r>
        <w:rPr>
          <w:rFonts w:ascii="Arial" w:hAnsi="Arial" w:cs="Arial"/>
          <w:b w:val="0"/>
          <w:sz w:val="21"/>
        </w:rPr>
        <w:t>C) Únicamente cuando ya prescribió la deuda.</w:t>
      </w:r>
    </w:p>
    <w:p>
      <w:pPr>
        <w:keepNext/>
        <w:keepLines/>
        <w:spacing w:after="40"/>
        <w:ind w:left="369" w:hanging="198"/>
      </w:pPr>
      <w:r>
        <w:rPr>
          <w:rFonts w:ascii="Arial" w:hAnsi="Arial" w:cs="Arial"/>
          <w:b w:val="0"/>
          <w:sz w:val="21"/>
        </w:rPr>
        <w:t>D) Para salarios y pensiones, sin respetar límites de embargo.</w:t>
      </w:r>
    </w:p>
    <w:p>
      <w:pPr>
        <w:pStyle w:val="Question"/>
        <w:keepNext/>
      </w:pPr>
      <w:r>
        <w:rPr>
          <w:rFonts w:ascii="Arial" w:hAnsi="Arial" w:cs="Arial"/>
          <w:sz w:val="22"/>
        </w:rPr>
        <w:t>58. Conforme al ordenamiento vigente a la fecha de corte, ¿Qué combinación reproduce exactamente las entidades enumeradas en el artículo 66.1?</w:t>
      </w:r>
    </w:p>
    <w:p>
      <w:pPr>
        <w:keepNext/>
        <w:keepLines/>
        <w:spacing w:after="40"/>
        <w:ind w:left="369" w:hanging="198"/>
      </w:pPr>
      <w:r>
        <w:rPr>
          <w:rFonts w:ascii="Arial" w:hAnsi="Arial" w:cs="Arial"/>
          <w:b w:val="0"/>
          <w:sz w:val="21"/>
        </w:rPr>
        <w:t>A) INSS, ISM y TGSS.</w:t>
      </w:r>
    </w:p>
    <w:p>
      <w:pPr>
        <w:keepNext/>
        <w:keepLines/>
        <w:spacing w:after="40"/>
        <w:ind w:left="369" w:hanging="198"/>
      </w:pPr>
      <w:r>
        <w:rPr>
          <w:rFonts w:ascii="Arial" w:hAnsi="Arial" w:cs="Arial"/>
          <w:b w:val="0"/>
          <w:sz w:val="21"/>
        </w:rPr>
        <w:t>B) INSS, TGSS y GISS.</w:t>
      </w:r>
    </w:p>
    <w:p>
      <w:pPr>
        <w:keepNext/>
        <w:keepLines/>
        <w:spacing w:after="40"/>
        <w:ind w:left="369" w:hanging="198"/>
      </w:pPr>
      <w:r>
        <w:rPr>
          <w:rFonts w:ascii="Arial" w:hAnsi="Arial" w:cs="Arial"/>
          <w:b w:val="0"/>
          <w:sz w:val="21"/>
        </w:rPr>
        <w:t>C) INSS, INGESA e IMSERSO.</w:t>
      </w:r>
    </w:p>
    <w:p>
      <w:pPr>
        <w:keepNext/>
        <w:keepLines/>
        <w:spacing w:after="40"/>
        <w:ind w:left="369" w:hanging="198"/>
      </w:pPr>
      <w:r>
        <w:rPr>
          <w:rFonts w:ascii="Arial" w:hAnsi="Arial" w:cs="Arial"/>
          <w:b w:val="0"/>
          <w:sz w:val="21"/>
        </w:rPr>
        <w:t>D) ISM, INGESA y una mutua.</w:t>
      </w:r>
    </w:p>
    <w:p>
      <w:pPr>
        <w:pStyle w:val="Question"/>
        <w:keepNext/>
      </w:pPr>
      <w:r>
        <w:rPr>
          <w:rFonts w:ascii="Arial" w:hAnsi="Arial" w:cs="Arial"/>
          <w:sz w:val="22"/>
        </w:rPr>
        <w:t>59. Conforme al ordenamiento vigente a la fecha de corte, en una comunidad autónoma uniprovincial sin subdelegado, la suplencia del delegado por ausencia, vacante o enfermedad corresponde:</w:t>
      </w:r>
    </w:p>
    <w:p>
      <w:pPr>
        <w:keepNext/>
        <w:keepLines/>
        <w:spacing w:after="40"/>
        <w:ind w:left="369" w:hanging="198"/>
      </w:pPr>
      <w:r>
        <w:rPr>
          <w:rFonts w:ascii="Arial" w:hAnsi="Arial" w:cs="Arial"/>
          <w:b w:val="0"/>
          <w:sz w:val="21"/>
        </w:rPr>
        <w:t>A) Al secretario general de la Delegación.</w:t>
      </w:r>
    </w:p>
    <w:p>
      <w:pPr>
        <w:keepNext/>
        <w:keepLines/>
        <w:spacing w:after="40"/>
        <w:ind w:left="369" w:hanging="198"/>
      </w:pPr>
      <w:r>
        <w:rPr>
          <w:rFonts w:ascii="Arial" w:hAnsi="Arial" w:cs="Arial"/>
          <w:b w:val="0"/>
          <w:sz w:val="21"/>
        </w:rPr>
        <w:t>B) Al director insular.</w:t>
      </w:r>
    </w:p>
    <w:p>
      <w:pPr>
        <w:keepNext/>
        <w:keepLines/>
        <w:spacing w:after="40"/>
        <w:ind w:left="369" w:hanging="198"/>
      </w:pPr>
      <w:r>
        <w:rPr>
          <w:rFonts w:ascii="Arial" w:hAnsi="Arial" w:cs="Arial"/>
          <w:b w:val="0"/>
          <w:sz w:val="21"/>
        </w:rPr>
        <w:t>C) Al subsecretario de Política Territorial.</w:t>
      </w:r>
    </w:p>
    <w:p>
      <w:pPr>
        <w:keepNext/>
        <w:keepLines/>
        <w:spacing w:after="40"/>
        <w:ind w:left="369" w:hanging="198"/>
      </w:pPr>
      <w:r>
        <w:rPr>
          <w:rFonts w:ascii="Arial" w:hAnsi="Arial" w:cs="Arial"/>
          <w:b w:val="0"/>
          <w:sz w:val="21"/>
        </w:rPr>
        <w:t>D) Al presidente autonómico.</w:t>
      </w:r>
    </w:p>
    <w:p>
      <w:pPr>
        <w:pStyle w:val="Question"/>
        <w:keepNext/>
      </w:pPr>
      <w:r>
        <w:rPr>
          <w:rFonts w:ascii="Arial" w:hAnsi="Arial" w:cs="Arial"/>
          <w:sz w:val="22"/>
        </w:rPr>
        <w:t>60. A efectos de aplicar correctamente la regla examinada, un ajuste razonable es:</w:t>
      </w:r>
    </w:p>
    <w:p>
      <w:pPr>
        <w:keepNext/>
        <w:keepLines/>
        <w:spacing w:after="40"/>
        <w:ind w:left="369" w:hanging="198"/>
      </w:pPr>
      <w:r>
        <w:rPr>
          <w:rFonts w:ascii="Arial" w:hAnsi="Arial" w:cs="Arial"/>
          <w:b w:val="0"/>
          <w:sz w:val="21"/>
        </w:rPr>
        <w:t>A) Una adaptación general que siempre debe existir desde el diseño inicial.</w:t>
      </w:r>
    </w:p>
    <w:p>
      <w:pPr>
        <w:keepNext/>
        <w:keepLines/>
        <w:spacing w:after="40"/>
        <w:ind w:left="369" w:hanging="198"/>
      </w:pPr>
      <w:r>
        <w:rPr>
          <w:rFonts w:ascii="Arial" w:hAnsi="Arial" w:cs="Arial"/>
          <w:b w:val="0"/>
          <w:sz w:val="21"/>
        </w:rPr>
        <w:t>B) Una modificación necesaria y adecuada para un caso particular que no imponga carga desproporcionada o indebida.</w:t>
      </w:r>
    </w:p>
    <w:p>
      <w:pPr>
        <w:keepNext/>
        <w:keepLines/>
        <w:spacing w:after="40"/>
        <w:ind w:left="369" w:hanging="198"/>
      </w:pPr>
      <w:r>
        <w:rPr>
          <w:rFonts w:ascii="Arial" w:hAnsi="Arial" w:cs="Arial"/>
          <w:b w:val="0"/>
          <w:sz w:val="21"/>
        </w:rPr>
        <w:t>C) Una ayuda voluntaria que puede rechazarse sin motivo.</w:t>
      </w:r>
    </w:p>
    <w:p>
      <w:pPr>
        <w:keepNext/>
        <w:keepLines/>
        <w:spacing w:after="40"/>
        <w:ind w:left="369" w:hanging="198"/>
      </w:pPr>
      <w:r>
        <w:rPr>
          <w:rFonts w:ascii="Arial" w:hAnsi="Arial" w:cs="Arial"/>
          <w:b w:val="0"/>
          <w:sz w:val="21"/>
        </w:rPr>
        <w:t>D) Cualquier medida, aunque imponga carga indebida.</w:t>
      </w:r>
    </w:p>
    <w:p>
      <w:pPr>
        <w:pStyle w:val="Question"/>
        <w:keepNext/>
      </w:pPr>
      <w:r>
        <w:rPr>
          <w:rFonts w:ascii="Arial" w:hAnsi="Arial" w:cs="Arial"/>
          <w:sz w:val="22"/>
        </w:rPr>
        <w:t>61. A efectos de aplicar correctamente la regla examinada, la suspensión de plazos prevista para zonas gravemente afectadas por emergencias:</w:t>
      </w:r>
    </w:p>
    <w:p>
      <w:pPr>
        <w:keepNext/>
        <w:keepLines/>
        <w:spacing w:after="40"/>
        <w:ind w:left="369" w:hanging="198"/>
      </w:pPr>
      <w:r>
        <w:rPr>
          <w:rFonts w:ascii="Arial" w:hAnsi="Arial" w:cs="Arial"/>
          <w:b w:val="0"/>
          <w:sz w:val="21"/>
        </w:rPr>
        <w:t>A) Puede incluirse en acuerdo del Consejo de Ministros y finaliza por nuevo acuerdo, tras el cual se reanudan los plazos.</w:t>
      </w:r>
    </w:p>
    <w:p>
      <w:pPr>
        <w:keepNext/>
        <w:keepLines/>
        <w:spacing w:after="40"/>
        <w:ind w:left="369" w:hanging="198"/>
      </w:pPr>
      <w:r>
        <w:rPr>
          <w:rFonts w:ascii="Arial" w:hAnsi="Arial" w:cs="Arial"/>
          <w:b w:val="0"/>
          <w:sz w:val="21"/>
        </w:rPr>
        <w:t>B) La declara cualquier alcalde y hace comenzar plazos nuevos.</w:t>
      </w:r>
    </w:p>
    <w:p>
      <w:pPr>
        <w:keepNext/>
        <w:keepLines/>
        <w:spacing w:after="40"/>
        <w:ind w:left="369" w:hanging="198"/>
      </w:pPr>
      <w:r>
        <w:rPr>
          <w:rFonts w:ascii="Arial" w:hAnsi="Arial" w:cs="Arial"/>
          <w:b w:val="0"/>
          <w:sz w:val="21"/>
        </w:rPr>
        <w:t>C) Opera automáticamente ante cualquier lluvia intensa.</w:t>
      </w:r>
    </w:p>
    <w:p>
      <w:pPr>
        <w:keepNext/>
        <w:keepLines/>
        <w:spacing w:after="40"/>
        <w:ind w:left="369" w:hanging="198"/>
      </w:pPr>
      <w:r>
        <w:rPr>
          <w:rFonts w:ascii="Arial" w:hAnsi="Arial" w:cs="Arial"/>
          <w:b w:val="0"/>
          <w:sz w:val="21"/>
        </w:rPr>
        <w:t>D) Solo beneficia a Administraciones, nunca a interesados.</w:t>
      </w:r>
    </w:p>
    <w:p>
      <w:pPr>
        <w:pStyle w:val="Question"/>
        <w:keepNext/>
      </w:pPr>
      <w:r>
        <w:rPr>
          <w:rFonts w:ascii="Arial" w:hAnsi="Arial" w:cs="Arial"/>
          <w:sz w:val="22"/>
        </w:rPr>
        <w:t>62. A efectos de aplicar correctamente la regla examinada, como regla general, la interposición de un recurso administrativo:</w:t>
      </w:r>
    </w:p>
    <w:p>
      <w:pPr>
        <w:keepNext/>
        <w:keepLines/>
        <w:spacing w:after="40"/>
        <w:ind w:left="369" w:hanging="198"/>
      </w:pPr>
      <w:r>
        <w:rPr>
          <w:rFonts w:ascii="Arial" w:hAnsi="Arial" w:cs="Arial"/>
          <w:b w:val="0"/>
          <w:sz w:val="21"/>
        </w:rPr>
        <w:t>A) Suspende siempre el acto hasta que exista sentencia.</w:t>
      </w:r>
    </w:p>
    <w:p>
      <w:pPr>
        <w:keepNext/>
        <w:keepLines/>
        <w:spacing w:after="40"/>
        <w:ind w:left="369" w:hanging="198"/>
      </w:pPr>
      <w:r>
        <w:rPr>
          <w:rFonts w:ascii="Arial" w:hAnsi="Arial" w:cs="Arial"/>
          <w:b w:val="0"/>
          <w:sz w:val="21"/>
        </w:rPr>
        <w:t>B) Solo suspende si se trata de una alzada.</w:t>
      </w:r>
    </w:p>
    <w:p>
      <w:pPr>
        <w:keepNext/>
        <w:keepLines/>
        <w:spacing w:after="40"/>
        <w:ind w:left="369" w:hanging="198"/>
      </w:pPr>
      <w:r>
        <w:rPr>
          <w:rFonts w:ascii="Arial" w:hAnsi="Arial" w:cs="Arial"/>
          <w:b w:val="0"/>
          <w:sz w:val="21"/>
        </w:rPr>
        <w:t>C) Elimina la ejecutividad de todos los actos conexos.</w:t>
      </w:r>
    </w:p>
    <w:p>
      <w:pPr>
        <w:keepNext/>
        <w:keepLines/>
        <w:spacing w:after="40"/>
        <w:ind w:left="369" w:hanging="198"/>
      </w:pPr>
      <w:r>
        <w:rPr>
          <w:rFonts w:ascii="Arial" w:hAnsi="Arial" w:cs="Arial"/>
          <w:b w:val="0"/>
          <w:sz w:val="21"/>
        </w:rPr>
        <w:t>D) No suspende la ejecución del acto impugnado.</w:t>
      </w:r>
    </w:p>
    <w:p>
      <w:pPr>
        <w:pStyle w:val="Question"/>
        <w:keepNext/>
      </w:pPr>
      <w:r>
        <w:rPr>
          <w:rFonts w:ascii="Arial" w:hAnsi="Arial" w:cs="Arial"/>
          <w:sz w:val="22"/>
        </w:rPr>
        <w:t>63. Conforme al ordenamiento vigente a la fecha de corte, ¿Cuál de estas decisiones corresponde al Consejo de Ministros?</w:t>
      </w:r>
    </w:p>
    <w:p>
      <w:pPr>
        <w:keepNext/>
        <w:keepLines/>
        <w:spacing w:after="40"/>
        <w:ind w:left="369" w:hanging="198"/>
      </w:pPr>
      <w:r>
        <w:rPr>
          <w:rFonts w:ascii="Arial" w:hAnsi="Arial" w:cs="Arial"/>
          <w:b w:val="0"/>
          <w:sz w:val="21"/>
        </w:rPr>
        <w:t>A) Investir al presidente del Gobierno.</w:t>
      </w:r>
    </w:p>
    <w:p>
      <w:pPr>
        <w:keepNext/>
        <w:keepLines/>
        <w:spacing w:after="40"/>
        <w:ind w:left="369" w:hanging="198"/>
      </w:pPr>
      <w:r>
        <w:rPr>
          <w:rFonts w:ascii="Arial" w:hAnsi="Arial" w:cs="Arial"/>
          <w:b w:val="0"/>
          <w:sz w:val="21"/>
        </w:rPr>
        <w:t>B) Autorizar por sí solo un referéndum consultivo.</w:t>
      </w:r>
    </w:p>
    <w:p>
      <w:pPr>
        <w:keepNext/>
        <w:keepLines/>
        <w:spacing w:after="40"/>
        <w:ind w:left="369" w:hanging="198"/>
      </w:pPr>
      <w:r>
        <w:rPr>
          <w:rFonts w:ascii="Arial" w:hAnsi="Arial" w:cs="Arial"/>
          <w:b w:val="0"/>
          <w:sz w:val="21"/>
        </w:rPr>
        <w:t>C) Declarar el estado de sitio.</w:t>
      </w:r>
    </w:p>
    <w:p>
      <w:pPr>
        <w:keepNext/>
        <w:keepLines/>
        <w:spacing w:after="40"/>
        <w:ind w:left="369" w:hanging="198"/>
      </w:pPr>
      <w:r>
        <w:rPr>
          <w:rFonts w:ascii="Arial" w:hAnsi="Arial" w:cs="Arial"/>
          <w:b w:val="0"/>
          <w:sz w:val="21"/>
        </w:rPr>
        <w:t>D) Aprobar los reales decretos-leyes y los reales decretos legislativos.</w:t>
      </w:r>
    </w:p>
    <w:p>
      <w:pPr>
        <w:pStyle w:val="Question"/>
        <w:keepNext/>
      </w:pPr>
      <w:r>
        <w:rPr>
          <w:rFonts w:ascii="Arial" w:hAnsi="Arial" w:cs="Arial"/>
          <w:sz w:val="22"/>
        </w:rPr>
        <w:t>64. Conforme al ordenamiento vigente a la fecha de corte, aunque no haya llegado la fecha de revisión indicada, el INSS puede revisar la IP si:</w:t>
      </w:r>
    </w:p>
    <w:p>
      <w:pPr>
        <w:keepNext/>
        <w:keepLines/>
        <w:spacing w:after="40"/>
        <w:ind w:left="369" w:hanging="198"/>
      </w:pPr>
      <w:r>
        <w:rPr>
          <w:rFonts w:ascii="Arial" w:hAnsi="Arial" w:cs="Arial"/>
          <w:b w:val="0"/>
          <w:sz w:val="21"/>
        </w:rPr>
        <w:t>A) El pensionista está realizando trabajo por cuenta propia o ajena.</w:t>
      </w:r>
    </w:p>
    <w:p>
      <w:pPr>
        <w:keepNext/>
        <w:keepLines/>
        <w:spacing w:after="40"/>
        <w:ind w:left="369" w:hanging="198"/>
      </w:pPr>
      <w:r>
        <w:rPr>
          <w:rFonts w:ascii="Arial" w:hAnsi="Arial" w:cs="Arial"/>
          <w:b w:val="0"/>
          <w:sz w:val="21"/>
        </w:rPr>
        <w:t>B) Lo pide cualquier empresa sin prueba.</w:t>
      </w:r>
    </w:p>
    <w:p>
      <w:pPr>
        <w:keepNext/>
        <w:keepLines/>
        <w:spacing w:after="40"/>
        <w:ind w:left="369" w:hanging="198"/>
      </w:pPr>
      <w:r>
        <w:rPr>
          <w:rFonts w:ascii="Arial" w:hAnsi="Arial" w:cs="Arial"/>
          <w:b w:val="0"/>
          <w:sz w:val="21"/>
        </w:rPr>
        <w:t>C) Han pasado solo diez días.</w:t>
      </w:r>
    </w:p>
    <w:p>
      <w:pPr>
        <w:keepNext/>
        <w:keepLines/>
        <w:spacing w:after="40"/>
        <w:ind w:left="369" w:hanging="198"/>
      </w:pPr>
      <w:r>
        <w:rPr>
          <w:rFonts w:ascii="Arial" w:hAnsi="Arial" w:cs="Arial"/>
          <w:b w:val="0"/>
          <w:sz w:val="21"/>
        </w:rPr>
        <w:t>D) La persona cumplió ya 67 años.</w:t>
      </w:r>
    </w:p>
    <w:p>
      <w:pPr>
        <w:pStyle w:val="Question"/>
        <w:keepNext/>
      </w:pPr>
      <w:r>
        <w:rPr>
          <w:rFonts w:ascii="Arial" w:hAnsi="Arial" w:cs="Arial"/>
          <w:sz w:val="22"/>
        </w:rPr>
        <w:t>65. A efectos de aplicar correctamente la regla examinada, notificada la providencia, el plazo indicado para pagar antes de que resulten exigibles los intereses en los términos legales es de:</w:t>
      </w:r>
    </w:p>
    <w:p>
      <w:pPr>
        <w:keepNext/>
        <w:keepLines/>
        <w:spacing w:after="40"/>
        <w:ind w:left="369" w:hanging="198"/>
      </w:pPr>
      <w:r>
        <w:rPr>
          <w:rFonts w:ascii="Arial" w:hAnsi="Arial" w:cs="Arial"/>
          <w:b w:val="0"/>
          <w:sz w:val="21"/>
        </w:rPr>
        <w:t>A) Quince días naturales.</w:t>
      </w:r>
    </w:p>
    <w:p>
      <w:pPr>
        <w:keepNext/>
        <w:keepLines/>
        <w:spacing w:after="40"/>
        <w:ind w:left="369" w:hanging="198"/>
      </w:pPr>
      <w:r>
        <w:rPr>
          <w:rFonts w:ascii="Arial" w:hAnsi="Arial" w:cs="Arial"/>
          <w:b w:val="0"/>
          <w:sz w:val="21"/>
        </w:rPr>
        <w:t>B) Cinco días hábiles.</w:t>
      </w:r>
    </w:p>
    <w:p>
      <w:pPr>
        <w:keepNext/>
        <w:keepLines/>
        <w:spacing w:after="40"/>
        <w:ind w:left="369" w:hanging="198"/>
      </w:pPr>
      <w:r>
        <w:rPr>
          <w:rFonts w:ascii="Arial" w:hAnsi="Arial" w:cs="Arial"/>
          <w:b w:val="0"/>
          <w:sz w:val="21"/>
        </w:rPr>
        <w:t>C) Diez días naturales.</w:t>
      </w:r>
    </w:p>
    <w:p>
      <w:pPr>
        <w:keepNext/>
        <w:keepLines/>
        <w:spacing w:after="40"/>
        <w:ind w:left="369" w:hanging="198"/>
      </w:pPr>
      <w:r>
        <w:rPr>
          <w:rFonts w:ascii="Arial" w:hAnsi="Arial" w:cs="Arial"/>
          <w:b w:val="0"/>
          <w:sz w:val="21"/>
        </w:rPr>
        <w:t>D) Un mes.</w:t>
      </w:r>
    </w:p>
    <w:p>
      <w:pPr>
        <w:pStyle w:val="Question"/>
        <w:keepNext/>
      </w:pPr>
      <w:r>
        <w:rPr>
          <w:rFonts w:ascii="Arial" w:hAnsi="Arial" w:cs="Arial"/>
          <w:sz w:val="22"/>
        </w:rPr>
        <w:t>66. Conforme al ordenamiento vigente a la fecha de corte, ¿Cuál de estas reformas parciales queda sometida al artículo 168?</w:t>
      </w:r>
    </w:p>
    <w:p>
      <w:pPr>
        <w:keepNext/>
        <w:keepLines/>
        <w:spacing w:after="40"/>
        <w:ind w:left="369" w:hanging="198"/>
      </w:pPr>
      <w:r>
        <w:rPr>
          <w:rFonts w:ascii="Arial" w:hAnsi="Arial" w:cs="Arial"/>
          <w:b w:val="0"/>
          <w:sz w:val="21"/>
        </w:rPr>
        <w:t>A) La modificación del título VIII.</w:t>
      </w:r>
    </w:p>
    <w:p>
      <w:pPr>
        <w:keepNext/>
        <w:keepLines/>
        <w:spacing w:after="40"/>
        <w:ind w:left="369" w:hanging="198"/>
      </w:pPr>
      <w:r>
        <w:rPr>
          <w:rFonts w:ascii="Arial" w:hAnsi="Arial" w:cs="Arial"/>
          <w:b w:val="0"/>
          <w:sz w:val="21"/>
        </w:rPr>
        <w:t>B) La modificación de un precepto de la sección 1.ª del capítulo II del título I.</w:t>
      </w:r>
    </w:p>
    <w:p>
      <w:pPr>
        <w:keepNext/>
        <w:keepLines/>
        <w:spacing w:after="40"/>
        <w:ind w:left="369" w:hanging="198"/>
      </w:pPr>
      <w:r>
        <w:rPr>
          <w:rFonts w:ascii="Arial" w:hAnsi="Arial" w:cs="Arial"/>
          <w:b w:val="0"/>
          <w:sz w:val="21"/>
        </w:rPr>
        <w:t>C) La modificación del capítulo III del título I.</w:t>
      </w:r>
    </w:p>
    <w:p>
      <w:pPr>
        <w:keepNext/>
        <w:keepLines/>
        <w:spacing w:after="40"/>
        <w:ind w:left="369" w:hanging="198"/>
      </w:pPr>
      <w:r>
        <w:rPr>
          <w:rFonts w:ascii="Arial" w:hAnsi="Arial" w:cs="Arial"/>
          <w:b w:val="0"/>
          <w:sz w:val="21"/>
        </w:rPr>
        <w:t>D) La modificación del título IX.</w:t>
      </w:r>
    </w:p>
    <w:p>
      <w:pPr>
        <w:pStyle w:val="Question"/>
        <w:keepNext/>
      </w:pPr>
      <w:r>
        <w:rPr>
          <w:rFonts w:ascii="Arial" w:hAnsi="Arial" w:cs="Arial"/>
          <w:sz w:val="22"/>
        </w:rPr>
        <w:t>67. Conforme al ordenamiento vigente a la fecha de corte, sobre discapacidad y dependencia, es correcto afirmar que:</w:t>
      </w:r>
    </w:p>
    <w:p>
      <w:pPr>
        <w:keepNext/>
        <w:keepLines/>
        <w:spacing w:after="40"/>
        <w:ind w:left="369" w:hanging="198"/>
      </w:pPr>
      <w:r>
        <w:rPr>
          <w:rFonts w:ascii="Arial" w:hAnsi="Arial" w:cs="Arial"/>
          <w:b w:val="0"/>
          <w:sz w:val="21"/>
        </w:rPr>
        <w:t>A) Son situaciones distintas, con valoraciones propias, aunque puedan concurrir.</w:t>
      </w:r>
    </w:p>
    <w:p>
      <w:pPr>
        <w:keepNext/>
        <w:keepLines/>
        <w:spacing w:after="40"/>
        <w:ind w:left="369" w:hanging="198"/>
      </w:pPr>
      <w:r>
        <w:rPr>
          <w:rFonts w:ascii="Arial" w:hAnsi="Arial" w:cs="Arial"/>
          <w:b w:val="0"/>
          <w:sz w:val="21"/>
        </w:rPr>
        <w:t>B) Son siempre equivalentes.</w:t>
      </w:r>
    </w:p>
    <w:p>
      <w:pPr>
        <w:keepNext/>
        <w:keepLines/>
        <w:spacing w:after="40"/>
        <w:ind w:left="369" w:hanging="198"/>
      </w:pPr>
      <w:r>
        <w:rPr>
          <w:rFonts w:ascii="Arial" w:hAnsi="Arial" w:cs="Arial"/>
          <w:b w:val="0"/>
          <w:sz w:val="21"/>
        </w:rPr>
        <w:t>C) Un grado de discapacidad determina automáticamente el mismo grado de dependencia.</w:t>
      </w:r>
    </w:p>
    <w:p>
      <w:pPr>
        <w:keepNext/>
        <w:keepLines/>
        <w:spacing w:after="40"/>
        <w:ind w:left="369" w:hanging="198"/>
      </w:pPr>
      <w:r>
        <w:rPr>
          <w:rFonts w:ascii="Arial" w:hAnsi="Arial" w:cs="Arial"/>
          <w:b w:val="0"/>
          <w:sz w:val="21"/>
        </w:rPr>
        <w:t>D) La dependencia solo puede derivar de discapacidad física.</w:t>
      </w:r>
    </w:p>
    <w:p>
      <w:pPr>
        <w:pStyle w:val="Question"/>
        <w:keepNext/>
      </w:pPr>
      <w:r>
        <w:rPr>
          <w:rFonts w:ascii="Arial" w:hAnsi="Arial" w:cs="Arial"/>
          <w:sz w:val="22"/>
        </w:rPr>
        <w:t>68. Conforme al ordenamiento vigente a la fecha de corte, ¿Qué requisitos generales exige la Constitución para ejercer la Regencia?</w:t>
      </w:r>
    </w:p>
    <w:p>
      <w:pPr>
        <w:keepNext/>
        <w:keepLines/>
        <w:spacing w:after="40"/>
        <w:ind w:left="369" w:hanging="198"/>
      </w:pPr>
      <w:r>
        <w:rPr>
          <w:rFonts w:ascii="Arial" w:hAnsi="Arial" w:cs="Arial"/>
          <w:b w:val="0"/>
          <w:sz w:val="21"/>
        </w:rPr>
        <w:t>A) Ser español de nacimiento y miembro de la Familia Real.</w:t>
      </w:r>
    </w:p>
    <w:p>
      <w:pPr>
        <w:keepNext/>
        <w:keepLines/>
        <w:spacing w:after="40"/>
        <w:ind w:left="369" w:hanging="198"/>
      </w:pPr>
      <w:r>
        <w:rPr>
          <w:rFonts w:ascii="Arial" w:hAnsi="Arial" w:cs="Arial"/>
          <w:b w:val="0"/>
          <w:sz w:val="21"/>
        </w:rPr>
        <w:t>B) Ser mayor de veinticinco años y jurista.</w:t>
      </w:r>
    </w:p>
    <w:p>
      <w:pPr>
        <w:keepNext/>
        <w:keepLines/>
        <w:spacing w:after="40"/>
        <w:ind w:left="369" w:hanging="198"/>
      </w:pPr>
      <w:r>
        <w:rPr>
          <w:rFonts w:ascii="Arial" w:hAnsi="Arial" w:cs="Arial"/>
          <w:b w:val="0"/>
          <w:sz w:val="21"/>
        </w:rPr>
        <w:t>C) Ser español y mayor de edad.</w:t>
      </w:r>
    </w:p>
    <w:p>
      <w:pPr>
        <w:keepNext/>
        <w:keepLines/>
        <w:spacing w:after="40"/>
        <w:ind w:left="369" w:hanging="198"/>
      </w:pPr>
      <w:r>
        <w:rPr>
          <w:rFonts w:ascii="Arial" w:hAnsi="Arial" w:cs="Arial"/>
          <w:b w:val="0"/>
          <w:sz w:val="21"/>
        </w:rPr>
        <w:t>D) Ser parlamentario y mayor de edad.</w:t>
      </w:r>
    </w:p>
    <w:p>
      <w:pPr>
        <w:pStyle w:val="Question"/>
        <w:keepNext/>
      </w:pPr>
      <w:r>
        <w:rPr>
          <w:rFonts w:ascii="Arial" w:hAnsi="Arial" w:cs="Arial"/>
          <w:sz w:val="22"/>
        </w:rPr>
        <w:t>69. A efectos de aplicar correctamente la regla examinada, el titular del IMV debe comunicar los cambios que puedan afectar al derecho:</w:t>
      </w:r>
    </w:p>
    <w:p>
      <w:pPr>
        <w:keepNext/>
        <w:keepLines/>
        <w:spacing w:after="40"/>
        <w:ind w:left="369" w:hanging="198"/>
      </w:pPr>
      <w:r>
        <w:rPr>
          <w:rFonts w:ascii="Arial" w:hAnsi="Arial" w:cs="Arial"/>
          <w:b w:val="0"/>
          <w:sz w:val="21"/>
        </w:rPr>
        <w:t>A) Al finalizar el año natural.</w:t>
      </w:r>
    </w:p>
    <w:p>
      <w:pPr>
        <w:keepNext/>
        <w:keepLines/>
        <w:spacing w:after="40"/>
        <w:ind w:left="369" w:hanging="198"/>
      </w:pPr>
      <w:r>
        <w:rPr>
          <w:rFonts w:ascii="Arial" w:hAnsi="Arial" w:cs="Arial"/>
          <w:b w:val="0"/>
          <w:sz w:val="21"/>
        </w:rPr>
        <w:t>B) En diez días hábiles exclusivamente.</w:t>
      </w:r>
    </w:p>
    <w:p>
      <w:pPr>
        <w:keepNext/>
        <w:keepLines/>
        <w:spacing w:after="40"/>
        <w:ind w:left="369" w:hanging="198"/>
      </w:pPr>
      <w:r>
        <w:rPr>
          <w:rFonts w:ascii="Arial" w:hAnsi="Arial" w:cs="Arial"/>
          <w:b w:val="0"/>
          <w:sz w:val="21"/>
        </w:rPr>
        <w:t>C) En el plazo de treinta días naturales desde que se produzcan.</w:t>
      </w:r>
    </w:p>
    <w:p>
      <w:pPr>
        <w:keepNext/>
        <w:keepLines/>
        <w:spacing w:after="40"/>
        <w:ind w:left="369" w:hanging="198"/>
      </w:pPr>
      <w:r>
        <w:rPr>
          <w:rFonts w:ascii="Arial" w:hAnsi="Arial" w:cs="Arial"/>
          <w:b w:val="0"/>
          <w:sz w:val="21"/>
        </w:rPr>
        <w:t>D) Solo cuando la Administración los desconozca.</w:t>
      </w:r>
    </w:p>
    <w:p>
      <w:pPr>
        <w:pStyle w:val="Question"/>
        <w:keepNext/>
      </w:pPr>
      <w:r>
        <w:rPr>
          <w:rFonts w:ascii="Arial" w:hAnsi="Arial" w:cs="Arial"/>
          <w:sz w:val="22"/>
        </w:rPr>
        <w:t>70. En una comprobación jurídica del expediente, si la suspensión del IMV se mantiene durante un año:</w:t>
      </w:r>
    </w:p>
    <w:p>
      <w:pPr>
        <w:keepNext/>
        <w:keepLines/>
        <w:spacing w:after="40"/>
        <w:ind w:left="369" w:hanging="198"/>
      </w:pPr>
      <w:r>
        <w:rPr>
          <w:rFonts w:ascii="Arial" w:hAnsi="Arial" w:cs="Arial"/>
          <w:b w:val="0"/>
          <w:sz w:val="21"/>
        </w:rPr>
        <w:t>A) Se reanuda automáticamente sin comprobar requisitos.</w:t>
      </w:r>
    </w:p>
    <w:p>
      <w:pPr>
        <w:keepNext/>
        <w:keepLines/>
        <w:spacing w:after="40"/>
        <w:ind w:left="369" w:hanging="198"/>
      </w:pPr>
      <w:r>
        <w:rPr>
          <w:rFonts w:ascii="Arial" w:hAnsi="Arial" w:cs="Arial"/>
          <w:b w:val="0"/>
          <w:sz w:val="21"/>
        </w:rPr>
        <w:t>B) Se transforma en jubilación no contributiva.</w:t>
      </w:r>
    </w:p>
    <w:p>
      <w:pPr>
        <w:keepNext/>
        <w:keepLines/>
        <w:spacing w:after="40"/>
        <w:ind w:left="369" w:hanging="198"/>
      </w:pPr>
      <w:r>
        <w:rPr>
          <w:rFonts w:ascii="Arial" w:hAnsi="Arial" w:cs="Arial"/>
          <w:b w:val="0"/>
          <w:sz w:val="21"/>
        </w:rPr>
        <w:t>C) Se duplica la deuda por reintegro.</w:t>
      </w:r>
    </w:p>
    <w:p>
      <w:pPr>
        <w:keepNext/>
        <w:keepLines/>
        <w:spacing w:after="40"/>
        <w:ind w:left="369" w:hanging="198"/>
      </w:pPr>
      <w:r>
        <w:rPr>
          <w:rFonts w:ascii="Arial" w:hAnsi="Arial" w:cs="Arial"/>
          <w:b w:val="0"/>
          <w:sz w:val="21"/>
        </w:rPr>
        <w:t>D) El derecho se extingue.</w:t>
      </w:r>
    </w:p>
    <w:p>
      <w:pPr>
        <w:pStyle w:val="Heading2"/>
      </w:pPr>
      <w:r>
        <w:t>Preguntas de reserva de la primera parte</w:t>
      </w:r>
    </w:p>
    <w:p>
      <w:pPr>
        <w:pStyle w:val="Question"/>
        <w:keepNext/>
      </w:pPr>
      <w:r>
        <w:rPr>
          <w:rFonts w:ascii="Arial" w:hAnsi="Arial" w:cs="Arial"/>
          <w:sz w:val="22"/>
        </w:rPr>
        <w:t>71. En una comprobación jurídica del expediente, si el fallecimiento deriva de accidente, laboral o no, o de enfermedad profesional:</w:t>
      </w:r>
    </w:p>
    <w:p>
      <w:pPr>
        <w:keepNext/>
        <w:keepLines/>
        <w:spacing w:after="40"/>
        <w:ind w:left="369" w:hanging="198"/>
      </w:pPr>
      <w:r>
        <w:rPr>
          <w:rFonts w:ascii="Arial" w:hAnsi="Arial" w:cs="Arial"/>
          <w:b w:val="0"/>
          <w:sz w:val="21"/>
        </w:rPr>
        <w:t>A) Se exigen siempre 500 días de cotización.</w:t>
      </w:r>
    </w:p>
    <w:p>
      <w:pPr>
        <w:keepNext/>
        <w:keepLines/>
        <w:spacing w:after="40"/>
        <w:ind w:left="369" w:hanging="198"/>
      </w:pPr>
      <w:r>
        <w:rPr>
          <w:rFonts w:ascii="Arial" w:hAnsi="Arial" w:cs="Arial"/>
          <w:b w:val="0"/>
          <w:sz w:val="21"/>
        </w:rPr>
        <w:t>B) Se exigen quince años en todos los casos.</w:t>
      </w:r>
    </w:p>
    <w:p>
      <w:pPr>
        <w:keepNext/>
        <w:keepLines/>
        <w:spacing w:after="40"/>
        <w:ind w:left="369" w:hanging="198"/>
      </w:pPr>
      <w:r>
        <w:rPr>
          <w:rFonts w:ascii="Arial" w:hAnsi="Arial" w:cs="Arial"/>
          <w:b w:val="0"/>
          <w:sz w:val="21"/>
        </w:rPr>
        <w:t>C) No se exige período previo de cotización.</w:t>
      </w:r>
    </w:p>
    <w:p>
      <w:pPr>
        <w:keepNext/>
        <w:keepLines/>
        <w:spacing w:after="40"/>
        <w:ind w:left="369" w:hanging="198"/>
      </w:pPr>
      <w:r>
        <w:rPr>
          <w:rFonts w:ascii="Arial" w:hAnsi="Arial" w:cs="Arial"/>
          <w:b w:val="0"/>
          <w:sz w:val="21"/>
        </w:rPr>
        <w:t>D) Solo puede reconocerse el auxilio por defunción.</w:t>
      </w:r>
    </w:p>
    <w:p>
      <w:pPr>
        <w:pStyle w:val="Question"/>
        <w:keepNext/>
      </w:pPr>
      <w:r>
        <w:rPr>
          <w:rFonts w:ascii="Arial" w:hAnsi="Arial" w:cs="Arial"/>
          <w:sz w:val="22"/>
        </w:rPr>
        <w:t>72. A efectos de aplicar correctamente la regla examinada, un tercero formula tercería de dominio cuando el bien mueble embargado ya fue entregado al adjudicatario. La reclamación:</w:t>
      </w:r>
    </w:p>
    <w:p>
      <w:pPr>
        <w:keepNext/>
        <w:keepLines/>
        <w:spacing w:after="40"/>
        <w:ind w:left="369" w:hanging="198"/>
      </w:pPr>
      <w:r>
        <w:rPr>
          <w:rFonts w:ascii="Arial" w:hAnsi="Arial" w:cs="Arial"/>
          <w:b w:val="0"/>
          <w:sz w:val="21"/>
        </w:rPr>
        <w:t>A) No se admite por haberse presentado después del momento límite reglamentario, sin perjuicio de las acciones que procedan.</w:t>
      </w:r>
    </w:p>
    <w:p>
      <w:pPr>
        <w:keepNext/>
        <w:keepLines/>
        <w:spacing w:after="40"/>
        <w:ind w:left="369" w:hanging="198"/>
      </w:pPr>
      <w:r>
        <w:rPr>
          <w:rFonts w:ascii="Arial" w:hAnsi="Arial" w:cs="Arial"/>
          <w:b w:val="0"/>
          <w:sz w:val="21"/>
        </w:rPr>
        <w:t>B) Debe estimarse sin examinar el título.</w:t>
      </w:r>
    </w:p>
    <w:p>
      <w:pPr>
        <w:keepNext/>
        <w:keepLines/>
        <w:spacing w:after="40"/>
        <w:ind w:left="369" w:hanging="198"/>
      </w:pPr>
      <w:r>
        <w:rPr>
          <w:rFonts w:ascii="Arial" w:hAnsi="Arial" w:cs="Arial"/>
          <w:b w:val="0"/>
          <w:sz w:val="21"/>
        </w:rPr>
        <w:t>C) Suspende todos los expedientes de la provincia.</w:t>
      </w:r>
    </w:p>
    <w:p>
      <w:pPr>
        <w:keepNext/>
        <w:keepLines/>
        <w:spacing w:after="40"/>
        <w:ind w:left="369" w:hanging="198"/>
      </w:pPr>
      <w:r>
        <w:rPr>
          <w:rFonts w:ascii="Arial" w:hAnsi="Arial" w:cs="Arial"/>
          <w:b w:val="0"/>
          <w:sz w:val="21"/>
        </w:rPr>
        <w:t>D) Se tramita como aplazamiento.</w:t>
      </w:r>
    </w:p>
    <w:p>
      <w:pPr>
        <w:pStyle w:val="Question"/>
        <w:keepNext/>
      </w:pPr>
      <w:r>
        <w:rPr>
          <w:rFonts w:ascii="Arial" w:hAnsi="Arial" w:cs="Arial"/>
          <w:sz w:val="22"/>
        </w:rPr>
        <w:t>73. A efectos de aplicar correctamente la regla examinada, un trabajador no dado de alta sufre un accidente de trabajo durante la prestación. La solución correcta es:</w:t>
      </w:r>
    </w:p>
    <w:p>
      <w:pPr>
        <w:keepNext/>
        <w:keepLines/>
        <w:spacing w:after="40"/>
        <w:ind w:left="369" w:hanging="198"/>
      </w:pPr>
      <w:r>
        <w:rPr>
          <w:rFonts w:ascii="Arial" w:hAnsi="Arial" w:cs="Arial"/>
          <w:b w:val="0"/>
          <w:sz w:val="21"/>
        </w:rPr>
        <w:t>A) Negar toda protección porque no existe alta formal.</w:t>
      </w:r>
    </w:p>
    <w:p>
      <w:pPr>
        <w:keepNext/>
        <w:keepLines/>
        <w:spacing w:after="40"/>
        <w:ind w:left="369" w:hanging="198"/>
      </w:pPr>
      <w:r>
        <w:rPr>
          <w:rFonts w:ascii="Arial" w:hAnsi="Arial" w:cs="Arial"/>
          <w:b w:val="0"/>
          <w:sz w:val="21"/>
        </w:rPr>
        <w:t>B) Reconocer la prestación y declarar extinguidas cuotas, recargos y sanciones.</w:t>
      </w:r>
    </w:p>
    <w:p>
      <w:pPr>
        <w:keepNext/>
        <w:keepLines/>
        <w:spacing w:after="40"/>
        <w:ind w:left="369" w:hanging="198"/>
      </w:pPr>
      <w:r>
        <w:rPr>
          <w:rFonts w:ascii="Arial" w:hAnsi="Arial" w:cs="Arial"/>
          <w:b w:val="0"/>
          <w:sz w:val="21"/>
        </w:rPr>
        <w:t>C) Aplicar el alta de pleno derecho para la protección, sin eliminar la deuda ni la posible responsabilidad empresarial.</w:t>
      </w:r>
    </w:p>
    <w:p>
      <w:pPr>
        <w:keepNext/>
        <w:keepLines/>
        <w:spacing w:after="40"/>
        <w:ind w:left="369" w:hanging="198"/>
      </w:pPr>
      <w:r>
        <w:rPr>
          <w:rFonts w:ascii="Arial" w:hAnsi="Arial" w:cs="Arial"/>
          <w:b w:val="0"/>
          <w:sz w:val="21"/>
        </w:rPr>
        <w:t>D) Considerar que el INSS cursó retroactivamente el alta empresarial.</w:t>
      </w:r>
    </w:p>
    <w:p>
      <w:r>
        <w:br w:type="page"/>
      </w:r>
    </w:p>
    <w:p>
      <w:pPr>
        <w:pStyle w:val="Heading1"/>
      </w:pPr>
      <w:r>
        <w:t>Segunda parte · supuesto práctico</w:t>
      </w:r>
    </w:p>
    <w:p>
      <w:pPr>
        <w:shd w:fill="EAF2F8"/>
      </w:pPr>
      <w:r>
        <w:t>La Administración de la Tesorería General debe informar y proponer resolución sin atribuir al INSS funciones de la TGSS ni a la inversa. Salvo indicación expresa en una pregunta, cada subexpediente es independiente y solo deben utilizarse los datos facilitados. Resuelva las preguntas aplicando el programa específico de Seguridad Social y la normativa vigente a 30 de julio de 2026.</w:t>
      </w:r>
    </w:p>
    <w:p>
      <w:pPr>
        <w:pStyle w:val="Question"/>
        <w:keepNext/>
      </w:pPr>
      <w:r>
        <w:rPr>
          <w:rFonts w:ascii="Arial" w:hAnsi="Arial" w:cs="Arial"/>
          <w:sz w:val="22"/>
        </w:rPr>
        <w:t>1. La unidad competente debe resolver la siguiente cuestión: Si no se cumplieron en plazo las obligaciones de liquidación, pero se paga antes de finalizar el plazo fijado en la reclamación de deuda o acta de liquidación, se aplica un recargo del:</w:t>
      </w:r>
    </w:p>
    <w:p>
      <w:pPr>
        <w:keepNext/>
        <w:keepLines/>
        <w:spacing w:after="40"/>
        <w:ind w:left="369" w:hanging="198"/>
      </w:pPr>
      <w:r>
        <w:rPr>
          <w:rFonts w:ascii="Arial" w:hAnsi="Arial" w:cs="Arial"/>
          <w:b w:val="0"/>
          <w:sz w:val="21"/>
        </w:rPr>
        <w:t>A) 10 %.</w:t>
      </w:r>
    </w:p>
    <w:p>
      <w:pPr>
        <w:keepNext/>
        <w:keepLines/>
        <w:spacing w:after="40"/>
        <w:ind w:left="369" w:hanging="198"/>
      </w:pPr>
      <w:r>
        <w:rPr>
          <w:rFonts w:ascii="Arial" w:hAnsi="Arial" w:cs="Arial"/>
          <w:b w:val="0"/>
          <w:sz w:val="21"/>
        </w:rPr>
        <w:t>B) 25 %.</w:t>
      </w:r>
    </w:p>
    <w:p>
      <w:pPr>
        <w:keepNext/>
        <w:keepLines/>
        <w:spacing w:after="40"/>
        <w:ind w:left="369" w:hanging="198"/>
      </w:pPr>
      <w:r>
        <w:rPr>
          <w:rFonts w:ascii="Arial" w:hAnsi="Arial" w:cs="Arial"/>
          <w:b w:val="0"/>
          <w:sz w:val="21"/>
        </w:rPr>
        <w:t>C) 35 %.</w:t>
      </w:r>
    </w:p>
    <w:p>
      <w:pPr>
        <w:keepNext/>
        <w:keepLines/>
        <w:spacing w:after="40"/>
        <w:ind w:left="369" w:hanging="198"/>
      </w:pPr>
      <w:r>
        <w:rPr>
          <w:rFonts w:ascii="Arial" w:hAnsi="Arial" w:cs="Arial"/>
          <w:b w:val="0"/>
          <w:sz w:val="21"/>
        </w:rPr>
        <w:t>D) 20 %.</w:t>
      </w:r>
    </w:p>
    <w:p>
      <w:pPr>
        <w:pStyle w:val="Question"/>
        <w:keepNext/>
      </w:pPr>
      <w:r>
        <w:rPr>
          <w:rFonts w:ascii="Arial" w:hAnsi="Arial" w:cs="Arial"/>
          <w:sz w:val="22"/>
        </w:rPr>
        <w:t>2. En el subexpediente descrito y con los únicos datos facilitados, para una pensión por enfermedad común con carencia de al menos ocho años, la primera operación general es:</w:t>
      </w:r>
    </w:p>
    <w:p>
      <w:pPr>
        <w:keepNext/>
        <w:keepLines/>
        <w:spacing w:after="40"/>
        <w:ind w:left="369" w:hanging="198"/>
      </w:pPr>
      <w:r>
        <w:rPr>
          <w:rFonts w:ascii="Arial" w:hAnsi="Arial" w:cs="Arial"/>
          <w:b w:val="0"/>
          <w:sz w:val="21"/>
        </w:rPr>
        <w:t>A) Dividir entre 112 las 96 bases anteriores al mes previo.</w:t>
      </w:r>
    </w:p>
    <w:p>
      <w:pPr>
        <w:keepNext/>
        <w:keepLines/>
        <w:spacing w:after="40"/>
        <w:ind w:left="369" w:hanging="198"/>
      </w:pPr>
      <w:r>
        <w:rPr>
          <w:rFonts w:ascii="Arial" w:hAnsi="Arial" w:cs="Arial"/>
          <w:b w:val="0"/>
          <w:sz w:val="21"/>
        </w:rPr>
        <w:t>B) Dividir 24 bases entre 28.</w:t>
      </w:r>
    </w:p>
    <w:p>
      <w:pPr>
        <w:keepNext/>
        <w:keepLines/>
        <w:spacing w:after="40"/>
        <w:ind w:left="369" w:hanging="198"/>
      </w:pPr>
      <w:r>
        <w:rPr>
          <w:rFonts w:ascii="Arial" w:hAnsi="Arial" w:cs="Arial"/>
          <w:b w:val="0"/>
          <w:sz w:val="21"/>
        </w:rPr>
        <w:t>C) Aplicar 55 por ciento a la última base.</w:t>
      </w:r>
    </w:p>
    <w:p>
      <w:pPr>
        <w:keepNext/>
        <w:keepLines/>
        <w:spacing w:after="40"/>
        <w:ind w:left="369" w:hanging="198"/>
      </w:pPr>
      <w:r>
        <w:rPr>
          <w:rFonts w:ascii="Arial" w:hAnsi="Arial" w:cs="Arial"/>
          <w:b w:val="0"/>
          <w:sz w:val="21"/>
        </w:rPr>
        <w:t>D) Promediar salarios del último año.</w:t>
      </w:r>
    </w:p>
    <w:p>
      <w:pPr>
        <w:pStyle w:val="Question"/>
        <w:keepNext/>
      </w:pPr>
      <w:r>
        <w:rPr>
          <w:rFonts w:ascii="Arial" w:hAnsi="Arial" w:cs="Arial"/>
          <w:sz w:val="22"/>
        </w:rPr>
        <w:t>3. En el subexpediente descrito y con los únicos datos facilitados, si antes de solicitar un alta tardía se ingresaron cuotas en plazo reglamentario correspondientes al trabajador:</w:t>
      </w:r>
    </w:p>
    <w:p>
      <w:pPr>
        <w:keepNext/>
        <w:keepLines/>
        <w:spacing w:after="40"/>
        <w:ind w:left="369" w:hanging="198"/>
      </w:pPr>
      <w:r>
        <w:rPr>
          <w:rFonts w:ascii="Arial" w:hAnsi="Arial" w:cs="Arial"/>
          <w:b w:val="0"/>
          <w:sz w:val="21"/>
        </w:rPr>
        <w:t>A) El pago carece siempre de cualquier efecto.</w:t>
      </w:r>
    </w:p>
    <w:p>
      <w:pPr>
        <w:keepNext/>
        <w:keepLines/>
        <w:spacing w:after="40"/>
        <w:ind w:left="369" w:hanging="198"/>
      </w:pPr>
      <w:r>
        <w:rPr>
          <w:rFonts w:ascii="Arial" w:hAnsi="Arial" w:cs="Arial"/>
          <w:b w:val="0"/>
          <w:sz w:val="21"/>
        </w:rPr>
        <w:t>B) Se transforma automáticamente en afiliación a otro régimen.</w:t>
      </w:r>
    </w:p>
    <w:p>
      <w:pPr>
        <w:keepNext/>
        <w:keepLines/>
        <w:spacing w:after="40"/>
        <w:ind w:left="369" w:hanging="198"/>
      </w:pPr>
      <w:r>
        <w:rPr>
          <w:rFonts w:ascii="Arial" w:hAnsi="Arial" w:cs="Arial"/>
          <w:b w:val="0"/>
          <w:sz w:val="21"/>
        </w:rPr>
        <w:t>C) La TGSS debe devolver de oficio todas las cuotas.</w:t>
      </w:r>
    </w:p>
    <w:p>
      <w:pPr>
        <w:keepNext/>
        <w:keepLines/>
        <w:spacing w:after="40"/>
        <w:ind w:left="369" w:hanging="198"/>
      </w:pPr>
      <w:r>
        <w:rPr>
          <w:rFonts w:ascii="Arial" w:hAnsi="Arial" w:cs="Arial"/>
          <w:b w:val="0"/>
          <w:sz w:val="21"/>
        </w:rPr>
        <w:t>D) El alta puede retrotraer sus efectos al periodo al que corresponda la primera cuota ingresada, en los términos reglamentarios.</w:t>
      </w:r>
    </w:p>
    <w:p>
      <w:pPr>
        <w:pStyle w:val="Question"/>
        <w:keepNext/>
      </w:pPr>
      <w:r>
        <w:rPr>
          <w:rFonts w:ascii="Arial" w:hAnsi="Arial" w:cs="Arial"/>
          <w:sz w:val="22"/>
        </w:rPr>
        <w:t>4. Al comprobar el encuadramiento y sus efectos, por su ubicación constitucional, el artículo 41 es:</w:t>
      </w:r>
    </w:p>
    <w:p>
      <w:pPr>
        <w:keepNext/>
        <w:keepLines/>
        <w:spacing w:after="40"/>
        <w:ind w:left="369" w:hanging="198"/>
      </w:pPr>
      <w:r>
        <w:rPr>
          <w:rFonts w:ascii="Arial" w:hAnsi="Arial" w:cs="Arial"/>
          <w:b w:val="0"/>
          <w:sz w:val="21"/>
        </w:rPr>
        <w:t>A) Un derecho fundamental de la sección primera.</w:t>
      </w:r>
    </w:p>
    <w:p>
      <w:pPr>
        <w:keepNext/>
        <w:keepLines/>
        <w:spacing w:after="40"/>
        <w:ind w:left="369" w:hanging="198"/>
      </w:pPr>
      <w:r>
        <w:rPr>
          <w:rFonts w:ascii="Arial" w:hAnsi="Arial" w:cs="Arial"/>
          <w:b w:val="0"/>
          <w:sz w:val="21"/>
        </w:rPr>
        <w:t>B) Un principio rector de la política social y económica.</w:t>
      </w:r>
    </w:p>
    <w:p>
      <w:pPr>
        <w:keepNext/>
        <w:keepLines/>
        <w:spacing w:after="40"/>
        <w:ind w:left="369" w:hanging="198"/>
      </w:pPr>
      <w:r>
        <w:rPr>
          <w:rFonts w:ascii="Arial" w:hAnsi="Arial" w:cs="Arial"/>
          <w:b w:val="0"/>
          <w:sz w:val="21"/>
        </w:rPr>
        <w:t>C) Una garantía institucional fuera del título I.</w:t>
      </w:r>
    </w:p>
    <w:p>
      <w:pPr>
        <w:keepNext/>
        <w:keepLines/>
        <w:spacing w:after="40"/>
        <w:ind w:left="369" w:hanging="198"/>
      </w:pPr>
      <w:r>
        <w:rPr>
          <w:rFonts w:ascii="Arial" w:hAnsi="Arial" w:cs="Arial"/>
          <w:b w:val="0"/>
          <w:sz w:val="21"/>
        </w:rPr>
        <w:t>D) Una regla sobre reforma constitucional.</w:t>
      </w:r>
    </w:p>
    <w:p>
      <w:pPr>
        <w:pStyle w:val="Question"/>
        <w:keepNext/>
      </w:pPr>
      <w:r>
        <w:rPr>
          <w:rFonts w:ascii="Arial" w:hAnsi="Arial" w:cs="Arial"/>
          <w:sz w:val="22"/>
        </w:rPr>
        <w:t>5. Al comprobar el encuadramiento y sus efectos, durante un periodo de inactividad agraria, la falta de ingreso de las cuotas correspondientes:</w:t>
      </w:r>
    </w:p>
    <w:p>
      <w:pPr>
        <w:keepNext/>
        <w:keepLines/>
        <w:spacing w:after="40"/>
        <w:ind w:left="369" w:hanging="198"/>
      </w:pPr>
      <w:r>
        <w:rPr>
          <w:rFonts w:ascii="Arial" w:hAnsi="Arial" w:cs="Arial"/>
          <w:b w:val="0"/>
          <w:sz w:val="21"/>
        </w:rPr>
        <w:t>A) Nunca afecta a la inclusión en el sistema especial.</w:t>
      </w:r>
    </w:p>
    <w:p>
      <w:pPr>
        <w:keepNext/>
        <w:keepLines/>
        <w:spacing w:after="40"/>
        <w:ind w:left="369" w:hanging="198"/>
      </w:pPr>
      <w:r>
        <w:rPr>
          <w:rFonts w:ascii="Arial" w:hAnsi="Arial" w:cs="Arial"/>
          <w:b w:val="0"/>
          <w:sz w:val="21"/>
        </w:rPr>
        <w:t>B) Produce la baja tras una única cuota impagada, el mismo día del vencimiento.</w:t>
      </w:r>
    </w:p>
    <w:p>
      <w:pPr>
        <w:keepNext/>
        <w:keepLines/>
        <w:spacing w:after="40"/>
        <w:ind w:left="369" w:hanging="198"/>
      </w:pPr>
      <w:r>
        <w:rPr>
          <w:rFonts w:ascii="Arial" w:hAnsi="Arial" w:cs="Arial"/>
          <w:b w:val="0"/>
          <w:sz w:val="21"/>
        </w:rPr>
        <w:t>C) Determina la exclusión cuando se dejan de ingresar dos mensualidades consecutivas, con efectos desde el primer día del mes siguiente a la segunda.</w:t>
      </w:r>
    </w:p>
    <w:p>
      <w:pPr>
        <w:keepNext/>
        <w:keepLines/>
        <w:spacing w:after="40"/>
        <w:ind w:left="369" w:hanging="198"/>
      </w:pPr>
      <w:r>
        <w:rPr>
          <w:rFonts w:ascii="Arial" w:hAnsi="Arial" w:cs="Arial"/>
          <w:b w:val="0"/>
          <w:sz w:val="21"/>
        </w:rPr>
        <w:t>D) Solo genera intereses, aunque se acumulen doce mensualidades.</w:t>
      </w:r>
    </w:p>
    <w:p>
      <w:pPr>
        <w:pStyle w:val="Question"/>
        <w:keepNext/>
      </w:pPr>
      <w:r>
        <w:rPr>
          <w:rFonts w:ascii="Arial" w:hAnsi="Arial" w:cs="Arial"/>
          <w:sz w:val="22"/>
        </w:rPr>
        <w:t>6. La unidad competente debe resolver la siguiente cuestión: El subsidio contributivo por nacimiento y cuidado equivale a:</w:t>
      </w:r>
    </w:p>
    <w:p>
      <w:pPr>
        <w:keepNext/>
        <w:keepLines/>
        <w:spacing w:after="40"/>
        <w:ind w:left="369" w:hanging="198"/>
      </w:pPr>
      <w:r>
        <w:rPr>
          <w:rFonts w:ascii="Arial" w:hAnsi="Arial" w:cs="Arial"/>
          <w:b w:val="0"/>
          <w:sz w:val="21"/>
        </w:rPr>
        <w:t>A) 60 por ciento de la base.</w:t>
      </w:r>
    </w:p>
    <w:p>
      <w:pPr>
        <w:keepNext/>
        <w:keepLines/>
        <w:spacing w:after="40"/>
        <w:ind w:left="369" w:hanging="198"/>
      </w:pPr>
      <w:r>
        <w:rPr>
          <w:rFonts w:ascii="Arial" w:hAnsi="Arial" w:cs="Arial"/>
          <w:b w:val="0"/>
          <w:sz w:val="21"/>
        </w:rPr>
        <w:t>B) 100 por ciento de la base reguladora.</w:t>
      </w:r>
    </w:p>
    <w:p>
      <w:pPr>
        <w:keepNext/>
        <w:keepLines/>
        <w:spacing w:after="40"/>
        <w:ind w:left="369" w:hanging="198"/>
      </w:pPr>
      <w:r>
        <w:rPr>
          <w:rFonts w:ascii="Arial" w:hAnsi="Arial" w:cs="Arial"/>
          <w:b w:val="0"/>
          <w:sz w:val="21"/>
        </w:rPr>
        <w:t>C) 75 por ciento de la base.</w:t>
      </w:r>
    </w:p>
    <w:p>
      <w:pPr>
        <w:keepNext/>
        <w:keepLines/>
        <w:spacing w:after="40"/>
        <w:ind w:left="369" w:hanging="198"/>
      </w:pPr>
      <w:r>
        <w:rPr>
          <w:rFonts w:ascii="Arial" w:hAnsi="Arial" w:cs="Arial"/>
          <w:b w:val="0"/>
          <w:sz w:val="21"/>
        </w:rPr>
        <w:t>D) 100 por ciento del IPREM en todo caso.</w:t>
      </w:r>
    </w:p>
    <w:p>
      <w:pPr>
        <w:pStyle w:val="Question"/>
        <w:keepNext/>
      </w:pPr>
      <w:r>
        <w:rPr>
          <w:rFonts w:ascii="Arial" w:hAnsi="Arial" w:cs="Arial"/>
          <w:sz w:val="22"/>
        </w:rPr>
        <w:t>7. En el subexpediente descrito y con los únicos datos facilitados, se considera de pleno derecho en alta, aunque el empresario incumpla, a efectos de:</w:t>
      </w:r>
    </w:p>
    <w:p>
      <w:pPr>
        <w:keepNext/>
        <w:keepLines/>
        <w:spacing w:after="40"/>
        <w:ind w:left="369" w:hanging="198"/>
      </w:pPr>
      <w:r>
        <w:rPr>
          <w:rFonts w:ascii="Arial" w:hAnsi="Arial" w:cs="Arial"/>
          <w:b w:val="0"/>
          <w:sz w:val="21"/>
        </w:rPr>
        <w:t>A) Accidente de trabajo, enfermedad profesional y desempleo.</w:t>
      </w:r>
    </w:p>
    <w:p>
      <w:pPr>
        <w:keepNext/>
        <w:keepLines/>
        <w:spacing w:after="40"/>
        <w:ind w:left="369" w:hanging="198"/>
      </w:pPr>
      <w:r>
        <w:rPr>
          <w:rFonts w:ascii="Arial" w:hAnsi="Arial" w:cs="Arial"/>
          <w:b w:val="0"/>
          <w:sz w:val="21"/>
        </w:rPr>
        <w:t>B) Cualquier pensión no contributiva.</w:t>
      </w:r>
    </w:p>
    <w:p>
      <w:pPr>
        <w:keepNext/>
        <w:keepLines/>
        <w:spacing w:after="40"/>
        <w:ind w:left="369" w:hanging="198"/>
      </w:pPr>
      <w:r>
        <w:rPr>
          <w:rFonts w:ascii="Arial" w:hAnsi="Arial" w:cs="Arial"/>
          <w:b w:val="0"/>
          <w:sz w:val="21"/>
        </w:rPr>
        <w:t>C) Solo jubilación ordinaria.</w:t>
      </w:r>
    </w:p>
    <w:p>
      <w:pPr>
        <w:keepNext/>
        <w:keepLines/>
        <w:spacing w:after="40"/>
        <w:ind w:left="369" w:hanging="198"/>
      </w:pPr>
      <w:r>
        <w:rPr>
          <w:rFonts w:ascii="Arial" w:hAnsi="Arial" w:cs="Arial"/>
          <w:b w:val="0"/>
          <w:sz w:val="21"/>
        </w:rPr>
        <w:t>D) Toda prestación sin excepción.</w:t>
      </w:r>
    </w:p>
    <w:p>
      <w:pPr>
        <w:pStyle w:val="Question"/>
        <w:keepNext/>
      </w:pPr>
      <w:r>
        <w:rPr>
          <w:rFonts w:ascii="Arial" w:hAnsi="Arial" w:cs="Arial"/>
          <w:sz w:val="22"/>
        </w:rPr>
        <w:t>8. Al comprobar el encuadramiento y sus efectos, los activos del Fondo de Reserva se materializan:</w:t>
      </w:r>
    </w:p>
    <w:p>
      <w:pPr>
        <w:keepNext/>
        <w:keepLines/>
        <w:spacing w:after="40"/>
        <w:ind w:left="369" w:hanging="198"/>
      </w:pPr>
      <w:r>
        <w:rPr>
          <w:rFonts w:ascii="Arial" w:hAnsi="Arial" w:cs="Arial"/>
          <w:b w:val="0"/>
          <w:sz w:val="21"/>
        </w:rPr>
        <w:t>A) Exclusivamente en acciones de sociedades privadas.</w:t>
      </w:r>
    </w:p>
    <w:p>
      <w:pPr>
        <w:keepNext/>
        <w:keepLines/>
        <w:spacing w:after="40"/>
        <w:ind w:left="369" w:hanging="198"/>
      </w:pPr>
      <w:r>
        <w:rPr>
          <w:rFonts w:ascii="Arial" w:hAnsi="Arial" w:cs="Arial"/>
          <w:b w:val="0"/>
          <w:sz w:val="21"/>
        </w:rPr>
        <w:t>B) En títulos emitidos por personas jurídicas públicas, conforme a los criterios legales y reglamentarios.</w:t>
      </w:r>
    </w:p>
    <w:p>
      <w:pPr>
        <w:keepNext/>
        <w:keepLines/>
        <w:spacing w:after="40"/>
        <w:ind w:left="369" w:hanging="198"/>
      </w:pPr>
      <w:r>
        <w:rPr>
          <w:rFonts w:ascii="Arial" w:hAnsi="Arial" w:cs="Arial"/>
          <w:b w:val="0"/>
          <w:sz w:val="21"/>
        </w:rPr>
        <w:t>C) Solo en inmuebles adscritos al INSS.</w:t>
      </w:r>
    </w:p>
    <w:p>
      <w:pPr>
        <w:keepNext/>
        <w:keepLines/>
        <w:spacing w:after="40"/>
        <w:ind w:left="369" w:hanging="198"/>
      </w:pPr>
      <w:r>
        <w:rPr>
          <w:rFonts w:ascii="Arial" w:hAnsi="Arial" w:cs="Arial"/>
          <w:b w:val="0"/>
          <w:sz w:val="21"/>
        </w:rPr>
        <w:t>D) En préstamos personales a pensionistas.</w:t>
      </w:r>
    </w:p>
    <w:p>
      <w:pPr>
        <w:pStyle w:val="Question"/>
        <w:keepNext/>
      </w:pPr>
      <w:r>
        <w:rPr>
          <w:rFonts w:ascii="Arial" w:hAnsi="Arial" w:cs="Arial"/>
          <w:sz w:val="22"/>
        </w:rPr>
        <w:t>9. La unidad competente debe resolver la siguiente cuestión: Según el artículo 22 TRLGSS, uno de los sistemas legales de liquidación es:</w:t>
      </w:r>
    </w:p>
    <w:p>
      <w:pPr>
        <w:keepNext/>
        <w:keepLines/>
        <w:spacing w:after="40"/>
        <w:ind w:left="369" w:hanging="198"/>
      </w:pPr>
      <w:r>
        <w:rPr>
          <w:rFonts w:ascii="Arial" w:hAnsi="Arial" w:cs="Arial"/>
          <w:b w:val="0"/>
          <w:sz w:val="21"/>
        </w:rPr>
        <w:t>A) El sistema de compensación judicial.</w:t>
      </w:r>
    </w:p>
    <w:p>
      <w:pPr>
        <w:keepNext/>
        <w:keepLines/>
        <w:spacing w:after="40"/>
        <w:ind w:left="369" w:hanging="198"/>
      </w:pPr>
      <w:r>
        <w:rPr>
          <w:rFonts w:ascii="Arial" w:hAnsi="Arial" w:cs="Arial"/>
          <w:b w:val="0"/>
          <w:sz w:val="21"/>
        </w:rPr>
        <w:t>B) El sistema de capitalización individual.</w:t>
      </w:r>
    </w:p>
    <w:p>
      <w:pPr>
        <w:keepNext/>
        <w:keepLines/>
        <w:spacing w:after="40"/>
        <w:ind w:left="369" w:hanging="198"/>
      </w:pPr>
      <w:r>
        <w:rPr>
          <w:rFonts w:ascii="Arial" w:hAnsi="Arial" w:cs="Arial"/>
          <w:b w:val="0"/>
          <w:sz w:val="21"/>
        </w:rPr>
        <w:t>C) El sistema de estimación tributaria.</w:t>
      </w:r>
    </w:p>
    <w:p>
      <w:pPr>
        <w:keepNext/>
        <w:keepLines/>
        <w:spacing w:after="40"/>
        <w:ind w:left="369" w:hanging="198"/>
      </w:pPr>
      <w:r>
        <w:rPr>
          <w:rFonts w:ascii="Arial" w:hAnsi="Arial" w:cs="Arial"/>
          <w:b w:val="0"/>
          <w:sz w:val="21"/>
        </w:rPr>
        <w:t>D) El sistema de autoliquidación.</w:t>
      </w:r>
    </w:p>
    <w:p>
      <w:pPr>
        <w:pStyle w:val="Question"/>
        <w:keepNext/>
      </w:pPr>
      <w:r>
        <w:rPr>
          <w:rFonts w:ascii="Arial" w:hAnsi="Arial" w:cs="Arial"/>
          <w:sz w:val="22"/>
        </w:rPr>
        <w:t>10. En la tramitación del expediente de Seguridad Social, la incapacidad no contributiva exige, entre otros requisitos, un grado de discapacidad o enfermedad crónica:</w:t>
      </w:r>
    </w:p>
    <w:p>
      <w:pPr>
        <w:keepNext/>
        <w:keepLines/>
        <w:spacing w:after="40"/>
        <w:ind w:left="369" w:hanging="198"/>
      </w:pPr>
      <w:r>
        <w:rPr>
          <w:rFonts w:ascii="Arial" w:hAnsi="Arial" w:cs="Arial"/>
          <w:b w:val="0"/>
          <w:sz w:val="21"/>
        </w:rPr>
        <w:t>A) Igual o superior al 33 %.</w:t>
      </w:r>
    </w:p>
    <w:p>
      <w:pPr>
        <w:keepNext/>
        <w:keepLines/>
        <w:spacing w:after="40"/>
        <w:ind w:left="369" w:hanging="198"/>
      </w:pPr>
      <w:r>
        <w:rPr>
          <w:rFonts w:ascii="Arial" w:hAnsi="Arial" w:cs="Arial"/>
          <w:b w:val="0"/>
          <w:sz w:val="21"/>
        </w:rPr>
        <w:t>B) Igual o superior al 65 %.</w:t>
      </w:r>
    </w:p>
    <w:p>
      <w:pPr>
        <w:keepNext/>
        <w:keepLines/>
        <w:spacing w:after="40"/>
        <w:ind w:left="369" w:hanging="198"/>
      </w:pPr>
      <w:r>
        <w:rPr>
          <w:rFonts w:ascii="Arial" w:hAnsi="Arial" w:cs="Arial"/>
          <w:b w:val="0"/>
          <w:sz w:val="21"/>
        </w:rPr>
        <w:t>C) Superior al 50 % solo si existe empleo.</w:t>
      </w:r>
    </w:p>
    <w:p>
      <w:pPr>
        <w:keepNext/>
        <w:keepLines/>
        <w:spacing w:after="40"/>
        <w:ind w:left="369" w:hanging="198"/>
      </w:pPr>
      <w:r>
        <w:rPr>
          <w:rFonts w:ascii="Arial" w:hAnsi="Arial" w:cs="Arial"/>
          <w:b w:val="0"/>
          <w:sz w:val="21"/>
        </w:rPr>
        <w:t>D) Exactamente del 75 %.</w:t>
      </w:r>
    </w:p>
    <w:p>
      <w:pPr>
        <w:pStyle w:val="Question"/>
        <w:keepNext/>
      </w:pPr>
      <w:r>
        <w:rPr>
          <w:rFonts w:ascii="Arial" w:hAnsi="Arial" w:cs="Arial"/>
          <w:sz w:val="22"/>
        </w:rPr>
        <w:t>11. Al comprobar el encuadramiento y sus efectos, para que una enfermedad sea profesional conforme al artículo 157 debe:</w:t>
      </w:r>
    </w:p>
    <w:p>
      <w:pPr>
        <w:keepNext/>
        <w:keepLines/>
        <w:spacing w:after="40"/>
        <w:ind w:left="369" w:hanging="198"/>
      </w:pPr>
      <w:r>
        <w:rPr>
          <w:rFonts w:ascii="Arial" w:hAnsi="Arial" w:cs="Arial"/>
          <w:b w:val="0"/>
          <w:sz w:val="21"/>
        </w:rPr>
        <w:t>A) Encajar en actividad y agente del cuadro oficial.</w:t>
      </w:r>
    </w:p>
    <w:p>
      <w:pPr>
        <w:keepNext/>
        <w:keepLines/>
        <w:spacing w:after="40"/>
        <w:ind w:left="369" w:hanging="198"/>
      </w:pPr>
      <w:r>
        <w:rPr>
          <w:rFonts w:ascii="Arial" w:hAnsi="Arial" w:cs="Arial"/>
          <w:b w:val="0"/>
          <w:sz w:val="21"/>
        </w:rPr>
        <w:t>B) Haber causado necesariamente incapacidad permanente.</w:t>
      </w:r>
    </w:p>
    <w:p>
      <w:pPr>
        <w:keepNext/>
        <w:keepLines/>
        <w:spacing w:after="40"/>
        <w:ind w:left="369" w:hanging="198"/>
      </w:pPr>
      <w:r>
        <w:rPr>
          <w:rFonts w:ascii="Arial" w:hAnsi="Arial" w:cs="Arial"/>
          <w:b w:val="0"/>
          <w:sz w:val="21"/>
        </w:rPr>
        <w:t>C) Ser diagnosticada por un médico de empresa.</w:t>
      </w:r>
    </w:p>
    <w:p>
      <w:pPr>
        <w:keepNext/>
        <w:keepLines/>
        <w:spacing w:after="40"/>
        <w:ind w:left="369" w:hanging="198"/>
      </w:pPr>
      <w:r>
        <w:rPr>
          <w:rFonts w:ascii="Arial" w:hAnsi="Arial" w:cs="Arial"/>
          <w:b w:val="0"/>
          <w:sz w:val="21"/>
        </w:rPr>
        <w:t>D) Deberse solo a una jornada extensa.</w:t>
      </w:r>
    </w:p>
    <w:p>
      <w:pPr>
        <w:pStyle w:val="Question"/>
        <w:keepNext/>
      </w:pPr>
      <w:r>
        <w:rPr>
          <w:rFonts w:ascii="Arial" w:hAnsi="Arial" w:cs="Arial"/>
          <w:sz w:val="22"/>
        </w:rPr>
        <w:t>12. La unidad competente debe resolver la siguiente cuestión: Una lesión profesional definitiva incluida en baremo, que no alcanza IP:</w:t>
      </w:r>
    </w:p>
    <w:p>
      <w:pPr>
        <w:keepNext/>
        <w:keepLines/>
        <w:spacing w:after="40"/>
        <w:ind w:left="369" w:hanging="198"/>
      </w:pPr>
      <w:r>
        <w:rPr>
          <w:rFonts w:ascii="Arial" w:hAnsi="Arial" w:cs="Arial"/>
          <w:b w:val="0"/>
          <w:sz w:val="21"/>
        </w:rPr>
        <w:t>A) Genera siempre una pensión del 55 por ciento.</w:t>
      </w:r>
    </w:p>
    <w:p>
      <w:pPr>
        <w:keepNext/>
        <w:keepLines/>
        <w:spacing w:after="40"/>
        <w:ind w:left="369" w:hanging="198"/>
      </w:pPr>
      <w:r>
        <w:rPr>
          <w:rFonts w:ascii="Arial" w:hAnsi="Arial" w:cs="Arial"/>
          <w:b w:val="0"/>
          <w:sz w:val="21"/>
        </w:rPr>
        <w:t>B) Impide continuar en la empresa.</w:t>
      </w:r>
    </w:p>
    <w:p>
      <w:pPr>
        <w:keepNext/>
        <w:keepLines/>
        <w:spacing w:after="40"/>
        <w:ind w:left="369" w:hanging="198"/>
      </w:pPr>
      <w:r>
        <w:rPr>
          <w:rFonts w:ascii="Arial" w:hAnsi="Arial" w:cs="Arial"/>
          <w:b w:val="0"/>
          <w:sz w:val="21"/>
        </w:rPr>
        <w:t>C) Puede dar lugar a indemnización única por lesión permanente no incapacitante.</w:t>
      </w:r>
    </w:p>
    <w:p>
      <w:pPr>
        <w:keepNext/>
        <w:keepLines/>
        <w:spacing w:after="40"/>
        <w:ind w:left="369" w:hanging="198"/>
      </w:pPr>
      <w:r>
        <w:rPr>
          <w:rFonts w:ascii="Arial" w:hAnsi="Arial" w:cs="Arial"/>
          <w:b w:val="0"/>
          <w:sz w:val="21"/>
        </w:rPr>
        <w:t>D) Se califica como accidente no laboral.</w:t>
      </w:r>
    </w:p>
    <w:p>
      <w:pPr>
        <w:pStyle w:val="Question"/>
        <w:keepNext/>
      </w:pPr>
      <w:r>
        <w:rPr>
          <w:rFonts w:ascii="Arial" w:hAnsi="Arial" w:cs="Arial"/>
          <w:sz w:val="22"/>
        </w:rPr>
        <w:t>13. La unidad competente debe resolver la siguiente cuestión: El porcentaje del 70 % de viudedad:</w:t>
      </w:r>
    </w:p>
    <w:p>
      <w:pPr>
        <w:keepNext/>
        <w:keepLines/>
        <w:spacing w:after="40"/>
        <w:ind w:left="369" w:hanging="198"/>
      </w:pPr>
      <w:r>
        <w:rPr>
          <w:rFonts w:ascii="Arial" w:hAnsi="Arial" w:cs="Arial"/>
          <w:b w:val="0"/>
          <w:sz w:val="21"/>
        </w:rPr>
        <w:t>A) Se aplica a toda persona con hijos, cualquiera que sea su renta.</w:t>
      </w:r>
    </w:p>
    <w:p>
      <w:pPr>
        <w:keepNext/>
        <w:keepLines/>
        <w:spacing w:after="40"/>
        <w:ind w:left="369" w:hanging="198"/>
      </w:pPr>
      <w:r>
        <w:rPr>
          <w:rFonts w:ascii="Arial" w:hAnsi="Arial" w:cs="Arial"/>
          <w:b w:val="0"/>
          <w:sz w:val="21"/>
        </w:rPr>
        <w:t>B) Sustituye la base reguladora por el salario mínimo.</w:t>
      </w:r>
    </w:p>
    <w:p>
      <w:pPr>
        <w:keepNext/>
        <w:keepLines/>
        <w:spacing w:after="40"/>
        <w:ind w:left="369" w:hanging="198"/>
      </w:pPr>
      <w:r>
        <w:rPr>
          <w:rFonts w:ascii="Arial" w:hAnsi="Arial" w:cs="Arial"/>
          <w:b w:val="0"/>
          <w:sz w:val="21"/>
        </w:rPr>
        <w:t>C) Requiere cumulativamente cargas familiares, que la pensión sea la principal o única fuente de ingresos y no superar los límites de renta.</w:t>
      </w:r>
    </w:p>
    <w:p>
      <w:pPr>
        <w:keepNext/>
        <w:keepLines/>
        <w:spacing w:after="40"/>
        <w:ind w:left="369" w:hanging="198"/>
      </w:pPr>
      <w:r>
        <w:rPr>
          <w:rFonts w:ascii="Arial" w:hAnsi="Arial" w:cs="Arial"/>
          <w:b w:val="0"/>
          <w:sz w:val="21"/>
        </w:rPr>
        <w:t>D) Solo se aplica a fallecimientos por accidente de trabajo.</w:t>
      </w:r>
    </w:p>
    <w:p>
      <w:pPr>
        <w:pStyle w:val="Question"/>
        <w:keepNext/>
      </w:pPr>
      <w:r>
        <w:rPr>
          <w:rFonts w:ascii="Arial" w:hAnsi="Arial" w:cs="Arial"/>
          <w:sz w:val="22"/>
        </w:rPr>
        <w:t>14. La unidad competente debe resolver la siguiente cuestión: La Intervención General de la Seguridad Social:</w:t>
      </w:r>
    </w:p>
    <w:p>
      <w:pPr>
        <w:keepNext/>
        <w:keepLines/>
        <w:spacing w:after="40"/>
        <w:ind w:left="369" w:hanging="198"/>
      </w:pPr>
      <w:r>
        <w:rPr>
          <w:rFonts w:ascii="Arial" w:hAnsi="Arial" w:cs="Arial"/>
          <w:b w:val="0"/>
          <w:sz w:val="21"/>
        </w:rPr>
        <w:t>A) Es órgano de control interno y dirección contable, con dependencia funcional de IGAE.</w:t>
      </w:r>
    </w:p>
    <w:p>
      <w:pPr>
        <w:keepNext/>
        <w:keepLines/>
        <w:spacing w:after="40"/>
        <w:ind w:left="369" w:hanging="198"/>
      </w:pPr>
      <w:r>
        <w:rPr>
          <w:rFonts w:ascii="Arial" w:hAnsi="Arial" w:cs="Arial"/>
          <w:b w:val="0"/>
          <w:sz w:val="21"/>
        </w:rPr>
        <w:t>B) Reconoce ordinariamente pensiones de jubilación.</w:t>
      </w:r>
    </w:p>
    <w:p>
      <w:pPr>
        <w:keepNext/>
        <w:keepLines/>
        <w:spacing w:after="40"/>
        <w:ind w:left="369" w:hanging="198"/>
      </w:pPr>
      <w:r>
        <w:rPr>
          <w:rFonts w:ascii="Arial" w:hAnsi="Arial" w:cs="Arial"/>
          <w:b w:val="0"/>
          <w:sz w:val="21"/>
        </w:rPr>
        <w:t>C) Gestiona como mutua las contingencias profesionales.</w:t>
      </w:r>
    </w:p>
    <w:p>
      <w:pPr>
        <w:keepNext/>
        <w:keepLines/>
        <w:spacing w:after="40"/>
        <w:ind w:left="369" w:hanging="198"/>
      </w:pPr>
      <w:r>
        <w:rPr>
          <w:rFonts w:ascii="Arial" w:hAnsi="Arial" w:cs="Arial"/>
          <w:b w:val="0"/>
          <w:sz w:val="21"/>
        </w:rPr>
        <w:t>D) Es una entidad gestora enumerada en el artículo 66.</w:t>
      </w:r>
    </w:p>
    <w:p>
      <w:pPr>
        <w:pStyle w:val="Question"/>
        <w:keepNext/>
      </w:pPr>
      <w:r>
        <w:rPr>
          <w:rFonts w:ascii="Arial" w:hAnsi="Arial" w:cs="Arial"/>
          <w:sz w:val="22"/>
        </w:rPr>
        <w:t>15. En el subexpediente descrito y con los únicos datos facilitados, autorizada una adjudicación directa tras quedar desierta la segunda subasta, las actuaciones para adjudicar el bien deben realizarse, como regla, dentro de:</w:t>
      </w:r>
    </w:p>
    <w:p>
      <w:pPr>
        <w:keepNext/>
        <w:keepLines/>
        <w:spacing w:after="40"/>
        <w:ind w:left="369" w:hanging="198"/>
      </w:pPr>
      <w:r>
        <w:rPr>
          <w:rFonts w:ascii="Arial" w:hAnsi="Arial" w:cs="Arial"/>
          <w:b w:val="0"/>
          <w:sz w:val="21"/>
        </w:rPr>
        <w:t>A) Veinte días.</w:t>
      </w:r>
    </w:p>
    <w:p>
      <w:pPr>
        <w:keepNext/>
        <w:keepLines/>
        <w:spacing w:after="40"/>
        <w:ind w:left="369" w:hanging="198"/>
      </w:pPr>
      <w:r>
        <w:rPr>
          <w:rFonts w:ascii="Arial" w:hAnsi="Arial" w:cs="Arial"/>
          <w:b w:val="0"/>
          <w:sz w:val="21"/>
        </w:rPr>
        <w:t>B) Tres meses.</w:t>
      </w:r>
    </w:p>
    <w:p>
      <w:pPr>
        <w:keepNext/>
        <w:keepLines/>
        <w:spacing w:after="40"/>
        <w:ind w:left="369" w:hanging="198"/>
      </w:pPr>
      <w:r>
        <w:rPr>
          <w:rFonts w:ascii="Arial" w:hAnsi="Arial" w:cs="Arial"/>
          <w:b w:val="0"/>
          <w:sz w:val="21"/>
        </w:rPr>
        <w:t>C) Un año.</w:t>
      </w:r>
    </w:p>
    <w:p>
      <w:pPr>
        <w:keepNext/>
        <w:keepLines/>
        <w:spacing w:after="40"/>
        <w:ind w:left="369" w:hanging="198"/>
      </w:pPr>
      <w:r>
        <w:rPr>
          <w:rFonts w:ascii="Arial" w:hAnsi="Arial" w:cs="Arial"/>
          <w:b w:val="0"/>
          <w:sz w:val="21"/>
        </w:rPr>
        <w:t>D) Seis meses desde la autorización.</w:t>
      </w:r>
    </w:p>
    <w:p>
      <w:pPr>
        <w:pStyle w:val="Heading2"/>
      </w:pPr>
      <w:r>
        <w:t>Preguntas de reserva de la segunda parte</w:t>
      </w:r>
    </w:p>
    <w:p>
      <w:pPr>
        <w:pStyle w:val="Question"/>
        <w:keepNext/>
      </w:pPr>
      <w:r>
        <w:rPr>
          <w:rFonts w:ascii="Arial" w:hAnsi="Arial" w:cs="Arial"/>
          <w:sz w:val="22"/>
        </w:rPr>
        <w:t>16. La unidad competente debe resolver la siguiente cuestión: ¿Qué regla de exención de garantía resulta aplicable a los aplazamientos a 30 de julio de 2026?</w:t>
      </w:r>
    </w:p>
    <w:p>
      <w:pPr>
        <w:keepNext/>
        <w:keepLines/>
        <w:spacing w:after="40"/>
        <w:ind w:left="369" w:hanging="198"/>
      </w:pPr>
      <w:r>
        <w:rPr>
          <w:rFonts w:ascii="Arial" w:hAnsi="Arial" w:cs="Arial"/>
          <w:b w:val="0"/>
          <w:sz w:val="21"/>
        </w:rPr>
        <w:t>A) Toda deuda inferior a 500.000 euros queda exenta sin condiciones.</w:t>
      </w:r>
    </w:p>
    <w:p>
      <w:pPr>
        <w:keepNext/>
        <w:keepLines/>
        <w:spacing w:after="40"/>
        <w:ind w:left="369" w:hanging="198"/>
      </w:pPr>
      <w:r>
        <w:rPr>
          <w:rFonts w:ascii="Arial" w:hAnsi="Arial" w:cs="Arial"/>
          <w:b w:val="0"/>
          <w:sz w:val="21"/>
        </w:rPr>
        <w:t>B) No se exige garantía si la deuda aplazable es igual o inferior a 150.000 euros; también puede eximirse si es inferior a 250.000 euros y se paga al menos un tercio en diez días y el resto en dos años.</w:t>
      </w:r>
    </w:p>
    <w:p>
      <w:pPr>
        <w:keepNext/>
        <w:keepLines/>
        <w:spacing w:after="40"/>
        <w:ind w:left="369" w:hanging="198"/>
      </w:pPr>
      <w:r>
        <w:rPr>
          <w:rFonts w:ascii="Arial" w:hAnsi="Arial" w:cs="Arial"/>
          <w:b w:val="0"/>
          <w:sz w:val="21"/>
        </w:rPr>
        <w:t>C) Solo quedan exentas las deudas inferiores a 30.000 euros.</w:t>
      </w:r>
    </w:p>
    <w:p>
      <w:pPr>
        <w:keepNext/>
        <w:keepLines/>
        <w:spacing w:after="40"/>
        <w:ind w:left="369" w:hanging="198"/>
      </w:pPr>
      <w:r>
        <w:rPr>
          <w:rFonts w:ascii="Arial" w:hAnsi="Arial" w:cs="Arial"/>
          <w:b w:val="0"/>
          <w:sz w:val="21"/>
        </w:rPr>
        <w:t>D) Una deuda exactamente igual a 250.000 euros queda exenta si se abona una cuarta parte.</w:t>
      </w:r>
    </w:p>
    <w:p>
      <w:pPr>
        <w:pStyle w:val="Question"/>
        <w:keepNext/>
      </w:pPr>
      <w:r>
        <w:rPr>
          <w:rFonts w:ascii="Arial" w:hAnsi="Arial" w:cs="Arial"/>
          <w:sz w:val="22"/>
        </w:rPr>
        <w:t>17. La unidad competente debe resolver la siguiente cuestión: El artículo 149.1.17.ª atribuye al Estado competencia exclusiva sobre:</w:t>
      </w:r>
    </w:p>
    <w:p>
      <w:pPr>
        <w:keepNext/>
        <w:keepLines/>
        <w:spacing w:after="40"/>
        <w:ind w:left="369" w:hanging="198"/>
      </w:pPr>
      <w:r>
        <w:rPr>
          <w:rFonts w:ascii="Arial" w:hAnsi="Arial" w:cs="Arial"/>
          <w:b w:val="0"/>
          <w:sz w:val="21"/>
        </w:rPr>
        <w:t>A) Legislación básica y régimen económico de la Seguridad Social.</w:t>
      </w:r>
    </w:p>
    <w:p>
      <w:pPr>
        <w:keepNext/>
        <w:keepLines/>
        <w:spacing w:after="40"/>
        <w:ind w:left="369" w:hanging="198"/>
      </w:pPr>
      <w:r>
        <w:rPr>
          <w:rFonts w:ascii="Arial" w:hAnsi="Arial" w:cs="Arial"/>
          <w:b w:val="0"/>
          <w:sz w:val="21"/>
        </w:rPr>
        <w:t>B) Toda asistencia social autonómica.</w:t>
      </w:r>
    </w:p>
    <w:p>
      <w:pPr>
        <w:keepNext/>
        <w:keepLines/>
        <w:spacing w:after="40"/>
        <w:ind w:left="369" w:hanging="198"/>
      </w:pPr>
      <w:r>
        <w:rPr>
          <w:rFonts w:ascii="Arial" w:hAnsi="Arial" w:cs="Arial"/>
          <w:b w:val="0"/>
          <w:sz w:val="21"/>
        </w:rPr>
        <w:t>C) Toda prestación sanitaria material.</w:t>
      </w:r>
    </w:p>
    <w:p>
      <w:pPr>
        <w:keepNext/>
        <w:keepLines/>
        <w:spacing w:after="40"/>
        <w:ind w:left="369" w:hanging="198"/>
      </w:pPr>
      <w:r>
        <w:rPr>
          <w:rFonts w:ascii="Arial" w:hAnsi="Arial" w:cs="Arial"/>
          <w:b w:val="0"/>
          <w:sz w:val="21"/>
        </w:rPr>
        <w:t>D) Únicamente la gestión de centros locales.</w:t>
      </w:r>
    </w:p>
    <w:p>
      <w:pPr>
        <w:pStyle w:val="Question"/>
        <w:keepNext/>
      </w:pPr>
      <w:r>
        <w:rPr>
          <w:rFonts w:ascii="Arial" w:hAnsi="Arial" w:cs="Arial"/>
          <w:sz w:val="22"/>
        </w:rPr>
        <w:t>18. La unidad competente debe resolver la siguiente cuestión: ¿Qué entidad gestora reconoce con carácter general la pensión de jubilación del Régimen General?</w:t>
      </w:r>
    </w:p>
    <w:p>
      <w:pPr>
        <w:keepNext/>
        <w:keepLines/>
        <w:spacing w:after="40"/>
        <w:ind w:left="369" w:hanging="198"/>
      </w:pPr>
      <w:r>
        <w:rPr>
          <w:rFonts w:ascii="Arial" w:hAnsi="Arial" w:cs="Arial"/>
          <w:b w:val="0"/>
          <w:sz w:val="21"/>
        </w:rPr>
        <w:t>A) La Tesorería General de la Seguridad Social.</w:t>
      </w:r>
    </w:p>
    <w:p>
      <w:pPr>
        <w:keepNext/>
        <w:keepLines/>
        <w:spacing w:after="40"/>
        <w:ind w:left="369" w:hanging="198"/>
      </w:pPr>
      <w:r>
        <w:rPr>
          <w:rFonts w:ascii="Arial" w:hAnsi="Arial" w:cs="Arial"/>
          <w:b w:val="0"/>
          <w:sz w:val="21"/>
        </w:rPr>
        <w:t>B) El Servicio Público de Empleo Estatal.</w:t>
      </w:r>
    </w:p>
    <w:p>
      <w:pPr>
        <w:keepNext/>
        <w:keepLines/>
        <w:spacing w:after="40"/>
        <w:ind w:left="369" w:hanging="198"/>
      </w:pPr>
      <w:r>
        <w:rPr>
          <w:rFonts w:ascii="Arial" w:hAnsi="Arial" w:cs="Arial"/>
          <w:b w:val="0"/>
          <w:sz w:val="21"/>
        </w:rPr>
        <w:t>C) El Instituto Nacional de la Seguridad Social.</w:t>
      </w:r>
    </w:p>
    <w:p>
      <w:pPr>
        <w:keepNext/>
        <w:keepLines/>
        <w:spacing w:after="40"/>
        <w:ind w:left="369" w:hanging="198"/>
      </w:pPr>
      <w:r>
        <w:rPr>
          <w:rFonts w:ascii="Arial" w:hAnsi="Arial" w:cs="Arial"/>
          <w:b w:val="0"/>
          <w:sz w:val="21"/>
        </w:rPr>
        <w:t>D) La Agencia Estatal de Administración Tributaria.</w:t>
      </w:r>
    </w:p>
    <w:p>
      <w:r>
        <w:br w:type="page"/>
      </w:r>
    </w:p>
    <w:p>
      <w:pPr>
        <w:pStyle w:val="Heading1"/>
      </w:pPr>
      <w:r>
        <w:t>Hoja final de respuestas</w:t>
      </w:r>
    </w:p>
    <w:p>
      <w:pPr>
        <w:pStyle w:val="Heading2"/>
      </w:pPr>
      <w:r>
        <w:t>Primera parte · 1 a 73</w:t>
      </w:r>
    </w:p>
    <w:tbl>
      <w:tblPr>
        <w:tblStyle w:val="TableGrid"/>
        <w:tblW w:type="dxa" w:w="9026"/>
        <w:jc w:val="left"/>
        <w:tblLayout w:type="fixed"/>
        <w:tblLook w:firstColumn="1" w:firstRow="1" w:lastColumn="0" w:lastRow="0" w:noHBand="0" w:noVBand="1" w:val="04A0"/>
        <w:tblInd w:w="120" w:type="dxa"/>
      </w:tblPr>
      <w:tblGrid>
        <w:gridCol w:w="2256"/>
        <w:gridCol w:w="2256"/>
        <w:gridCol w:w="2256"/>
        <w:gridCol w:w="2258"/>
      </w:tblGrid>
      <w:tr>
        <w:trPr>
          <w:tblHeader w:val="true"/>
        </w:trPr>
        <w:tc>
          <w:tcPr>
            <w:tcW w:type="dxa" w:w="225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c>
          <w:tcPr>
            <w:tcW w:type="dxa" w:w="225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c>
          <w:tcPr>
            <w:tcW w:type="dxa" w:w="225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c>
          <w:tcPr>
            <w:tcW w:type="dxa" w:w="2258"/>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r>
      <w:tr>
        <w:tc>
          <w:tcPr>
            <w:tcW w:type="dxa" w:w="2256"/>
            <w:vAlign w:val="center"/>
          </w:tcPr>
          <w:p>
            <w:pPr>
              <w:spacing w:before="0" w:after="0" w:line="240" w:lineRule="auto"/>
            </w:pPr>
            <w:r/>
            <w:r>
              <w:rPr>
                <w:rFonts w:ascii="Arial" w:hAnsi="Arial" w:cs="Arial"/>
                <w:b w:val="0"/>
                <w:color w:val="333333"/>
                <w:sz w:val="17"/>
              </w:rPr>
              <w:t>01:  ☐ A   ☐ B   ☐ C   ☐ D</w:t>
            </w:r>
          </w:p>
        </w:tc>
        <w:tc>
          <w:tcPr>
            <w:tcW w:type="dxa" w:w="2256"/>
            <w:vAlign w:val="center"/>
          </w:tcPr>
          <w:p>
            <w:pPr>
              <w:spacing w:before="0" w:after="0" w:line="240" w:lineRule="auto"/>
            </w:pPr>
            <w:r/>
            <w:r>
              <w:rPr>
                <w:rFonts w:ascii="Arial" w:hAnsi="Arial" w:cs="Arial"/>
                <w:b w:val="0"/>
                <w:color w:val="333333"/>
                <w:sz w:val="17"/>
              </w:rPr>
              <w:t>02:  ☐ A   ☐ B   ☐ C   ☐ D</w:t>
            </w:r>
          </w:p>
        </w:tc>
        <w:tc>
          <w:tcPr>
            <w:tcW w:type="dxa" w:w="2256"/>
            <w:vAlign w:val="center"/>
          </w:tcPr>
          <w:p>
            <w:pPr>
              <w:spacing w:before="0" w:after="0" w:line="240" w:lineRule="auto"/>
            </w:pPr>
            <w:r/>
            <w:r>
              <w:rPr>
                <w:rFonts w:ascii="Arial" w:hAnsi="Arial" w:cs="Arial"/>
                <w:b w:val="0"/>
                <w:color w:val="333333"/>
                <w:sz w:val="17"/>
              </w:rPr>
              <w:t>03:  ☐ A   ☐ B   ☐ C   ☐ D</w:t>
            </w:r>
          </w:p>
        </w:tc>
        <w:tc>
          <w:tcPr>
            <w:tcW w:type="dxa" w:w="2258"/>
            <w:vAlign w:val="center"/>
          </w:tcPr>
          <w:p>
            <w:pPr>
              <w:spacing w:before="0" w:after="0" w:line="240" w:lineRule="auto"/>
            </w:pPr>
            <w:r/>
            <w:r>
              <w:rPr>
                <w:rFonts w:ascii="Arial" w:hAnsi="Arial" w:cs="Arial"/>
                <w:b w:val="0"/>
                <w:color w:val="333333"/>
                <w:sz w:val="17"/>
              </w:rPr>
              <w:t>04:  ☐ A   ☐ B   ☐ C   ☐ D</w:t>
            </w:r>
          </w:p>
        </w:tc>
      </w:tr>
      <w:tr>
        <w:tc>
          <w:tcPr>
            <w:tcW w:type="dxa" w:w="2256"/>
            <w:vAlign w:val="center"/>
          </w:tcPr>
          <w:p>
            <w:pPr>
              <w:spacing w:before="0" w:after="0" w:line="240" w:lineRule="auto"/>
            </w:pPr>
            <w:r/>
            <w:r>
              <w:rPr>
                <w:rFonts w:ascii="Arial" w:hAnsi="Arial" w:cs="Arial"/>
                <w:b w:val="0"/>
                <w:color w:val="333333"/>
                <w:sz w:val="17"/>
              </w:rPr>
              <w:t>05:  ☐ A   ☐ B   ☐ C   ☐ D</w:t>
            </w:r>
          </w:p>
        </w:tc>
        <w:tc>
          <w:tcPr>
            <w:tcW w:type="dxa" w:w="2256"/>
            <w:vAlign w:val="center"/>
          </w:tcPr>
          <w:p>
            <w:pPr>
              <w:spacing w:before="0" w:after="0" w:line="240" w:lineRule="auto"/>
            </w:pPr>
            <w:r/>
            <w:r>
              <w:rPr>
                <w:rFonts w:ascii="Arial" w:hAnsi="Arial" w:cs="Arial"/>
                <w:b w:val="0"/>
                <w:color w:val="333333"/>
                <w:sz w:val="17"/>
              </w:rPr>
              <w:t>06:  ☐ A   ☐ B   ☐ C   ☐ D</w:t>
            </w:r>
          </w:p>
        </w:tc>
        <w:tc>
          <w:tcPr>
            <w:tcW w:type="dxa" w:w="2256"/>
            <w:vAlign w:val="center"/>
          </w:tcPr>
          <w:p>
            <w:pPr>
              <w:spacing w:before="0" w:after="0" w:line="240" w:lineRule="auto"/>
            </w:pPr>
            <w:r/>
            <w:r>
              <w:rPr>
                <w:rFonts w:ascii="Arial" w:hAnsi="Arial" w:cs="Arial"/>
                <w:b w:val="0"/>
                <w:color w:val="333333"/>
                <w:sz w:val="17"/>
              </w:rPr>
              <w:t>07:  ☐ A   ☐ B   ☐ C   ☐ D</w:t>
            </w:r>
          </w:p>
        </w:tc>
        <w:tc>
          <w:tcPr>
            <w:tcW w:type="dxa" w:w="2258"/>
            <w:vAlign w:val="center"/>
          </w:tcPr>
          <w:p>
            <w:pPr>
              <w:spacing w:before="0" w:after="0" w:line="240" w:lineRule="auto"/>
            </w:pPr>
            <w:r/>
            <w:r>
              <w:rPr>
                <w:rFonts w:ascii="Arial" w:hAnsi="Arial" w:cs="Arial"/>
                <w:b w:val="0"/>
                <w:color w:val="333333"/>
                <w:sz w:val="17"/>
              </w:rPr>
              <w:t>08:  ☐ A   ☐ B   ☐ C   ☐ D</w:t>
            </w:r>
          </w:p>
        </w:tc>
      </w:tr>
      <w:tr>
        <w:tc>
          <w:tcPr>
            <w:tcW w:type="dxa" w:w="2256"/>
            <w:vAlign w:val="center"/>
          </w:tcPr>
          <w:p>
            <w:pPr>
              <w:spacing w:before="0" w:after="0" w:line="240" w:lineRule="auto"/>
            </w:pPr>
            <w:r/>
            <w:r>
              <w:rPr>
                <w:rFonts w:ascii="Arial" w:hAnsi="Arial" w:cs="Arial"/>
                <w:b w:val="0"/>
                <w:color w:val="333333"/>
                <w:sz w:val="17"/>
              </w:rPr>
              <w:t>09:  ☐ A   ☐ B   ☐ C   ☐ D</w:t>
            </w:r>
          </w:p>
        </w:tc>
        <w:tc>
          <w:tcPr>
            <w:tcW w:type="dxa" w:w="2256"/>
            <w:vAlign w:val="center"/>
          </w:tcPr>
          <w:p>
            <w:pPr>
              <w:spacing w:before="0" w:after="0" w:line="240" w:lineRule="auto"/>
            </w:pPr>
            <w:r/>
            <w:r>
              <w:rPr>
                <w:rFonts w:ascii="Arial" w:hAnsi="Arial" w:cs="Arial"/>
                <w:b w:val="0"/>
                <w:color w:val="333333"/>
                <w:sz w:val="17"/>
              </w:rPr>
              <w:t>10:  ☐ A   ☐ B   ☐ C   ☐ D</w:t>
            </w:r>
          </w:p>
        </w:tc>
        <w:tc>
          <w:tcPr>
            <w:tcW w:type="dxa" w:w="2256"/>
            <w:vAlign w:val="center"/>
          </w:tcPr>
          <w:p>
            <w:pPr>
              <w:spacing w:before="0" w:after="0" w:line="240" w:lineRule="auto"/>
            </w:pPr>
            <w:r/>
            <w:r>
              <w:rPr>
                <w:rFonts w:ascii="Arial" w:hAnsi="Arial" w:cs="Arial"/>
                <w:b w:val="0"/>
                <w:color w:val="333333"/>
                <w:sz w:val="17"/>
              </w:rPr>
              <w:t>11:  ☐ A   ☐ B   ☐ C   ☐ D</w:t>
            </w:r>
          </w:p>
        </w:tc>
        <w:tc>
          <w:tcPr>
            <w:tcW w:type="dxa" w:w="2258"/>
            <w:vAlign w:val="center"/>
          </w:tcPr>
          <w:p>
            <w:pPr>
              <w:spacing w:before="0" w:after="0" w:line="240" w:lineRule="auto"/>
            </w:pPr>
            <w:r/>
            <w:r>
              <w:rPr>
                <w:rFonts w:ascii="Arial" w:hAnsi="Arial" w:cs="Arial"/>
                <w:b w:val="0"/>
                <w:color w:val="333333"/>
                <w:sz w:val="17"/>
              </w:rPr>
              <w:t>12:  ☐ A   ☐ B   ☐ C   ☐ D</w:t>
            </w:r>
          </w:p>
        </w:tc>
      </w:tr>
      <w:tr>
        <w:tc>
          <w:tcPr>
            <w:tcW w:type="dxa" w:w="2256"/>
            <w:vAlign w:val="center"/>
          </w:tcPr>
          <w:p>
            <w:pPr>
              <w:spacing w:before="0" w:after="0" w:line="240" w:lineRule="auto"/>
            </w:pPr>
            <w:r/>
            <w:r>
              <w:rPr>
                <w:rFonts w:ascii="Arial" w:hAnsi="Arial" w:cs="Arial"/>
                <w:b w:val="0"/>
                <w:color w:val="333333"/>
                <w:sz w:val="17"/>
              </w:rPr>
              <w:t>13:  ☐ A   ☐ B   ☐ C   ☐ D</w:t>
            </w:r>
          </w:p>
        </w:tc>
        <w:tc>
          <w:tcPr>
            <w:tcW w:type="dxa" w:w="2256"/>
            <w:vAlign w:val="center"/>
          </w:tcPr>
          <w:p>
            <w:pPr>
              <w:spacing w:before="0" w:after="0" w:line="240" w:lineRule="auto"/>
            </w:pPr>
            <w:r/>
            <w:r>
              <w:rPr>
                <w:rFonts w:ascii="Arial" w:hAnsi="Arial" w:cs="Arial"/>
                <w:b w:val="0"/>
                <w:color w:val="333333"/>
                <w:sz w:val="17"/>
              </w:rPr>
              <w:t>14:  ☐ A   ☐ B   ☐ C   ☐ D</w:t>
            </w:r>
          </w:p>
        </w:tc>
        <w:tc>
          <w:tcPr>
            <w:tcW w:type="dxa" w:w="2256"/>
            <w:vAlign w:val="center"/>
          </w:tcPr>
          <w:p>
            <w:pPr>
              <w:spacing w:before="0" w:after="0" w:line="240" w:lineRule="auto"/>
            </w:pPr>
            <w:r/>
            <w:r>
              <w:rPr>
                <w:rFonts w:ascii="Arial" w:hAnsi="Arial" w:cs="Arial"/>
                <w:b w:val="0"/>
                <w:color w:val="333333"/>
                <w:sz w:val="17"/>
              </w:rPr>
              <w:t>15:  ☐ A   ☐ B   ☐ C   ☐ D</w:t>
            </w:r>
          </w:p>
        </w:tc>
        <w:tc>
          <w:tcPr>
            <w:tcW w:type="dxa" w:w="2258"/>
            <w:vAlign w:val="center"/>
          </w:tcPr>
          <w:p>
            <w:pPr>
              <w:spacing w:before="0" w:after="0" w:line="240" w:lineRule="auto"/>
            </w:pPr>
            <w:r/>
            <w:r>
              <w:rPr>
                <w:rFonts w:ascii="Arial" w:hAnsi="Arial" w:cs="Arial"/>
                <w:b w:val="0"/>
                <w:color w:val="333333"/>
                <w:sz w:val="17"/>
              </w:rPr>
              <w:t>16:  ☐ A   ☐ B   ☐ C   ☐ D</w:t>
            </w:r>
          </w:p>
        </w:tc>
      </w:tr>
      <w:tr>
        <w:tc>
          <w:tcPr>
            <w:tcW w:type="dxa" w:w="2256"/>
            <w:vAlign w:val="center"/>
          </w:tcPr>
          <w:p>
            <w:pPr>
              <w:spacing w:before="0" w:after="0" w:line="240" w:lineRule="auto"/>
            </w:pPr>
            <w:r/>
            <w:r>
              <w:rPr>
                <w:rFonts w:ascii="Arial" w:hAnsi="Arial" w:cs="Arial"/>
                <w:b w:val="0"/>
                <w:color w:val="333333"/>
                <w:sz w:val="17"/>
              </w:rPr>
              <w:t>17:  ☐ A   ☐ B   ☐ C   ☐ D</w:t>
            </w:r>
          </w:p>
        </w:tc>
        <w:tc>
          <w:tcPr>
            <w:tcW w:type="dxa" w:w="2256"/>
            <w:vAlign w:val="center"/>
          </w:tcPr>
          <w:p>
            <w:pPr>
              <w:spacing w:before="0" w:after="0" w:line="240" w:lineRule="auto"/>
            </w:pPr>
            <w:r/>
            <w:r>
              <w:rPr>
                <w:rFonts w:ascii="Arial" w:hAnsi="Arial" w:cs="Arial"/>
                <w:b w:val="0"/>
                <w:color w:val="333333"/>
                <w:sz w:val="17"/>
              </w:rPr>
              <w:t>18:  ☐ A   ☐ B   ☐ C   ☐ D</w:t>
            </w:r>
          </w:p>
        </w:tc>
        <w:tc>
          <w:tcPr>
            <w:tcW w:type="dxa" w:w="2256"/>
            <w:vAlign w:val="center"/>
          </w:tcPr>
          <w:p>
            <w:pPr>
              <w:spacing w:before="0" w:after="0" w:line="240" w:lineRule="auto"/>
            </w:pPr>
            <w:r/>
            <w:r>
              <w:rPr>
                <w:rFonts w:ascii="Arial" w:hAnsi="Arial" w:cs="Arial"/>
                <w:b w:val="0"/>
                <w:color w:val="333333"/>
                <w:sz w:val="17"/>
              </w:rPr>
              <w:t>19:  ☐ A   ☐ B   ☐ C   ☐ D</w:t>
            </w:r>
          </w:p>
        </w:tc>
        <w:tc>
          <w:tcPr>
            <w:tcW w:type="dxa" w:w="2258"/>
            <w:vAlign w:val="center"/>
          </w:tcPr>
          <w:p>
            <w:pPr>
              <w:spacing w:before="0" w:after="0" w:line="240" w:lineRule="auto"/>
            </w:pPr>
            <w:r/>
            <w:r>
              <w:rPr>
                <w:rFonts w:ascii="Arial" w:hAnsi="Arial" w:cs="Arial"/>
                <w:b w:val="0"/>
                <w:color w:val="333333"/>
                <w:sz w:val="17"/>
              </w:rPr>
              <w:t>20:  ☐ A   ☐ B   ☐ C   ☐ D</w:t>
            </w:r>
          </w:p>
        </w:tc>
      </w:tr>
      <w:tr>
        <w:tc>
          <w:tcPr>
            <w:tcW w:type="dxa" w:w="2256"/>
            <w:vAlign w:val="center"/>
          </w:tcPr>
          <w:p>
            <w:pPr>
              <w:spacing w:before="0" w:after="0" w:line="240" w:lineRule="auto"/>
            </w:pPr>
            <w:r/>
            <w:r>
              <w:rPr>
                <w:rFonts w:ascii="Arial" w:hAnsi="Arial" w:cs="Arial"/>
                <w:b w:val="0"/>
                <w:color w:val="333333"/>
                <w:sz w:val="17"/>
              </w:rPr>
              <w:t>21:  ☐ A   ☐ B   ☐ C   ☐ D</w:t>
            </w:r>
          </w:p>
        </w:tc>
        <w:tc>
          <w:tcPr>
            <w:tcW w:type="dxa" w:w="2256"/>
            <w:vAlign w:val="center"/>
          </w:tcPr>
          <w:p>
            <w:pPr>
              <w:spacing w:before="0" w:after="0" w:line="240" w:lineRule="auto"/>
            </w:pPr>
            <w:r/>
            <w:r>
              <w:rPr>
                <w:rFonts w:ascii="Arial" w:hAnsi="Arial" w:cs="Arial"/>
                <w:b w:val="0"/>
                <w:color w:val="333333"/>
                <w:sz w:val="17"/>
              </w:rPr>
              <w:t>22:  ☐ A   ☐ B   ☐ C   ☐ D</w:t>
            </w:r>
          </w:p>
        </w:tc>
        <w:tc>
          <w:tcPr>
            <w:tcW w:type="dxa" w:w="2256"/>
            <w:vAlign w:val="center"/>
          </w:tcPr>
          <w:p>
            <w:pPr>
              <w:spacing w:before="0" w:after="0" w:line="240" w:lineRule="auto"/>
            </w:pPr>
            <w:r/>
            <w:r>
              <w:rPr>
                <w:rFonts w:ascii="Arial" w:hAnsi="Arial" w:cs="Arial"/>
                <w:b w:val="0"/>
                <w:color w:val="333333"/>
                <w:sz w:val="17"/>
              </w:rPr>
              <w:t>23:  ☐ A   ☐ B   ☐ C   ☐ D</w:t>
            </w:r>
          </w:p>
        </w:tc>
        <w:tc>
          <w:tcPr>
            <w:tcW w:type="dxa" w:w="2258"/>
            <w:vAlign w:val="center"/>
          </w:tcPr>
          <w:p>
            <w:pPr>
              <w:spacing w:before="0" w:after="0" w:line="240" w:lineRule="auto"/>
            </w:pPr>
            <w:r/>
            <w:r>
              <w:rPr>
                <w:rFonts w:ascii="Arial" w:hAnsi="Arial" w:cs="Arial"/>
                <w:b w:val="0"/>
                <w:color w:val="333333"/>
                <w:sz w:val="17"/>
              </w:rPr>
              <w:t>24:  ☐ A   ☐ B   ☐ C   ☐ D</w:t>
            </w:r>
          </w:p>
        </w:tc>
      </w:tr>
      <w:tr>
        <w:tc>
          <w:tcPr>
            <w:tcW w:type="dxa" w:w="2256"/>
            <w:vAlign w:val="center"/>
          </w:tcPr>
          <w:p>
            <w:pPr>
              <w:spacing w:before="0" w:after="0" w:line="240" w:lineRule="auto"/>
            </w:pPr>
            <w:r/>
            <w:r>
              <w:rPr>
                <w:rFonts w:ascii="Arial" w:hAnsi="Arial" w:cs="Arial"/>
                <w:b w:val="0"/>
                <w:color w:val="333333"/>
                <w:sz w:val="17"/>
              </w:rPr>
              <w:t>25:  ☐ A   ☐ B   ☐ C   ☐ D</w:t>
            </w:r>
          </w:p>
        </w:tc>
        <w:tc>
          <w:tcPr>
            <w:tcW w:type="dxa" w:w="2256"/>
            <w:vAlign w:val="center"/>
          </w:tcPr>
          <w:p>
            <w:pPr>
              <w:spacing w:before="0" w:after="0" w:line="240" w:lineRule="auto"/>
            </w:pPr>
            <w:r/>
            <w:r>
              <w:rPr>
                <w:rFonts w:ascii="Arial" w:hAnsi="Arial" w:cs="Arial"/>
                <w:b w:val="0"/>
                <w:color w:val="333333"/>
                <w:sz w:val="17"/>
              </w:rPr>
              <w:t>26:  ☐ A   ☐ B   ☐ C   ☐ D</w:t>
            </w:r>
          </w:p>
        </w:tc>
        <w:tc>
          <w:tcPr>
            <w:tcW w:type="dxa" w:w="2256"/>
            <w:vAlign w:val="center"/>
          </w:tcPr>
          <w:p>
            <w:pPr>
              <w:spacing w:before="0" w:after="0" w:line="240" w:lineRule="auto"/>
            </w:pPr>
            <w:r/>
            <w:r>
              <w:rPr>
                <w:rFonts w:ascii="Arial" w:hAnsi="Arial" w:cs="Arial"/>
                <w:b w:val="0"/>
                <w:color w:val="333333"/>
                <w:sz w:val="17"/>
              </w:rPr>
              <w:t>27:  ☐ A   ☐ B   ☐ C   ☐ D</w:t>
            </w:r>
          </w:p>
        </w:tc>
        <w:tc>
          <w:tcPr>
            <w:tcW w:type="dxa" w:w="2258"/>
            <w:vAlign w:val="center"/>
          </w:tcPr>
          <w:p>
            <w:pPr>
              <w:spacing w:before="0" w:after="0" w:line="240" w:lineRule="auto"/>
            </w:pPr>
            <w:r/>
            <w:r>
              <w:rPr>
                <w:rFonts w:ascii="Arial" w:hAnsi="Arial" w:cs="Arial"/>
                <w:b w:val="0"/>
                <w:color w:val="333333"/>
                <w:sz w:val="17"/>
              </w:rPr>
              <w:t>28:  ☐ A   ☐ B   ☐ C   ☐ D</w:t>
            </w:r>
          </w:p>
        </w:tc>
      </w:tr>
      <w:tr>
        <w:tc>
          <w:tcPr>
            <w:tcW w:type="dxa" w:w="2256"/>
            <w:vAlign w:val="center"/>
          </w:tcPr>
          <w:p>
            <w:pPr>
              <w:spacing w:before="0" w:after="0" w:line="240" w:lineRule="auto"/>
            </w:pPr>
            <w:r/>
            <w:r>
              <w:rPr>
                <w:rFonts w:ascii="Arial" w:hAnsi="Arial" w:cs="Arial"/>
                <w:b w:val="0"/>
                <w:color w:val="333333"/>
                <w:sz w:val="17"/>
              </w:rPr>
              <w:t>29:  ☐ A   ☐ B   ☐ C   ☐ D</w:t>
            </w:r>
          </w:p>
        </w:tc>
        <w:tc>
          <w:tcPr>
            <w:tcW w:type="dxa" w:w="2256"/>
            <w:vAlign w:val="center"/>
          </w:tcPr>
          <w:p>
            <w:pPr>
              <w:spacing w:before="0" w:after="0" w:line="240" w:lineRule="auto"/>
            </w:pPr>
            <w:r/>
            <w:r>
              <w:rPr>
                <w:rFonts w:ascii="Arial" w:hAnsi="Arial" w:cs="Arial"/>
                <w:b w:val="0"/>
                <w:color w:val="333333"/>
                <w:sz w:val="17"/>
              </w:rPr>
              <w:t>30:  ☐ A   ☐ B   ☐ C   ☐ D</w:t>
            </w:r>
          </w:p>
        </w:tc>
        <w:tc>
          <w:tcPr>
            <w:tcW w:type="dxa" w:w="2256"/>
            <w:vAlign w:val="center"/>
          </w:tcPr>
          <w:p>
            <w:pPr>
              <w:spacing w:before="0" w:after="0" w:line="240" w:lineRule="auto"/>
            </w:pPr>
            <w:r/>
            <w:r>
              <w:rPr>
                <w:rFonts w:ascii="Arial" w:hAnsi="Arial" w:cs="Arial"/>
                <w:b w:val="0"/>
                <w:color w:val="333333"/>
                <w:sz w:val="17"/>
              </w:rPr>
              <w:t>31:  ☐ A   ☐ B   ☐ C   ☐ D</w:t>
            </w:r>
          </w:p>
        </w:tc>
        <w:tc>
          <w:tcPr>
            <w:tcW w:type="dxa" w:w="2258"/>
            <w:vAlign w:val="center"/>
          </w:tcPr>
          <w:p>
            <w:pPr>
              <w:spacing w:before="0" w:after="0" w:line="240" w:lineRule="auto"/>
            </w:pPr>
            <w:r/>
            <w:r>
              <w:rPr>
                <w:rFonts w:ascii="Arial" w:hAnsi="Arial" w:cs="Arial"/>
                <w:b w:val="0"/>
                <w:color w:val="333333"/>
                <w:sz w:val="17"/>
              </w:rPr>
              <w:t>32:  ☐ A   ☐ B   ☐ C   ☐ D</w:t>
            </w:r>
          </w:p>
        </w:tc>
      </w:tr>
      <w:tr>
        <w:tc>
          <w:tcPr>
            <w:tcW w:type="dxa" w:w="2256"/>
            <w:vAlign w:val="center"/>
          </w:tcPr>
          <w:p>
            <w:pPr>
              <w:spacing w:before="0" w:after="0" w:line="240" w:lineRule="auto"/>
            </w:pPr>
            <w:r/>
            <w:r>
              <w:rPr>
                <w:rFonts w:ascii="Arial" w:hAnsi="Arial" w:cs="Arial"/>
                <w:b w:val="0"/>
                <w:color w:val="333333"/>
                <w:sz w:val="17"/>
              </w:rPr>
              <w:t>33:  ☐ A   ☐ B   ☐ C   ☐ D</w:t>
            </w:r>
          </w:p>
        </w:tc>
        <w:tc>
          <w:tcPr>
            <w:tcW w:type="dxa" w:w="2256"/>
            <w:vAlign w:val="center"/>
          </w:tcPr>
          <w:p>
            <w:pPr>
              <w:spacing w:before="0" w:after="0" w:line="240" w:lineRule="auto"/>
            </w:pPr>
            <w:r/>
            <w:r>
              <w:rPr>
                <w:rFonts w:ascii="Arial" w:hAnsi="Arial" w:cs="Arial"/>
                <w:b w:val="0"/>
                <w:color w:val="333333"/>
                <w:sz w:val="17"/>
              </w:rPr>
              <w:t>34:  ☐ A   ☐ B   ☐ C   ☐ D</w:t>
            </w:r>
          </w:p>
        </w:tc>
        <w:tc>
          <w:tcPr>
            <w:tcW w:type="dxa" w:w="2256"/>
            <w:vAlign w:val="center"/>
          </w:tcPr>
          <w:p>
            <w:pPr>
              <w:spacing w:before="0" w:after="0" w:line="240" w:lineRule="auto"/>
            </w:pPr>
            <w:r/>
            <w:r>
              <w:rPr>
                <w:rFonts w:ascii="Arial" w:hAnsi="Arial" w:cs="Arial"/>
                <w:b w:val="0"/>
                <w:color w:val="333333"/>
                <w:sz w:val="17"/>
              </w:rPr>
              <w:t>35:  ☐ A   ☐ B   ☐ C   ☐ D</w:t>
            </w:r>
          </w:p>
        </w:tc>
        <w:tc>
          <w:tcPr>
            <w:tcW w:type="dxa" w:w="2258"/>
            <w:vAlign w:val="center"/>
          </w:tcPr>
          <w:p>
            <w:pPr>
              <w:spacing w:before="0" w:after="0" w:line="240" w:lineRule="auto"/>
            </w:pPr>
            <w:r/>
            <w:r>
              <w:rPr>
                <w:rFonts w:ascii="Arial" w:hAnsi="Arial" w:cs="Arial"/>
                <w:b w:val="0"/>
                <w:color w:val="333333"/>
                <w:sz w:val="17"/>
              </w:rPr>
              <w:t>36:  ☐ A   ☐ B   ☐ C   ☐ D</w:t>
            </w:r>
          </w:p>
        </w:tc>
      </w:tr>
      <w:tr>
        <w:tc>
          <w:tcPr>
            <w:tcW w:type="dxa" w:w="2256"/>
            <w:vAlign w:val="center"/>
          </w:tcPr>
          <w:p>
            <w:pPr>
              <w:spacing w:before="0" w:after="0" w:line="240" w:lineRule="auto"/>
            </w:pPr>
            <w:r/>
            <w:r>
              <w:rPr>
                <w:rFonts w:ascii="Arial" w:hAnsi="Arial" w:cs="Arial"/>
                <w:b w:val="0"/>
                <w:color w:val="333333"/>
                <w:sz w:val="17"/>
              </w:rPr>
              <w:t>37:  ☐ A   ☐ B   ☐ C   ☐ D</w:t>
            </w:r>
          </w:p>
        </w:tc>
        <w:tc>
          <w:tcPr>
            <w:tcW w:type="dxa" w:w="2256"/>
            <w:vAlign w:val="center"/>
          </w:tcPr>
          <w:p>
            <w:pPr>
              <w:spacing w:before="0" w:after="0" w:line="240" w:lineRule="auto"/>
            </w:pPr>
            <w:r/>
            <w:r>
              <w:rPr>
                <w:rFonts w:ascii="Arial" w:hAnsi="Arial" w:cs="Arial"/>
                <w:b w:val="0"/>
                <w:color w:val="333333"/>
                <w:sz w:val="17"/>
              </w:rPr>
              <w:t>38:  ☐ A   ☐ B   ☐ C   ☐ D</w:t>
            </w:r>
          </w:p>
        </w:tc>
        <w:tc>
          <w:tcPr>
            <w:tcW w:type="dxa" w:w="2256"/>
            <w:vAlign w:val="center"/>
          </w:tcPr>
          <w:p>
            <w:pPr>
              <w:spacing w:before="0" w:after="0" w:line="240" w:lineRule="auto"/>
            </w:pPr>
            <w:r/>
            <w:r>
              <w:rPr>
                <w:rFonts w:ascii="Arial" w:hAnsi="Arial" w:cs="Arial"/>
                <w:b w:val="0"/>
                <w:color w:val="333333"/>
                <w:sz w:val="17"/>
              </w:rPr>
              <w:t>39:  ☐ A   ☐ B   ☐ C   ☐ D</w:t>
            </w:r>
          </w:p>
        </w:tc>
        <w:tc>
          <w:tcPr>
            <w:tcW w:type="dxa" w:w="2258"/>
            <w:vAlign w:val="center"/>
          </w:tcPr>
          <w:p>
            <w:pPr>
              <w:spacing w:before="0" w:after="0" w:line="240" w:lineRule="auto"/>
            </w:pPr>
            <w:r/>
            <w:r>
              <w:rPr>
                <w:rFonts w:ascii="Arial" w:hAnsi="Arial" w:cs="Arial"/>
                <w:b w:val="0"/>
                <w:color w:val="333333"/>
                <w:sz w:val="17"/>
              </w:rPr>
              <w:t>40:  ☐ A   ☐ B   ☐ C   ☐ D</w:t>
            </w:r>
          </w:p>
        </w:tc>
      </w:tr>
      <w:tr>
        <w:tc>
          <w:tcPr>
            <w:tcW w:type="dxa" w:w="2256"/>
            <w:vAlign w:val="center"/>
          </w:tcPr>
          <w:p>
            <w:pPr>
              <w:spacing w:before="0" w:after="0" w:line="240" w:lineRule="auto"/>
            </w:pPr>
            <w:r/>
            <w:r>
              <w:rPr>
                <w:rFonts w:ascii="Arial" w:hAnsi="Arial" w:cs="Arial"/>
                <w:b w:val="0"/>
                <w:color w:val="333333"/>
                <w:sz w:val="17"/>
              </w:rPr>
              <w:t>41:  ☐ A   ☐ B   ☐ C   ☐ D</w:t>
            </w:r>
          </w:p>
        </w:tc>
        <w:tc>
          <w:tcPr>
            <w:tcW w:type="dxa" w:w="2256"/>
            <w:vAlign w:val="center"/>
          </w:tcPr>
          <w:p>
            <w:pPr>
              <w:spacing w:before="0" w:after="0" w:line="240" w:lineRule="auto"/>
            </w:pPr>
            <w:r/>
            <w:r>
              <w:rPr>
                <w:rFonts w:ascii="Arial" w:hAnsi="Arial" w:cs="Arial"/>
                <w:b w:val="0"/>
                <w:color w:val="333333"/>
                <w:sz w:val="17"/>
              </w:rPr>
              <w:t>42:  ☐ A   ☐ B   ☐ C   ☐ D</w:t>
            </w:r>
          </w:p>
        </w:tc>
        <w:tc>
          <w:tcPr>
            <w:tcW w:type="dxa" w:w="2256"/>
            <w:vAlign w:val="center"/>
          </w:tcPr>
          <w:p>
            <w:pPr>
              <w:spacing w:before="0" w:after="0" w:line="240" w:lineRule="auto"/>
            </w:pPr>
            <w:r/>
            <w:r>
              <w:rPr>
                <w:rFonts w:ascii="Arial" w:hAnsi="Arial" w:cs="Arial"/>
                <w:b w:val="0"/>
                <w:color w:val="333333"/>
                <w:sz w:val="17"/>
              </w:rPr>
              <w:t>43:  ☐ A   ☐ B   ☐ C   ☐ D</w:t>
            </w:r>
          </w:p>
        </w:tc>
        <w:tc>
          <w:tcPr>
            <w:tcW w:type="dxa" w:w="2258"/>
            <w:vAlign w:val="center"/>
          </w:tcPr>
          <w:p>
            <w:pPr>
              <w:spacing w:before="0" w:after="0" w:line="240" w:lineRule="auto"/>
            </w:pPr>
            <w:r/>
            <w:r>
              <w:rPr>
                <w:rFonts w:ascii="Arial" w:hAnsi="Arial" w:cs="Arial"/>
                <w:b w:val="0"/>
                <w:color w:val="333333"/>
                <w:sz w:val="17"/>
              </w:rPr>
              <w:t>44:  ☐ A   ☐ B   ☐ C   ☐ D</w:t>
            </w:r>
          </w:p>
        </w:tc>
      </w:tr>
      <w:tr>
        <w:tc>
          <w:tcPr>
            <w:tcW w:type="dxa" w:w="2256"/>
            <w:vAlign w:val="center"/>
          </w:tcPr>
          <w:p>
            <w:pPr>
              <w:spacing w:before="0" w:after="0" w:line="240" w:lineRule="auto"/>
            </w:pPr>
            <w:r/>
            <w:r>
              <w:rPr>
                <w:rFonts w:ascii="Arial" w:hAnsi="Arial" w:cs="Arial"/>
                <w:b w:val="0"/>
                <w:color w:val="333333"/>
                <w:sz w:val="17"/>
              </w:rPr>
              <w:t>45:  ☐ A   ☐ B   ☐ C   ☐ D</w:t>
            </w:r>
          </w:p>
        </w:tc>
        <w:tc>
          <w:tcPr>
            <w:tcW w:type="dxa" w:w="2256"/>
            <w:vAlign w:val="center"/>
          </w:tcPr>
          <w:p>
            <w:pPr>
              <w:spacing w:before="0" w:after="0" w:line="240" w:lineRule="auto"/>
            </w:pPr>
            <w:r/>
            <w:r>
              <w:rPr>
                <w:rFonts w:ascii="Arial" w:hAnsi="Arial" w:cs="Arial"/>
                <w:b w:val="0"/>
                <w:color w:val="333333"/>
                <w:sz w:val="17"/>
              </w:rPr>
              <w:t>46:  ☐ A   ☐ B   ☐ C   ☐ D</w:t>
            </w:r>
          </w:p>
        </w:tc>
        <w:tc>
          <w:tcPr>
            <w:tcW w:type="dxa" w:w="2256"/>
            <w:vAlign w:val="center"/>
          </w:tcPr>
          <w:p>
            <w:pPr>
              <w:spacing w:before="0" w:after="0" w:line="240" w:lineRule="auto"/>
            </w:pPr>
            <w:r/>
            <w:r>
              <w:rPr>
                <w:rFonts w:ascii="Arial" w:hAnsi="Arial" w:cs="Arial"/>
                <w:b w:val="0"/>
                <w:color w:val="333333"/>
                <w:sz w:val="17"/>
              </w:rPr>
              <w:t>47:  ☐ A   ☐ B   ☐ C   ☐ D</w:t>
            </w:r>
          </w:p>
        </w:tc>
        <w:tc>
          <w:tcPr>
            <w:tcW w:type="dxa" w:w="2258"/>
            <w:vAlign w:val="center"/>
          </w:tcPr>
          <w:p>
            <w:pPr>
              <w:spacing w:before="0" w:after="0" w:line="240" w:lineRule="auto"/>
            </w:pPr>
            <w:r/>
            <w:r>
              <w:rPr>
                <w:rFonts w:ascii="Arial" w:hAnsi="Arial" w:cs="Arial"/>
                <w:b w:val="0"/>
                <w:color w:val="333333"/>
                <w:sz w:val="17"/>
              </w:rPr>
              <w:t>48:  ☐ A   ☐ B   ☐ C   ☐ D</w:t>
            </w:r>
          </w:p>
        </w:tc>
      </w:tr>
      <w:tr>
        <w:tc>
          <w:tcPr>
            <w:tcW w:type="dxa" w:w="2256"/>
            <w:vAlign w:val="center"/>
          </w:tcPr>
          <w:p>
            <w:pPr>
              <w:spacing w:before="0" w:after="0" w:line="240" w:lineRule="auto"/>
            </w:pPr>
            <w:r/>
            <w:r>
              <w:rPr>
                <w:rFonts w:ascii="Arial" w:hAnsi="Arial" w:cs="Arial"/>
                <w:b w:val="0"/>
                <w:color w:val="333333"/>
                <w:sz w:val="17"/>
              </w:rPr>
              <w:t>49:  ☐ A   ☐ B   ☐ C   ☐ D</w:t>
            </w:r>
          </w:p>
        </w:tc>
        <w:tc>
          <w:tcPr>
            <w:tcW w:type="dxa" w:w="2256"/>
            <w:vAlign w:val="center"/>
          </w:tcPr>
          <w:p>
            <w:pPr>
              <w:spacing w:before="0" w:after="0" w:line="240" w:lineRule="auto"/>
            </w:pPr>
            <w:r/>
            <w:r>
              <w:rPr>
                <w:rFonts w:ascii="Arial" w:hAnsi="Arial" w:cs="Arial"/>
                <w:b w:val="0"/>
                <w:color w:val="333333"/>
                <w:sz w:val="17"/>
              </w:rPr>
              <w:t>50:  ☐ A   ☐ B   ☐ C   ☐ D</w:t>
            </w:r>
          </w:p>
        </w:tc>
        <w:tc>
          <w:tcPr>
            <w:tcW w:type="dxa" w:w="2256"/>
            <w:vAlign w:val="center"/>
          </w:tcPr>
          <w:p>
            <w:pPr>
              <w:spacing w:before="0" w:after="0" w:line="240" w:lineRule="auto"/>
            </w:pPr>
            <w:r/>
            <w:r>
              <w:rPr>
                <w:rFonts w:ascii="Arial" w:hAnsi="Arial" w:cs="Arial"/>
                <w:b w:val="0"/>
                <w:color w:val="333333"/>
                <w:sz w:val="17"/>
              </w:rPr>
              <w:t>51:  ☐ A   ☐ B   ☐ C   ☐ D</w:t>
            </w:r>
          </w:p>
        </w:tc>
        <w:tc>
          <w:tcPr>
            <w:tcW w:type="dxa" w:w="2258"/>
            <w:vAlign w:val="center"/>
          </w:tcPr>
          <w:p>
            <w:pPr>
              <w:spacing w:before="0" w:after="0" w:line="240" w:lineRule="auto"/>
            </w:pPr>
            <w:r/>
            <w:r>
              <w:rPr>
                <w:rFonts w:ascii="Arial" w:hAnsi="Arial" w:cs="Arial"/>
                <w:b w:val="0"/>
                <w:color w:val="333333"/>
                <w:sz w:val="17"/>
              </w:rPr>
              <w:t>52:  ☐ A   ☐ B   ☐ C   ☐ D</w:t>
            </w:r>
          </w:p>
        </w:tc>
      </w:tr>
      <w:tr>
        <w:tc>
          <w:tcPr>
            <w:tcW w:type="dxa" w:w="2256"/>
            <w:vAlign w:val="center"/>
          </w:tcPr>
          <w:p>
            <w:pPr>
              <w:spacing w:before="0" w:after="0" w:line="240" w:lineRule="auto"/>
            </w:pPr>
            <w:r/>
            <w:r>
              <w:rPr>
                <w:rFonts w:ascii="Arial" w:hAnsi="Arial" w:cs="Arial"/>
                <w:b w:val="0"/>
                <w:color w:val="333333"/>
                <w:sz w:val="17"/>
              </w:rPr>
              <w:t>53:  ☐ A   ☐ B   ☐ C   ☐ D</w:t>
            </w:r>
          </w:p>
        </w:tc>
        <w:tc>
          <w:tcPr>
            <w:tcW w:type="dxa" w:w="2256"/>
            <w:vAlign w:val="center"/>
          </w:tcPr>
          <w:p>
            <w:pPr>
              <w:spacing w:before="0" w:after="0" w:line="240" w:lineRule="auto"/>
            </w:pPr>
            <w:r/>
            <w:r>
              <w:rPr>
                <w:rFonts w:ascii="Arial" w:hAnsi="Arial" w:cs="Arial"/>
                <w:b w:val="0"/>
                <w:color w:val="333333"/>
                <w:sz w:val="17"/>
              </w:rPr>
              <w:t>54:  ☐ A   ☐ B   ☐ C   ☐ D</w:t>
            </w:r>
          </w:p>
        </w:tc>
        <w:tc>
          <w:tcPr>
            <w:tcW w:type="dxa" w:w="2256"/>
            <w:vAlign w:val="center"/>
          </w:tcPr>
          <w:p>
            <w:pPr>
              <w:spacing w:before="0" w:after="0" w:line="240" w:lineRule="auto"/>
            </w:pPr>
            <w:r/>
            <w:r>
              <w:rPr>
                <w:rFonts w:ascii="Arial" w:hAnsi="Arial" w:cs="Arial"/>
                <w:b w:val="0"/>
                <w:color w:val="333333"/>
                <w:sz w:val="17"/>
              </w:rPr>
              <w:t>55:  ☐ A   ☐ B   ☐ C   ☐ D</w:t>
            </w:r>
          </w:p>
        </w:tc>
        <w:tc>
          <w:tcPr>
            <w:tcW w:type="dxa" w:w="2258"/>
            <w:vAlign w:val="center"/>
          </w:tcPr>
          <w:p>
            <w:pPr>
              <w:spacing w:before="0" w:after="0" w:line="240" w:lineRule="auto"/>
            </w:pPr>
            <w:r/>
            <w:r>
              <w:rPr>
                <w:rFonts w:ascii="Arial" w:hAnsi="Arial" w:cs="Arial"/>
                <w:b w:val="0"/>
                <w:color w:val="333333"/>
                <w:sz w:val="17"/>
              </w:rPr>
              <w:t>56:  ☐ A   ☐ B   ☐ C   ☐ D</w:t>
            </w:r>
          </w:p>
        </w:tc>
      </w:tr>
      <w:tr>
        <w:tc>
          <w:tcPr>
            <w:tcW w:type="dxa" w:w="2256"/>
            <w:vAlign w:val="center"/>
          </w:tcPr>
          <w:p>
            <w:pPr>
              <w:spacing w:before="0" w:after="0" w:line="240" w:lineRule="auto"/>
            </w:pPr>
            <w:r/>
            <w:r>
              <w:rPr>
                <w:rFonts w:ascii="Arial" w:hAnsi="Arial" w:cs="Arial"/>
                <w:b w:val="0"/>
                <w:color w:val="333333"/>
                <w:sz w:val="17"/>
              </w:rPr>
              <w:t>57:  ☐ A   ☐ B   ☐ C   ☐ D</w:t>
            </w:r>
          </w:p>
        </w:tc>
        <w:tc>
          <w:tcPr>
            <w:tcW w:type="dxa" w:w="2256"/>
            <w:vAlign w:val="center"/>
          </w:tcPr>
          <w:p>
            <w:pPr>
              <w:spacing w:before="0" w:after="0" w:line="240" w:lineRule="auto"/>
            </w:pPr>
            <w:r/>
            <w:r>
              <w:rPr>
                <w:rFonts w:ascii="Arial" w:hAnsi="Arial" w:cs="Arial"/>
                <w:b w:val="0"/>
                <w:color w:val="333333"/>
                <w:sz w:val="17"/>
              </w:rPr>
              <w:t>58:  ☐ A   ☐ B   ☐ C   ☐ D</w:t>
            </w:r>
          </w:p>
        </w:tc>
        <w:tc>
          <w:tcPr>
            <w:tcW w:type="dxa" w:w="2256"/>
            <w:vAlign w:val="center"/>
          </w:tcPr>
          <w:p>
            <w:pPr>
              <w:spacing w:before="0" w:after="0" w:line="240" w:lineRule="auto"/>
            </w:pPr>
            <w:r/>
            <w:r>
              <w:rPr>
                <w:rFonts w:ascii="Arial" w:hAnsi="Arial" w:cs="Arial"/>
                <w:b w:val="0"/>
                <w:color w:val="333333"/>
                <w:sz w:val="17"/>
              </w:rPr>
              <w:t>59:  ☐ A   ☐ B   ☐ C   ☐ D</w:t>
            </w:r>
          </w:p>
        </w:tc>
        <w:tc>
          <w:tcPr>
            <w:tcW w:type="dxa" w:w="2258"/>
            <w:vAlign w:val="center"/>
          </w:tcPr>
          <w:p>
            <w:pPr>
              <w:spacing w:before="0" w:after="0" w:line="240" w:lineRule="auto"/>
            </w:pPr>
            <w:r/>
            <w:r>
              <w:rPr>
                <w:rFonts w:ascii="Arial" w:hAnsi="Arial" w:cs="Arial"/>
                <w:b w:val="0"/>
                <w:color w:val="333333"/>
                <w:sz w:val="17"/>
              </w:rPr>
              <w:t>60:  ☐ A   ☐ B   ☐ C   ☐ D</w:t>
            </w:r>
          </w:p>
        </w:tc>
      </w:tr>
      <w:tr>
        <w:tc>
          <w:tcPr>
            <w:tcW w:type="dxa" w:w="2256"/>
            <w:vAlign w:val="center"/>
          </w:tcPr>
          <w:p>
            <w:pPr>
              <w:spacing w:before="0" w:after="0" w:line="240" w:lineRule="auto"/>
            </w:pPr>
            <w:r/>
            <w:r>
              <w:rPr>
                <w:rFonts w:ascii="Arial" w:hAnsi="Arial" w:cs="Arial"/>
                <w:b w:val="0"/>
                <w:color w:val="333333"/>
                <w:sz w:val="17"/>
              </w:rPr>
              <w:t>61:  ☐ A   ☐ B   ☐ C   ☐ D</w:t>
            </w:r>
          </w:p>
        </w:tc>
        <w:tc>
          <w:tcPr>
            <w:tcW w:type="dxa" w:w="2256"/>
            <w:vAlign w:val="center"/>
          </w:tcPr>
          <w:p>
            <w:pPr>
              <w:spacing w:before="0" w:after="0" w:line="240" w:lineRule="auto"/>
            </w:pPr>
            <w:r/>
            <w:r>
              <w:rPr>
                <w:rFonts w:ascii="Arial" w:hAnsi="Arial" w:cs="Arial"/>
                <w:b w:val="0"/>
                <w:color w:val="333333"/>
                <w:sz w:val="17"/>
              </w:rPr>
              <w:t>62:  ☐ A   ☐ B   ☐ C   ☐ D</w:t>
            </w:r>
          </w:p>
        </w:tc>
        <w:tc>
          <w:tcPr>
            <w:tcW w:type="dxa" w:w="2256"/>
            <w:vAlign w:val="center"/>
          </w:tcPr>
          <w:p>
            <w:pPr>
              <w:spacing w:before="0" w:after="0" w:line="240" w:lineRule="auto"/>
            </w:pPr>
            <w:r/>
            <w:r>
              <w:rPr>
                <w:rFonts w:ascii="Arial" w:hAnsi="Arial" w:cs="Arial"/>
                <w:b w:val="0"/>
                <w:color w:val="333333"/>
                <w:sz w:val="17"/>
              </w:rPr>
              <w:t>63:  ☐ A   ☐ B   ☐ C   ☐ D</w:t>
            </w:r>
          </w:p>
        </w:tc>
        <w:tc>
          <w:tcPr>
            <w:tcW w:type="dxa" w:w="2258"/>
            <w:vAlign w:val="center"/>
          </w:tcPr>
          <w:p>
            <w:pPr>
              <w:spacing w:before="0" w:after="0" w:line="240" w:lineRule="auto"/>
            </w:pPr>
            <w:r/>
            <w:r>
              <w:rPr>
                <w:rFonts w:ascii="Arial" w:hAnsi="Arial" w:cs="Arial"/>
                <w:b w:val="0"/>
                <w:color w:val="333333"/>
                <w:sz w:val="17"/>
              </w:rPr>
              <w:t>64:  ☐ A   ☐ B   ☐ C   ☐ D</w:t>
            </w:r>
          </w:p>
        </w:tc>
      </w:tr>
      <w:tr>
        <w:tc>
          <w:tcPr>
            <w:tcW w:type="dxa" w:w="2256"/>
            <w:vAlign w:val="center"/>
          </w:tcPr>
          <w:p>
            <w:pPr>
              <w:spacing w:before="0" w:after="0" w:line="240" w:lineRule="auto"/>
            </w:pPr>
            <w:r/>
            <w:r>
              <w:rPr>
                <w:rFonts w:ascii="Arial" w:hAnsi="Arial" w:cs="Arial"/>
                <w:b w:val="0"/>
                <w:color w:val="333333"/>
                <w:sz w:val="17"/>
              </w:rPr>
              <w:t>65:  ☐ A   ☐ B   ☐ C   ☐ D</w:t>
            </w:r>
          </w:p>
        </w:tc>
        <w:tc>
          <w:tcPr>
            <w:tcW w:type="dxa" w:w="2256"/>
            <w:vAlign w:val="center"/>
          </w:tcPr>
          <w:p>
            <w:pPr>
              <w:spacing w:before="0" w:after="0" w:line="240" w:lineRule="auto"/>
            </w:pPr>
            <w:r/>
            <w:r>
              <w:rPr>
                <w:rFonts w:ascii="Arial" w:hAnsi="Arial" w:cs="Arial"/>
                <w:b w:val="0"/>
                <w:color w:val="333333"/>
                <w:sz w:val="17"/>
              </w:rPr>
              <w:t>66:  ☐ A   ☐ B   ☐ C   ☐ D</w:t>
            </w:r>
          </w:p>
        </w:tc>
        <w:tc>
          <w:tcPr>
            <w:tcW w:type="dxa" w:w="2256"/>
            <w:vAlign w:val="center"/>
          </w:tcPr>
          <w:p>
            <w:pPr>
              <w:spacing w:before="0" w:after="0" w:line="240" w:lineRule="auto"/>
            </w:pPr>
            <w:r/>
            <w:r>
              <w:rPr>
                <w:rFonts w:ascii="Arial" w:hAnsi="Arial" w:cs="Arial"/>
                <w:b w:val="0"/>
                <w:color w:val="333333"/>
                <w:sz w:val="17"/>
              </w:rPr>
              <w:t>67:  ☐ A   ☐ B   ☐ C   ☐ D</w:t>
            </w:r>
          </w:p>
        </w:tc>
        <w:tc>
          <w:tcPr>
            <w:tcW w:type="dxa" w:w="2258"/>
            <w:vAlign w:val="center"/>
          </w:tcPr>
          <w:p>
            <w:pPr>
              <w:spacing w:before="0" w:after="0" w:line="240" w:lineRule="auto"/>
            </w:pPr>
            <w:r/>
            <w:r>
              <w:rPr>
                <w:rFonts w:ascii="Arial" w:hAnsi="Arial" w:cs="Arial"/>
                <w:b w:val="0"/>
                <w:color w:val="333333"/>
                <w:sz w:val="17"/>
              </w:rPr>
              <w:t>68:  ☐ A   ☐ B   ☐ C   ☐ D</w:t>
            </w:r>
          </w:p>
        </w:tc>
      </w:tr>
      <w:tr>
        <w:tc>
          <w:tcPr>
            <w:tcW w:type="dxa" w:w="2256"/>
            <w:vAlign w:val="center"/>
          </w:tcPr>
          <w:p>
            <w:pPr>
              <w:spacing w:before="0" w:after="0" w:line="240" w:lineRule="auto"/>
            </w:pPr>
            <w:r/>
            <w:r>
              <w:rPr>
                <w:rFonts w:ascii="Arial" w:hAnsi="Arial" w:cs="Arial"/>
                <w:b w:val="0"/>
                <w:color w:val="333333"/>
                <w:sz w:val="17"/>
              </w:rPr>
              <w:t>69:  ☐ A   ☐ B   ☐ C   ☐ D</w:t>
            </w:r>
          </w:p>
        </w:tc>
        <w:tc>
          <w:tcPr>
            <w:tcW w:type="dxa" w:w="2256"/>
            <w:vAlign w:val="center"/>
          </w:tcPr>
          <w:p>
            <w:pPr>
              <w:spacing w:before="0" w:after="0" w:line="240" w:lineRule="auto"/>
            </w:pPr>
            <w:r/>
            <w:r>
              <w:rPr>
                <w:rFonts w:ascii="Arial" w:hAnsi="Arial" w:cs="Arial"/>
                <w:b w:val="0"/>
                <w:color w:val="333333"/>
                <w:sz w:val="17"/>
              </w:rPr>
              <w:t>70:  ☐ A   ☐ B   ☐ C   ☐ D</w:t>
            </w:r>
          </w:p>
        </w:tc>
        <w:tc>
          <w:tcPr>
            <w:tcW w:type="dxa" w:w="2256"/>
            <w:vAlign w:val="center"/>
          </w:tcPr>
          <w:p>
            <w:pPr>
              <w:spacing w:before="0" w:after="0" w:line="240" w:lineRule="auto"/>
            </w:pPr>
            <w:r/>
            <w:r>
              <w:rPr>
                <w:rFonts w:ascii="Arial" w:hAnsi="Arial" w:cs="Arial"/>
                <w:b w:val="0"/>
                <w:color w:val="333333"/>
                <w:sz w:val="17"/>
              </w:rPr>
              <w:t>71:  ☐ A   ☐ B   ☐ C   ☐ D</w:t>
            </w:r>
          </w:p>
        </w:tc>
        <w:tc>
          <w:tcPr>
            <w:tcW w:type="dxa" w:w="2258"/>
            <w:vAlign w:val="center"/>
          </w:tcPr>
          <w:p>
            <w:pPr>
              <w:spacing w:before="0" w:after="0" w:line="240" w:lineRule="auto"/>
            </w:pPr>
            <w:r/>
            <w:r>
              <w:rPr>
                <w:rFonts w:ascii="Arial" w:hAnsi="Arial" w:cs="Arial"/>
                <w:b w:val="0"/>
                <w:color w:val="333333"/>
                <w:sz w:val="17"/>
              </w:rPr>
              <w:t>72:  ☐ A   ☐ B   ☐ C   ☐ D</w:t>
            </w:r>
          </w:p>
        </w:tc>
      </w:tr>
      <w:tr>
        <w:tc>
          <w:tcPr>
            <w:tcW w:type="dxa" w:w="2256"/>
            <w:vAlign w:val="center"/>
          </w:tcPr>
          <w:p>
            <w:pPr>
              <w:spacing w:before="0" w:after="0" w:line="240" w:lineRule="auto"/>
            </w:pPr>
            <w:r/>
            <w:r>
              <w:rPr>
                <w:rFonts w:ascii="Arial" w:hAnsi="Arial" w:cs="Arial"/>
                <w:b w:val="0"/>
                <w:color w:val="333333"/>
                <w:sz w:val="17"/>
              </w:rPr>
              <w:t>73:  ☐ A   ☐ B   ☐ C   ☐ D</w:t>
            </w:r>
          </w:p>
        </w:tc>
        <w:tc>
          <w:tcPr>
            <w:tcW w:type="dxa" w:w="2256"/>
            <w:vAlign w:val="center"/>
          </w:tcPr>
          <w:p>
            <w:pPr>
              <w:spacing w:before="0" w:after="0" w:line="240" w:lineRule="auto"/>
            </w:pPr>
            <w:r/>
            <w:r>
              <w:rPr>
                <w:rFonts w:ascii="Arial" w:hAnsi="Arial" w:cs="Arial"/>
                <w:b w:val="0"/>
                <w:color w:val="333333"/>
                <w:sz w:val="17"/>
              </w:rPr>
            </w:r>
          </w:p>
        </w:tc>
        <w:tc>
          <w:tcPr>
            <w:tcW w:type="dxa" w:w="2256"/>
            <w:vAlign w:val="center"/>
          </w:tcPr>
          <w:p>
            <w:pPr>
              <w:spacing w:before="0" w:after="0" w:line="240" w:lineRule="auto"/>
            </w:pPr>
            <w:r/>
            <w:r>
              <w:rPr>
                <w:rFonts w:ascii="Arial" w:hAnsi="Arial" w:cs="Arial"/>
                <w:b w:val="0"/>
                <w:color w:val="333333"/>
                <w:sz w:val="17"/>
              </w:rPr>
            </w:r>
          </w:p>
        </w:tc>
        <w:tc>
          <w:tcPr>
            <w:tcW w:type="dxa" w:w="2258"/>
            <w:vAlign w:val="center"/>
          </w:tcPr>
          <w:p>
            <w:pPr>
              <w:spacing w:before="0" w:after="0" w:line="240" w:lineRule="auto"/>
            </w:pPr>
            <w:r/>
            <w:r>
              <w:rPr>
                <w:rFonts w:ascii="Arial" w:hAnsi="Arial" w:cs="Arial"/>
                <w:b w:val="0"/>
                <w:color w:val="333333"/>
                <w:sz w:val="17"/>
              </w:rPr>
            </w:r>
          </w:p>
        </w:tc>
      </w:tr>
    </w:tbl>
    <w:p>
      <w:pPr>
        <w:spacing w:after="80"/>
      </w:pPr>
    </w:p>
    <w:p>
      <w:pPr>
        <w:pStyle w:val="Heading2"/>
      </w:pPr>
      <w:r>
        <w:t>Segunda parte · 1 a 18</w:t>
      </w:r>
    </w:p>
    <w:tbl>
      <w:tblPr>
        <w:tblStyle w:val="TableGrid"/>
        <w:tblW w:type="dxa" w:w="9026"/>
        <w:jc w:val="left"/>
        <w:tblLayout w:type="fixed"/>
        <w:tblLook w:firstColumn="1" w:firstRow="1" w:lastColumn="0" w:lastRow="0" w:noHBand="0" w:noVBand="1" w:val="04A0"/>
        <w:tblInd w:w="120" w:type="dxa"/>
      </w:tblPr>
      <w:tblGrid>
        <w:gridCol w:w="2256"/>
        <w:gridCol w:w="2256"/>
        <w:gridCol w:w="2256"/>
        <w:gridCol w:w="2258"/>
      </w:tblGrid>
      <w:tr>
        <w:trPr>
          <w:tblHeader w:val="true"/>
        </w:trPr>
        <w:tc>
          <w:tcPr>
            <w:tcW w:type="dxa" w:w="225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c>
          <w:tcPr>
            <w:tcW w:type="dxa" w:w="225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c>
          <w:tcPr>
            <w:tcW w:type="dxa" w:w="225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c>
          <w:tcPr>
            <w:tcW w:type="dxa" w:w="2258"/>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r>
      <w:tr>
        <w:tc>
          <w:tcPr>
            <w:tcW w:type="dxa" w:w="2256"/>
            <w:vAlign w:val="center"/>
          </w:tcPr>
          <w:p>
            <w:pPr>
              <w:spacing w:before="0" w:after="0" w:line="240" w:lineRule="auto"/>
            </w:pPr>
            <w:r/>
            <w:r>
              <w:rPr>
                <w:rFonts w:ascii="Arial" w:hAnsi="Arial" w:cs="Arial"/>
                <w:b w:val="0"/>
                <w:color w:val="333333"/>
                <w:sz w:val="17"/>
              </w:rPr>
              <w:t>01:  ☐ A   ☐ B   ☐ C   ☐ D</w:t>
            </w:r>
          </w:p>
        </w:tc>
        <w:tc>
          <w:tcPr>
            <w:tcW w:type="dxa" w:w="2256"/>
            <w:vAlign w:val="center"/>
          </w:tcPr>
          <w:p>
            <w:pPr>
              <w:spacing w:before="0" w:after="0" w:line="240" w:lineRule="auto"/>
            </w:pPr>
            <w:r/>
            <w:r>
              <w:rPr>
                <w:rFonts w:ascii="Arial" w:hAnsi="Arial" w:cs="Arial"/>
                <w:b w:val="0"/>
                <w:color w:val="333333"/>
                <w:sz w:val="17"/>
              </w:rPr>
              <w:t>02:  ☐ A   ☐ B   ☐ C   ☐ D</w:t>
            </w:r>
          </w:p>
        </w:tc>
        <w:tc>
          <w:tcPr>
            <w:tcW w:type="dxa" w:w="2256"/>
            <w:vAlign w:val="center"/>
          </w:tcPr>
          <w:p>
            <w:pPr>
              <w:spacing w:before="0" w:after="0" w:line="240" w:lineRule="auto"/>
            </w:pPr>
            <w:r/>
            <w:r>
              <w:rPr>
                <w:rFonts w:ascii="Arial" w:hAnsi="Arial" w:cs="Arial"/>
                <w:b w:val="0"/>
                <w:color w:val="333333"/>
                <w:sz w:val="17"/>
              </w:rPr>
              <w:t>03:  ☐ A   ☐ B   ☐ C   ☐ D</w:t>
            </w:r>
          </w:p>
        </w:tc>
        <w:tc>
          <w:tcPr>
            <w:tcW w:type="dxa" w:w="2258"/>
            <w:vAlign w:val="center"/>
          </w:tcPr>
          <w:p>
            <w:pPr>
              <w:spacing w:before="0" w:after="0" w:line="240" w:lineRule="auto"/>
            </w:pPr>
            <w:r/>
            <w:r>
              <w:rPr>
                <w:rFonts w:ascii="Arial" w:hAnsi="Arial" w:cs="Arial"/>
                <w:b w:val="0"/>
                <w:color w:val="333333"/>
                <w:sz w:val="17"/>
              </w:rPr>
              <w:t>04:  ☐ A   ☐ B   ☐ C   ☐ D</w:t>
            </w:r>
          </w:p>
        </w:tc>
      </w:tr>
      <w:tr>
        <w:tc>
          <w:tcPr>
            <w:tcW w:type="dxa" w:w="2256"/>
            <w:vAlign w:val="center"/>
          </w:tcPr>
          <w:p>
            <w:pPr>
              <w:spacing w:before="0" w:after="0" w:line="240" w:lineRule="auto"/>
            </w:pPr>
            <w:r/>
            <w:r>
              <w:rPr>
                <w:rFonts w:ascii="Arial" w:hAnsi="Arial" w:cs="Arial"/>
                <w:b w:val="0"/>
                <w:color w:val="333333"/>
                <w:sz w:val="17"/>
              </w:rPr>
              <w:t>05:  ☐ A   ☐ B   ☐ C   ☐ D</w:t>
            </w:r>
          </w:p>
        </w:tc>
        <w:tc>
          <w:tcPr>
            <w:tcW w:type="dxa" w:w="2256"/>
            <w:vAlign w:val="center"/>
          </w:tcPr>
          <w:p>
            <w:pPr>
              <w:spacing w:before="0" w:after="0" w:line="240" w:lineRule="auto"/>
            </w:pPr>
            <w:r/>
            <w:r>
              <w:rPr>
                <w:rFonts w:ascii="Arial" w:hAnsi="Arial" w:cs="Arial"/>
                <w:b w:val="0"/>
                <w:color w:val="333333"/>
                <w:sz w:val="17"/>
              </w:rPr>
              <w:t>06:  ☐ A   ☐ B   ☐ C   ☐ D</w:t>
            </w:r>
          </w:p>
        </w:tc>
        <w:tc>
          <w:tcPr>
            <w:tcW w:type="dxa" w:w="2256"/>
            <w:vAlign w:val="center"/>
          </w:tcPr>
          <w:p>
            <w:pPr>
              <w:spacing w:before="0" w:after="0" w:line="240" w:lineRule="auto"/>
            </w:pPr>
            <w:r/>
            <w:r>
              <w:rPr>
                <w:rFonts w:ascii="Arial" w:hAnsi="Arial" w:cs="Arial"/>
                <w:b w:val="0"/>
                <w:color w:val="333333"/>
                <w:sz w:val="17"/>
              </w:rPr>
              <w:t>07:  ☐ A   ☐ B   ☐ C   ☐ D</w:t>
            </w:r>
          </w:p>
        </w:tc>
        <w:tc>
          <w:tcPr>
            <w:tcW w:type="dxa" w:w="2258"/>
            <w:vAlign w:val="center"/>
          </w:tcPr>
          <w:p>
            <w:pPr>
              <w:spacing w:before="0" w:after="0" w:line="240" w:lineRule="auto"/>
            </w:pPr>
            <w:r/>
            <w:r>
              <w:rPr>
                <w:rFonts w:ascii="Arial" w:hAnsi="Arial" w:cs="Arial"/>
                <w:b w:val="0"/>
                <w:color w:val="333333"/>
                <w:sz w:val="17"/>
              </w:rPr>
              <w:t>08:  ☐ A   ☐ B   ☐ C   ☐ D</w:t>
            </w:r>
          </w:p>
        </w:tc>
      </w:tr>
      <w:tr>
        <w:tc>
          <w:tcPr>
            <w:tcW w:type="dxa" w:w="2256"/>
            <w:vAlign w:val="center"/>
          </w:tcPr>
          <w:p>
            <w:pPr>
              <w:spacing w:before="0" w:after="0" w:line="240" w:lineRule="auto"/>
            </w:pPr>
            <w:r/>
            <w:r>
              <w:rPr>
                <w:rFonts w:ascii="Arial" w:hAnsi="Arial" w:cs="Arial"/>
                <w:b w:val="0"/>
                <w:color w:val="333333"/>
                <w:sz w:val="17"/>
              </w:rPr>
              <w:t>09:  ☐ A   ☐ B   ☐ C   ☐ D</w:t>
            </w:r>
          </w:p>
        </w:tc>
        <w:tc>
          <w:tcPr>
            <w:tcW w:type="dxa" w:w="2256"/>
            <w:vAlign w:val="center"/>
          </w:tcPr>
          <w:p>
            <w:pPr>
              <w:spacing w:before="0" w:after="0" w:line="240" w:lineRule="auto"/>
            </w:pPr>
            <w:r/>
            <w:r>
              <w:rPr>
                <w:rFonts w:ascii="Arial" w:hAnsi="Arial" w:cs="Arial"/>
                <w:b w:val="0"/>
                <w:color w:val="333333"/>
                <w:sz w:val="17"/>
              </w:rPr>
              <w:t>10:  ☐ A   ☐ B   ☐ C   ☐ D</w:t>
            </w:r>
          </w:p>
        </w:tc>
        <w:tc>
          <w:tcPr>
            <w:tcW w:type="dxa" w:w="2256"/>
            <w:vAlign w:val="center"/>
          </w:tcPr>
          <w:p>
            <w:pPr>
              <w:spacing w:before="0" w:after="0" w:line="240" w:lineRule="auto"/>
            </w:pPr>
            <w:r/>
            <w:r>
              <w:rPr>
                <w:rFonts w:ascii="Arial" w:hAnsi="Arial" w:cs="Arial"/>
                <w:b w:val="0"/>
                <w:color w:val="333333"/>
                <w:sz w:val="17"/>
              </w:rPr>
              <w:t>11:  ☐ A   ☐ B   ☐ C   ☐ D</w:t>
            </w:r>
          </w:p>
        </w:tc>
        <w:tc>
          <w:tcPr>
            <w:tcW w:type="dxa" w:w="2258"/>
            <w:vAlign w:val="center"/>
          </w:tcPr>
          <w:p>
            <w:pPr>
              <w:spacing w:before="0" w:after="0" w:line="240" w:lineRule="auto"/>
            </w:pPr>
            <w:r/>
            <w:r>
              <w:rPr>
                <w:rFonts w:ascii="Arial" w:hAnsi="Arial" w:cs="Arial"/>
                <w:b w:val="0"/>
                <w:color w:val="333333"/>
                <w:sz w:val="17"/>
              </w:rPr>
              <w:t>12:  ☐ A   ☐ B   ☐ C   ☐ D</w:t>
            </w:r>
          </w:p>
        </w:tc>
      </w:tr>
      <w:tr>
        <w:tc>
          <w:tcPr>
            <w:tcW w:type="dxa" w:w="2256"/>
            <w:vAlign w:val="center"/>
          </w:tcPr>
          <w:p>
            <w:pPr>
              <w:spacing w:before="0" w:after="0" w:line="240" w:lineRule="auto"/>
            </w:pPr>
            <w:r/>
            <w:r>
              <w:rPr>
                <w:rFonts w:ascii="Arial" w:hAnsi="Arial" w:cs="Arial"/>
                <w:b w:val="0"/>
                <w:color w:val="333333"/>
                <w:sz w:val="17"/>
              </w:rPr>
              <w:t>13:  ☐ A   ☐ B   ☐ C   ☐ D</w:t>
            </w:r>
          </w:p>
        </w:tc>
        <w:tc>
          <w:tcPr>
            <w:tcW w:type="dxa" w:w="2256"/>
            <w:vAlign w:val="center"/>
          </w:tcPr>
          <w:p>
            <w:pPr>
              <w:spacing w:before="0" w:after="0" w:line="240" w:lineRule="auto"/>
            </w:pPr>
            <w:r/>
            <w:r>
              <w:rPr>
                <w:rFonts w:ascii="Arial" w:hAnsi="Arial" w:cs="Arial"/>
                <w:b w:val="0"/>
                <w:color w:val="333333"/>
                <w:sz w:val="17"/>
              </w:rPr>
              <w:t>14:  ☐ A   ☐ B   ☐ C   ☐ D</w:t>
            </w:r>
          </w:p>
        </w:tc>
        <w:tc>
          <w:tcPr>
            <w:tcW w:type="dxa" w:w="2256"/>
            <w:vAlign w:val="center"/>
          </w:tcPr>
          <w:p>
            <w:pPr>
              <w:spacing w:before="0" w:after="0" w:line="240" w:lineRule="auto"/>
            </w:pPr>
            <w:r/>
            <w:r>
              <w:rPr>
                <w:rFonts w:ascii="Arial" w:hAnsi="Arial" w:cs="Arial"/>
                <w:b w:val="0"/>
                <w:color w:val="333333"/>
                <w:sz w:val="17"/>
              </w:rPr>
              <w:t>15:  ☐ A   ☐ B   ☐ C   ☐ D</w:t>
            </w:r>
          </w:p>
        </w:tc>
        <w:tc>
          <w:tcPr>
            <w:tcW w:type="dxa" w:w="2258"/>
            <w:vAlign w:val="center"/>
          </w:tcPr>
          <w:p>
            <w:pPr>
              <w:spacing w:before="0" w:after="0" w:line="240" w:lineRule="auto"/>
            </w:pPr>
            <w:r/>
            <w:r>
              <w:rPr>
                <w:rFonts w:ascii="Arial" w:hAnsi="Arial" w:cs="Arial"/>
                <w:b w:val="0"/>
                <w:color w:val="333333"/>
                <w:sz w:val="17"/>
              </w:rPr>
              <w:t>16:  ☐ A   ☐ B   ☐ C   ☐ D</w:t>
            </w:r>
          </w:p>
        </w:tc>
      </w:tr>
      <w:tr>
        <w:tc>
          <w:tcPr>
            <w:tcW w:type="dxa" w:w="2256"/>
            <w:vAlign w:val="center"/>
          </w:tcPr>
          <w:p>
            <w:pPr>
              <w:spacing w:before="0" w:after="0" w:line="240" w:lineRule="auto"/>
            </w:pPr>
            <w:r/>
            <w:r>
              <w:rPr>
                <w:rFonts w:ascii="Arial" w:hAnsi="Arial" w:cs="Arial"/>
                <w:b w:val="0"/>
                <w:color w:val="333333"/>
                <w:sz w:val="17"/>
              </w:rPr>
              <w:t>17:  ☐ A   ☐ B   ☐ C   ☐ D</w:t>
            </w:r>
          </w:p>
        </w:tc>
        <w:tc>
          <w:tcPr>
            <w:tcW w:type="dxa" w:w="2256"/>
            <w:vAlign w:val="center"/>
          </w:tcPr>
          <w:p>
            <w:pPr>
              <w:spacing w:before="0" w:after="0" w:line="240" w:lineRule="auto"/>
            </w:pPr>
            <w:r/>
            <w:r>
              <w:rPr>
                <w:rFonts w:ascii="Arial" w:hAnsi="Arial" w:cs="Arial"/>
                <w:b w:val="0"/>
                <w:color w:val="333333"/>
                <w:sz w:val="17"/>
              </w:rPr>
              <w:t>18:  ☐ A   ☐ B   ☐ C   ☐ D</w:t>
            </w:r>
          </w:p>
        </w:tc>
        <w:tc>
          <w:tcPr>
            <w:tcW w:type="dxa" w:w="2256"/>
            <w:vAlign w:val="center"/>
          </w:tcPr>
          <w:p>
            <w:pPr>
              <w:spacing w:before="0" w:after="0" w:line="240" w:lineRule="auto"/>
            </w:pPr>
            <w:r/>
            <w:r>
              <w:rPr>
                <w:rFonts w:ascii="Arial" w:hAnsi="Arial" w:cs="Arial"/>
                <w:b w:val="0"/>
                <w:color w:val="333333"/>
                <w:sz w:val="17"/>
              </w:rPr>
            </w:r>
          </w:p>
        </w:tc>
        <w:tc>
          <w:tcPr>
            <w:tcW w:type="dxa" w:w="2258"/>
            <w:vAlign w:val="center"/>
          </w:tcPr>
          <w:p>
            <w:pPr>
              <w:spacing w:before="0" w:after="0" w:line="240" w:lineRule="auto"/>
            </w:pPr>
            <w:r/>
            <w:r>
              <w:rPr>
                <w:rFonts w:ascii="Arial" w:hAnsi="Arial" w:cs="Arial"/>
                <w:b w:val="0"/>
                <w:color w:val="333333"/>
                <w:sz w:val="17"/>
              </w:rPr>
            </w:r>
          </w:p>
        </w:tc>
      </w:tr>
    </w:tbl>
    <w:p>
      <w:pPr>
        <w:spacing w:after="80"/>
      </w:pPr>
    </w:p>
    <w:p>
      <w:r>
        <w:rPr>
          <w:rFonts w:ascii="Arial" w:hAnsi="Arial" w:cs="Arial"/>
          <w:sz w:val="19"/>
        </w:rPr>
        <w:t xml:space="preserve">Puntuación directa orientativa por parte: </w:t>
      </w:r>
      <w:r>
        <w:rPr>
          <w:rFonts w:ascii="Arial" w:hAnsi="Arial" w:cs="Arial"/>
          <w:b/>
          <w:sz w:val="19"/>
        </w:rPr>
        <w:t>aciertos − errores/4</w:t>
      </w:r>
      <w:r>
        <w:rPr>
          <w:rFonts w:ascii="Arial" w:hAnsi="Arial" w:cs="Arial"/>
          <w:sz w:val="19"/>
        </w:rPr>
        <w:t>. Las reservas solo sustituyen preguntas anuladas por orden correlativo. La puntuación oficial es la transformada conforme al baremo del tribunal.</w:t>
      </w: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Simulacro 07 · Sin respuestas ·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Simulacro 07 - nivel oficial - sin respuestas</dc:title>
  <dc:subject>Cuerpo Administrativo de la Administración de la Seguridad Social, subgrupo C1, acceso libre</dc:subject>
  <dc:creator>ACADEMIA LORMAN</dc:creator>
  <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