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08 · nivel oficial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Conforme al ordenamiento vigente a la fecha de corte, ¿Cuál de las siguientes es una clase de empleado público enumerada en el artículo 8.2 TREBEP?</w:t>
      </w:r>
    </w:p>
    <w:p>
      <w:pPr>
        <w:keepNext/>
        <w:keepLines/>
        <w:spacing w:after="40"/>
        <w:ind w:left="369" w:hanging="198"/>
      </w:pPr>
      <w:r>
        <w:rPr>
          <w:rFonts w:ascii="Arial" w:hAnsi="Arial" w:cs="Arial"/>
          <w:b w:val="0"/>
          <w:sz w:val="21"/>
        </w:rPr>
        <w:t>A) El contratista administrativo.</w:t>
      </w:r>
    </w:p>
    <w:p>
      <w:pPr>
        <w:keepNext/>
        <w:keepLines/>
        <w:spacing w:after="40"/>
        <w:ind w:left="369" w:hanging="198"/>
      </w:pPr>
      <w:r>
        <w:rPr>
          <w:rFonts w:ascii="Arial" w:hAnsi="Arial" w:cs="Arial"/>
          <w:b w:val="0"/>
          <w:sz w:val="21"/>
        </w:rPr>
        <w:t>B) El alto cargo en todo caso.</w:t>
      </w:r>
    </w:p>
    <w:p>
      <w:pPr>
        <w:keepNext/>
        <w:keepLines/>
        <w:spacing w:after="40"/>
        <w:ind w:left="369" w:hanging="198"/>
      </w:pPr>
      <w:r>
        <w:rPr>
          <w:rFonts w:ascii="Arial" w:hAnsi="Arial" w:cs="Arial"/>
          <w:b w:val="0"/>
          <w:sz w:val="21"/>
        </w:rPr>
        <w:t>C) El becario sin relación de empleo.</w:t>
      </w:r>
    </w:p>
    <w:p>
      <w:pPr>
        <w:keepNext/>
        <w:keepLines/>
        <w:spacing w:after="40"/>
        <w:ind w:left="369" w:hanging="198"/>
      </w:pPr>
      <w:r>
        <w:rPr>
          <w:rFonts w:ascii="Arial" w:hAnsi="Arial" w:cs="Arial"/>
          <w:b w:val="0"/>
          <w:sz w:val="21"/>
        </w:rPr>
        <w:t>D) El personal eventual.</w:t>
      </w:r>
    </w:p>
    <w:p>
      <w:pPr>
        <w:pStyle w:val="Question"/>
        <w:keepNext/>
      </w:pPr>
      <w:r>
        <w:rPr>
          <w:rFonts w:ascii="Arial" w:hAnsi="Arial" w:cs="Arial"/>
          <w:sz w:val="22"/>
        </w:rPr>
        <w:t>2. Conforme al ordenamiento vigente a la fecha de corte, la transferencia o delegación a las Comunidades de facultades estatales susceptibles por su naturaleza requiere:</w:t>
      </w:r>
    </w:p>
    <w:p>
      <w:pPr>
        <w:keepNext/>
        <w:keepLines/>
        <w:spacing w:after="40"/>
        <w:ind w:left="369" w:hanging="198"/>
      </w:pPr>
      <w:r>
        <w:rPr>
          <w:rFonts w:ascii="Arial" w:hAnsi="Arial" w:cs="Arial"/>
          <w:b w:val="0"/>
          <w:sz w:val="21"/>
        </w:rPr>
        <w:t>A) Una ley marco aprobada por mayoría simple.</w:t>
      </w:r>
    </w:p>
    <w:p>
      <w:pPr>
        <w:keepNext/>
        <w:keepLines/>
        <w:spacing w:after="40"/>
        <w:ind w:left="369" w:hanging="198"/>
      </w:pPr>
      <w:r>
        <w:rPr>
          <w:rFonts w:ascii="Arial" w:hAnsi="Arial" w:cs="Arial"/>
          <w:b w:val="0"/>
          <w:sz w:val="21"/>
        </w:rPr>
        <w:t>B) Una ley orgánica que prevea medios financieros y formas de control.</w:t>
      </w:r>
    </w:p>
    <w:p>
      <w:pPr>
        <w:keepNext/>
        <w:keepLines/>
        <w:spacing w:after="40"/>
        <w:ind w:left="369" w:hanging="198"/>
      </w:pPr>
      <w:r>
        <w:rPr>
          <w:rFonts w:ascii="Arial" w:hAnsi="Arial" w:cs="Arial"/>
          <w:b w:val="0"/>
          <w:sz w:val="21"/>
        </w:rPr>
        <w:t>C) Un reglamento del Consejo de Ministros.</w:t>
      </w:r>
    </w:p>
    <w:p>
      <w:pPr>
        <w:keepNext/>
        <w:keepLines/>
        <w:spacing w:after="40"/>
        <w:ind w:left="369" w:hanging="198"/>
      </w:pPr>
      <w:r>
        <w:rPr>
          <w:rFonts w:ascii="Arial" w:hAnsi="Arial" w:cs="Arial"/>
          <w:b w:val="0"/>
          <w:sz w:val="21"/>
        </w:rPr>
        <w:t>D) Un convenio bilateral sin intervención legislativa.</w:t>
      </w:r>
    </w:p>
    <w:p>
      <w:pPr>
        <w:pStyle w:val="Question"/>
        <w:keepNext/>
      </w:pPr>
      <w:r>
        <w:rPr>
          <w:rFonts w:ascii="Arial" w:hAnsi="Arial" w:cs="Arial"/>
          <w:sz w:val="22"/>
        </w:rPr>
        <w:t>3. Conforme al ordenamiento vigente a la fecha de corte, un órgano judicial considera que una ley aplicable y decisiva es contraria a la Constitución y no admite interpretación conforme. ¿Qué debe hacer?</w:t>
      </w:r>
    </w:p>
    <w:p>
      <w:pPr>
        <w:keepNext/>
        <w:keepLines/>
        <w:spacing w:after="40"/>
        <w:ind w:left="369" w:hanging="198"/>
      </w:pPr>
      <w:r>
        <w:rPr>
          <w:rFonts w:ascii="Arial" w:hAnsi="Arial" w:cs="Arial"/>
          <w:b w:val="0"/>
          <w:sz w:val="21"/>
        </w:rPr>
        <w:t>A) Anular directamente la ley con efectos generales.</w:t>
      </w:r>
    </w:p>
    <w:p>
      <w:pPr>
        <w:keepNext/>
        <w:keepLines/>
        <w:spacing w:after="40"/>
        <w:ind w:left="369" w:hanging="198"/>
      </w:pPr>
      <w:r>
        <w:rPr>
          <w:rFonts w:ascii="Arial" w:hAnsi="Arial" w:cs="Arial"/>
          <w:b w:val="0"/>
          <w:sz w:val="21"/>
        </w:rPr>
        <w:t>B) Pedir autorización al CGPJ para inaplicarla.</w:t>
      </w:r>
    </w:p>
    <w:p>
      <w:pPr>
        <w:keepNext/>
        <w:keepLines/>
        <w:spacing w:after="40"/>
        <w:ind w:left="369" w:hanging="198"/>
      </w:pPr>
      <w:r>
        <w:rPr>
          <w:rFonts w:ascii="Arial" w:hAnsi="Arial" w:cs="Arial"/>
          <w:b w:val="0"/>
          <w:sz w:val="21"/>
        </w:rPr>
        <w:t>C) Remitir el asunto al Senado.</w:t>
      </w:r>
    </w:p>
    <w:p>
      <w:pPr>
        <w:keepNext/>
        <w:keepLines/>
        <w:spacing w:after="40"/>
        <w:ind w:left="369" w:hanging="198"/>
      </w:pPr>
      <w:r>
        <w:rPr>
          <w:rFonts w:ascii="Arial" w:hAnsi="Arial" w:cs="Arial"/>
          <w:b w:val="0"/>
          <w:sz w:val="21"/>
        </w:rPr>
        <w:t>D) Plantear una cuestión de inconstitucionalidad ante el Tribunal Constitucional en los términos legales.</w:t>
      </w:r>
    </w:p>
    <w:p>
      <w:pPr>
        <w:pStyle w:val="Question"/>
        <w:keepNext/>
      </w:pPr>
      <w:r>
        <w:rPr>
          <w:rFonts w:ascii="Arial" w:hAnsi="Arial" w:cs="Arial"/>
          <w:sz w:val="22"/>
        </w:rPr>
        <w:t>4. A efectos de aplicar correctamente la regla examinada, ¿Qué Estado ejerce la presidencia rotatoria del Consejo entre el 1 de julio y el 31 de diciembre de 2026?</w:t>
      </w:r>
    </w:p>
    <w:p>
      <w:pPr>
        <w:keepNext/>
        <w:keepLines/>
        <w:spacing w:after="40"/>
        <w:ind w:left="369" w:hanging="198"/>
      </w:pPr>
      <w:r>
        <w:rPr>
          <w:rFonts w:ascii="Arial" w:hAnsi="Arial" w:cs="Arial"/>
          <w:b w:val="0"/>
          <w:sz w:val="21"/>
        </w:rPr>
        <w:t>A) Irlanda.</w:t>
      </w:r>
    </w:p>
    <w:p>
      <w:pPr>
        <w:keepNext/>
        <w:keepLines/>
        <w:spacing w:after="40"/>
        <w:ind w:left="369" w:hanging="198"/>
      </w:pPr>
      <w:r>
        <w:rPr>
          <w:rFonts w:ascii="Arial" w:hAnsi="Arial" w:cs="Arial"/>
          <w:b w:val="0"/>
          <w:sz w:val="21"/>
        </w:rPr>
        <w:t>B) Chipre.</w:t>
      </w:r>
    </w:p>
    <w:p>
      <w:pPr>
        <w:keepNext/>
        <w:keepLines/>
        <w:spacing w:after="40"/>
        <w:ind w:left="369" w:hanging="198"/>
      </w:pPr>
      <w:r>
        <w:rPr>
          <w:rFonts w:ascii="Arial" w:hAnsi="Arial" w:cs="Arial"/>
          <w:b w:val="0"/>
          <w:sz w:val="21"/>
        </w:rPr>
        <w:t>C) Lituania.</w:t>
      </w:r>
    </w:p>
    <w:p>
      <w:pPr>
        <w:keepNext/>
        <w:keepLines/>
        <w:spacing w:after="40"/>
        <w:ind w:left="369" w:hanging="198"/>
      </w:pPr>
      <w:r>
        <w:rPr>
          <w:rFonts w:ascii="Arial" w:hAnsi="Arial" w:cs="Arial"/>
          <w:b w:val="0"/>
          <w:sz w:val="21"/>
        </w:rPr>
        <w:t>D) Grecia.</w:t>
      </w:r>
    </w:p>
    <w:p>
      <w:pPr>
        <w:pStyle w:val="Question"/>
        <w:keepNext/>
      </w:pPr>
      <w:r>
        <w:rPr>
          <w:rFonts w:ascii="Arial" w:hAnsi="Arial" w:cs="Arial"/>
          <w:sz w:val="22"/>
        </w:rPr>
        <w:t>5. A efectos de aplicar correctamente la regla examinada, si no hay persona a quien corresponda la Regencia, ¿cuántos miembros puede nombrar las Cortes Generales?</w:t>
      </w:r>
    </w:p>
    <w:p>
      <w:pPr>
        <w:keepNext/>
        <w:keepLines/>
        <w:spacing w:after="40"/>
        <w:ind w:left="369" w:hanging="198"/>
      </w:pPr>
      <w:r>
        <w:rPr>
          <w:rFonts w:ascii="Arial" w:hAnsi="Arial" w:cs="Arial"/>
          <w:b w:val="0"/>
          <w:sz w:val="21"/>
        </w:rPr>
        <w:t>A) Dos, tres o cinco.</w:t>
      </w:r>
    </w:p>
    <w:p>
      <w:pPr>
        <w:keepNext/>
        <w:keepLines/>
        <w:spacing w:after="40"/>
        <w:ind w:left="369" w:hanging="198"/>
      </w:pPr>
      <w:r>
        <w:rPr>
          <w:rFonts w:ascii="Arial" w:hAnsi="Arial" w:cs="Arial"/>
          <w:b w:val="0"/>
          <w:sz w:val="21"/>
        </w:rPr>
        <w:t>B) Uno, tres o cinco.</w:t>
      </w:r>
    </w:p>
    <w:p>
      <w:pPr>
        <w:keepNext/>
        <w:keepLines/>
        <w:spacing w:after="40"/>
        <w:ind w:left="369" w:hanging="198"/>
      </w:pPr>
      <w:r>
        <w:rPr>
          <w:rFonts w:ascii="Arial" w:hAnsi="Arial" w:cs="Arial"/>
          <w:b w:val="0"/>
          <w:sz w:val="21"/>
        </w:rPr>
        <w:t>C) Uno, dos o tres.</w:t>
      </w:r>
    </w:p>
    <w:p>
      <w:pPr>
        <w:keepNext/>
        <w:keepLines/>
        <w:spacing w:after="40"/>
        <w:ind w:left="369" w:hanging="198"/>
      </w:pPr>
      <w:r>
        <w:rPr>
          <w:rFonts w:ascii="Arial" w:hAnsi="Arial" w:cs="Arial"/>
          <w:b w:val="0"/>
          <w:sz w:val="21"/>
        </w:rPr>
        <w:t>D) Uno, cuatro o cinco.</w:t>
      </w:r>
    </w:p>
    <w:p>
      <w:pPr>
        <w:pStyle w:val="Question"/>
        <w:keepNext/>
      </w:pPr>
      <w:r>
        <w:rPr>
          <w:rFonts w:ascii="Arial" w:hAnsi="Arial" w:cs="Arial"/>
          <w:sz w:val="22"/>
        </w:rPr>
        <w:t>6. A efectos de aplicar correctamente la regla examinada, la iniciativa legislativa popular estatal requiere no menos de:</w:t>
      </w:r>
    </w:p>
    <w:p>
      <w:pPr>
        <w:keepNext/>
        <w:keepLines/>
        <w:spacing w:after="40"/>
        <w:ind w:left="369" w:hanging="198"/>
      </w:pPr>
      <w:r>
        <w:rPr>
          <w:rFonts w:ascii="Arial" w:hAnsi="Arial" w:cs="Arial"/>
          <w:b w:val="0"/>
          <w:sz w:val="21"/>
        </w:rPr>
        <w:t>A) 50.000 firmas.</w:t>
      </w:r>
    </w:p>
    <w:p>
      <w:pPr>
        <w:keepNext/>
        <w:keepLines/>
        <w:spacing w:after="40"/>
        <w:ind w:left="369" w:hanging="198"/>
      </w:pPr>
      <w:r>
        <w:rPr>
          <w:rFonts w:ascii="Arial" w:hAnsi="Arial" w:cs="Arial"/>
          <w:b w:val="0"/>
          <w:sz w:val="21"/>
        </w:rPr>
        <w:t>B) 250.000 firmas.</w:t>
      </w:r>
    </w:p>
    <w:p>
      <w:pPr>
        <w:keepNext/>
        <w:keepLines/>
        <w:spacing w:after="40"/>
        <w:ind w:left="369" w:hanging="198"/>
      </w:pPr>
      <w:r>
        <w:rPr>
          <w:rFonts w:ascii="Arial" w:hAnsi="Arial" w:cs="Arial"/>
          <w:b w:val="0"/>
          <w:sz w:val="21"/>
        </w:rPr>
        <w:t>C) 500.000 firmas acreditadas.</w:t>
      </w:r>
    </w:p>
    <w:p>
      <w:pPr>
        <w:keepNext/>
        <w:keepLines/>
        <w:spacing w:after="40"/>
        <w:ind w:left="369" w:hanging="198"/>
      </w:pPr>
      <w:r>
        <w:rPr>
          <w:rFonts w:ascii="Arial" w:hAnsi="Arial" w:cs="Arial"/>
          <w:b w:val="0"/>
          <w:sz w:val="21"/>
        </w:rPr>
        <w:t>D) 1.000.000 de firmas.</w:t>
      </w:r>
    </w:p>
    <w:p>
      <w:pPr>
        <w:pStyle w:val="Question"/>
        <w:keepNext/>
      </w:pPr>
      <w:r>
        <w:rPr>
          <w:rFonts w:ascii="Arial" w:hAnsi="Arial" w:cs="Arial"/>
          <w:sz w:val="22"/>
        </w:rPr>
        <w:t>7. En una comprobación jurídica del expediente, el incumplimiento empresarial en afiliación, alta o cotización:</w:t>
      </w:r>
    </w:p>
    <w:p>
      <w:pPr>
        <w:keepNext/>
        <w:keepLines/>
        <w:spacing w:after="40"/>
        <w:ind w:left="369" w:hanging="198"/>
      </w:pPr>
      <w:r>
        <w:rPr>
          <w:rFonts w:ascii="Arial" w:hAnsi="Arial" w:cs="Arial"/>
          <w:b w:val="0"/>
          <w:sz w:val="21"/>
        </w:rPr>
        <w:t>A) Extingue necesariamente todo derecho del trabajador.</w:t>
      </w:r>
    </w:p>
    <w:p>
      <w:pPr>
        <w:keepNext/>
        <w:keepLines/>
        <w:spacing w:after="40"/>
        <w:ind w:left="369" w:hanging="198"/>
      </w:pPr>
      <w:r>
        <w:rPr>
          <w:rFonts w:ascii="Arial" w:hAnsi="Arial" w:cs="Arial"/>
          <w:b w:val="0"/>
          <w:sz w:val="21"/>
        </w:rPr>
        <w:t>B) Puede determinar responsabilidad empresarial en orden a la prestación.</w:t>
      </w:r>
    </w:p>
    <w:p>
      <w:pPr>
        <w:keepNext/>
        <w:keepLines/>
        <w:spacing w:after="40"/>
        <w:ind w:left="369" w:hanging="198"/>
      </w:pPr>
      <w:r>
        <w:rPr>
          <w:rFonts w:ascii="Arial" w:hAnsi="Arial" w:cs="Arial"/>
          <w:b w:val="0"/>
          <w:sz w:val="21"/>
        </w:rPr>
        <w:t>C) Solo genera una deuda tributaria.</w:t>
      </w:r>
    </w:p>
    <w:p>
      <w:pPr>
        <w:keepNext/>
        <w:keepLines/>
        <w:spacing w:after="40"/>
        <w:ind w:left="369" w:hanging="198"/>
      </w:pPr>
      <w:r>
        <w:rPr>
          <w:rFonts w:ascii="Arial" w:hAnsi="Arial" w:cs="Arial"/>
          <w:b w:val="0"/>
          <w:sz w:val="21"/>
        </w:rPr>
        <w:t>D) Impide cualquier anticipo.</w:t>
      </w:r>
    </w:p>
    <w:p>
      <w:pPr>
        <w:pStyle w:val="Question"/>
        <w:keepNext/>
      </w:pPr>
      <w:r>
        <w:rPr>
          <w:rFonts w:ascii="Arial" w:hAnsi="Arial" w:cs="Arial"/>
          <w:sz w:val="22"/>
        </w:rPr>
        <w:t>8. A efectos de aplicar correctamente la regla examinada, ¿Cuántas Subdirecciones Generales dependen de la Dirección General de Atención Humanitaria y del Sistema de Acogida de Protección Internacional?</w:t>
      </w:r>
    </w:p>
    <w:p>
      <w:pPr>
        <w:keepNext/>
        <w:keepLines/>
        <w:spacing w:after="40"/>
        <w:ind w:left="369" w:hanging="198"/>
      </w:pPr>
      <w:r>
        <w:rPr>
          <w:rFonts w:ascii="Arial" w:hAnsi="Arial" w:cs="Arial"/>
          <w:b w:val="0"/>
          <w:sz w:val="21"/>
        </w:rPr>
        <w:t>A) Dos.</w:t>
      </w:r>
    </w:p>
    <w:p>
      <w:pPr>
        <w:keepNext/>
        <w:keepLines/>
        <w:spacing w:after="40"/>
        <w:ind w:left="369" w:hanging="198"/>
      </w:pPr>
      <w:r>
        <w:rPr>
          <w:rFonts w:ascii="Arial" w:hAnsi="Arial" w:cs="Arial"/>
          <w:b w:val="0"/>
          <w:sz w:val="21"/>
        </w:rPr>
        <w:t>B) Cinco.</w:t>
      </w:r>
    </w:p>
    <w:p>
      <w:pPr>
        <w:keepNext/>
        <w:keepLines/>
        <w:spacing w:after="40"/>
        <w:ind w:left="369" w:hanging="198"/>
      </w:pPr>
      <w:r>
        <w:rPr>
          <w:rFonts w:ascii="Arial" w:hAnsi="Arial" w:cs="Arial"/>
          <w:b w:val="0"/>
          <w:sz w:val="21"/>
        </w:rPr>
        <w:t>C) Seis.</w:t>
      </w:r>
    </w:p>
    <w:p>
      <w:pPr>
        <w:keepNext/>
        <w:keepLines/>
        <w:spacing w:after="40"/>
        <w:ind w:left="369" w:hanging="198"/>
      </w:pPr>
      <w:r>
        <w:rPr>
          <w:rFonts w:ascii="Arial" w:hAnsi="Arial" w:cs="Arial"/>
          <w:b w:val="0"/>
          <w:sz w:val="21"/>
        </w:rPr>
        <w:t>D) Cuatro.</w:t>
      </w:r>
    </w:p>
    <w:p>
      <w:pPr>
        <w:pStyle w:val="Question"/>
        <w:keepNext/>
      </w:pPr>
      <w:r>
        <w:rPr>
          <w:rFonts w:ascii="Arial" w:hAnsi="Arial" w:cs="Arial"/>
          <w:sz w:val="22"/>
        </w:rPr>
        <w:t>9. Conforme al ordenamiento vigente a la fecha de corte, a requerimiento de una persona con discapacidad, el Real Decreto 366/2007 prevé que los documentos puedan ofrecerse:</w:t>
      </w:r>
    </w:p>
    <w:p>
      <w:pPr>
        <w:keepNext/>
        <w:keepLines/>
        <w:spacing w:after="40"/>
        <w:ind w:left="369" w:hanging="198"/>
      </w:pPr>
      <w:r>
        <w:rPr>
          <w:rFonts w:ascii="Arial" w:hAnsi="Arial" w:cs="Arial"/>
          <w:b w:val="0"/>
          <w:sz w:val="21"/>
        </w:rPr>
        <w:t>A) Solo en papel ordinario.</w:t>
      </w:r>
    </w:p>
    <w:p>
      <w:pPr>
        <w:keepNext/>
        <w:keepLines/>
        <w:spacing w:after="40"/>
        <w:ind w:left="369" w:hanging="198"/>
      </w:pPr>
      <w:r>
        <w:rPr>
          <w:rFonts w:ascii="Arial" w:hAnsi="Arial" w:cs="Arial"/>
          <w:b w:val="0"/>
          <w:sz w:val="21"/>
        </w:rPr>
        <w:t>B) Únicamente mediante comparecencia judicial.</w:t>
      </w:r>
    </w:p>
    <w:p>
      <w:pPr>
        <w:keepNext/>
        <w:keepLines/>
        <w:spacing w:after="40"/>
        <w:ind w:left="369" w:hanging="198"/>
      </w:pPr>
      <w:r>
        <w:rPr>
          <w:rFonts w:ascii="Arial" w:hAnsi="Arial" w:cs="Arial"/>
          <w:b w:val="0"/>
          <w:sz w:val="21"/>
        </w:rPr>
        <w:t>C) En formatos alternativos como letra grande o braille, o con apoyo para cumplimentarlos.</w:t>
      </w:r>
    </w:p>
    <w:p>
      <w:pPr>
        <w:keepNext/>
        <w:keepLines/>
        <w:spacing w:after="40"/>
        <w:ind w:left="369" w:hanging="198"/>
      </w:pPr>
      <w:r>
        <w:rPr>
          <w:rFonts w:ascii="Arial" w:hAnsi="Arial" w:cs="Arial"/>
          <w:b w:val="0"/>
          <w:sz w:val="21"/>
        </w:rPr>
        <w:t>D) Sin instrucciones para preservar neutralidad.</w:t>
      </w:r>
    </w:p>
    <w:p>
      <w:pPr>
        <w:pStyle w:val="Question"/>
        <w:keepNext/>
      </w:pPr>
      <w:r>
        <w:rPr>
          <w:rFonts w:ascii="Arial" w:hAnsi="Arial" w:cs="Arial"/>
          <w:sz w:val="22"/>
        </w:rPr>
        <w:t>10. Conforme al ordenamiento vigente a la fecha de corte, en menstruación incapacitante secundaria:</w:t>
      </w:r>
    </w:p>
    <w:p>
      <w:pPr>
        <w:keepNext/>
        <w:keepLines/>
        <w:spacing w:after="40"/>
        <w:ind w:left="369" w:hanging="198"/>
      </w:pPr>
      <w:r>
        <w:rPr>
          <w:rFonts w:ascii="Arial" w:hAnsi="Arial" w:cs="Arial"/>
          <w:b w:val="0"/>
          <w:sz w:val="21"/>
        </w:rPr>
        <w:t>A) Cada baja es proceso nuevo y la entidad paga desde el mismo día.</w:t>
      </w:r>
    </w:p>
    <w:p>
      <w:pPr>
        <w:keepNext/>
        <w:keepLines/>
        <w:spacing w:after="40"/>
        <w:ind w:left="369" w:hanging="198"/>
      </w:pPr>
      <w:r>
        <w:rPr>
          <w:rFonts w:ascii="Arial" w:hAnsi="Arial" w:cs="Arial"/>
          <w:b w:val="0"/>
          <w:sz w:val="21"/>
        </w:rPr>
        <w:t>B) Se exige siempre carencia de 180 días.</w:t>
      </w:r>
    </w:p>
    <w:p>
      <w:pPr>
        <w:keepNext/>
        <w:keepLines/>
        <w:spacing w:after="40"/>
        <w:ind w:left="369" w:hanging="198"/>
      </w:pPr>
      <w:r>
        <w:rPr>
          <w:rFonts w:ascii="Arial" w:hAnsi="Arial" w:cs="Arial"/>
          <w:b w:val="0"/>
          <w:sz w:val="21"/>
        </w:rPr>
        <w:t>C) El empresario paga del día 4 al 15.</w:t>
      </w:r>
    </w:p>
    <w:p>
      <w:pPr>
        <w:keepNext/>
        <w:keepLines/>
        <w:spacing w:after="40"/>
        <w:ind w:left="369" w:hanging="198"/>
      </w:pPr>
      <w:r>
        <w:rPr>
          <w:rFonts w:ascii="Arial" w:hAnsi="Arial" w:cs="Arial"/>
          <w:b w:val="0"/>
          <w:sz w:val="21"/>
        </w:rPr>
        <w:t>D) Toda nueva baja es recaída.</w:t>
      </w:r>
    </w:p>
    <w:p>
      <w:pPr>
        <w:pStyle w:val="Question"/>
        <w:keepNext/>
      </w:pPr>
      <w:r>
        <w:rPr>
          <w:rFonts w:ascii="Arial" w:hAnsi="Arial" w:cs="Arial"/>
          <w:sz w:val="22"/>
        </w:rPr>
        <w:t>11. Conforme al ordenamiento vigente a la fecha de corte, la portabilidad exige, entre otros requisitos:</w:t>
      </w:r>
    </w:p>
    <w:p>
      <w:pPr>
        <w:keepNext/>
        <w:keepLines/>
        <w:spacing w:after="40"/>
        <w:ind w:left="369" w:hanging="198"/>
      </w:pPr>
      <w:r>
        <w:rPr>
          <w:rFonts w:ascii="Arial" w:hAnsi="Arial" w:cs="Arial"/>
          <w:b w:val="0"/>
          <w:sz w:val="21"/>
        </w:rPr>
        <w:t>A) Que la base sea consentimiento o contrato y que el tratamiento sea automatizado.</w:t>
      </w:r>
    </w:p>
    <w:p>
      <w:pPr>
        <w:keepNext/>
        <w:keepLines/>
        <w:spacing w:after="40"/>
        <w:ind w:left="369" w:hanging="198"/>
      </w:pPr>
      <w:r>
        <w:rPr>
          <w:rFonts w:ascii="Arial" w:hAnsi="Arial" w:cs="Arial"/>
          <w:b w:val="0"/>
          <w:sz w:val="21"/>
        </w:rPr>
        <w:t>B) Que la base sea una obligación legal y el soporte manual.</w:t>
      </w:r>
    </w:p>
    <w:p>
      <w:pPr>
        <w:keepNext/>
        <w:keepLines/>
        <w:spacing w:after="40"/>
        <w:ind w:left="369" w:hanging="198"/>
      </w:pPr>
      <w:r>
        <w:rPr>
          <w:rFonts w:ascii="Arial" w:hAnsi="Arial" w:cs="Arial"/>
          <w:b w:val="0"/>
          <w:sz w:val="21"/>
        </w:rPr>
        <w:t>C) Que exista siempre una Administración pública.</w:t>
      </w:r>
    </w:p>
    <w:p>
      <w:pPr>
        <w:keepNext/>
        <w:keepLines/>
        <w:spacing w:after="40"/>
        <w:ind w:left="369" w:hanging="198"/>
      </w:pPr>
      <w:r>
        <w:rPr>
          <w:rFonts w:ascii="Arial" w:hAnsi="Arial" w:cs="Arial"/>
          <w:b w:val="0"/>
          <w:sz w:val="21"/>
        </w:rPr>
        <w:t>D) Que se trate únicamente de datos inferidos.</w:t>
      </w:r>
    </w:p>
    <w:p>
      <w:pPr>
        <w:pStyle w:val="Question"/>
        <w:keepNext/>
      </w:pPr>
      <w:r>
        <w:rPr>
          <w:rFonts w:ascii="Arial" w:hAnsi="Arial" w:cs="Arial"/>
          <w:sz w:val="22"/>
        </w:rPr>
        <w:t>12. Conforme al ordenamiento vigente a la fecha de corte, si una ley no fija otra fecha, entra en vigor:</w:t>
      </w:r>
    </w:p>
    <w:p>
      <w:pPr>
        <w:keepNext/>
        <w:keepLines/>
        <w:spacing w:after="40"/>
        <w:ind w:left="369" w:hanging="198"/>
      </w:pPr>
      <w:r>
        <w:rPr>
          <w:rFonts w:ascii="Arial" w:hAnsi="Arial" w:cs="Arial"/>
          <w:b w:val="0"/>
          <w:sz w:val="21"/>
        </w:rPr>
        <w:t>A) El día de su aprobación parlamentaria.</w:t>
      </w:r>
    </w:p>
    <w:p>
      <w:pPr>
        <w:keepNext/>
        <w:keepLines/>
        <w:spacing w:after="40"/>
        <w:ind w:left="369" w:hanging="198"/>
      </w:pPr>
      <w:r>
        <w:rPr>
          <w:rFonts w:ascii="Arial" w:hAnsi="Arial" w:cs="Arial"/>
          <w:b w:val="0"/>
          <w:sz w:val="21"/>
        </w:rPr>
        <w:t>B) A los quince días de su sanción.</w:t>
      </w:r>
    </w:p>
    <w:p>
      <w:pPr>
        <w:keepNext/>
        <w:keepLines/>
        <w:spacing w:after="40"/>
        <w:ind w:left="369" w:hanging="198"/>
      </w:pPr>
      <w:r>
        <w:rPr>
          <w:rFonts w:ascii="Arial" w:hAnsi="Arial" w:cs="Arial"/>
          <w:b w:val="0"/>
          <w:sz w:val="21"/>
        </w:rPr>
        <w:t>C) Al mes de su publicación parcial.</w:t>
      </w:r>
    </w:p>
    <w:p>
      <w:pPr>
        <w:keepNext/>
        <w:keepLines/>
        <w:spacing w:after="40"/>
        <w:ind w:left="369" w:hanging="198"/>
      </w:pPr>
      <w:r>
        <w:rPr>
          <w:rFonts w:ascii="Arial" w:hAnsi="Arial" w:cs="Arial"/>
          <w:b w:val="0"/>
          <w:sz w:val="21"/>
        </w:rPr>
        <w:t>D) A los veinte días de su completa publicación en el BOE.</w:t>
      </w:r>
    </w:p>
    <w:p>
      <w:pPr>
        <w:pStyle w:val="Question"/>
        <w:keepNext/>
      </w:pPr>
      <w:r>
        <w:rPr>
          <w:rFonts w:ascii="Arial" w:hAnsi="Arial" w:cs="Arial"/>
          <w:sz w:val="22"/>
        </w:rPr>
        <w:t>13. Conforme al ordenamiento vigente a la fecha de corte, los subdirectores generales son nombrados y cesados:</w:t>
      </w:r>
    </w:p>
    <w:p>
      <w:pPr>
        <w:keepNext/>
        <w:keepLines/>
        <w:spacing w:after="40"/>
        <w:ind w:left="369" w:hanging="198"/>
      </w:pPr>
      <w:r>
        <w:rPr>
          <w:rFonts w:ascii="Arial" w:hAnsi="Arial" w:cs="Arial"/>
          <w:b w:val="0"/>
          <w:sz w:val="21"/>
        </w:rPr>
        <w:t>A) Siempre por el Consejo de Ministros.</w:t>
      </w:r>
    </w:p>
    <w:p>
      <w:pPr>
        <w:keepNext/>
        <w:keepLines/>
        <w:spacing w:after="40"/>
        <w:ind w:left="369" w:hanging="198"/>
      </w:pPr>
      <w:r>
        <w:rPr>
          <w:rFonts w:ascii="Arial" w:hAnsi="Arial" w:cs="Arial"/>
          <w:b w:val="0"/>
          <w:sz w:val="21"/>
        </w:rPr>
        <w:t>B) Por el Rey a propuesta del presidente.</w:t>
      </w:r>
    </w:p>
    <w:p>
      <w:pPr>
        <w:keepNext/>
        <w:keepLines/>
        <w:spacing w:after="40"/>
        <w:ind w:left="369" w:hanging="198"/>
      </w:pPr>
      <w:r>
        <w:rPr>
          <w:rFonts w:ascii="Arial" w:hAnsi="Arial" w:cs="Arial"/>
          <w:b w:val="0"/>
          <w:sz w:val="21"/>
        </w:rPr>
        <w:t>C) Por el director general mediante libre contratación.</w:t>
      </w:r>
    </w:p>
    <w:p>
      <w:pPr>
        <w:keepNext/>
        <w:keepLines/>
        <w:spacing w:after="40"/>
        <w:ind w:left="369" w:hanging="198"/>
      </w:pPr>
      <w:r>
        <w:rPr>
          <w:rFonts w:ascii="Arial" w:hAnsi="Arial" w:cs="Arial"/>
          <w:b w:val="0"/>
          <w:sz w:val="21"/>
        </w:rPr>
        <w:t>D) Por el ministro, secretario de Estado o subsecretario del que dependan.</w:t>
      </w:r>
    </w:p>
    <w:p>
      <w:pPr>
        <w:pStyle w:val="Question"/>
        <w:keepNext/>
      </w:pPr>
      <w:r>
        <w:rPr>
          <w:rFonts w:ascii="Arial" w:hAnsi="Arial" w:cs="Arial"/>
          <w:sz w:val="22"/>
        </w:rPr>
        <w:t>14. Conforme al ordenamiento vigente a la fecha de corte, el título V del TRLGSS se dedica a:</w:t>
      </w:r>
    </w:p>
    <w:p>
      <w:pPr>
        <w:keepNext/>
        <w:keepLines/>
        <w:spacing w:after="40"/>
        <w:ind w:left="369" w:hanging="198"/>
      </w:pPr>
      <w:r>
        <w:rPr>
          <w:rFonts w:ascii="Arial" w:hAnsi="Arial" w:cs="Arial"/>
          <w:b w:val="0"/>
          <w:sz w:val="21"/>
        </w:rPr>
        <w:t>A) La asistencia sanitaria.</w:t>
      </w:r>
    </w:p>
    <w:p>
      <w:pPr>
        <w:keepNext/>
        <w:keepLines/>
        <w:spacing w:after="40"/>
        <w:ind w:left="369" w:hanging="198"/>
      </w:pPr>
      <w:r>
        <w:rPr>
          <w:rFonts w:ascii="Arial" w:hAnsi="Arial" w:cs="Arial"/>
          <w:b w:val="0"/>
          <w:sz w:val="21"/>
        </w:rPr>
        <w:t>B) La recaudación ejecutiva.</w:t>
      </w:r>
    </w:p>
    <w:p>
      <w:pPr>
        <w:keepNext/>
        <w:keepLines/>
        <w:spacing w:after="40"/>
        <w:ind w:left="369" w:hanging="198"/>
      </w:pPr>
      <w:r>
        <w:rPr>
          <w:rFonts w:ascii="Arial" w:hAnsi="Arial" w:cs="Arial"/>
          <w:b w:val="0"/>
          <w:sz w:val="21"/>
        </w:rPr>
        <w:t>C) La gestión del IMSERSO.</w:t>
      </w:r>
    </w:p>
    <w:p>
      <w:pPr>
        <w:keepNext/>
        <w:keepLines/>
        <w:spacing w:after="40"/>
        <w:ind w:left="369" w:hanging="198"/>
      </w:pPr>
      <w:r>
        <w:rPr>
          <w:rFonts w:ascii="Arial" w:hAnsi="Arial" w:cs="Arial"/>
          <w:b w:val="0"/>
          <w:sz w:val="21"/>
        </w:rPr>
        <w:t>D) La protección por cese de actividad.</w:t>
      </w:r>
    </w:p>
    <w:p>
      <w:pPr>
        <w:pStyle w:val="Question"/>
        <w:keepNext/>
      </w:pPr>
      <w:r>
        <w:rPr>
          <w:rFonts w:ascii="Arial" w:hAnsi="Arial" w:cs="Arial"/>
          <w:sz w:val="22"/>
        </w:rPr>
        <w:t>15. Conforme al ordenamiento vigente a la fecha de corte, una persona con IPT para conducción comienza un trabajo administrativo:</w:t>
      </w:r>
    </w:p>
    <w:p>
      <w:pPr>
        <w:keepNext/>
        <w:keepLines/>
        <w:spacing w:after="40"/>
        <w:ind w:left="369" w:hanging="198"/>
      </w:pPr>
      <w:r>
        <w:rPr>
          <w:rFonts w:ascii="Arial" w:hAnsi="Arial" w:cs="Arial"/>
          <w:b w:val="0"/>
          <w:sz w:val="21"/>
        </w:rPr>
        <w:t>A) La pensión se extingue en todo caso.</w:t>
      </w:r>
    </w:p>
    <w:p>
      <w:pPr>
        <w:keepNext/>
        <w:keepLines/>
        <w:spacing w:after="40"/>
        <w:ind w:left="369" w:hanging="198"/>
      </w:pPr>
      <w:r>
        <w:rPr>
          <w:rFonts w:ascii="Arial" w:hAnsi="Arial" w:cs="Arial"/>
          <w:b w:val="0"/>
          <w:sz w:val="21"/>
        </w:rPr>
        <w:t>B) Solo puede trabajar en otra empresa.</w:t>
      </w:r>
    </w:p>
    <w:p>
      <w:pPr>
        <w:keepNext/>
        <w:keepLines/>
        <w:spacing w:after="40"/>
        <w:ind w:left="369" w:hanging="198"/>
      </w:pPr>
      <w:r>
        <w:rPr>
          <w:rFonts w:ascii="Arial" w:hAnsi="Arial" w:cs="Arial"/>
          <w:b w:val="0"/>
          <w:sz w:val="21"/>
        </w:rPr>
        <w:t>C) La pensión puede ser compatible si las funciones no coinciden con las incapacitantes.</w:t>
      </w:r>
    </w:p>
    <w:p>
      <w:pPr>
        <w:keepNext/>
        <w:keepLines/>
        <w:spacing w:after="40"/>
        <w:ind w:left="369" w:hanging="198"/>
      </w:pPr>
      <w:r>
        <w:rPr>
          <w:rFonts w:ascii="Arial" w:hAnsi="Arial" w:cs="Arial"/>
          <w:b w:val="0"/>
          <w:sz w:val="21"/>
        </w:rPr>
        <w:t>D) Debe renunciar definitivamente a la pensión.</w:t>
      </w:r>
    </w:p>
    <w:p>
      <w:pPr>
        <w:pStyle w:val="Question"/>
        <w:keepNext/>
      </w:pPr>
      <w:r>
        <w:rPr>
          <w:rFonts w:ascii="Arial" w:hAnsi="Arial" w:cs="Arial"/>
          <w:sz w:val="22"/>
        </w:rPr>
        <w:t>16. Conforme al ordenamiento vigente a la fecha de corte, el subsidio por cuidado de un hijo con cáncer exige una reducción de jornada mínima del:</w:t>
      </w:r>
    </w:p>
    <w:p>
      <w:pPr>
        <w:keepNext/>
        <w:keepLines/>
        <w:spacing w:after="40"/>
        <w:ind w:left="369" w:hanging="198"/>
      </w:pPr>
      <w:r>
        <w:rPr>
          <w:rFonts w:ascii="Arial" w:hAnsi="Arial" w:cs="Arial"/>
          <w:b w:val="0"/>
          <w:sz w:val="21"/>
        </w:rPr>
        <w:t>A) 25 por ciento.</w:t>
      </w:r>
    </w:p>
    <w:p>
      <w:pPr>
        <w:keepNext/>
        <w:keepLines/>
        <w:spacing w:after="40"/>
        <w:ind w:left="369" w:hanging="198"/>
      </w:pPr>
      <w:r>
        <w:rPr>
          <w:rFonts w:ascii="Arial" w:hAnsi="Arial" w:cs="Arial"/>
          <w:b w:val="0"/>
          <w:sz w:val="21"/>
        </w:rPr>
        <w:t>B) 33 por ciento.</w:t>
      </w:r>
    </w:p>
    <w:p>
      <w:pPr>
        <w:keepNext/>
        <w:keepLines/>
        <w:spacing w:after="40"/>
        <w:ind w:left="369" w:hanging="198"/>
      </w:pPr>
      <w:r>
        <w:rPr>
          <w:rFonts w:ascii="Arial" w:hAnsi="Arial" w:cs="Arial"/>
          <w:b w:val="0"/>
          <w:sz w:val="21"/>
        </w:rPr>
        <w:t>C) 50 por ciento.</w:t>
      </w:r>
    </w:p>
    <w:p>
      <w:pPr>
        <w:keepNext/>
        <w:keepLines/>
        <w:spacing w:after="40"/>
        <w:ind w:left="369" w:hanging="198"/>
      </w:pPr>
      <w:r>
        <w:rPr>
          <w:rFonts w:ascii="Arial" w:hAnsi="Arial" w:cs="Arial"/>
          <w:b w:val="0"/>
          <w:sz w:val="21"/>
        </w:rPr>
        <w:t>D) 75 por ciento.</w:t>
      </w:r>
    </w:p>
    <w:p>
      <w:pPr>
        <w:pStyle w:val="Question"/>
        <w:keepNext/>
      </w:pPr>
      <w:r>
        <w:rPr>
          <w:rFonts w:ascii="Arial" w:hAnsi="Arial" w:cs="Arial"/>
          <w:sz w:val="22"/>
        </w:rPr>
        <w:t>17. A efectos de aplicar correctamente la regla examinada,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Seis meses desde la autorización.</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Un año.</w:t>
      </w:r>
    </w:p>
    <w:p>
      <w:pPr>
        <w:pStyle w:val="Question"/>
        <w:keepNext/>
      </w:pPr>
      <w:r>
        <w:rPr>
          <w:rFonts w:ascii="Arial" w:hAnsi="Arial" w:cs="Arial"/>
          <w:sz w:val="22"/>
        </w:rPr>
        <w:t>18. En una comprobación jurídica del expediente,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C) Tiene dos categorías profesionales para un único empresario.</w:t>
      </w:r>
    </w:p>
    <w:p>
      <w:pPr>
        <w:keepNext/>
        <w:keepLines/>
        <w:spacing w:after="40"/>
        <w:ind w:left="369" w:hanging="198"/>
      </w:pPr>
      <w:r>
        <w:rPr>
          <w:rFonts w:ascii="Arial" w:hAnsi="Arial" w:cs="Arial"/>
          <w:b w:val="0"/>
          <w:sz w:val="21"/>
        </w:rPr>
        <w:t>D) Alterna periodos de empleo y desempleo.</w:t>
      </w:r>
    </w:p>
    <w:p>
      <w:pPr>
        <w:pStyle w:val="Question"/>
        <w:keepNext/>
      </w:pPr>
      <w:r>
        <w:rPr>
          <w:rFonts w:ascii="Arial" w:hAnsi="Arial" w:cs="Arial"/>
          <w:sz w:val="22"/>
        </w:rPr>
        <w:t>19. Conforme al ordenamiento vigente a la fecha de corte, si el recurso extraordinario se funda en un error de hecho que resulte de los propios documentos incorporados al expediente, se interpondrá dentro de:</w:t>
      </w:r>
    </w:p>
    <w:p>
      <w:pPr>
        <w:keepNext/>
        <w:keepLines/>
        <w:spacing w:after="40"/>
        <w:ind w:left="369" w:hanging="198"/>
      </w:pPr>
      <w:r>
        <w:rPr>
          <w:rFonts w:ascii="Arial" w:hAnsi="Arial" w:cs="Arial"/>
          <w:b w:val="0"/>
          <w:sz w:val="21"/>
        </w:rPr>
        <w:t>A) Tres meses desde la notificación.</w:t>
      </w:r>
    </w:p>
    <w:p>
      <w:pPr>
        <w:keepNext/>
        <w:keepLines/>
        <w:spacing w:after="40"/>
        <w:ind w:left="369" w:hanging="198"/>
      </w:pPr>
      <w:r>
        <w:rPr>
          <w:rFonts w:ascii="Arial" w:hAnsi="Arial" w:cs="Arial"/>
          <w:b w:val="0"/>
          <w:sz w:val="21"/>
        </w:rPr>
        <w:t>B) Un mes desde que se conoció el error.</w:t>
      </w:r>
    </w:p>
    <w:p>
      <w:pPr>
        <w:keepNext/>
        <w:keepLines/>
        <w:spacing w:after="40"/>
        <w:ind w:left="369" w:hanging="198"/>
      </w:pPr>
      <w:r>
        <w:rPr>
          <w:rFonts w:ascii="Arial" w:hAnsi="Arial" w:cs="Arial"/>
          <w:b w:val="0"/>
          <w:sz w:val="21"/>
        </w:rPr>
        <w:t>C) Cinco años desde la firmeza judicial.</w:t>
      </w:r>
    </w:p>
    <w:p>
      <w:pPr>
        <w:keepNext/>
        <w:keepLines/>
        <w:spacing w:after="40"/>
        <w:ind w:left="369" w:hanging="198"/>
      </w:pPr>
      <w:r>
        <w:rPr>
          <w:rFonts w:ascii="Arial" w:hAnsi="Arial" w:cs="Arial"/>
          <w:b w:val="0"/>
          <w:sz w:val="21"/>
        </w:rPr>
        <w:t>D) Cuatro años desde la notificación de la resolución impugnada.</w:t>
      </w:r>
    </w:p>
    <w:p>
      <w:pPr>
        <w:pStyle w:val="Question"/>
        <w:keepNext/>
      </w:pPr>
      <w:r>
        <w:rPr>
          <w:rFonts w:ascii="Arial" w:hAnsi="Arial" w:cs="Arial"/>
          <w:sz w:val="22"/>
        </w:rPr>
        <w:t>20. Conforme al ordenamiento vigente a la fecha de corte, si el procedimiento de revisión de nulidad supera seis meses sin resolución:</w:t>
      </w:r>
    </w:p>
    <w:p>
      <w:pPr>
        <w:keepNext/>
        <w:keepLines/>
        <w:spacing w:after="40"/>
        <w:ind w:left="369" w:hanging="198"/>
      </w:pPr>
      <w:r>
        <w:rPr>
          <w:rFonts w:ascii="Arial" w:hAnsi="Arial" w:cs="Arial"/>
          <w:b w:val="0"/>
          <w:sz w:val="21"/>
        </w:rPr>
        <w:t>A) Caduca si se inició de oficio y se entiende desestimado si comenzó a solicitud del interesado.</w:t>
      </w:r>
    </w:p>
    <w:p>
      <w:pPr>
        <w:keepNext/>
        <w:keepLines/>
        <w:spacing w:after="40"/>
        <w:ind w:left="369" w:hanging="198"/>
      </w:pPr>
      <w:r>
        <w:rPr>
          <w:rFonts w:ascii="Arial" w:hAnsi="Arial" w:cs="Arial"/>
          <w:b w:val="0"/>
          <w:sz w:val="21"/>
        </w:rPr>
        <w:t>B) Se estima en todo caso.</w:t>
      </w:r>
    </w:p>
    <w:p>
      <w:pPr>
        <w:keepNext/>
        <w:keepLines/>
        <w:spacing w:after="40"/>
        <w:ind w:left="369" w:hanging="198"/>
      </w:pPr>
      <w:r>
        <w:rPr>
          <w:rFonts w:ascii="Arial" w:hAnsi="Arial" w:cs="Arial"/>
          <w:b w:val="0"/>
          <w:sz w:val="21"/>
        </w:rPr>
        <w:t>C) Caduca en todo caso.</w:t>
      </w:r>
    </w:p>
    <w:p>
      <w:pPr>
        <w:keepNext/>
        <w:keepLines/>
        <w:spacing w:after="40"/>
        <w:ind w:left="369" w:hanging="198"/>
      </w:pPr>
      <w:r>
        <w:rPr>
          <w:rFonts w:ascii="Arial" w:hAnsi="Arial" w:cs="Arial"/>
          <w:b w:val="0"/>
          <w:sz w:val="21"/>
        </w:rPr>
        <w:t>D) Se desestima en todo caso.</w:t>
      </w:r>
    </w:p>
    <w:p>
      <w:pPr>
        <w:pStyle w:val="Question"/>
        <w:keepNext/>
      </w:pPr>
      <w:r>
        <w:rPr>
          <w:rFonts w:ascii="Arial" w:hAnsi="Arial" w:cs="Arial"/>
          <w:sz w:val="22"/>
        </w:rPr>
        <w:t>21. A efectos de aplicar correctamente la regla examinada, la delegación legislativa debe ser:</w:t>
      </w:r>
    </w:p>
    <w:p>
      <w:pPr>
        <w:keepNext/>
        <w:keepLines/>
        <w:spacing w:after="40"/>
        <w:ind w:left="369" w:hanging="198"/>
      </w:pPr>
      <w:r>
        <w:rPr>
          <w:rFonts w:ascii="Arial" w:hAnsi="Arial" w:cs="Arial"/>
          <w:b w:val="0"/>
          <w:sz w:val="21"/>
        </w:rPr>
        <w:t>A) Implícita y de duración indeterminada.</w:t>
      </w:r>
    </w:p>
    <w:p>
      <w:pPr>
        <w:keepNext/>
        <w:keepLines/>
        <w:spacing w:after="40"/>
        <w:ind w:left="369" w:hanging="198"/>
      </w:pPr>
      <w:r>
        <w:rPr>
          <w:rFonts w:ascii="Arial" w:hAnsi="Arial" w:cs="Arial"/>
          <w:b w:val="0"/>
          <w:sz w:val="21"/>
        </w:rPr>
        <w:t>B) Expresa, para materia concreta y con plazo, sin subdelegación a autoridades distintas del Gobierno.</w:t>
      </w:r>
    </w:p>
    <w:p>
      <w:pPr>
        <w:keepNext/>
        <w:keepLines/>
        <w:spacing w:after="40"/>
        <w:ind w:left="369" w:hanging="198"/>
      </w:pPr>
      <w:r>
        <w:rPr>
          <w:rFonts w:ascii="Arial" w:hAnsi="Arial" w:cs="Arial"/>
          <w:b w:val="0"/>
          <w:sz w:val="21"/>
        </w:rPr>
        <w:t>C) Otorgada por reglamento parlamentario.</w:t>
      </w:r>
    </w:p>
    <w:p>
      <w:pPr>
        <w:keepNext/>
        <w:keepLines/>
        <w:spacing w:after="40"/>
        <w:ind w:left="369" w:hanging="198"/>
      </w:pPr>
      <w:r>
        <w:rPr>
          <w:rFonts w:ascii="Arial" w:hAnsi="Arial" w:cs="Arial"/>
          <w:b w:val="0"/>
          <w:sz w:val="21"/>
        </w:rPr>
        <w:t>D) Transferible por el Gobierno a cualquier ministro.</w:t>
      </w:r>
    </w:p>
    <w:p>
      <w:pPr>
        <w:pStyle w:val="Question"/>
        <w:keepNext/>
      </w:pPr>
      <w:r>
        <w:rPr>
          <w:rFonts w:ascii="Arial" w:hAnsi="Arial" w:cs="Arial"/>
          <w:sz w:val="22"/>
        </w:rPr>
        <w:t>22. A efectos de aplicar correctamente la regla examinada, los principios expresos del artículo 2 TRLGSS son:</w:t>
      </w:r>
    </w:p>
    <w:p>
      <w:pPr>
        <w:keepNext/>
        <w:keepLines/>
        <w:spacing w:after="40"/>
        <w:ind w:left="369" w:hanging="198"/>
      </w:pPr>
      <w:r>
        <w:rPr>
          <w:rFonts w:ascii="Arial" w:hAnsi="Arial" w:cs="Arial"/>
          <w:b w:val="0"/>
          <w:sz w:val="21"/>
        </w:rPr>
        <w:t>A) Jerarquía, publicidad, mérito y capacidad.</w:t>
      </w:r>
    </w:p>
    <w:p>
      <w:pPr>
        <w:keepNext/>
        <w:keepLines/>
        <w:spacing w:after="40"/>
        <w:ind w:left="369" w:hanging="198"/>
      </w:pPr>
      <w:r>
        <w:rPr>
          <w:rFonts w:ascii="Arial" w:hAnsi="Arial" w:cs="Arial"/>
          <w:b w:val="0"/>
          <w:sz w:val="21"/>
        </w:rPr>
        <w:t>B) Caja única, descentralización, tutela y lucro.</w:t>
      </w:r>
    </w:p>
    <w:p>
      <w:pPr>
        <w:keepNext/>
        <w:keepLines/>
        <w:spacing w:after="40"/>
        <w:ind w:left="369" w:hanging="198"/>
      </w:pPr>
      <w:r>
        <w:rPr>
          <w:rFonts w:ascii="Arial" w:hAnsi="Arial" w:cs="Arial"/>
          <w:b w:val="0"/>
          <w:sz w:val="21"/>
        </w:rPr>
        <w:t>C) Universalidad, unidad, solidaridad e igualdad.</w:t>
      </w:r>
    </w:p>
    <w:p>
      <w:pPr>
        <w:keepNext/>
        <w:keepLines/>
        <w:spacing w:after="40"/>
        <w:ind w:left="369" w:hanging="198"/>
      </w:pPr>
      <w:r>
        <w:rPr>
          <w:rFonts w:ascii="Arial" w:hAnsi="Arial" w:cs="Arial"/>
          <w:b w:val="0"/>
          <w:sz w:val="21"/>
        </w:rPr>
        <w:t>D) Exclusivamente contributividad y capitalización.</w:t>
      </w:r>
    </w:p>
    <w:p>
      <w:pPr>
        <w:pStyle w:val="Question"/>
        <w:keepNext/>
      </w:pPr>
      <w:r>
        <w:rPr>
          <w:rFonts w:ascii="Arial" w:hAnsi="Arial" w:cs="Arial"/>
          <w:sz w:val="22"/>
        </w:rPr>
        <w:t>23. Conforme al ordenamiento vigente a la fecha de corte, a 30 de julio de 2026, el Servicio Jurídico de la Administración de la Seguridad Social tiene nivel orgánico de:</w:t>
      </w:r>
    </w:p>
    <w:p>
      <w:pPr>
        <w:keepNext/>
        <w:keepLines/>
        <w:spacing w:after="40"/>
        <w:ind w:left="369" w:hanging="198"/>
      </w:pPr>
      <w:r>
        <w:rPr>
          <w:rFonts w:ascii="Arial" w:hAnsi="Arial" w:cs="Arial"/>
          <w:b w:val="0"/>
          <w:sz w:val="21"/>
        </w:rPr>
        <w:t>A) Subdirección General.</w:t>
      </w:r>
    </w:p>
    <w:p>
      <w:pPr>
        <w:keepNext/>
        <w:keepLines/>
        <w:spacing w:after="40"/>
        <w:ind w:left="369" w:hanging="198"/>
      </w:pPr>
      <w:r>
        <w:rPr>
          <w:rFonts w:ascii="Arial" w:hAnsi="Arial" w:cs="Arial"/>
          <w:b w:val="0"/>
          <w:sz w:val="21"/>
        </w:rPr>
        <w:t>B) Dirección General.</w:t>
      </w:r>
    </w:p>
    <w:p>
      <w:pPr>
        <w:keepNext/>
        <w:keepLines/>
        <w:spacing w:after="40"/>
        <w:ind w:left="369" w:hanging="198"/>
      </w:pPr>
      <w:r>
        <w:rPr>
          <w:rFonts w:ascii="Arial" w:hAnsi="Arial" w:cs="Arial"/>
          <w:b w:val="0"/>
          <w:sz w:val="21"/>
        </w:rPr>
        <w:t>C) Secretaría General.</w:t>
      </w:r>
    </w:p>
    <w:p>
      <w:pPr>
        <w:keepNext/>
        <w:keepLines/>
        <w:spacing w:after="40"/>
        <w:ind w:left="369" w:hanging="198"/>
      </w:pPr>
      <w:r>
        <w:rPr>
          <w:rFonts w:ascii="Arial" w:hAnsi="Arial" w:cs="Arial"/>
          <w:b w:val="0"/>
          <w:sz w:val="21"/>
        </w:rPr>
        <w:t>D) Subsecretaría.</w:t>
      </w:r>
    </w:p>
    <w:p>
      <w:pPr>
        <w:pStyle w:val="Question"/>
        <w:keepNext/>
      </w:pPr>
      <w:r>
        <w:rPr>
          <w:rFonts w:ascii="Arial" w:hAnsi="Arial" w:cs="Arial"/>
          <w:sz w:val="22"/>
        </w:rPr>
        <w:t>24. Conforme al ordenamiento vigente a la fecha de corte, para iniciar una misma actividad o ejercer un mismo derecho, la Administración:</w:t>
      </w:r>
    </w:p>
    <w:p>
      <w:pPr>
        <w:keepNext/>
        <w:keepLines/>
        <w:spacing w:after="40"/>
        <w:ind w:left="369" w:hanging="198"/>
      </w:pPr>
      <w:r>
        <w:rPr>
          <w:rFonts w:ascii="Arial" w:hAnsi="Arial" w:cs="Arial"/>
          <w:b w:val="0"/>
          <w:sz w:val="21"/>
        </w:rPr>
        <w:t>A) Solo puede exigir declaración responsable o comunicación, sin acumular ambas.</w:t>
      </w:r>
    </w:p>
    <w:p>
      <w:pPr>
        <w:keepNext/>
        <w:keepLines/>
        <w:spacing w:after="40"/>
        <w:ind w:left="369" w:hanging="198"/>
      </w:pPr>
      <w:r>
        <w:rPr>
          <w:rFonts w:ascii="Arial" w:hAnsi="Arial" w:cs="Arial"/>
          <w:b w:val="0"/>
          <w:sz w:val="21"/>
        </w:rPr>
        <w:t>B) Debe exigir siempre declaración responsable y comunicación.</w:t>
      </w:r>
    </w:p>
    <w:p>
      <w:pPr>
        <w:keepNext/>
        <w:keepLines/>
        <w:spacing w:after="40"/>
        <w:ind w:left="369" w:hanging="198"/>
      </w:pPr>
      <w:r>
        <w:rPr>
          <w:rFonts w:ascii="Arial" w:hAnsi="Arial" w:cs="Arial"/>
          <w:b w:val="0"/>
          <w:sz w:val="21"/>
        </w:rPr>
        <w:t>C) Puede exigir ambas si lo decide el instructor.</w:t>
      </w:r>
    </w:p>
    <w:p>
      <w:pPr>
        <w:keepNext/>
        <w:keepLines/>
        <w:spacing w:after="40"/>
        <w:ind w:left="369" w:hanging="198"/>
      </w:pPr>
      <w:r>
        <w:rPr>
          <w:rFonts w:ascii="Arial" w:hAnsi="Arial" w:cs="Arial"/>
          <w:b w:val="0"/>
          <w:sz w:val="21"/>
        </w:rPr>
        <w:t>D) Debe exigir licencia previa en todos los casos.</w:t>
      </w:r>
    </w:p>
    <w:p>
      <w:pPr>
        <w:pStyle w:val="Question"/>
        <w:keepNext/>
      </w:pPr>
      <w:r>
        <w:rPr>
          <w:rFonts w:ascii="Arial" w:hAnsi="Arial" w:cs="Arial"/>
          <w:sz w:val="22"/>
        </w:rPr>
        <w:t>25. Conforme al ordenamiento vigente a la fecha de corte, la falta prolongada de aplicación de una norma administrativa vigente:</w:t>
      </w:r>
    </w:p>
    <w:p>
      <w:pPr>
        <w:keepNext/>
        <w:keepLines/>
        <w:spacing w:after="40"/>
        <w:ind w:left="369" w:hanging="198"/>
      </w:pPr>
      <w:r>
        <w:rPr>
          <w:rFonts w:ascii="Arial" w:hAnsi="Arial" w:cs="Arial"/>
          <w:b w:val="0"/>
          <w:sz w:val="21"/>
        </w:rPr>
        <w:t>A) No la deroga por sí sola, pues la desuetudo no es una forma general de derogación.</w:t>
      </w:r>
    </w:p>
    <w:p>
      <w:pPr>
        <w:keepNext/>
        <w:keepLines/>
        <w:spacing w:after="40"/>
        <w:ind w:left="369" w:hanging="198"/>
      </w:pPr>
      <w:r>
        <w:rPr>
          <w:rFonts w:ascii="Arial" w:hAnsi="Arial" w:cs="Arial"/>
          <w:b w:val="0"/>
          <w:sz w:val="21"/>
        </w:rPr>
        <w:t>B) Produce su derogación automática al año.</w:t>
      </w:r>
    </w:p>
    <w:p>
      <w:pPr>
        <w:keepNext/>
        <w:keepLines/>
        <w:spacing w:after="40"/>
        <w:ind w:left="369" w:hanging="198"/>
      </w:pPr>
      <w:r>
        <w:rPr>
          <w:rFonts w:ascii="Arial" w:hAnsi="Arial" w:cs="Arial"/>
          <w:b w:val="0"/>
          <w:sz w:val="21"/>
        </w:rPr>
        <w:t>C) La transforma en costumbre.</w:t>
      </w:r>
    </w:p>
    <w:p>
      <w:pPr>
        <w:keepNext/>
        <w:keepLines/>
        <w:spacing w:after="40"/>
        <w:ind w:left="369" w:hanging="198"/>
      </w:pPr>
      <w:r>
        <w:rPr>
          <w:rFonts w:ascii="Arial" w:hAnsi="Arial" w:cs="Arial"/>
          <w:b w:val="0"/>
          <w:sz w:val="21"/>
        </w:rPr>
        <w:t>D) Permite a cada órgano decidir si la aplica.</w:t>
      </w:r>
    </w:p>
    <w:p>
      <w:pPr>
        <w:pStyle w:val="Question"/>
        <w:keepNext/>
      </w:pPr>
      <w:r>
        <w:rPr>
          <w:rFonts w:ascii="Arial" w:hAnsi="Arial" w:cs="Arial"/>
          <w:sz w:val="22"/>
        </w:rPr>
        <w:t>26. Conforme al ordenamiento vigente a la fecha de corte, según la LOPDGDD, el acceso puede considerarse repetitivo, salvo causa legítima, si se ejerce:</w:t>
      </w:r>
    </w:p>
    <w:p>
      <w:pPr>
        <w:keepNext/>
        <w:keepLines/>
        <w:spacing w:after="40"/>
        <w:ind w:left="369" w:hanging="198"/>
      </w:pPr>
      <w:r>
        <w:rPr>
          <w:rFonts w:ascii="Arial" w:hAnsi="Arial" w:cs="Arial"/>
          <w:b w:val="0"/>
          <w:sz w:val="21"/>
        </w:rPr>
        <w:t>A) Dos veces en diez años.</w:t>
      </w:r>
    </w:p>
    <w:p>
      <w:pPr>
        <w:keepNext/>
        <w:keepLines/>
        <w:spacing w:after="40"/>
        <w:ind w:left="369" w:hanging="198"/>
      </w:pPr>
      <w:r>
        <w:rPr>
          <w:rFonts w:ascii="Arial" w:hAnsi="Arial" w:cs="Arial"/>
          <w:b w:val="0"/>
          <w:sz w:val="21"/>
        </w:rPr>
        <w:t>B) Más de una vez durante seis meses.</w:t>
      </w:r>
    </w:p>
    <w:p>
      <w:pPr>
        <w:keepNext/>
        <w:keepLines/>
        <w:spacing w:after="40"/>
        <w:ind w:left="369" w:hanging="198"/>
      </w:pPr>
      <w:r>
        <w:rPr>
          <w:rFonts w:ascii="Arial" w:hAnsi="Arial" w:cs="Arial"/>
          <w:b w:val="0"/>
          <w:sz w:val="21"/>
        </w:rPr>
        <w:t>C) Una vez cada año.</w:t>
      </w:r>
    </w:p>
    <w:p>
      <w:pPr>
        <w:keepNext/>
        <w:keepLines/>
        <w:spacing w:after="40"/>
        <w:ind w:left="369" w:hanging="198"/>
      </w:pPr>
      <w:r>
        <w:rPr>
          <w:rFonts w:ascii="Arial" w:hAnsi="Arial" w:cs="Arial"/>
          <w:b w:val="0"/>
          <w:sz w:val="21"/>
        </w:rPr>
        <w:t>D) Después de una rectificación.</w:t>
      </w:r>
    </w:p>
    <w:p>
      <w:pPr>
        <w:pStyle w:val="Question"/>
        <w:keepNext/>
      </w:pPr>
      <w:r>
        <w:rPr>
          <w:rFonts w:ascii="Arial" w:hAnsi="Arial" w:cs="Arial"/>
          <w:sz w:val="22"/>
        </w:rPr>
        <w:t>27. Conforme al ordenamiento vigente a la fecha de corte, como regla general, una persona física no incluida en un supuesto especial:</w:t>
      </w:r>
    </w:p>
    <w:p>
      <w:pPr>
        <w:keepNext/>
        <w:keepLines/>
        <w:spacing w:after="40"/>
        <w:ind w:left="369" w:hanging="198"/>
      </w:pPr>
      <w:r>
        <w:rPr>
          <w:rFonts w:ascii="Arial" w:hAnsi="Arial" w:cs="Arial"/>
          <w:b w:val="0"/>
          <w:sz w:val="21"/>
        </w:rPr>
        <w:t>A) Debe utilizar siempre medios electrónicos.</w:t>
      </w:r>
    </w:p>
    <w:p>
      <w:pPr>
        <w:keepNext/>
        <w:keepLines/>
        <w:spacing w:after="40"/>
        <w:ind w:left="369" w:hanging="198"/>
      </w:pPr>
      <w:r>
        <w:rPr>
          <w:rFonts w:ascii="Arial" w:hAnsi="Arial" w:cs="Arial"/>
          <w:b w:val="0"/>
          <w:sz w:val="21"/>
        </w:rPr>
        <w:t>B) Puede elegir si se relaciona electrónicamente con la Administración.</w:t>
      </w:r>
    </w:p>
    <w:p>
      <w:pPr>
        <w:keepNext/>
        <w:keepLines/>
        <w:spacing w:after="40"/>
        <w:ind w:left="369" w:hanging="198"/>
      </w:pPr>
      <w:r>
        <w:rPr>
          <w:rFonts w:ascii="Arial" w:hAnsi="Arial" w:cs="Arial"/>
          <w:b w:val="0"/>
          <w:sz w:val="21"/>
        </w:rPr>
        <w:t>C) Solo puede elegir al iniciar el primer procedimiento de su vida.</w:t>
      </w:r>
    </w:p>
    <w:p>
      <w:pPr>
        <w:keepNext/>
        <w:keepLines/>
        <w:spacing w:after="40"/>
        <w:ind w:left="369" w:hanging="198"/>
      </w:pPr>
      <w:r>
        <w:rPr>
          <w:rFonts w:ascii="Arial" w:hAnsi="Arial" w:cs="Arial"/>
          <w:b w:val="0"/>
          <w:sz w:val="21"/>
        </w:rPr>
        <w:t>D) Debe utilizar papel salvo autorización expresa.</w:t>
      </w:r>
    </w:p>
    <w:p>
      <w:pPr>
        <w:pStyle w:val="Question"/>
        <w:keepNext/>
      </w:pPr>
      <w:r>
        <w:rPr>
          <w:rFonts w:ascii="Arial" w:hAnsi="Arial" w:cs="Arial"/>
          <w:sz w:val="22"/>
        </w:rPr>
        <w:t>28. Conforme al ordenamiento vigente a la fecha de corte, cuando la muerte deriva de accidente de trabajo, el cónyuge o pareja de hecho con derecho recibe además:</w:t>
      </w:r>
    </w:p>
    <w:p>
      <w:pPr>
        <w:keepNext/>
        <w:keepLines/>
        <w:spacing w:after="40"/>
        <w:ind w:left="369" w:hanging="198"/>
      </w:pPr>
      <w:r>
        <w:rPr>
          <w:rFonts w:ascii="Arial" w:hAnsi="Arial" w:cs="Arial"/>
          <w:b w:val="0"/>
          <w:sz w:val="21"/>
        </w:rPr>
        <w:t>A) Una indemnización a tanto alzado equivalente, como regla, a seis mensualidades de la base reguladora de viudedad.</w:t>
      </w:r>
    </w:p>
    <w:p>
      <w:pPr>
        <w:keepNext/>
        <w:keepLines/>
        <w:spacing w:after="40"/>
        <w:ind w:left="369" w:hanging="198"/>
      </w:pPr>
      <w:r>
        <w:rPr>
          <w:rFonts w:ascii="Arial" w:hAnsi="Arial" w:cs="Arial"/>
          <w:b w:val="0"/>
          <w:sz w:val="21"/>
        </w:rPr>
        <w:t>B) Doce mensualidades de la pensión máxima.</w:t>
      </w:r>
    </w:p>
    <w:p>
      <w:pPr>
        <w:keepNext/>
        <w:keepLines/>
        <w:spacing w:after="40"/>
        <w:ind w:left="369" w:hanging="198"/>
      </w:pPr>
      <w:r>
        <w:rPr>
          <w:rFonts w:ascii="Arial" w:hAnsi="Arial" w:cs="Arial"/>
          <w:b w:val="0"/>
          <w:sz w:val="21"/>
        </w:rPr>
        <w:t>C) Una mensualidad del salario mínimo.</w:t>
      </w:r>
    </w:p>
    <w:p>
      <w:pPr>
        <w:keepNext/>
        <w:keepLines/>
        <w:spacing w:after="40"/>
        <w:ind w:left="369" w:hanging="198"/>
      </w:pPr>
      <w:r>
        <w:rPr>
          <w:rFonts w:ascii="Arial" w:hAnsi="Arial" w:cs="Arial"/>
          <w:b w:val="0"/>
          <w:sz w:val="21"/>
        </w:rPr>
        <w:t>D) Veinticuatro mensualidades de la base de orfandad.</w:t>
      </w:r>
    </w:p>
    <w:p>
      <w:pPr>
        <w:pStyle w:val="Question"/>
        <w:keepNext/>
      </w:pPr>
      <w:r>
        <w:rPr>
          <w:rFonts w:ascii="Arial" w:hAnsi="Arial" w:cs="Arial"/>
          <w:sz w:val="22"/>
        </w:rPr>
        <w:t>29. En una comprobación jurídica del expediente, si el empresario incumple su obligación de solicitar el alta, el trabajador por cuenta ajena:</w:t>
      </w:r>
    </w:p>
    <w:p>
      <w:pPr>
        <w:keepNext/>
        <w:keepLines/>
        <w:spacing w:after="40"/>
        <w:ind w:left="369" w:hanging="198"/>
      </w:pPr>
      <w:r>
        <w:rPr>
          <w:rFonts w:ascii="Arial" w:hAnsi="Arial" w:cs="Arial"/>
          <w:b w:val="0"/>
          <w:sz w:val="21"/>
        </w:rPr>
        <w:t>A) Debe esperar necesariamente a una actuación inspectora.</w:t>
      </w:r>
    </w:p>
    <w:p>
      <w:pPr>
        <w:keepNext/>
        <w:keepLines/>
        <w:spacing w:after="40"/>
        <w:ind w:left="369" w:hanging="198"/>
      </w:pPr>
      <w:r>
        <w:rPr>
          <w:rFonts w:ascii="Arial" w:hAnsi="Arial" w:cs="Arial"/>
          <w:b w:val="0"/>
          <w:sz w:val="21"/>
        </w:rPr>
        <w:t>B) Puede instar directamente su alta ante la TGSS, sin perjuicio de las responsabilidades empresariales.</w:t>
      </w:r>
    </w:p>
    <w:p>
      <w:pPr>
        <w:keepNext/>
        <w:keepLines/>
        <w:spacing w:after="40"/>
        <w:ind w:left="369" w:hanging="198"/>
      </w:pPr>
      <w:r>
        <w:rPr>
          <w:rFonts w:ascii="Arial" w:hAnsi="Arial" w:cs="Arial"/>
          <w:b w:val="0"/>
          <w:sz w:val="21"/>
        </w:rPr>
        <w:t>C) Pierde de forma definitiva toda posibilidad de alta.</w:t>
      </w:r>
    </w:p>
    <w:p>
      <w:pPr>
        <w:keepNext/>
        <w:keepLines/>
        <w:spacing w:after="40"/>
        <w:ind w:left="369" w:hanging="198"/>
      </w:pPr>
      <w:r>
        <w:rPr>
          <w:rFonts w:ascii="Arial" w:hAnsi="Arial" w:cs="Arial"/>
          <w:b w:val="0"/>
          <w:sz w:val="21"/>
        </w:rPr>
        <w:t>D) Solo puede demandar al INSS para obtener un nuevo número.</w:t>
      </w:r>
    </w:p>
    <w:p>
      <w:pPr>
        <w:pStyle w:val="Question"/>
        <w:keepNext/>
      </w:pPr>
      <w:r>
        <w:rPr>
          <w:rFonts w:ascii="Arial" w:hAnsi="Arial" w:cs="Arial"/>
          <w:sz w:val="22"/>
        </w:rPr>
        <w:t>30. A efectos de aplicar correctamente la regla examinada, la prohibición de discriminación del artículo 14:</w:t>
      </w:r>
    </w:p>
    <w:p>
      <w:pPr>
        <w:keepNext/>
        <w:keepLines/>
        <w:spacing w:after="40"/>
        <w:ind w:left="369" w:hanging="198"/>
      </w:pPr>
      <w:r>
        <w:rPr>
          <w:rFonts w:ascii="Arial" w:hAnsi="Arial" w:cs="Arial"/>
          <w:b w:val="0"/>
          <w:sz w:val="21"/>
        </w:rPr>
        <w:t>A) Contiene una lista cerrada de cinco causas.</w:t>
      </w:r>
    </w:p>
    <w:p>
      <w:pPr>
        <w:keepNext/>
        <w:keepLines/>
        <w:spacing w:after="40"/>
        <w:ind w:left="369" w:hanging="198"/>
      </w:pPr>
      <w:r>
        <w:rPr>
          <w:rFonts w:ascii="Arial" w:hAnsi="Arial" w:cs="Arial"/>
          <w:b w:val="0"/>
          <w:sz w:val="21"/>
        </w:rPr>
        <w:t>B) Incluye una cláusula abierta referida a cualquier otra condición o circunstancia personal o social.</w:t>
      </w:r>
    </w:p>
    <w:p>
      <w:pPr>
        <w:keepNext/>
        <w:keepLines/>
        <w:spacing w:after="40"/>
        <w:ind w:left="369" w:hanging="198"/>
      </w:pPr>
      <w:r>
        <w:rPr>
          <w:rFonts w:ascii="Arial" w:hAnsi="Arial" w:cs="Arial"/>
          <w:b w:val="0"/>
          <w:sz w:val="21"/>
        </w:rPr>
        <w:t>C) Solo vincula a la Administración.</w:t>
      </w:r>
    </w:p>
    <w:p>
      <w:pPr>
        <w:keepNext/>
        <w:keepLines/>
        <w:spacing w:after="40"/>
        <w:ind w:left="369" w:hanging="198"/>
      </w:pPr>
      <w:r>
        <w:rPr>
          <w:rFonts w:ascii="Arial" w:hAnsi="Arial" w:cs="Arial"/>
          <w:b w:val="0"/>
          <w:sz w:val="21"/>
        </w:rPr>
        <w:t>D) No es susceptible de amparo porque está fuera de la sección 1.ª.</w:t>
      </w:r>
    </w:p>
    <w:p>
      <w:pPr>
        <w:pStyle w:val="Question"/>
        <w:keepNext/>
      </w:pPr>
      <w:r>
        <w:rPr>
          <w:rFonts w:ascii="Arial" w:hAnsi="Arial" w:cs="Arial"/>
          <w:sz w:val="22"/>
        </w:rPr>
        <w:t>31. Conforme al ordenamiento vigente a la fecha de corte, si no hubiera podido tramitarse antes del comienzo una alta agraria por cuenta ajena correspondiente a una contratación iniciada el mismo día:</w:t>
      </w:r>
    </w:p>
    <w:p>
      <w:pPr>
        <w:keepNext/>
        <w:keepLines/>
        <w:spacing w:after="40"/>
        <w:ind w:left="369" w:hanging="198"/>
      </w:pPr>
      <w:r>
        <w:rPr>
          <w:rFonts w:ascii="Arial" w:hAnsi="Arial" w:cs="Arial"/>
          <w:b w:val="0"/>
          <w:sz w:val="21"/>
        </w:rPr>
        <w:t>A) Puede presentarse siempre hasta el último día del mes.</w:t>
      </w:r>
    </w:p>
    <w:p>
      <w:pPr>
        <w:keepNext/>
        <w:keepLines/>
        <w:spacing w:after="40"/>
        <w:ind w:left="369" w:hanging="198"/>
      </w:pPr>
      <w:r>
        <w:rPr>
          <w:rFonts w:ascii="Arial" w:hAnsi="Arial" w:cs="Arial"/>
          <w:b w:val="0"/>
          <w:sz w:val="21"/>
        </w:rPr>
        <w:t>B) Puede presentarse hasta las 12:00 horas de ese día; si la jornada termina antes, debe hacerse antes de que finalice.</w:t>
      </w:r>
    </w:p>
    <w:p>
      <w:pPr>
        <w:keepNext/>
        <w:keepLines/>
        <w:spacing w:after="40"/>
        <w:ind w:left="369" w:hanging="198"/>
      </w:pPr>
      <w:r>
        <w:rPr>
          <w:rFonts w:ascii="Arial" w:hAnsi="Arial" w:cs="Arial"/>
          <w:b w:val="0"/>
          <w:sz w:val="21"/>
        </w:rPr>
        <w:t>C) Solo será válida si se presenta dentro de los treinta días siguientes.</w:t>
      </w:r>
    </w:p>
    <w:p>
      <w:pPr>
        <w:keepNext/>
        <w:keepLines/>
        <w:spacing w:after="40"/>
        <w:ind w:left="369" w:hanging="198"/>
      </w:pPr>
      <w:r>
        <w:rPr>
          <w:rFonts w:ascii="Arial" w:hAnsi="Arial" w:cs="Arial"/>
          <w:b w:val="0"/>
          <w:sz w:val="21"/>
        </w:rPr>
        <w:t>D) Nunca puede tramitarse el mismo día, aunque exista causa material que impidiera anticiparla.</w:t>
      </w:r>
    </w:p>
    <w:p>
      <w:pPr>
        <w:pStyle w:val="Question"/>
        <w:keepNext/>
      </w:pPr>
      <w:r>
        <w:rPr>
          <w:rFonts w:ascii="Arial" w:hAnsi="Arial" w:cs="Arial"/>
          <w:sz w:val="22"/>
        </w:rPr>
        <w:t>32. Conforme al ordenamiento vigente a la fecha de corte, contra la resolución de un recurso de alzada:</w:t>
      </w:r>
    </w:p>
    <w:p>
      <w:pPr>
        <w:keepNext/>
        <w:keepLines/>
        <w:spacing w:after="40"/>
        <w:ind w:left="369" w:hanging="198"/>
      </w:pPr>
      <w:r>
        <w:rPr>
          <w:rFonts w:ascii="Arial" w:hAnsi="Arial" w:cs="Arial"/>
          <w:b w:val="0"/>
          <w:sz w:val="21"/>
        </w:rPr>
        <w:t>A) Cabe otra alzada ante el superior siguiente.</w:t>
      </w:r>
    </w:p>
    <w:p>
      <w:pPr>
        <w:keepNext/>
        <w:keepLines/>
        <w:spacing w:after="40"/>
        <w:ind w:left="369" w:hanging="198"/>
      </w:pPr>
      <w:r>
        <w:rPr>
          <w:rFonts w:ascii="Arial" w:hAnsi="Arial" w:cs="Arial"/>
          <w:b w:val="0"/>
          <w:sz w:val="21"/>
        </w:rPr>
        <w:t>B) No cabe otro recurso administrativo, salvo el extraordinario de revisión en los casos legales.</w:t>
      </w:r>
    </w:p>
    <w:p>
      <w:pPr>
        <w:keepNext/>
        <w:keepLines/>
        <w:spacing w:after="40"/>
        <w:ind w:left="369" w:hanging="198"/>
      </w:pPr>
      <w:r>
        <w:rPr>
          <w:rFonts w:ascii="Arial" w:hAnsi="Arial" w:cs="Arial"/>
          <w:b w:val="0"/>
          <w:sz w:val="21"/>
        </w:rPr>
        <w:t>C) Cabe siempre reposición.</w:t>
      </w:r>
    </w:p>
    <w:p>
      <w:pPr>
        <w:keepNext/>
        <w:keepLines/>
        <w:spacing w:after="40"/>
        <w:ind w:left="369" w:hanging="198"/>
      </w:pPr>
      <w:r>
        <w:rPr>
          <w:rFonts w:ascii="Arial" w:hAnsi="Arial" w:cs="Arial"/>
          <w:b w:val="0"/>
          <w:sz w:val="21"/>
        </w:rPr>
        <w:t>D) No cabe ningún tipo de impugnación.</w:t>
      </w:r>
    </w:p>
    <w:p>
      <w:pPr>
        <w:pStyle w:val="Question"/>
        <w:keepNext/>
      </w:pPr>
      <w:r>
        <w:rPr>
          <w:rFonts w:ascii="Arial" w:hAnsi="Arial" w:cs="Arial"/>
          <w:sz w:val="22"/>
        </w:rPr>
        <w:t>33. A efectos de aplicar correctamente la regla examinada, ¿Cómo debe actuar el Defensor ante una queja individual pendiente de resolución judicial?</w:t>
      </w:r>
    </w:p>
    <w:p>
      <w:pPr>
        <w:keepNext/>
        <w:keepLines/>
        <w:spacing w:after="40"/>
        <w:ind w:left="369" w:hanging="198"/>
      </w:pPr>
      <w:r>
        <w:rPr>
          <w:rFonts w:ascii="Arial" w:hAnsi="Arial" w:cs="Arial"/>
          <w:b w:val="0"/>
          <w:sz w:val="21"/>
        </w:rPr>
        <w:t>A) Resolverla antes que el tribunal.</w:t>
      </w:r>
    </w:p>
    <w:p>
      <w:pPr>
        <w:keepNext/>
        <w:keepLines/>
        <w:spacing w:after="40"/>
        <w:ind w:left="369" w:hanging="198"/>
      </w:pPr>
      <w:r>
        <w:rPr>
          <w:rFonts w:ascii="Arial" w:hAnsi="Arial" w:cs="Arial"/>
          <w:b w:val="0"/>
          <w:sz w:val="21"/>
        </w:rPr>
        <w:t>B) Anular cautelarmente el acto discutido.</w:t>
      </w:r>
    </w:p>
    <w:p>
      <w:pPr>
        <w:keepNext/>
        <w:keepLines/>
        <w:spacing w:after="40"/>
        <w:ind w:left="369" w:hanging="198"/>
      </w:pPr>
      <w:r>
        <w:rPr>
          <w:rFonts w:ascii="Arial" w:hAnsi="Arial" w:cs="Arial"/>
          <w:b w:val="0"/>
          <w:sz w:val="21"/>
        </w:rPr>
        <w:t>C) No examinarla individualmente, sin perjuicio de investigar los problemas generales que revele.</w:t>
      </w:r>
    </w:p>
    <w:p>
      <w:pPr>
        <w:keepNext/>
        <w:keepLines/>
        <w:spacing w:after="40"/>
        <w:ind w:left="369" w:hanging="198"/>
      </w:pPr>
      <w:r>
        <w:rPr>
          <w:rFonts w:ascii="Arial" w:hAnsi="Arial" w:cs="Arial"/>
          <w:b w:val="0"/>
          <w:sz w:val="21"/>
        </w:rPr>
        <w:t>D) Remitirla siempre a la Mesa del Congreso.</w:t>
      </w:r>
    </w:p>
    <w:p>
      <w:pPr>
        <w:pStyle w:val="Question"/>
        <w:keepNext/>
      </w:pPr>
      <w:r>
        <w:rPr>
          <w:rFonts w:ascii="Arial" w:hAnsi="Arial" w:cs="Arial"/>
          <w:sz w:val="22"/>
        </w:rPr>
        <w:t>34. Conforme al ordenamiento vigente a la fecha de corte, ¿A qué ámbito territorial se extiende la jurisdicción del Tribunal Constitucional?</w:t>
      </w:r>
    </w:p>
    <w:p>
      <w:pPr>
        <w:keepNext/>
        <w:keepLines/>
        <w:spacing w:after="40"/>
        <w:ind w:left="369" w:hanging="198"/>
      </w:pPr>
      <w:r>
        <w:rPr>
          <w:rFonts w:ascii="Arial" w:hAnsi="Arial" w:cs="Arial"/>
          <w:b w:val="0"/>
          <w:sz w:val="21"/>
        </w:rPr>
        <w:t>A) Solo a la Administración General del Estado.</w:t>
      </w:r>
    </w:p>
    <w:p>
      <w:pPr>
        <w:keepNext/>
        <w:keepLines/>
        <w:spacing w:after="40"/>
        <w:ind w:left="369" w:hanging="198"/>
      </w:pPr>
      <w:r>
        <w:rPr>
          <w:rFonts w:ascii="Arial" w:hAnsi="Arial" w:cs="Arial"/>
          <w:b w:val="0"/>
          <w:sz w:val="21"/>
        </w:rPr>
        <w:t>B) A las comunidades autónomas que acepten expresamente su competencia.</w:t>
      </w:r>
    </w:p>
    <w:p>
      <w:pPr>
        <w:keepNext/>
        <w:keepLines/>
        <w:spacing w:after="40"/>
        <w:ind w:left="369" w:hanging="198"/>
      </w:pPr>
      <w:r>
        <w:rPr>
          <w:rFonts w:ascii="Arial" w:hAnsi="Arial" w:cs="Arial"/>
          <w:b w:val="0"/>
          <w:sz w:val="21"/>
        </w:rPr>
        <w:t>C) A Madrid, por ser la sede del Tribunal.</w:t>
      </w:r>
    </w:p>
    <w:p>
      <w:pPr>
        <w:keepNext/>
        <w:keepLines/>
        <w:spacing w:after="40"/>
        <w:ind w:left="369" w:hanging="198"/>
      </w:pPr>
      <w:r>
        <w:rPr>
          <w:rFonts w:ascii="Arial" w:hAnsi="Arial" w:cs="Arial"/>
          <w:b w:val="0"/>
          <w:sz w:val="21"/>
        </w:rPr>
        <w:t>D) A todo el territorio nacional.</w:t>
      </w:r>
    </w:p>
    <w:p>
      <w:pPr>
        <w:pStyle w:val="Question"/>
        <w:keepNext/>
      </w:pPr>
      <w:r>
        <w:rPr>
          <w:rFonts w:ascii="Arial" w:hAnsi="Arial" w:cs="Arial"/>
          <w:sz w:val="22"/>
        </w:rPr>
        <w:t>35. Conforme al ordenamiento vigente a la fecha de corte, ¿Cuál es la afirmación correcta sobre la competencia legislativa plena de las Comisiones?</w:t>
      </w:r>
    </w:p>
    <w:p>
      <w:pPr>
        <w:keepNext/>
        <w:keepLines/>
        <w:spacing w:after="40"/>
        <w:ind w:left="369" w:hanging="198"/>
      </w:pPr>
      <w:r>
        <w:rPr>
          <w:rFonts w:ascii="Arial" w:hAnsi="Arial" w:cs="Arial"/>
          <w:b w:val="0"/>
          <w:sz w:val="21"/>
        </w:rPr>
        <w:t>A) Una vez delegada, el Pleno nunca puede recabar la iniciativa.</w:t>
      </w:r>
    </w:p>
    <w:p>
      <w:pPr>
        <w:keepNext/>
        <w:keepLines/>
        <w:spacing w:after="40"/>
        <w:ind w:left="369" w:hanging="198"/>
      </w:pPr>
      <w:r>
        <w:rPr>
          <w:rFonts w:ascii="Arial" w:hAnsi="Arial" w:cs="Arial"/>
          <w:b w:val="0"/>
          <w:sz w:val="21"/>
        </w:rPr>
        <w:t>B) Solo se permite para leyes orgánicas.</w:t>
      </w:r>
    </w:p>
    <w:p>
      <w:pPr>
        <w:keepNext/>
        <w:keepLines/>
        <w:spacing w:after="40"/>
        <w:ind w:left="369" w:hanging="198"/>
      </w:pPr>
      <w:r>
        <w:rPr>
          <w:rFonts w:ascii="Arial" w:hAnsi="Arial" w:cs="Arial"/>
          <w:b w:val="0"/>
          <w:sz w:val="21"/>
        </w:rPr>
        <w:t>C) El Pleno puede recabar el debate y votación, y la delegación no alcanza, entre otras, a leyes orgánicas ni Presupuestos.</w:t>
      </w:r>
    </w:p>
    <w:p>
      <w:pPr>
        <w:keepNext/>
        <w:keepLines/>
        <w:spacing w:after="40"/>
        <w:ind w:left="369" w:hanging="198"/>
      </w:pPr>
      <w:r>
        <w:rPr>
          <w:rFonts w:ascii="Arial" w:hAnsi="Arial" w:cs="Arial"/>
          <w:b w:val="0"/>
          <w:sz w:val="21"/>
        </w:rPr>
        <w:t>D) Incluye necesariamente la reforma constitucional.</w:t>
      </w:r>
    </w:p>
    <w:p>
      <w:pPr>
        <w:pStyle w:val="Question"/>
        <w:keepNext/>
      </w:pPr>
      <w:r>
        <w:rPr>
          <w:rFonts w:ascii="Arial" w:hAnsi="Arial" w:cs="Arial"/>
          <w:sz w:val="22"/>
        </w:rPr>
        <w:t>36. En una comprobación jurídica del expediente, la existencia de vicepresidentes del Gobierno:</w:t>
      </w:r>
    </w:p>
    <w:p>
      <w:pPr>
        <w:keepNext/>
        <w:keepLines/>
        <w:spacing w:after="40"/>
        <w:ind w:left="369" w:hanging="198"/>
      </w:pPr>
      <w:r>
        <w:rPr>
          <w:rFonts w:ascii="Arial" w:hAnsi="Arial" w:cs="Arial"/>
          <w:b w:val="0"/>
          <w:sz w:val="21"/>
        </w:rPr>
        <w:t>A) Es potestativa.</w:t>
      </w:r>
    </w:p>
    <w:p>
      <w:pPr>
        <w:keepNext/>
        <w:keepLines/>
        <w:spacing w:after="40"/>
        <w:ind w:left="369" w:hanging="198"/>
      </w:pPr>
      <w:r>
        <w:rPr>
          <w:rFonts w:ascii="Arial" w:hAnsi="Arial" w:cs="Arial"/>
          <w:b w:val="0"/>
          <w:sz w:val="21"/>
        </w:rPr>
        <w:t>B) Es obligatoria y debe haber uno.</w:t>
      </w:r>
    </w:p>
    <w:p>
      <w:pPr>
        <w:keepNext/>
        <w:keepLines/>
        <w:spacing w:after="40"/>
        <w:ind w:left="369" w:hanging="198"/>
      </w:pPr>
      <w:r>
        <w:rPr>
          <w:rFonts w:ascii="Arial" w:hAnsi="Arial" w:cs="Arial"/>
          <w:b w:val="0"/>
          <w:sz w:val="21"/>
        </w:rPr>
        <w:t>C) Es obligatoria y deben existir al menos dos.</w:t>
      </w:r>
    </w:p>
    <w:p>
      <w:pPr>
        <w:keepNext/>
        <w:keepLines/>
        <w:spacing w:after="40"/>
        <w:ind w:left="369" w:hanging="198"/>
      </w:pPr>
      <w:r>
        <w:rPr>
          <w:rFonts w:ascii="Arial" w:hAnsi="Arial" w:cs="Arial"/>
          <w:b w:val="0"/>
          <w:sz w:val="21"/>
        </w:rPr>
        <w:t>D) Depende de una votación separada del Congreso.</w:t>
      </w:r>
    </w:p>
    <w:p>
      <w:pPr>
        <w:pStyle w:val="Question"/>
        <w:keepNext/>
      </w:pPr>
      <w:r>
        <w:rPr>
          <w:rFonts w:ascii="Arial" w:hAnsi="Arial" w:cs="Arial"/>
          <w:sz w:val="22"/>
        </w:rPr>
        <w:t>37. Conforme al ordenamiento vigente a la fecha de corte, la incompetencia determina nulidad de pleno derecho cuando sea:</w:t>
      </w:r>
    </w:p>
    <w:p>
      <w:pPr>
        <w:keepNext/>
        <w:keepLines/>
        <w:spacing w:after="40"/>
        <w:ind w:left="369" w:hanging="198"/>
      </w:pPr>
      <w:r>
        <w:rPr>
          <w:rFonts w:ascii="Arial" w:hAnsi="Arial" w:cs="Arial"/>
          <w:b w:val="0"/>
          <w:sz w:val="21"/>
        </w:rPr>
        <w:t>A) Jerárquica, aunque no resulte patente.</w:t>
      </w:r>
    </w:p>
    <w:p>
      <w:pPr>
        <w:keepNext/>
        <w:keepLines/>
        <w:spacing w:after="40"/>
        <w:ind w:left="369" w:hanging="198"/>
      </w:pPr>
      <w:r>
        <w:rPr>
          <w:rFonts w:ascii="Arial" w:hAnsi="Arial" w:cs="Arial"/>
          <w:b w:val="0"/>
          <w:sz w:val="21"/>
        </w:rPr>
        <w:t>B) Funcional y pueda convalidarla el superior.</w:t>
      </w:r>
    </w:p>
    <w:p>
      <w:pPr>
        <w:keepNext/>
        <w:keepLines/>
        <w:spacing w:after="40"/>
        <w:ind w:left="369" w:hanging="198"/>
      </w:pPr>
      <w:r>
        <w:rPr>
          <w:rFonts w:ascii="Arial" w:hAnsi="Arial" w:cs="Arial"/>
          <w:b w:val="0"/>
          <w:sz w:val="21"/>
        </w:rPr>
        <w:t>C) Manifiesta por razón de materia o territorio.</w:t>
      </w:r>
    </w:p>
    <w:p>
      <w:pPr>
        <w:keepNext/>
        <w:keepLines/>
        <w:spacing w:after="40"/>
        <w:ind w:left="369" w:hanging="198"/>
      </w:pPr>
      <w:r>
        <w:rPr>
          <w:rFonts w:ascii="Arial" w:hAnsi="Arial" w:cs="Arial"/>
          <w:b w:val="0"/>
          <w:sz w:val="21"/>
        </w:rPr>
        <w:t>D) Temporal, cualquiera que sea su incidencia.</w:t>
      </w:r>
    </w:p>
    <w:p>
      <w:pPr>
        <w:pStyle w:val="Question"/>
        <w:keepNext/>
      </w:pPr>
      <w:r>
        <w:rPr>
          <w:rFonts w:ascii="Arial" w:hAnsi="Arial" w:cs="Arial"/>
          <w:sz w:val="22"/>
        </w:rPr>
        <w:t>38. A efectos de aplicar correctamente la regla examinada, la orientación administrativa del Real Decreto 208/1996:</w:t>
      </w:r>
    </w:p>
    <w:p>
      <w:pPr>
        <w:keepNext/>
        <w:keepLines/>
        <w:spacing w:after="40"/>
        <w:ind w:left="369" w:hanging="198"/>
      </w:pPr>
      <w:r>
        <w:rPr>
          <w:rFonts w:ascii="Arial" w:hAnsi="Arial" w:cs="Arial"/>
          <w:b w:val="0"/>
          <w:sz w:val="21"/>
        </w:rPr>
        <w:t>A) Incluye defensa jurídica de la persona.</w:t>
      </w:r>
    </w:p>
    <w:p>
      <w:pPr>
        <w:keepNext/>
        <w:keepLines/>
        <w:spacing w:after="40"/>
        <w:ind w:left="369" w:hanging="198"/>
      </w:pPr>
      <w:r>
        <w:rPr>
          <w:rFonts w:ascii="Arial" w:hAnsi="Arial" w:cs="Arial"/>
          <w:b w:val="0"/>
          <w:sz w:val="21"/>
        </w:rPr>
        <w:t>B) Permite garantizar el resultado de un recurso.</w:t>
      </w:r>
    </w:p>
    <w:p>
      <w:pPr>
        <w:keepNext/>
        <w:keepLines/>
        <w:spacing w:after="40"/>
        <w:ind w:left="369" w:hanging="198"/>
      </w:pPr>
      <w:r>
        <w:rPr>
          <w:rFonts w:ascii="Arial" w:hAnsi="Arial" w:cs="Arial"/>
          <w:b w:val="0"/>
          <w:sz w:val="21"/>
        </w:rPr>
        <w:t>C) Sustituye al órgano competente para resolver.</w:t>
      </w:r>
    </w:p>
    <w:p>
      <w:pPr>
        <w:keepNext/>
        <w:keepLines/>
        <w:spacing w:after="40"/>
        <w:ind w:left="369" w:hanging="198"/>
      </w:pPr>
      <w:r>
        <w:rPr>
          <w:rFonts w:ascii="Arial" w:hAnsi="Arial" w:cs="Arial"/>
          <w:b w:val="0"/>
          <w:sz w:val="21"/>
        </w:rPr>
        <w:t>D) Ofrece aclaraciones prácticas, pero no interpretación normativa ni opinión jurídica o económica profesional.</w:t>
      </w:r>
    </w:p>
    <w:p>
      <w:pPr>
        <w:pStyle w:val="Question"/>
        <w:keepNext/>
      </w:pPr>
      <w:r>
        <w:rPr>
          <w:rFonts w:ascii="Arial" w:hAnsi="Arial" w:cs="Arial"/>
          <w:sz w:val="22"/>
        </w:rPr>
        <w:t>39. Conforme al ordenamiento vigente a la fecha de corte, según el artículo 137 de la Constitución, el Estado se organiza territorialmente:</w:t>
      </w:r>
    </w:p>
    <w:p>
      <w:pPr>
        <w:keepNext/>
        <w:keepLines/>
        <w:spacing w:after="40"/>
        <w:ind w:left="369" w:hanging="198"/>
      </w:pPr>
      <w:r>
        <w:rPr>
          <w:rFonts w:ascii="Arial" w:hAnsi="Arial" w:cs="Arial"/>
          <w:b w:val="0"/>
          <w:sz w:val="21"/>
        </w:rPr>
        <w:t>A) En municipios, provincias y Comunidades Autónomas.</w:t>
      </w:r>
    </w:p>
    <w:p>
      <w:pPr>
        <w:keepNext/>
        <w:keepLines/>
        <w:spacing w:after="40"/>
        <w:ind w:left="369" w:hanging="198"/>
      </w:pPr>
      <w:r>
        <w:rPr>
          <w:rFonts w:ascii="Arial" w:hAnsi="Arial" w:cs="Arial"/>
          <w:b w:val="0"/>
          <w:sz w:val="21"/>
        </w:rPr>
        <w:t>B) En municipios, comarcas, provincias y regiones.</w:t>
      </w:r>
    </w:p>
    <w:p>
      <w:pPr>
        <w:keepNext/>
        <w:keepLines/>
        <w:spacing w:after="40"/>
        <w:ind w:left="369" w:hanging="198"/>
      </w:pPr>
      <w:r>
        <w:rPr>
          <w:rFonts w:ascii="Arial" w:hAnsi="Arial" w:cs="Arial"/>
          <w:b w:val="0"/>
          <w:sz w:val="21"/>
        </w:rPr>
        <w:t>C) Únicamente en provincias y Comunidades Autónomas.</w:t>
      </w:r>
    </w:p>
    <w:p>
      <w:pPr>
        <w:keepNext/>
        <w:keepLines/>
        <w:spacing w:after="40"/>
        <w:ind w:left="369" w:hanging="198"/>
      </w:pPr>
      <w:r>
        <w:rPr>
          <w:rFonts w:ascii="Arial" w:hAnsi="Arial" w:cs="Arial"/>
          <w:b w:val="0"/>
          <w:sz w:val="21"/>
        </w:rPr>
        <w:t>D) En municipios, islas y Estados federados.</w:t>
      </w:r>
    </w:p>
    <w:p>
      <w:pPr>
        <w:pStyle w:val="Question"/>
        <w:keepNext/>
      </w:pPr>
      <w:r>
        <w:rPr>
          <w:rFonts w:ascii="Arial" w:hAnsi="Arial" w:cs="Arial"/>
          <w:sz w:val="22"/>
        </w:rPr>
        <w:t>40. A efectos de aplicar correctamente la regla examinada, el principio que obliga al responsable a cumplir y poder demostrar el cumplimiento es:</w:t>
      </w:r>
    </w:p>
    <w:p>
      <w:pPr>
        <w:keepNext/>
        <w:keepLines/>
        <w:spacing w:after="40"/>
        <w:ind w:left="369" w:hanging="198"/>
      </w:pPr>
      <w:r>
        <w:rPr>
          <w:rFonts w:ascii="Arial" w:hAnsi="Arial" w:cs="Arial"/>
          <w:b w:val="0"/>
          <w:sz w:val="21"/>
        </w:rPr>
        <w:t>A) Exactitud exclusivamente.</w:t>
      </w:r>
    </w:p>
    <w:p>
      <w:pPr>
        <w:keepNext/>
        <w:keepLines/>
        <w:spacing w:after="40"/>
        <w:ind w:left="369" w:hanging="198"/>
      </w:pPr>
      <w:r>
        <w:rPr>
          <w:rFonts w:ascii="Arial" w:hAnsi="Arial" w:cs="Arial"/>
          <w:b w:val="0"/>
          <w:sz w:val="21"/>
        </w:rPr>
        <w:t>B) Portabilidad.</w:t>
      </w:r>
    </w:p>
    <w:p>
      <w:pPr>
        <w:keepNext/>
        <w:keepLines/>
        <w:spacing w:after="40"/>
        <w:ind w:left="369" w:hanging="198"/>
      </w:pPr>
      <w:r>
        <w:rPr>
          <w:rFonts w:ascii="Arial" w:hAnsi="Arial" w:cs="Arial"/>
          <w:b w:val="0"/>
          <w:sz w:val="21"/>
        </w:rPr>
        <w:t>C) Responsabilidad proactiva.</w:t>
      </w:r>
    </w:p>
    <w:p>
      <w:pPr>
        <w:keepNext/>
        <w:keepLines/>
        <w:spacing w:after="40"/>
        <w:ind w:left="369" w:hanging="198"/>
      </w:pPr>
      <w:r>
        <w:rPr>
          <w:rFonts w:ascii="Arial" w:hAnsi="Arial" w:cs="Arial"/>
          <w:b w:val="0"/>
          <w:sz w:val="21"/>
        </w:rPr>
        <w:t>D) Ventanilla única.</w:t>
      </w:r>
    </w:p>
    <w:p>
      <w:pPr>
        <w:pStyle w:val="Question"/>
        <w:keepNext/>
      </w:pPr>
      <w:r>
        <w:rPr>
          <w:rFonts w:ascii="Arial" w:hAnsi="Arial" w:cs="Arial"/>
          <w:sz w:val="22"/>
        </w:rPr>
        <w:t>41. Conforme al ordenamiento vigente a la fecha de corte, el derecho de la Administración a determinar una deuda por cuotas prescribe, con carácter general, a los: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val="0"/>
          <w:sz w:val="21"/>
        </w:rPr>
        <w:t>B) Cuatro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pStyle w:val="Question"/>
        <w:keepNext/>
      </w:pPr>
      <w:r>
        <w:rPr>
          <w:rFonts w:ascii="Arial" w:hAnsi="Arial" w:cs="Arial"/>
          <w:sz w:val="22"/>
        </w:rPr>
        <w:t>42. A efectos de aplicar correctamente la regla examinada, es dato personal:</w:t>
      </w:r>
    </w:p>
    <w:p>
      <w:pPr>
        <w:keepNext/>
        <w:keepLines/>
        <w:spacing w:after="40"/>
        <w:ind w:left="369" w:hanging="198"/>
      </w:pPr>
      <w:r>
        <w:rPr>
          <w:rFonts w:ascii="Arial" w:hAnsi="Arial" w:cs="Arial"/>
          <w:b w:val="0"/>
          <w:sz w:val="21"/>
        </w:rPr>
        <w:t>A) Solo la información secreta.</w:t>
      </w:r>
    </w:p>
    <w:p>
      <w:pPr>
        <w:keepNext/>
        <w:keepLines/>
        <w:spacing w:after="40"/>
        <w:ind w:left="369" w:hanging="198"/>
      </w:pPr>
      <w:r>
        <w:rPr>
          <w:rFonts w:ascii="Arial" w:hAnsi="Arial" w:cs="Arial"/>
          <w:b w:val="0"/>
          <w:sz w:val="21"/>
        </w:rPr>
        <w:t>B) Exclusivamente nombre y DNI.</w:t>
      </w:r>
    </w:p>
    <w:p>
      <w:pPr>
        <w:keepNext/>
        <w:keepLines/>
        <w:spacing w:after="40"/>
        <w:ind w:left="369" w:hanging="198"/>
      </w:pPr>
      <w:r>
        <w:rPr>
          <w:rFonts w:ascii="Arial" w:hAnsi="Arial" w:cs="Arial"/>
          <w:b w:val="0"/>
          <w:sz w:val="21"/>
        </w:rPr>
        <w:t>C) Cualquier dato relativo a una sociedad mercantil como tal.</w:t>
      </w:r>
    </w:p>
    <w:p>
      <w:pPr>
        <w:keepNext/>
        <w:keepLines/>
        <w:spacing w:after="40"/>
        <w:ind w:left="369" w:hanging="198"/>
      </w:pPr>
      <w:r>
        <w:rPr>
          <w:rFonts w:ascii="Arial" w:hAnsi="Arial" w:cs="Arial"/>
          <w:b w:val="0"/>
          <w:sz w:val="21"/>
        </w:rPr>
        <w:t>D) Toda información sobre una persona física identificada o identificable.</w:t>
      </w:r>
    </w:p>
    <w:p>
      <w:pPr>
        <w:pStyle w:val="Question"/>
        <w:keepNext/>
      </w:pPr>
      <w:r>
        <w:rPr>
          <w:rFonts w:ascii="Arial" w:hAnsi="Arial" w:cs="Arial"/>
          <w:sz w:val="22"/>
        </w:rPr>
        <w:t>43. A efectos de aplicar correctamente la regla examinada, un sistema especial puede establecer peculiaridades respecto de:</w:t>
      </w:r>
    </w:p>
    <w:p>
      <w:pPr>
        <w:keepNext/>
        <w:keepLines/>
        <w:spacing w:after="40"/>
        <w:ind w:left="369" w:hanging="198"/>
      </w:pPr>
      <w:r>
        <w:rPr>
          <w:rFonts w:ascii="Arial" w:hAnsi="Arial" w:cs="Arial"/>
          <w:b w:val="0"/>
          <w:sz w:val="21"/>
        </w:rPr>
        <w:t>A) La titularidad del derecho a la asistencia sanitaria y la jubilación.</w:t>
      </w:r>
    </w:p>
    <w:p>
      <w:pPr>
        <w:keepNext/>
        <w:keepLines/>
        <w:spacing w:after="40"/>
        <w:ind w:left="369" w:hanging="198"/>
      </w:pPr>
      <w:r>
        <w:rPr>
          <w:rFonts w:ascii="Arial" w:hAnsi="Arial" w:cs="Arial"/>
          <w:b w:val="0"/>
          <w:sz w:val="21"/>
        </w:rPr>
        <w:t>B) La creación de nuevas prestaciones contributivas.</w:t>
      </w:r>
    </w:p>
    <w:p>
      <w:pPr>
        <w:keepNext/>
        <w:keepLines/>
        <w:spacing w:after="40"/>
        <w:ind w:left="369" w:hanging="198"/>
      </w:pPr>
      <w:r>
        <w:rPr>
          <w:rFonts w:ascii="Arial" w:hAnsi="Arial" w:cs="Arial"/>
          <w:b w:val="0"/>
          <w:sz w:val="21"/>
        </w:rPr>
        <w:t>C) La jurisdicción competente para resolver litigios.</w:t>
      </w:r>
    </w:p>
    <w:p>
      <w:pPr>
        <w:keepNext/>
        <w:keepLines/>
        <w:spacing w:after="40"/>
        <w:ind w:left="369" w:hanging="198"/>
      </w:pPr>
      <w:r>
        <w:rPr>
          <w:rFonts w:ascii="Arial" w:hAnsi="Arial" w:cs="Arial"/>
          <w:b w:val="0"/>
          <w:sz w:val="21"/>
        </w:rPr>
        <w:t>D) El encuadramiento, la afiliación, la forma de cotización o la recaudación.</w:t>
      </w:r>
    </w:p>
    <w:p>
      <w:pPr>
        <w:pStyle w:val="Question"/>
        <w:keepNext/>
      </w:pPr>
      <w:r>
        <w:rPr>
          <w:rFonts w:ascii="Arial" w:hAnsi="Arial" w:cs="Arial"/>
          <w:sz w:val="22"/>
        </w:rPr>
        <w:t>44. Conforme al ordenamiento vigente a la fecha de corte, a 30 de julio de 2026, ¿qué norma regula todavía el núcleo de la jubilación flexible?</w:t>
      </w:r>
    </w:p>
    <w:p>
      <w:pPr>
        <w:keepNext/>
        <w:keepLines/>
        <w:spacing w:after="40"/>
        <w:ind w:left="369" w:hanging="198"/>
      </w:pPr>
      <w:r>
        <w:rPr>
          <w:rFonts w:ascii="Arial" w:hAnsi="Arial" w:cs="Arial"/>
          <w:b w:val="0"/>
          <w:sz w:val="21"/>
        </w:rPr>
        <w:t>A) El Real Decreto 1132/2002, pues el régimen general del Real Decreto 416/2026 entra en vigor el 28 de agosto de 2026.</w:t>
      </w:r>
    </w:p>
    <w:p>
      <w:pPr>
        <w:keepNext/>
        <w:keepLines/>
        <w:spacing w:after="40"/>
        <w:ind w:left="369" w:hanging="198"/>
      </w:pPr>
      <w:r>
        <w:rPr>
          <w:rFonts w:ascii="Arial" w:hAnsi="Arial" w:cs="Arial"/>
          <w:b w:val="0"/>
          <w:sz w:val="21"/>
        </w:rPr>
        <w:t>B) Exclusivamente el Real Decreto 416/2026, ya vigente desde su publicación.</w:t>
      </w:r>
    </w:p>
    <w:p>
      <w:pPr>
        <w:keepNext/>
        <w:keepLines/>
        <w:spacing w:after="40"/>
        <w:ind w:left="369" w:hanging="198"/>
      </w:pPr>
      <w:r>
        <w:rPr>
          <w:rFonts w:ascii="Arial" w:hAnsi="Arial" w:cs="Arial"/>
          <w:b w:val="0"/>
          <w:sz w:val="21"/>
        </w:rPr>
        <w:t>C) La Ley 27/2011 sin desarrollo reglamentario.</w:t>
      </w:r>
    </w:p>
    <w:p>
      <w:pPr>
        <w:keepNext/>
        <w:keepLines/>
        <w:spacing w:after="40"/>
        <w:ind w:left="369" w:hanging="198"/>
      </w:pPr>
      <w:r>
        <w:rPr>
          <w:rFonts w:ascii="Arial" w:hAnsi="Arial" w:cs="Arial"/>
          <w:b w:val="0"/>
          <w:sz w:val="21"/>
        </w:rPr>
        <w:t>D) El Real Decreto 1449/2018.</w:t>
      </w:r>
    </w:p>
    <w:p>
      <w:pPr>
        <w:pStyle w:val="Question"/>
        <w:keepNext/>
      </w:pPr>
      <w:r>
        <w:rPr>
          <w:rFonts w:ascii="Arial" w:hAnsi="Arial" w:cs="Arial"/>
          <w:sz w:val="22"/>
        </w:rPr>
        <w:t>45. A efectos de aplicar correctamente la regla examinada, cuando la adjudicación directa se plantea después de una segunda subasta desierta, la autorización debe adoptarse, salvo ampliación competente, dentro de:</w:t>
      </w:r>
    </w:p>
    <w:p>
      <w:pPr>
        <w:keepNext/>
        <w:keepLines/>
        <w:spacing w:after="40"/>
        <w:ind w:left="369" w:hanging="198"/>
      </w:pPr>
      <w:r>
        <w:rPr>
          <w:rFonts w:ascii="Arial" w:hAnsi="Arial" w:cs="Arial"/>
          <w:b w:val="0"/>
          <w:sz w:val="21"/>
        </w:rPr>
        <w:t>A) Diez días desde el embargo.</w:t>
      </w:r>
    </w:p>
    <w:p>
      <w:pPr>
        <w:keepNext/>
        <w:keepLines/>
        <w:spacing w:after="40"/>
        <w:ind w:left="369" w:hanging="198"/>
      </w:pPr>
      <w:r>
        <w:rPr>
          <w:rFonts w:ascii="Arial" w:hAnsi="Arial" w:cs="Arial"/>
          <w:b w:val="0"/>
          <w:sz w:val="21"/>
        </w:rPr>
        <w:t>B) Seis meses desde la primera providencia.</w:t>
      </w:r>
    </w:p>
    <w:p>
      <w:pPr>
        <w:keepNext/>
        <w:keepLines/>
        <w:spacing w:after="40"/>
        <w:ind w:left="369" w:hanging="198"/>
      </w:pPr>
      <w:r>
        <w:rPr>
          <w:rFonts w:ascii="Arial" w:hAnsi="Arial" w:cs="Arial"/>
          <w:b w:val="0"/>
          <w:sz w:val="21"/>
        </w:rPr>
        <w:t>C) Tres meses desde la celebración de la segunda subasta.</w:t>
      </w:r>
    </w:p>
    <w:p>
      <w:pPr>
        <w:keepNext/>
        <w:keepLines/>
        <w:spacing w:after="40"/>
        <w:ind w:left="369" w:hanging="198"/>
      </w:pPr>
      <w:r>
        <w:rPr>
          <w:rFonts w:ascii="Arial" w:hAnsi="Arial" w:cs="Arial"/>
          <w:b w:val="0"/>
          <w:sz w:val="21"/>
        </w:rPr>
        <w:t>D) Cuatro años desde el devengo.</w:t>
      </w:r>
    </w:p>
    <w:p>
      <w:pPr>
        <w:pStyle w:val="Question"/>
        <w:keepNext/>
      </w:pPr>
      <w:r>
        <w:rPr>
          <w:rFonts w:ascii="Arial" w:hAnsi="Arial" w:cs="Arial"/>
          <w:sz w:val="22"/>
        </w:rPr>
        <w:t>46. Conforme al ordenamiento vigente a la fecha de corte, ¿En qué condición puede el Rey presidir una sesión del Consejo de Ministros?</w:t>
      </w:r>
    </w:p>
    <w:p>
      <w:pPr>
        <w:keepNext/>
        <w:keepLines/>
        <w:spacing w:after="40"/>
        <w:ind w:left="369" w:hanging="198"/>
      </w:pPr>
      <w:r>
        <w:rPr>
          <w:rFonts w:ascii="Arial" w:hAnsi="Arial" w:cs="Arial"/>
          <w:b w:val="0"/>
          <w:sz w:val="21"/>
        </w:rPr>
        <w:t>A) Cuando lo estime oportuno, a petición del Presidente del Gobierno, para ser informado de asuntos de Estado.</w:t>
      </w:r>
    </w:p>
    <w:p>
      <w:pPr>
        <w:keepNext/>
        <w:keepLines/>
        <w:spacing w:after="40"/>
        <w:ind w:left="369" w:hanging="198"/>
      </w:pPr>
      <w:r>
        <w:rPr>
          <w:rFonts w:ascii="Arial" w:hAnsi="Arial" w:cs="Arial"/>
          <w:b w:val="0"/>
          <w:sz w:val="21"/>
        </w:rPr>
        <w:t>B) Siempre que lo solicite una quinta parte del Congreso.</w:t>
      </w:r>
    </w:p>
    <w:p>
      <w:pPr>
        <w:keepNext/>
        <w:keepLines/>
        <w:spacing w:after="40"/>
        <w:ind w:left="369" w:hanging="198"/>
      </w:pPr>
      <w:r>
        <w:rPr>
          <w:rFonts w:ascii="Arial" w:hAnsi="Arial" w:cs="Arial"/>
          <w:b w:val="0"/>
          <w:sz w:val="21"/>
        </w:rPr>
        <w:t>C) Únicamente durante el estado de sitio.</w:t>
      </w:r>
    </w:p>
    <w:p>
      <w:pPr>
        <w:keepNext/>
        <w:keepLines/>
        <w:spacing w:after="40"/>
        <w:ind w:left="369" w:hanging="198"/>
      </w:pPr>
      <w:r>
        <w:rPr>
          <w:rFonts w:ascii="Arial" w:hAnsi="Arial" w:cs="Arial"/>
          <w:b w:val="0"/>
          <w:sz w:val="21"/>
        </w:rPr>
        <w:t>D) Cuando lo convoque el Presidente del Congreso.</w:t>
      </w:r>
    </w:p>
    <w:p>
      <w:pPr>
        <w:pStyle w:val="Question"/>
        <w:keepNext/>
      </w:pPr>
      <w:r>
        <w:rPr>
          <w:rFonts w:ascii="Arial" w:hAnsi="Arial" w:cs="Arial"/>
          <w:sz w:val="22"/>
        </w:rPr>
        <w:t>47. A efectos de aplicar correctamente la regla examinada, ¿Qué finalidad tiene el ingreso mínimo vital?</w:t>
      </w:r>
    </w:p>
    <w:p>
      <w:pPr>
        <w:keepNext/>
        <w:keepLines/>
        <w:spacing w:after="40"/>
        <w:ind w:left="369" w:hanging="198"/>
      </w:pPr>
      <w:r>
        <w:rPr>
          <w:rFonts w:ascii="Arial" w:hAnsi="Arial" w:cs="Arial"/>
          <w:b w:val="0"/>
          <w:sz w:val="21"/>
        </w:rPr>
        <w:t>A) Garantizar un nivel mínimo de renta a personas solas o unidades de convivencia en situación de vulnerabilidad económica.</w:t>
      </w:r>
    </w:p>
    <w:p>
      <w:pPr>
        <w:keepNext/>
        <w:keepLines/>
        <w:spacing w:after="40"/>
        <w:ind w:left="369" w:hanging="198"/>
      </w:pPr>
      <w:r>
        <w:rPr>
          <w:rFonts w:ascii="Arial" w:hAnsi="Arial" w:cs="Arial"/>
          <w:b w:val="0"/>
          <w:sz w:val="21"/>
        </w:rPr>
        <w:t>B) Sustituir cualquier salario inferior al promedio nacional.</w:t>
      </w:r>
    </w:p>
    <w:p>
      <w:pPr>
        <w:keepNext/>
        <w:keepLines/>
        <w:spacing w:after="40"/>
        <w:ind w:left="369" w:hanging="198"/>
      </w:pPr>
      <w:r>
        <w:rPr>
          <w:rFonts w:ascii="Arial" w:hAnsi="Arial" w:cs="Arial"/>
          <w:b w:val="0"/>
          <w:sz w:val="21"/>
        </w:rPr>
        <w:t>C) Financiar exclusivamente los gastos de vivienda.</w:t>
      </w:r>
    </w:p>
    <w:p>
      <w:pPr>
        <w:keepNext/>
        <w:keepLines/>
        <w:spacing w:after="40"/>
        <w:ind w:left="369" w:hanging="198"/>
      </w:pPr>
      <w:r>
        <w:rPr>
          <w:rFonts w:ascii="Arial" w:hAnsi="Arial" w:cs="Arial"/>
          <w:b w:val="0"/>
          <w:sz w:val="21"/>
        </w:rPr>
        <w:t>D) Premiar una carrera mínima de quince años de cotización.</w:t>
      </w:r>
    </w:p>
    <w:p>
      <w:pPr>
        <w:pStyle w:val="Question"/>
        <w:keepNext/>
      </w:pPr>
      <w:r>
        <w:rPr>
          <w:rFonts w:ascii="Arial" w:hAnsi="Arial" w:cs="Arial"/>
          <w:sz w:val="22"/>
        </w:rPr>
        <w:t>48. En una comprobación jurídica del expediente, ¿Qué regla de exención de garantía resulta aplicable a los aplazamientos a 30 de julio de 2026?</w:t>
      </w:r>
    </w:p>
    <w:p>
      <w:pPr>
        <w:keepNext/>
        <w:keepLines/>
        <w:spacing w:after="40"/>
        <w:ind w:left="369" w:hanging="198"/>
      </w:pPr>
      <w:r>
        <w:rPr>
          <w:rFonts w:ascii="Arial" w:hAnsi="Arial" w:cs="Arial"/>
          <w:b w:val="0"/>
          <w:sz w:val="21"/>
        </w:rPr>
        <w:t>A) Toda deuda inferior a 500.000 euros queda exenta sin condiciones.</w:t>
      </w:r>
    </w:p>
    <w:p>
      <w:pPr>
        <w:keepNext/>
        <w:keepLines/>
        <w:spacing w:after="40"/>
        <w:ind w:left="369" w:hanging="198"/>
      </w:pPr>
      <w:r>
        <w:rPr>
          <w:rFonts w:ascii="Arial" w:hAnsi="Arial" w:cs="Arial"/>
          <w:b w:val="0"/>
          <w:sz w:val="21"/>
        </w:rPr>
        <w:t>B) Solo quedan exentas las deudas inferiores a 30.000 euros.</w:t>
      </w:r>
    </w:p>
    <w:p>
      <w:pPr>
        <w:keepNext/>
        <w:keepLines/>
        <w:spacing w:after="40"/>
        <w:ind w:left="369" w:hanging="198"/>
      </w:pPr>
      <w:r>
        <w:rPr>
          <w:rFonts w:ascii="Arial" w:hAnsi="Arial" w:cs="Arial"/>
          <w:b w:val="0"/>
          <w:sz w:val="21"/>
        </w:rPr>
        <w:t>C) No se exige garantía si la deuda aplazable es igual o inferior a 150.000 euros; también puede eximirse si es inferior a 250.000 euros y se paga al menos un tercio en diez días y el resto en dos años.</w:t>
      </w:r>
    </w:p>
    <w:p>
      <w:pPr>
        <w:keepNext/>
        <w:keepLines/>
        <w:spacing w:after="40"/>
        <w:ind w:left="369" w:hanging="198"/>
      </w:pPr>
      <w:r>
        <w:rPr>
          <w:rFonts w:ascii="Arial" w:hAnsi="Arial" w:cs="Arial"/>
          <w:b w:val="0"/>
          <w:sz w:val="21"/>
        </w:rPr>
        <w:t>D) Una deuda exactamente igual a 250.000 euros queda exenta si se abona una cuarta parte.</w:t>
      </w:r>
    </w:p>
    <w:p>
      <w:pPr>
        <w:pStyle w:val="Question"/>
        <w:keepNext/>
      </w:pPr>
      <w:r>
        <w:rPr>
          <w:rFonts w:ascii="Arial" w:hAnsi="Arial" w:cs="Arial"/>
          <w:sz w:val="22"/>
        </w:rPr>
        <w:t>49. A efectos de aplicar correctamente la regla examinada, ¿Cuáles son los principios en los que se fundamenta el sistema de la Seguridad Social?</w:t>
      </w:r>
    </w:p>
    <w:p>
      <w:pPr>
        <w:keepNext/>
        <w:keepLines/>
        <w:spacing w:after="40"/>
        <w:ind w:left="369" w:hanging="198"/>
      </w:pPr>
      <w:r>
        <w:rPr>
          <w:rFonts w:ascii="Arial" w:hAnsi="Arial" w:cs="Arial"/>
          <w:b w:val="0"/>
          <w:sz w:val="21"/>
        </w:rPr>
        <w:t>A) Universalidad, unidad, solidaridad e igualdad.</w:t>
      </w:r>
    </w:p>
    <w:p>
      <w:pPr>
        <w:keepNext/>
        <w:keepLines/>
        <w:spacing w:after="40"/>
        <w:ind w:left="369" w:hanging="198"/>
      </w:pPr>
      <w:r>
        <w:rPr>
          <w:rFonts w:ascii="Arial" w:hAnsi="Arial" w:cs="Arial"/>
          <w:b w:val="0"/>
          <w:sz w:val="21"/>
        </w:rPr>
        <w:t>B) Territorialidad, contributividad, especialidad y suficiencia.</w:t>
      </w:r>
    </w:p>
    <w:p>
      <w:pPr>
        <w:keepNext/>
        <w:keepLines/>
        <w:spacing w:after="40"/>
        <w:ind w:left="369" w:hanging="198"/>
      </w:pPr>
      <w:r>
        <w:rPr>
          <w:rFonts w:ascii="Arial" w:hAnsi="Arial" w:cs="Arial"/>
          <w:b w:val="0"/>
          <w:sz w:val="21"/>
        </w:rPr>
        <w:t>C) Jerarquía, descentralización, coordinación y eficacia.</w:t>
      </w:r>
    </w:p>
    <w:p>
      <w:pPr>
        <w:keepNext/>
        <w:keepLines/>
        <w:spacing w:after="40"/>
        <w:ind w:left="369" w:hanging="198"/>
      </w:pPr>
      <w:r>
        <w:rPr>
          <w:rFonts w:ascii="Arial" w:hAnsi="Arial" w:cs="Arial"/>
          <w:b w:val="0"/>
          <w:sz w:val="21"/>
        </w:rPr>
        <w:t>D) Afiliación, cotización, recaudación y protección.</w:t>
      </w:r>
    </w:p>
    <w:p>
      <w:pPr>
        <w:pStyle w:val="Question"/>
        <w:keepNext/>
      </w:pPr>
      <w:r>
        <w:rPr>
          <w:rFonts w:ascii="Arial" w:hAnsi="Arial" w:cs="Arial"/>
          <w:sz w:val="22"/>
        </w:rPr>
        <w:t>50. Conforme al ordenamiento vigente a la fecha de corte, puede ejercer el derecho de petición de la Ley Orgánica 4/2001:</w:t>
      </w:r>
    </w:p>
    <w:p>
      <w:pPr>
        <w:keepNext/>
        <w:keepLines/>
        <w:spacing w:after="40"/>
        <w:ind w:left="369" w:hanging="198"/>
      </w:pPr>
      <w:r>
        <w:rPr>
          <w:rFonts w:ascii="Arial" w:hAnsi="Arial" w:cs="Arial"/>
          <w:b w:val="0"/>
          <w:sz w:val="21"/>
        </w:rPr>
        <w:t>A) Solo una persona española mayor de edad.</w:t>
      </w:r>
    </w:p>
    <w:p>
      <w:pPr>
        <w:keepNext/>
        <w:keepLines/>
        <w:spacing w:after="40"/>
        <w:ind w:left="369" w:hanging="198"/>
      </w:pPr>
      <w:r>
        <w:rPr>
          <w:rFonts w:ascii="Arial" w:hAnsi="Arial" w:cs="Arial"/>
          <w:b w:val="0"/>
          <w:sz w:val="21"/>
        </w:rPr>
        <w:t>B) Solo una persona física.</w:t>
      </w:r>
    </w:p>
    <w:p>
      <w:pPr>
        <w:keepNext/>
        <w:keepLines/>
        <w:spacing w:after="40"/>
        <w:ind w:left="369" w:hanging="198"/>
      </w:pPr>
      <w:r>
        <w:rPr>
          <w:rFonts w:ascii="Arial" w:hAnsi="Arial" w:cs="Arial"/>
          <w:b w:val="0"/>
          <w:sz w:val="21"/>
        </w:rPr>
        <w:t>C) Toda persona natural o jurídica, cualquiera que sea su nacionalidad.</w:t>
      </w:r>
    </w:p>
    <w:p>
      <w:pPr>
        <w:keepNext/>
        <w:keepLines/>
        <w:spacing w:after="40"/>
        <w:ind w:left="369" w:hanging="198"/>
      </w:pPr>
      <w:r>
        <w:rPr>
          <w:rFonts w:ascii="Arial" w:hAnsi="Arial" w:cs="Arial"/>
          <w:b w:val="0"/>
          <w:sz w:val="21"/>
        </w:rPr>
        <w:t>D) Únicamente una asociación registrada.</w:t>
      </w:r>
    </w:p>
    <w:p>
      <w:pPr>
        <w:pStyle w:val="Question"/>
        <w:keepNext/>
      </w:pPr>
      <w:r>
        <w:rPr>
          <w:rFonts w:ascii="Arial" w:hAnsi="Arial" w:cs="Arial"/>
          <w:sz w:val="22"/>
        </w:rPr>
        <w:t>51. A efectos de aplicar correctamente la regla examinada,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val="0"/>
          <w:sz w:val="21"/>
        </w:rPr>
        <w:t>A) 10 %.</w:t>
      </w:r>
    </w:p>
    <w:p>
      <w:pPr>
        <w:keepNext/>
        <w:keepLines/>
        <w:spacing w:after="40"/>
        <w:ind w:left="369" w:hanging="198"/>
      </w:pPr>
      <w:r>
        <w:rPr>
          <w:rFonts w:ascii="Arial" w:hAnsi="Arial" w:cs="Arial"/>
          <w:b w:val="0"/>
          <w:sz w:val="21"/>
        </w:rPr>
        <w:t>B) 5 %.</w:t>
      </w:r>
    </w:p>
    <w:p>
      <w:pPr>
        <w:keepNext/>
        <w:keepLines/>
        <w:spacing w:after="40"/>
        <w:ind w:left="369" w:hanging="198"/>
      </w:pPr>
      <w:r>
        <w:rPr>
          <w:rFonts w:ascii="Arial" w:hAnsi="Arial" w:cs="Arial"/>
          <w:b w:val="0"/>
          <w:sz w:val="21"/>
        </w:rPr>
        <w:t>C) 15 %.</w:t>
      </w:r>
    </w:p>
    <w:p>
      <w:pPr>
        <w:keepNext/>
        <w:keepLines/>
        <w:spacing w:after="40"/>
        <w:ind w:left="369" w:hanging="198"/>
      </w:pPr>
      <w:r>
        <w:rPr>
          <w:rFonts w:ascii="Arial" w:hAnsi="Arial" w:cs="Arial"/>
          <w:b w:val="0"/>
          <w:sz w:val="21"/>
        </w:rPr>
        <w:t>D) 20 %.</w:t>
      </w:r>
    </w:p>
    <w:p>
      <w:pPr>
        <w:pStyle w:val="Question"/>
        <w:keepNext/>
      </w:pPr>
      <w:r>
        <w:rPr>
          <w:rFonts w:ascii="Arial" w:hAnsi="Arial" w:cs="Arial"/>
          <w:sz w:val="22"/>
        </w:rPr>
        <w:t>52. Conforme al ordenamiento vigente a la fecha de corte, además de las atribuciones constitucionales, ¿qué otras funciones puede ejercer el Rey?</w:t>
      </w:r>
    </w:p>
    <w:p>
      <w:pPr>
        <w:keepNext/>
        <w:keepLines/>
        <w:spacing w:after="40"/>
        <w:ind w:left="369" w:hanging="198"/>
      </w:pPr>
      <w:r>
        <w:rPr>
          <w:rFonts w:ascii="Arial" w:hAnsi="Arial" w:cs="Arial"/>
          <w:b w:val="0"/>
          <w:sz w:val="21"/>
        </w:rPr>
        <w:t>A) Cualquiera que considere necesaria para moderar las instituciones.</w:t>
      </w:r>
    </w:p>
    <w:p>
      <w:pPr>
        <w:keepNext/>
        <w:keepLines/>
        <w:spacing w:after="40"/>
        <w:ind w:left="369" w:hanging="198"/>
      </w:pPr>
      <w:r>
        <w:rPr>
          <w:rFonts w:ascii="Arial" w:hAnsi="Arial" w:cs="Arial"/>
          <w:b w:val="0"/>
          <w:sz w:val="21"/>
        </w:rPr>
        <w:t>B) Las que le delegue el Congreso por mayoría simple.</w:t>
      </w:r>
    </w:p>
    <w:p>
      <w:pPr>
        <w:keepNext/>
        <w:keepLines/>
        <w:spacing w:after="40"/>
        <w:ind w:left="369" w:hanging="198"/>
      </w:pPr>
      <w:r>
        <w:rPr>
          <w:rFonts w:ascii="Arial" w:hAnsi="Arial" w:cs="Arial"/>
          <w:b w:val="0"/>
          <w:sz w:val="21"/>
        </w:rPr>
        <w:t>C) Todas las propias del Presidente del Gobierno durante una crisis.</w:t>
      </w:r>
    </w:p>
    <w:p>
      <w:pPr>
        <w:keepNext/>
        <w:keepLines/>
        <w:spacing w:after="40"/>
        <w:ind w:left="369" w:hanging="198"/>
      </w:pPr>
      <w:r>
        <w:rPr>
          <w:rFonts w:ascii="Arial" w:hAnsi="Arial" w:cs="Arial"/>
          <w:b w:val="0"/>
          <w:sz w:val="21"/>
        </w:rPr>
        <w:t>D) Las que le atribuyan expresamente las leyes.</w:t>
      </w:r>
    </w:p>
    <w:p>
      <w:pPr>
        <w:pStyle w:val="Question"/>
        <w:keepNext/>
      </w:pPr>
      <w:r>
        <w:rPr>
          <w:rFonts w:ascii="Arial" w:hAnsi="Arial" w:cs="Arial"/>
          <w:sz w:val="22"/>
        </w:rPr>
        <w:t>53. Conforme al ordenamiento vigente a la fecha de corte, respecto de programas que afectan a sus competencias, la GISS depende funcionalmente:</w:t>
      </w:r>
    </w:p>
    <w:p>
      <w:pPr>
        <w:keepNext/>
        <w:keepLines/>
        <w:spacing w:after="40"/>
        <w:ind w:left="369" w:hanging="198"/>
      </w:pPr>
      <w:r>
        <w:rPr>
          <w:rFonts w:ascii="Arial" w:hAnsi="Arial" w:cs="Arial"/>
          <w:b w:val="0"/>
          <w:sz w:val="21"/>
        </w:rPr>
        <w:t>A) De DGOSS, cada entidad gestora, IGSS, SJASS y TGSS.</w:t>
      </w:r>
    </w:p>
    <w:p>
      <w:pPr>
        <w:keepNext/>
        <w:keepLines/>
        <w:spacing w:after="40"/>
        <w:ind w:left="369" w:hanging="198"/>
      </w:pPr>
      <w:r>
        <w:rPr>
          <w:rFonts w:ascii="Arial" w:hAnsi="Arial" w:cs="Arial"/>
          <w:b w:val="0"/>
          <w:sz w:val="21"/>
        </w:rPr>
        <w:t>B) Solo de la DGOSS.</w:t>
      </w:r>
    </w:p>
    <w:p>
      <w:pPr>
        <w:keepNext/>
        <w:keepLines/>
        <w:spacing w:after="40"/>
        <w:ind w:left="369" w:hanging="198"/>
      </w:pPr>
      <w:r>
        <w:rPr>
          <w:rFonts w:ascii="Arial" w:hAnsi="Arial" w:cs="Arial"/>
          <w:b w:val="0"/>
          <w:sz w:val="21"/>
        </w:rPr>
        <w:t>C) Solo de TGSS e INSS.</w:t>
      </w:r>
    </w:p>
    <w:p>
      <w:pPr>
        <w:keepNext/>
        <w:keepLines/>
        <w:spacing w:after="40"/>
        <w:ind w:left="369" w:hanging="198"/>
      </w:pPr>
      <w:r>
        <w:rPr>
          <w:rFonts w:ascii="Arial" w:hAnsi="Arial" w:cs="Arial"/>
          <w:b w:val="0"/>
          <w:sz w:val="21"/>
        </w:rPr>
        <w:t>D) Exclusivamente de la persona titular del Ministerio.</w:t>
      </w:r>
    </w:p>
    <w:p>
      <w:pPr>
        <w:pStyle w:val="Question"/>
        <w:keepNext/>
      </w:pPr>
      <w:r>
        <w:rPr>
          <w:rFonts w:ascii="Arial" w:hAnsi="Arial" w:cs="Arial"/>
          <w:sz w:val="22"/>
        </w:rPr>
        <w:t>54. Conforme al ordenamiento vigente a la fecha de corte, ¿Qué servicio se añade para los municipios con población superior a 20.000 habitantes?</w:t>
      </w:r>
    </w:p>
    <w:p>
      <w:pPr>
        <w:keepNext/>
        <w:keepLines/>
        <w:spacing w:after="40"/>
        <w:ind w:left="369" w:hanging="198"/>
      </w:pPr>
      <w:r>
        <w:rPr>
          <w:rFonts w:ascii="Arial" w:hAnsi="Arial" w:cs="Arial"/>
          <w:b w:val="0"/>
          <w:sz w:val="21"/>
        </w:rPr>
        <w:t>A) Transporte colectivo urbano de viajeros.</w:t>
      </w:r>
    </w:p>
    <w:p>
      <w:pPr>
        <w:keepNext/>
        <w:keepLines/>
        <w:spacing w:after="40"/>
        <w:ind w:left="369" w:hanging="198"/>
      </w:pPr>
      <w:r>
        <w:rPr>
          <w:rFonts w:ascii="Arial" w:hAnsi="Arial" w:cs="Arial"/>
          <w:b w:val="0"/>
          <w:sz w:val="21"/>
        </w:rPr>
        <w:t>B) Medio ambiente urbano.</w:t>
      </w:r>
    </w:p>
    <w:p>
      <w:pPr>
        <w:keepNext/>
        <w:keepLines/>
        <w:spacing w:after="40"/>
        <w:ind w:left="369" w:hanging="198"/>
      </w:pPr>
      <w:r>
        <w:rPr>
          <w:rFonts w:ascii="Arial" w:hAnsi="Arial" w:cs="Arial"/>
          <w:b w:val="0"/>
          <w:sz w:val="21"/>
        </w:rPr>
        <w:t>C) Prevención y extinción de incendios.</w:t>
      </w:r>
    </w:p>
    <w:p>
      <w:pPr>
        <w:keepNext/>
        <w:keepLines/>
        <w:spacing w:after="40"/>
        <w:ind w:left="369" w:hanging="198"/>
      </w:pPr>
      <w:r>
        <w:rPr>
          <w:rFonts w:ascii="Arial" w:hAnsi="Arial" w:cs="Arial"/>
          <w:b w:val="0"/>
          <w:sz w:val="21"/>
        </w:rPr>
        <w:t>D) Biblioteca pública por primera vez.</w:t>
      </w:r>
    </w:p>
    <w:p>
      <w:pPr>
        <w:pStyle w:val="Question"/>
        <w:keepNext/>
      </w:pPr>
      <w:r>
        <w:rPr>
          <w:rFonts w:ascii="Arial" w:hAnsi="Arial" w:cs="Arial"/>
          <w:sz w:val="22"/>
        </w:rPr>
        <w:t>55. Conforme al ordenamiento vigente a la fecha de corte, la TGSS pretende vender un inmueble tasado en 25 millones de euros. ¿Qué solución es correcta?</w:t>
      </w:r>
    </w:p>
    <w:p>
      <w:pPr>
        <w:keepNext/>
        <w:keepLines/>
        <w:spacing w:after="40"/>
        <w:ind w:left="369" w:hanging="198"/>
      </w:pPr>
      <w:r>
        <w:rPr>
          <w:rFonts w:ascii="Arial" w:hAnsi="Arial" w:cs="Arial"/>
          <w:b w:val="0"/>
          <w:sz w:val="21"/>
        </w:rPr>
        <w:t>A) Basta autorización de la dirección provincial y venta verbal.</w:t>
      </w:r>
    </w:p>
    <w:p>
      <w:pPr>
        <w:keepNext/>
        <w:keepLines/>
        <w:spacing w:after="40"/>
        <w:ind w:left="369" w:hanging="198"/>
      </w:pPr>
      <w:r>
        <w:rPr>
          <w:rFonts w:ascii="Arial" w:hAnsi="Arial" w:cs="Arial"/>
          <w:b w:val="0"/>
          <w:sz w:val="21"/>
        </w:rPr>
        <w:t>B) Autoriza el INSS por usar el inmueble.</w:t>
      </w:r>
    </w:p>
    <w:p>
      <w:pPr>
        <w:keepNext/>
        <w:keepLines/>
        <w:spacing w:after="40"/>
        <w:ind w:left="369" w:hanging="198"/>
      </w:pPr>
      <w:r>
        <w:rPr>
          <w:rFonts w:ascii="Arial" w:hAnsi="Arial" w:cs="Arial"/>
          <w:b w:val="0"/>
          <w:sz w:val="21"/>
        </w:rPr>
        <w:t>C) La cuantía obliga a una cesión gratuita.</w:t>
      </w:r>
    </w:p>
    <w:p>
      <w:pPr>
        <w:keepNext/>
        <w:keepLines/>
        <w:spacing w:after="40"/>
        <w:ind w:left="369" w:hanging="198"/>
      </w:pPr>
      <w:r>
        <w:rPr>
          <w:rFonts w:ascii="Arial" w:hAnsi="Arial" w:cs="Arial"/>
          <w:b w:val="0"/>
          <w:sz w:val="21"/>
        </w:rPr>
        <w:t>D) Debe autorizar el Consejo de Ministros y la subasta es la forma ordinaria, salvo causa legal de adjudicación directa.</w:t>
      </w:r>
    </w:p>
    <w:p>
      <w:pPr>
        <w:pStyle w:val="Question"/>
        <w:keepNext/>
      </w:pPr>
      <w:r>
        <w:rPr>
          <w:rFonts w:ascii="Arial" w:hAnsi="Arial" w:cs="Arial"/>
          <w:sz w:val="22"/>
        </w:rPr>
        <w:t>56. A efectos de aplicar correctamente la regla examinada, en una votación del Consejo que exige unanimidad:</w:t>
      </w:r>
    </w:p>
    <w:p>
      <w:pPr>
        <w:keepNext/>
        <w:keepLines/>
        <w:spacing w:after="40"/>
        <w:ind w:left="369" w:hanging="198"/>
      </w:pPr>
      <w:r>
        <w:rPr>
          <w:rFonts w:ascii="Arial" w:hAnsi="Arial" w:cs="Arial"/>
          <w:b w:val="0"/>
          <w:sz w:val="21"/>
        </w:rPr>
        <w:t>A) Una abstención equivale siempre a veto.</w:t>
      </w:r>
    </w:p>
    <w:p>
      <w:pPr>
        <w:keepNext/>
        <w:keepLines/>
        <w:spacing w:after="40"/>
        <w:ind w:left="369" w:hanging="198"/>
      </w:pPr>
      <w:r>
        <w:rPr>
          <w:rFonts w:ascii="Arial" w:hAnsi="Arial" w:cs="Arial"/>
          <w:b w:val="0"/>
          <w:sz w:val="21"/>
        </w:rPr>
        <w:t>B) Se exige también el 65 % de la población.</w:t>
      </w:r>
    </w:p>
    <w:p>
      <w:pPr>
        <w:keepNext/>
        <w:keepLines/>
        <w:spacing w:after="40"/>
        <w:ind w:left="369" w:hanging="198"/>
      </w:pPr>
      <w:r>
        <w:rPr>
          <w:rFonts w:ascii="Arial" w:hAnsi="Arial" w:cs="Arial"/>
          <w:b w:val="0"/>
          <w:sz w:val="21"/>
        </w:rPr>
        <w:t>C) La ausencia y la abstención tienen siempre el mismo régimen.</w:t>
      </w:r>
    </w:p>
    <w:p>
      <w:pPr>
        <w:keepNext/>
        <w:keepLines/>
        <w:spacing w:after="40"/>
        <w:ind w:left="369" w:hanging="198"/>
      </w:pPr>
      <w:r>
        <w:rPr>
          <w:rFonts w:ascii="Arial" w:hAnsi="Arial" w:cs="Arial"/>
          <w:b w:val="0"/>
          <w:sz w:val="21"/>
        </w:rPr>
        <w:t>D) La abstención de un miembro presente no impide adoptar el acuerdo.</w:t>
      </w:r>
    </w:p>
    <w:p>
      <w:pPr>
        <w:pStyle w:val="Question"/>
        <w:keepNext/>
      </w:pPr>
      <w:r>
        <w:rPr>
          <w:rFonts w:ascii="Arial" w:hAnsi="Arial" w:cs="Arial"/>
          <w:sz w:val="22"/>
        </w:rPr>
        <w:t>57. A efectos de aplicar correctamente la regla examinada, desde el 3 de abril de 2025, ¿cuál es una causa legal para omitir la consulta pública previa estatal?</w:t>
      </w:r>
    </w:p>
    <w:p>
      <w:pPr>
        <w:keepNext/>
        <w:keepLines/>
        <w:spacing w:after="40"/>
        <w:ind w:left="369" w:hanging="198"/>
      </w:pPr>
      <w:r>
        <w:rPr>
          <w:rFonts w:ascii="Arial" w:hAnsi="Arial" w:cs="Arial"/>
          <w:b w:val="0"/>
          <w:sz w:val="21"/>
        </w:rPr>
        <w:t>A) Que el centro directivo prefiera acelerar cualquier expediente.</w:t>
      </w:r>
    </w:p>
    <w:p>
      <w:pPr>
        <w:keepNext/>
        <w:keepLines/>
        <w:spacing w:after="40"/>
        <w:ind w:left="369" w:hanging="198"/>
      </w:pPr>
      <w:r>
        <w:rPr>
          <w:rFonts w:ascii="Arial" w:hAnsi="Arial" w:cs="Arial"/>
          <w:b w:val="0"/>
          <w:sz w:val="21"/>
        </w:rPr>
        <w:t>B) Que la norma afecte derechos fundamentales.</w:t>
      </w:r>
    </w:p>
    <w:p>
      <w:pPr>
        <w:keepNext/>
        <w:keepLines/>
        <w:spacing w:after="40"/>
        <w:ind w:left="369" w:hanging="198"/>
      </w:pPr>
      <w:r>
        <w:rPr>
          <w:rFonts w:ascii="Arial" w:hAnsi="Arial" w:cs="Arial"/>
          <w:b w:val="0"/>
          <w:sz w:val="21"/>
        </w:rPr>
        <w:t>C) Que la propuesta regule aspectos parciales de una materia, con motivación en la MAIN.</w:t>
      </w:r>
    </w:p>
    <w:p>
      <w:pPr>
        <w:keepNext/>
        <w:keepLines/>
        <w:spacing w:after="40"/>
        <w:ind w:left="369" w:hanging="198"/>
      </w:pPr>
      <w:r>
        <w:rPr>
          <w:rFonts w:ascii="Arial" w:hAnsi="Arial" w:cs="Arial"/>
          <w:b w:val="0"/>
          <w:sz w:val="21"/>
        </w:rPr>
        <w:t>D) Que no exista unanimidad entre asociaciones consultadas.</w:t>
      </w:r>
    </w:p>
    <w:p>
      <w:pPr>
        <w:pStyle w:val="Question"/>
        <w:keepNext/>
      </w:pPr>
      <w:r>
        <w:rPr>
          <w:rFonts w:ascii="Arial" w:hAnsi="Arial" w:cs="Arial"/>
          <w:sz w:val="22"/>
        </w:rPr>
        <w:t>58. A efectos de aplicar correctamente la regla examinada, el Tribunal General está integrado actualmente:</w:t>
      </w:r>
    </w:p>
    <w:p>
      <w:pPr>
        <w:keepNext/>
        <w:keepLines/>
        <w:spacing w:after="40"/>
        <w:ind w:left="369" w:hanging="198"/>
      </w:pPr>
      <w:r>
        <w:rPr>
          <w:rFonts w:ascii="Arial" w:hAnsi="Arial" w:cs="Arial"/>
          <w:b w:val="0"/>
          <w:sz w:val="21"/>
        </w:rPr>
        <w:t>A) Por 54 jueces, dos por Estado miembro.</w:t>
      </w:r>
    </w:p>
    <w:p>
      <w:pPr>
        <w:keepNext/>
        <w:keepLines/>
        <w:spacing w:after="40"/>
        <w:ind w:left="369" w:hanging="198"/>
      </w:pPr>
      <w:r>
        <w:rPr>
          <w:rFonts w:ascii="Arial" w:hAnsi="Arial" w:cs="Arial"/>
          <w:b w:val="0"/>
          <w:sz w:val="21"/>
        </w:rPr>
        <w:t>B) Por un juez en total por cada dos Estados.</w:t>
      </w:r>
    </w:p>
    <w:p>
      <w:pPr>
        <w:keepNext/>
        <w:keepLines/>
        <w:spacing w:after="40"/>
        <w:ind w:left="369" w:hanging="198"/>
      </w:pPr>
      <w:r>
        <w:rPr>
          <w:rFonts w:ascii="Arial" w:hAnsi="Arial" w:cs="Arial"/>
          <w:b w:val="0"/>
          <w:sz w:val="21"/>
        </w:rPr>
        <w:t>C) Por 27 jueces y 11 abogados generales permanentes.</w:t>
      </w:r>
    </w:p>
    <w:p>
      <w:pPr>
        <w:keepNext/>
        <w:keepLines/>
        <w:spacing w:after="40"/>
        <w:ind w:left="369" w:hanging="198"/>
      </w:pPr>
      <w:r>
        <w:rPr>
          <w:rFonts w:ascii="Arial" w:hAnsi="Arial" w:cs="Arial"/>
          <w:b w:val="0"/>
          <w:sz w:val="21"/>
        </w:rPr>
        <w:t>D) Por 81 jueces.</w:t>
      </w:r>
    </w:p>
    <w:p>
      <w:pPr>
        <w:pStyle w:val="Question"/>
        <w:keepNext/>
      </w:pPr>
      <w:r>
        <w:rPr>
          <w:rFonts w:ascii="Arial" w:hAnsi="Arial" w:cs="Arial"/>
          <w:sz w:val="22"/>
        </w:rPr>
        <w:t>59. En una comprobación jurídica del expediente, las recomendaciones y los dictámenes:</w:t>
      </w:r>
    </w:p>
    <w:p>
      <w:pPr>
        <w:keepNext/>
        <w:keepLines/>
        <w:spacing w:after="40"/>
        <w:ind w:left="369" w:hanging="198"/>
      </w:pPr>
      <w:r>
        <w:rPr>
          <w:rFonts w:ascii="Arial" w:hAnsi="Arial" w:cs="Arial"/>
          <w:b w:val="0"/>
          <w:sz w:val="21"/>
        </w:rPr>
        <w:t>A) Son reglamentos no legislativos.</w:t>
      </w:r>
    </w:p>
    <w:p>
      <w:pPr>
        <w:keepNext/>
        <w:keepLines/>
        <w:spacing w:after="40"/>
        <w:ind w:left="369" w:hanging="198"/>
      </w:pPr>
      <w:r>
        <w:rPr>
          <w:rFonts w:ascii="Arial" w:hAnsi="Arial" w:cs="Arial"/>
          <w:b w:val="0"/>
          <w:sz w:val="21"/>
        </w:rPr>
        <w:t>B) No son vinculantes.</w:t>
      </w:r>
    </w:p>
    <w:p>
      <w:pPr>
        <w:keepNext/>
        <w:keepLines/>
        <w:spacing w:after="40"/>
        <w:ind w:left="369" w:hanging="198"/>
      </w:pPr>
      <w:r>
        <w:rPr>
          <w:rFonts w:ascii="Arial" w:hAnsi="Arial" w:cs="Arial"/>
          <w:b w:val="0"/>
          <w:sz w:val="21"/>
        </w:rPr>
        <w:t>C) Vinculan solo a los Estados.</w:t>
      </w:r>
    </w:p>
    <w:p>
      <w:pPr>
        <w:keepNext/>
        <w:keepLines/>
        <w:spacing w:after="40"/>
        <w:ind w:left="369" w:hanging="198"/>
      </w:pPr>
      <w:r>
        <w:rPr>
          <w:rFonts w:ascii="Arial" w:hAnsi="Arial" w:cs="Arial"/>
          <w:b w:val="0"/>
          <w:sz w:val="21"/>
        </w:rPr>
        <w:t>D) Requieren transposición.</w:t>
      </w:r>
    </w:p>
    <w:p>
      <w:pPr>
        <w:pStyle w:val="Question"/>
        <w:keepNext/>
      </w:pPr>
      <w:r>
        <w:rPr>
          <w:rFonts w:ascii="Arial" w:hAnsi="Arial" w:cs="Arial"/>
          <w:sz w:val="22"/>
        </w:rPr>
        <w:t>60. Conforme al ordenamiento vigente a la fecha de corte, ¿Quién nombra formalmente a los magistrados del Tribunal Constitucional?</w:t>
      </w:r>
    </w:p>
    <w:p>
      <w:pPr>
        <w:keepNext/>
        <w:keepLines/>
        <w:spacing w:after="40"/>
        <w:ind w:left="369" w:hanging="198"/>
      </w:pPr>
      <w:r>
        <w:rPr>
          <w:rFonts w:ascii="Arial" w:hAnsi="Arial" w:cs="Arial"/>
          <w:b w:val="0"/>
          <w:sz w:val="21"/>
        </w:rPr>
        <w:t>A) El Presidente del Gobierno.</w:t>
      </w:r>
    </w:p>
    <w:p>
      <w:pPr>
        <w:keepNext/>
        <w:keepLines/>
        <w:spacing w:after="40"/>
        <w:ind w:left="369" w:hanging="198"/>
      </w:pPr>
      <w:r>
        <w:rPr>
          <w:rFonts w:ascii="Arial" w:hAnsi="Arial" w:cs="Arial"/>
          <w:b w:val="0"/>
          <w:sz w:val="21"/>
        </w:rPr>
        <w:t>B) El Rey.</w:t>
      </w:r>
    </w:p>
    <w:p>
      <w:pPr>
        <w:keepNext/>
        <w:keepLines/>
        <w:spacing w:after="40"/>
        <w:ind w:left="369" w:hanging="198"/>
      </w:pPr>
      <w:r>
        <w:rPr>
          <w:rFonts w:ascii="Arial" w:hAnsi="Arial" w:cs="Arial"/>
          <w:b w:val="0"/>
          <w:sz w:val="21"/>
        </w:rPr>
        <w:t>C) El Presidente del Tribunal Supremo.</w:t>
      </w:r>
    </w:p>
    <w:p>
      <w:pPr>
        <w:keepNext/>
        <w:keepLines/>
        <w:spacing w:after="40"/>
        <w:ind w:left="369" w:hanging="198"/>
      </w:pPr>
      <w:r>
        <w:rPr>
          <w:rFonts w:ascii="Arial" w:hAnsi="Arial" w:cs="Arial"/>
          <w:b w:val="0"/>
          <w:sz w:val="21"/>
        </w:rPr>
        <w:t>D) Las Cortes Generales en sesión conjunta.</w:t>
      </w:r>
    </w:p>
    <w:p>
      <w:pPr>
        <w:pStyle w:val="Question"/>
        <w:keepNext/>
      </w:pPr>
      <w:r>
        <w:rPr>
          <w:rFonts w:ascii="Arial" w:hAnsi="Arial" w:cs="Arial"/>
          <w:sz w:val="22"/>
        </w:rPr>
        <w:t>61. Conforme al ordenamiento vigente a la fecha de corte,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val="0"/>
          <w:sz w:val="21"/>
        </w:rPr>
        <w:t>C) Cuando se cancele la garantía.</w:t>
      </w:r>
    </w:p>
    <w:p>
      <w:pPr>
        <w:keepNext/>
        <w:keepLines/>
        <w:spacing w:after="40"/>
        <w:ind w:left="369" w:hanging="198"/>
      </w:pPr>
      <w:r>
        <w:rPr>
          <w:rFonts w:ascii="Arial" w:hAnsi="Arial" w:cs="Arial"/>
          <w:b w:val="0"/>
          <w:sz w:val="21"/>
        </w:rPr>
        <w:t>D) Dentro del mes siguiente a la notificación de la resolución de concesión.</w:t>
      </w:r>
    </w:p>
    <w:p>
      <w:pPr>
        <w:pStyle w:val="Question"/>
        <w:keepNext/>
      </w:pPr>
      <w:r>
        <w:rPr>
          <w:rFonts w:ascii="Arial" w:hAnsi="Arial" w:cs="Arial"/>
          <w:sz w:val="22"/>
        </w:rPr>
        <w:t>62. Conforme al ordenamiento vigente a la fecha de corte, ¿Cuál es una Subdirección General de la Dirección General de Ordenación de la Seguridad Social?</w:t>
      </w:r>
    </w:p>
    <w:p>
      <w:pPr>
        <w:keepNext/>
        <w:keepLines/>
        <w:spacing w:after="40"/>
        <w:ind w:left="369" w:hanging="198"/>
      </w:pPr>
      <w:r>
        <w:rPr>
          <w:rFonts w:ascii="Arial" w:hAnsi="Arial" w:cs="Arial"/>
          <w:b w:val="0"/>
          <w:sz w:val="21"/>
        </w:rPr>
        <w:t>A) Subdirección General de Inspección Financiera.</w:t>
      </w:r>
    </w:p>
    <w:p>
      <w:pPr>
        <w:keepNext/>
        <w:keepLines/>
        <w:spacing w:after="40"/>
        <w:ind w:left="369" w:hanging="198"/>
      </w:pPr>
      <w:r>
        <w:rPr>
          <w:rFonts w:ascii="Arial" w:hAnsi="Arial" w:cs="Arial"/>
          <w:b w:val="0"/>
          <w:sz w:val="21"/>
        </w:rPr>
        <w:t>B) Subdirección General de Asilo.</w:t>
      </w:r>
    </w:p>
    <w:p>
      <w:pPr>
        <w:keepNext/>
        <w:keepLines/>
        <w:spacing w:after="40"/>
        <w:ind w:left="369" w:hanging="198"/>
      </w:pPr>
      <w:r>
        <w:rPr>
          <w:rFonts w:ascii="Arial" w:hAnsi="Arial" w:cs="Arial"/>
          <w:b w:val="0"/>
          <w:sz w:val="21"/>
        </w:rPr>
        <w:t>C) Subdirección General de Clases Pasivas de la IGAE.</w:t>
      </w:r>
    </w:p>
    <w:p>
      <w:pPr>
        <w:keepNext/>
        <w:keepLines/>
        <w:spacing w:after="40"/>
        <w:ind w:left="369" w:hanging="198"/>
      </w:pPr>
      <w:r>
        <w:rPr>
          <w:rFonts w:ascii="Arial" w:hAnsi="Arial" w:cs="Arial"/>
          <w:b w:val="0"/>
          <w:sz w:val="21"/>
        </w:rPr>
        <w:t>D) Subdirección General de Entidades Colaboradoras de la Seguridad Social.</w:t>
      </w:r>
    </w:p>
    <w:p>
      <w:pPr>
        <w:pStyle w:val="Question"/>
        <w:keepNext/>
      </w:pPr>
      <w:r>
        <w:rPr>
          <w:rFonts w:ascii="Arial" w:hAnsi="Arial" w:cs="Arial"/>
          <w:sz w:val="22"/>
        </w:rPr>
        <w:t>63. A efectos de aplicar correctamente la regla examinada, cuando el causante estaba en alta y fallece por enfermedad común no sobrevenida tras accidente:</w:t>
      </w:r>
    </w:p>
    <w:p>
      <w:pPr>
        <w:keepNext/>
        <w:keepLines/>
        <w:spacing w:after="40"/>
        <w:ind w:left="369" w:hanging="198"/>
      </w:pPr>
      <w:r>
        <w:rPr>
          <w:rFonts w:ascii="Arial" w:hAnsi="Arial" w:cs="Arial"/>
          <w:b w:val="0"/>
          <w:sz w:val="21"/>
        </w:rPr>
        <w:t>A) Se exigen 180 días dentro del año anterior.</w:t>
      </w:r>
    </w:p>
    <w:p>
      <w:pPr>
        <w:keepNext/>
        <w:keepLines/>
        <w:spacing w:after="40"/>
        <w:ind w:left="369" w:hanging="198"/>
      </w:pPr>
      <w:r>
        <w:rPr>
          <w:rFonts w:ascii="Arial" w:hAnsi="Arial" w:cs="Arial"/>
          <w:b w:val="0"/>
          <w:sz w:val="21"/>
        </w:rPr>
        <w:t>B) No se exige cotización.</w:t>
      </w:r>
    </w:p>
    <w:p>
      <w:pPr>
        <w:keepNext/>
        <w:keepLines/>
        <w:spacing w:after="40"/>
        <w:ind w:left="369" w:hanging="198"/>
      </w:pPr>
      <w:r>
        <w:rPr>
          <w:rFonts w:ascii="Arial" w:hAnsi="Arial" w:cs="Arial"/>
          <w:b w:val="0"/>
          <w:sz w:val="21"/>
        </w:rPr>
        <w:t>C) Se exigen, con carácter general, 500 días cotizados dentro de los cinco años anteriores.</w:t>
      </w:r>
    </w:p>
    <w:p>
      <w:pPr>
        <w:keepNext/>
        <w:keepLines/>
        <w:spacing w:after="40"/>
        <w:ind w:left="369" w:hanging="198"/>
      </w:pPr>
      <w:r>
        <w:rPr>
          <w:rFonts w:ascii="Arial" w:hAnsi="Arial" w:cs="Arial"/>
          <w:b w:val="0"/>
          <w:sz w:val="21"/>
        </w:rPr>
        <w:t>D) Se exigen quince años en todo caso.</w:t>
      </w:r>
    </w:p>
    <w:p>
      <w:pPr>
        <w:pStyle w:val="Question"/>
        <w:keepNext/>
      </w:pPr>
      <w:r>
        <w:rPr>
          <w:rFonts w:ascii="Arial" w:hAnsi="Arial" w:cs="Arial"/>
          <w:sz w:val="22"/>
        </w:rPr>
        <w:t>64. Conforme al ordenamiento vigente a la fecha de corte, un plazo señalado por horas:</w:t>
      </w:r>
    </w:p>
    <w:p>
      <w:pPr>
        <w:keepNext/>
        <w:keepLines/>
        <w:spacing w:after="40"/>
        <w:ind w:left="369" w:hanging="198"/>
      </w:pPr>
      <w:r>
        <w:rPr>
          <w:rFonts w:ascii="Arial" w:hAnsi="Arial" w:cs="Arial"/>
          <w:b w:val="0"/>
          <w:sz w:val="21"/>
        </w:rPr>
        <w:t>A) Comienza siempre al día siguiente.</w:t>
      </w:r>
    </w:p>
    <w:p>
      <w:pPr>
        <w:keepNext/>
        <w:keepLines/>
        <w:spacing w:after="40"/>
        <w:ind w:left="369" w:hanging="198"/>
      </w:pPr>
      <w:r>
        <w:rPr>
          <w:rFonts w:ascii="Arial" w:hAnsi="Arial" w:cs="Arial"/>
          <w:b w:val="0"/>
          <w:sz w:val="21"/>
        </w:rPr>
        <w:t>B) Incluye necesariamente horas de días inhábiles.</w:t>
      </w:r>
    </w:p>
    <w:p>
      <w:pPr>
        <w:keepNext/>
        <w:keepLines/>
        <w:spacing w:after="40"/>
        <w:ind w:left="369" w:hanging="198"/>
      </w:pPr>
      <w:r>
        <w:rPr>
          <w:rFonts w:ascii="Arial" w:hAnsi="Arial" w:cs="Arial"/>
          <w:b w:val="0"/>
          <w:sz w:val="21"/>
        </w:rPr>
        <w:t>C) Se cuenta de hora y minuto desde la notificación o publicación y no puede exceder de veinticuatro horas.</w:t>
      </w:r>
    </w:p>
    <w:p>
      <w:pPr>
        <w:keepNext/>
        <w:keepLines/>
        <w:spacing w:after="40"/>
        <w:ind w:left="369" w:hanging="198"/>
      </w:pPr>
      <w:r>
        <w:rPr>
          <w:rFonts w:ascii="Arial" w:hAnsi="Arial" w:cs="Arial"/>
          <w:b w:val="0"/>
          <w:sz w:val="21"/>
        </w:rPr>
        <w:t>D) Puede tener cualquier duración.</w:t>
      </w:r>
    </w:p>
    <w:p>
      <w:pPr>
        <w:pStyle w:val="Question"/>
        <w:keepNext/>
      </w:pPr>
      <w:r>
        <w:rPr>
          <w:rFonts w:ascii="Arial" w:hAnsi="Arial" w:cs="Arial"/>
          <w:sz w:val="22"/>
        </w:rPr>
        <w:t>65. Conforme al ordenamiento vigente a la fecha de corte, una remuneración computable de 8.000 euros mensuales en 2026:</w:t>
      </w:r>
    </w:p>
    <w:p>
      <w:pPr>
        <w:keepNext/>
        <w:keepLines/>
        <w:spacing w:after="40"/>
        <w:ind w:left="369" w:hanging="198"/>
      </w:pPr>
      <w:r>
        <w:rPr>
          <w:rFonts w:ascii="Arial" w:hAnsi="Arial" w:cs="Arial"/>
          <w:b w:val="0"/>
          <w:sz w:val="21"/>
        </w:rPr>
        <w:t>A) Queda topada en 5.101,20 y el exceso cotiza por tres tramos de solidaridad.</w:t>
      </w:r>
    </w:p>
    <w:p>
      <w:pPr>
        <w:keepNext/>
        <w:keepLines/>
        <w:spacing w:after="40"/>
        <w:ind w:left="369" w:hanging="198"/>
      </w:pPr>
      <w:r>
        <w:rPr>
          <w:rFonts w:ascii="Arial" w:hAnsi="Arial" w:cs="Arial"/>
          <w:b w:val="0"/>
          <w:sz w:val="21"/>
        </w:rPr>
        <w:t>B) Forma una base ordinaria de 8.000 y no genera solidaridad.</w:t>
      </w:r>
    </w:p>
    <w:p>
      <w:pPr>
        <w:keepNext/>
        <w:keepLines/>
        <w:spacing w:after="40"/>
        <w:ind w:left="369" w:hanging="198"/>
      </w:pPr>
      <w:r>
        <w:rPr>
          <w:rFonts w:ascii="Arial" w:hAnsi="Arial" w:cs="Arial"/>
          <w:b w:val="0"/>
          <w:sz w:val="21"/>
        </w:rPr>
        <w:t>C) Cotiza todo el exceso al 1,46 por ciento.</w:t>
      </w:r>
    </w:p>
    <w:p>
      <w:pPr>
        <w:keepNext/>
        <w:keepLines/>
        <w:spacing w:after="40"/>
        <w:ind w:left="369" w:hanging="198"/>
      </w:pPr>
      <w:r>
        <w:rPr>
          <w:rFonts w:ascii="Arial" w:hAnsi="Arial" w:cs="Arial"/>
          <w:b w:val="0"/>
          <w:sz w:val="21"/>
        </w:rPr>
        <w:t>D) Solo genera MEI sobre 8.000 euros.</w:t>
      </w:r>
    </w:p>
    <w:p>
      <w:pPr>
        <w:pStyle w:val="Question"/>
        <w:keepNext/>
      </w:pPr>
      <w:r>
        <w:rPr>
          <w:rFonts w:ascii="Arial" w:hAnsi="Arial" w:cs="Arial"/>
          <w:sz w:val="22"/>
        </w:rPr>
        <w:t>66. Conforme al ordenamiento vigente a la fecha de corte, de la Subsecretaría depende directamente, con rango de Dirección General:</w:t>
      </w:r>
    </w:p>
    <w:p>
      <w:pPr>
        <w:keepNext/>
        <w:keepLines/>
        <w:spacing w:after="40"/>
        <w:ind w:left="369" w:hanging="198"/>
      </w:pPr>
      <w:r>
        <w:rPr>
          <w:rFonts w:ascii="Arial" w:hAnsi="Arial" w:cs="Arial"/>
          <w:b w:val="0"/>
          <w:sz w:val="21"/>
        </w:rPr>
        <w:t>A) La Secretaría de Estado de Migraciones.</w:t>
      </w:r>
    </w:p>
    <w:p>
      <w:pPr>
        <w:keepNext/>
        <w:keepLines/>
        <w:spacing w:after="40"/>
        <w:ind w:left="369" w:hanging="198"/>
      </w:pPr>
      <w:r>
        <w:rPr>
          <w:rFonts w:ascii="Arial" w:hAnsi="Arial" w:cs="Arial"/>
          <w:b w:val="0"/>
          <w:sz w:val="21"/>
        </w:rPr>
        <w:t>B) La Secretaría General Técnica.</w:t>
      </w:r>
    </w:p>
    <w:p>
      <w:pPr>
        <w:keepNext/>
        <w:keepLines/>
        <w:spacing w:after="40"/>
        <w:ind w:left="369" w:hanging="198"/>
      </w:pPr>
      <w:r>
        <w:rPr>
          <w:rFonts w:ascii="Arial" w:hAnsi="Arial" w:cs="Arial"/>
          <w:b w:val="0"/>
          <w:sz w:val="21"/>
        </w:rPr>
        <w:t>C) La TGSS.</w:t>
      </w:r>
    </w:p>
    <w:p>
      <w:pPr>
        <w:keepNext/>
        <w:keepLines/>
        <w:spacing w:after="40"/>
        <w:ind w:left="369" w:hanging="198"/>
      </w:pPr>
      <w:r>
        <w:rPr>
          <w:rFonts w:ascii="Arial" w:hAnsi="Arial" w:cs="Arial"/>
          <w:b w:val="0"/>
          <w:sz w:val="21"/>
        </w:rPr>
        <w:t>D) La Secretaría General de Inclusión.</w:t>
      </w:r>
    </w:p>
    <w:p>
      <w:pPr>
        <w:pStyle w:val="Question"/>
        <w:keepNext/>
      </w:pPr>
      <w:r>
        <w:rPr>
          <w:rFonts w:ascii="Arial" w:hAnsi="Arial" w:cs="Arial"/>
          <w:sz w:val="22"/>
        </w:rPr>
        <w:t>67. A efectos de aplicar correctamente la regla examinada, ¿En qué fecha entró en vigor la Constitución Española?</w:t>
      </w:r>
    </w:p>
    <w:p>
      <w:pPr>
        <w:keepNext/>
        <w:keepLines/>
        <w:spacing w:after="40"/>
        <w:ind w:left="369" w:hanging="198"/>
      </w:pPr>
      <w:r>
        <w:rPr>
          <w:rFonts w:ascii="Arial" w:hAnsi="Arial" w:cs="Arial"/>
          <w:b w:val="0"/>
          <w:sz w:val="21"/>
        </w:rPr>
        <w:t>A) El 6 de diciembre de 1978.</w:t>
      </w:r>
    </w:p>
    <w:p>
      <w:pPr>
        <w:keepNext/>
        <w:keepLines/>
        <w:spacing w:after="40"/>
        <w:ind w:left="369" w:hanging="198"/>
      </w:pPr>
      <w:r>
        <w:rPr>
          <w:rFonts w:ascii="Arial" w:hAnsi="Arial" w:cs="Arial"/>
          <w:b w:val="0"/>
          <w:sz w:val="21"/>
        </w:rPr>
        <w:t>B) El 27 de diciembre de 1978.</w:t>
      </w:r>
    </w:p>
    <w:p>
      <w:pPr>
        <w:keepNext/>
        <w:keepLines/>
        <w:spacing w:after="40"/>
        <w:ind w:left="369" w:hanging="198"/>
      </w:pPr>
      <w:r>
        <w:rPr>
          <w:rFonts w:ascii="Arial" w:hAnsi="Arial" w:cs="Arial"/>
          <w:b w:val="0"/>
          <w:sz w:val="21"/>
        </w:rPr>
        <w:t>C) El 29 de diciembre de 1978.</w:t>
      </w:r>
    </w:p>
    <w:p>
      <w:pPr>
        <w:keepNext/>
        <w:keepLines/>
        <w:spacing w:after="40"/>
        <w:ind w:left="369" w:hanging="198"/>
      </w:pPr>
      <w:r>
        <w:rPr>
          <w:rFonts w:ascii="Arial" w:hAnsi="Arial" w:cs="Arial"/>
          <w:b w:val="0"/>
          <w:sz w:val="21"/>
        </w:rPr>
        <w:t>D) El 31 de octubre de 1978.</w:t>
      </w:r>
    </w:p>
    <w:p>
      <w:pPr>
        <w:pStyle w:val="Question"/>
        <w:keepNext/>
      </w:pPr>
      <w:r>
        <w:rPr>
          <w:rFonts w:ascii="Arial" w:hAnsi="Arial" w:cs="Arial"/>
          <w:sz w:val="22"/>
        </w:rPr>
        <w:t>68. Conforme al ordenamiento vigente a la fecha de corte, ¿Qué artículos integran el título II?</w:t>
      </w:r>
    </w:p>
    <w:p>
      <w:pPr>
        <w:keepNext/>
        <w:keepLines/>
        <w:spacing w:after="40"/>
        <w:ind w:left="369" w:hanging="198"/>
      </w:pPr>
      <w:r>
        <w:rPr>
          <w:rFonts w:ascii="Arial" w:hAnsi="Arial" w:cs="Arial"/>
          <w:b w:val="0"/>
          <w:sz w:val="21"/>
        </w:rPr>
        <w:t>A) 55 a 65.</w:t>
      </w:r>
    </w:p>
    <w:p>
      <w:pPr>
        <w:keepNext/>
        <w:keepLines/>
        <w:spacing w:after="40"/>
        <w:ind w:left="369" w:hanging="198"/>
      </w:pPr>
      <w:r>
        <w:rPr>
          <w:rFonts w:ascii="Arial" w:hAnsi="Arial" w:cs="Arial"/>
          <w:b w:val="0"/>
          <w:sz w:val="21"/>
        </w:rPr>
        <w:t>B) 56 a 65.</w:t>
      </w:r>
    </w:p>
    <w:p>
      <w:pPr>
        <w:keepNext/>
        <w:keepLines/>
        <w:spacing w:after="40"/>
        <w:ind w:left="369" w:hanging="198"/>
      </w:pPr>
      <w:r>
        <w:rPr>
          <w:rFonts w:ascii="Arial" w:hAnsi="Arial" w:cs="Arial"/>
          <w:b w:val="0"/>
          <w:sz w:val="21"/>
        </w:rPr>
        <w:t>C) 56 a 66.</w:t>
      </w:r>
    </w:p>
    <w:p>
      <w:pPr>
        <w:keepNext/>
        <w:keepLines/>
        <w:spacing w:after="40"/>
        <w:ind w:left="369" w:hanging="198"/>
      </w:pPr>
      <w:r>
        <w:rPr>
          <w:rFonts w:ascii="Arial" w:hAnsi="Arial" w:cs="Arial"/>
          <w:b w:val="0"/>
          <w:sz w:val="21"/>
        </w:rPr>
        <w:t>D) 57 a 65.</w:t>
      </w:r>
    </w:p>
    <w:p>
      <w:pPr>
        <w:pStyle w:val="Question"/>
        <w:keepNext/>
      </w:pPr>
      <w:r>
        <w:rPr>
          <w:rFonts w:ascii="Arial" w:hAnsi="Arial" w:cs="Arial"/>
          <w:sz w:val="22"/>
        </w:rPr>
        <w:t>69. A efectos de aplicar correctamente la regla examinada, existe discriminación por error cuando:</w:t>
      </w:r>
    </w:p>
    <w:p>
      <w:pPr>
        <w:keepNext/>
        <w:keepLines/>
        <w:spacing w:after="40"/>
        <w:ind w:left="369" w:hanging="198"/>
      </w:pPr>
      <w:r>
        <w:rPr>
          <w:rFonts w:ascii="Arial" w:hAnsi="Arial" w:cs="Arial"/>
          <w:b w:val="0"/>
          <w:sz w:val="21"/>
        </w:rPr>
        <w:t>A) El trato discriminatorio se basa en una apreciación incorrecta sobre las características de la persona.</w:t>
      </w:r>
    </w:p>
    <w:p>
      <w:pPr>
        <w:keepNext/>
        <w:keepLines/>
        <w:spacing w:after="40"/>
        <w:ind w:left="369" w:hanging="198"/>
      </w:pPr>
      <w:r>
        <w:rPr>
          <w:rFonts w:ascii="Arial" w:hAnsi="Arial" w:cs="Arial"/>
          <w:b w:val="0"/>
          <w:sz w:val="21"/>
        </w:rPr>
        <w:t>B) Concurren necesariamente dos causas reales.</w:t>
      </w:r>
    </w:p>
    <w:p>
      <w:pPr>
        <w:keepNext/>
        <w:keepLines/>
        <w:spacing w:after="40"/>
        <w:ind w:left="369" w:hanging="198"/>
      </w:pPr>
      <w:r>
        <w:rPr>
          <w:rFonts w:ascii="Arial" w:hAnsi="Arial" w:cs="Arial"/>
          <w:b w:val="0"/>
          <w:sz w:val="21"/>
        </w:rPr>
        <w:t>C) Se perjudica solo a un familiar.</w:t>
      </w:r>
    </w:p>
    <w:p>
      <w:pPr>
        <w:keepNext/>
        <w:keepLines/>
        <w:spacing w:after="40"/>
        <w:ind w:left="369" w:hanging="198"/>
      </w:pPr>
      <w:r>
        <w:rPr>
          <w:rFonts w:ascii="Arial" w:hAnsi="Arial" w:cs="Arial"/>
          <w:b w:val="0"/>
          <w:sz w:val="21"/>
        </w:rPr>
        <w:t>D) Se rectifica un dato registral.</w:t>
      </w:r>
    </w:p>
    <w:p>
      <w:pPr>
        <w:pStyle w:val="Question"/>
        <w:keepNext/>
      </w:pPr>
      <w:r>
        <w:rPr>
          <w:rFonts w:ascii="Arial" w:hAnsi="Arial" w:cs="Arial"/>
          <w:sz w:val="22"/>
        </w:rPr>
        <w:t>70. Conforme al ordenamiento vigente a la fecha de corte, las Comisiones Delegadas del Gobierno se crean, modifican o suprimen:</w:t>
      </w:r>
    </w:p>
    <w:p>
      <w:pPr>
        <w:keepNext/>
        <w:keepLines/>
        <w:spacing w:after="40"/>
        <w:ind w:left="369" w:hanging="198"/>
      </w:pPr>
      <w:r>
        <w:rPr>
          <w:rFonts w:ascii="Arial" w:hAnsi="Arial" w:cs="Arial"/>
          <w:b w:val="0"/>
          <w:sz w:val="21"/>
        </w:rPr>
        <w:t>A) Por real decreto acordado por el Consejo de Ministros, a propuesta del presidente.</w:t>
      </w:r>
    </w:p>
    <w:p>
      <w:pPr>
        <w:keepNext/>
        <w:keepLines/>
        <w:spacing w:after="40"/>
        <w:ind w:left="369" w:hanging="198"/>
      </w:pPr>
      <w:r>
        <w:rPr>
          <w:rFonts w:ascii="Arial" w:hAnsi="Arial" w:cs="Arial"/>
          <w:b w:val="0"/>
          <w:sz w:val="21"/>
        </w:rPr>
        <w:t>B) Por orden del ministro de la Presidencia.</w:t>
      </w:r>
    </w:p>
    <w:p>
      <w:pPr>
        <w:keepNext/>
        <w:keepLines/>
        <w:spacing w:after="40"/>
        <w:ind w:left="369" w:hanging="198"/>
      </w:pPr>
      <w:r>
        <w:rPr>
          <w:rFonts w:ascii="Arial" w:hAnsi="Arial" w:cs="Arial"/>
          <w:b w:val="0"/>
          <w:sz w:val="21"/>
        </w:rPr>
        <w:t>C) Por ley ordinaria a propuesta del Gobierno.</w:t>
      </w:r>
    </w:p>
    <w:p>
      <w:pPr>
        <w:keepNext/>
        <w:keepLines/>
        <w:spacing w:after="40"/>
        <w:ind w:left="369" w:hanging="198"/>
      </w:pPr>
      <w:r>
        <w:rPr>
          <w:rFonts w:ascii="Arial" w:hAnsi="Arial" w:cs="Arial"/>
          <w:b w:val="0"/>
          <w:sz w:val="21"/>
        </w:rPr>
        <w:t>D) Por real decreto del presidente sin intervención del Consejo.</w:t>
      </w:r>
    </w:p>
    <w:p>
      <w:pPr>
        <w:pStyle w:val="Heading2"/>
      </w:pPr>
      <w:r>
        <w:t>Preguntas de reserva de la primera parte</w:t>
      </w:r>
    </w:p>
    <w:p>
      <w:pPr>
        <w:pStyle w:val="Question"/>
        <w:keepNext/>
      </w:pPr>
      <w:r>
        <w:rPr>
          <w:rFonts w:ascii="Arial" w:hAnsi="Arial" w:cs="Arial"/>
          <w:sz w:val="22"/>
        </w:rPr>
        <w:t>71. Conforme al ordenamiento vigente a la fecha de corte, una moción de censura contra la Comisión queda aprobada si obtiene:</w:t>
      </w:r>
    </w:p>
    <w:p>
      <w:pPr>
        <w:keepNext/>
        <w:keepLines/>
        <w:spacing w:after="40"/>
        <w:ind w:left="369" w:hanging="198"/>
      </w:pPr>
      <w:r>
        <w:rPr>
          <w:rFonts w:ascii="Arial" w:hAnsi="Arial" w:cs="Arial"/>
          <w:b w:val="0"/>
          <w:sz w:val="21"/>
        </w:rPr>
        <w:t>A) Mayoría simple de votos emitidos.</w:t>
      </w:r>
    </w:p>
    <w:p>
      <w:pPr>
        <w:keepNext/>
        <w:keepLines/>
        <w:spacing w:after="40"/>
        <w:ind w:left="369" w:hanging="198"/>
      </w:pPr>
      <w:r>
        <w:rPr>
          <w:rFonts w:ascii="Arial" w:hAnsi="Arial" w:cs="Arial"/>
          <w:b w:val="0"/>
          <w:sz w:val="21"/>
        </w:rPr>
        <w:t>B) Tres quintos del Parlamento y unanimidad del Consejo.</w:t>
      </w:r>
    </w:p>
    <w:p>
      <w:pPr>
        <w:keepNext/>
        <w:keepLines/>
        <w:spacing w:after="40"/>
        <w:ind w:left="369" w:hanging="198"/>
      </w:pPr>
      <w:r>
        <w:rPr>
          <w:rFonts w:ascii="Arial" w:hAnsi="Arial" w:cs="Arial"/>
          <w:b w:val="0"/>
          <w:sz w:val="21"/>
        </w:rPr>
        <w:t>C) Dos tercios de los votos emitidos que representen además la mayoría de miembros del Parlamento.</w:t>
      </w:r>
    </w:p>
    <w:p>
      <w:pPr>
        <w:keepNext/>
        <w:keepLines/>
        <w:spacing w:after="40"/>
        <w:ind w:left="369" w:hanging="198"/>
      </w:pPr>
      <w:r>
        <w:rPr>
          <w:rFonts w:ascii="Arial" w:hAnsi="Arial" w:cs="Arial"/>
          <w:b w:val="0"/>
          <w:sz w:val="21"/>
        </w:rPr>
        <w:t>D) Mayoría absoluta del Consejo Europeo.</w:t>
      </w:r>
    </w:p>
    <w:p>
      <w:pPr>
        <w:pStyle w:val="Question"/>
        <w:keepNext/>
      </w:pPr>
      <w:r>
        <w:rPr>
          <w:rFonts w:ascii="Arial" w:hAnsi="Arial" w:cs="Arial"/>
          <w:sz w:val="22"/>
        </w:rPr>
        <w:t>72. A efectos de aplicar correctamente la regla examinada, para causar jubilación ordinaria desde una situación de no alta:</w:t>
      </w:r>
    </w:p>
    <w:p>
      <w:pPr>
        <w:keepNext/>
        <w:keepLines/>
        <w:spacing w:after="40"/>
        <w:ind w:left="369" w:hanging="198"/>
      </w:pPr>
      <w:r>
        <w:rPr>
          <w:rFonts w:ascii="Arial" w:hAnsi="Arial" w:cs="Arial"/>
          <w:b w:val="0"/>
          <w:sz w:val="21"/>
        </w:rPr>
        <w:t>A) Basta cumplir la carencia, aunque no se alcance la edad.</w:t>
      </w:r>
    </w:p>
    <w:p>
      <w:pPr>
        <w:keepNext/>
        <w:keepLines/>
        <w:spacing w:after="40"/>
        <w:ind w:left="369" w:hanging="198"/>
      </w:pPr>
      <w:r>
        <w:rPr>
          <w:rFonts w:ascii="Arial" w:hAnsi="Arial" w:cs="Arial"/>
          <w:b w:val="0"/>
          <w:sz w:val="21"/>
        </w:rPr>
        <w:t>B) Se exige siempre inscripción previa de seis meses como demandante de empleo.</w:t>
      </w:r>
    </w:p>
    <w:p>
      <w:pPr>
        <w:keepNext/>
        <w:keepLines/>
        <w:spacing w:after="40"/>
        <w:ind w:left="369" w:hanging="198"/>
      </w:pPr>
      <w:r>
        <w:rPr>
          <w:rFonts w:ascii="Arial" w:hAnsi="Arial" w:cs="Arial"/>
          <w:b w:val="0"/>
          <w:sz w:val="21"/>
        </w:rPr>
        <w:t>C) Solo es posible si el último régimen fue el de autónomos.</w:t>
      </w:r>
    </w:p>
    <w:p>
      <w:pPr>
        <w:keepNext/>
        <w:keepLines/>
        <w:spacing w:after="40"/>
        <w:ind w:left="369" w:hanging="198"/>
      </w:pPr>
      <w:r>
        <w:rPr>
          <w:rFonts w:ascii="Arial" w:hAnsi="Arial" w:cs="Arial"/>
          <w:b w:val="0"/>
          <w:sz w:val="21"/>
        </w:rPr>
        <w:t>D) Deben cumplirse edad y cotización, sin posibilidad de anticipar la edad por esa vía.</w:t>
      </w:r>
    </w:p>
    <w:p>
      <w:pPr>
        <w:pStyle w:val="Question"/>
        <w:keepNext/>
      </w:pPr>
      <w:r>
        <w:rPr>
          <w:rFonts w:ascii="Arial" w:hAnsi="Arial" w:cs="Arial"/>
          <w:sz w:val="22"/>
        </w:rPr>
        <w:t>73. Conforme al ordenamiento vigente a la fecha de corte, iT y prolongación de efectos por demora de calificación no pueden superar:</w:t>
      </w:r>
    </w:p>
    <w:p>
      <w:pPr>
        <w:keepNext/>
        <w:keepLines/>
        <w:spacing w:after="40"/>
        <w:ind w:left="369" w:hanging="198"/>
      </w:pPr>
      <w:r>
        <w:rPr>
          <w:rFonts w:ascii="Arial" w:hAnsi="Arial" w:cs="Arial"/>
          <w:b w:val="0"/>
          <w:sz w:val="21"/>
        </w:rPr>
        <w:t>A) 545 días.</w:t>
      </w:r>
    </w:p>
    <w:p>
      <w:pPr>
        <w:keepNext/>
        <w:keepLines/>
        <w:spacing w:after="40"/>
        <w:ind w:left="369" w:hanging="198"/>
      </w:pPr>
      <w:r>
        <w:rPr>
          <w:rFonts w:ascii="Arial" w:hAnsi="Arial" w:cs="Arial"/>
          <w:b w:val="0"/>
          <w:sz w:val="21"/>
        </w:rPr>
        <w:t>B) 635 días.</w:t>
      </w:r>
    </w:p>
    <w:p>
      <w:pPr>
        <w:keepNext/>
        <w:keepLines/>
        <w:spacing w:after="40"/>
        <w:ind w:left="369" w:hanging="198"/>
      </w:pPr>
      <w:r>
        <w:rPr>
          <w:rFonts w:ascii="Arial" w:hAnsi="Arial" w:cs="Arial"/>
          <w:b w:val="0"/>
          <w:sz w:val="21"/>
        </w:rPr>
        <w:t>C) 900 días.</w:t>
      </w:r>
    </w:p>
    <w:p>
      <w:pPr>
        <w:keepNext/>
        <w:keepLines/>
        <w:spacing w:after="40"/>
        <w:ind w:left="369" w:hanging="198"/>
      </w:pPr>
      <w:r>
        <w:rPr>
          <w:rFonts w:ascii="Arial" w:hAnsi="Arial" w:cs="Arial"/>
          <w:b w:val="0"/>
          <w:sz w:val="21"/>
        </w:rPr>
        <w:t>D) 730 días naturales.</w:t>
      </w:r>
    </w:p>
    <w:p>
      <w:r>
        <w:br w:type="page"/>
      </w:r>
    </w:p>
    <w:p>
      <w:pPr>
        <w:pStyle w:val="Heading1"/>
      </w:pPr>
      <w:r>
        <w:t>Segunda parte · supuesto práctico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Al comprobar el encuadramiento y sus efectos, puede dictarse providencia sin reclamación de deuda ni acta previa cuando:</w:t>
      </w:r>
    </w:p>
    <w:p>
      <w:pPr>
        <w:keepNext/>
        <w:keepLines/>
        <w:spacing w:after="40"/>
        <w:ind w:left="369" w:hanging="198"/>
      </w:pPr>
      <w:r>
        <w:rPr>
          <w:rFonts w:ascii="Arial" w:hAnsi="Arial" w:cs="Arial"/>
          <w:b w:val="0"/>
          <w:sz w:val="21"/>
        </w:rPr>
        <w:t>A) La deuda depende de hechos no comprobados y nunca fue liquidada.</w:t>
      </w:r>
    </w:p>
    <w:p>
      <w:pPr>
        <w:keepNext/>
        <w:keepLines/>
        <w:spacing w:after="40"/>
        <w:ind w:left="369" w:hanging="198"/>
      </w:pPr>
      <w:r>
        <w:rPr>
          <w:rFonts w:ascii="Arial" w:hAnsi="Arial" w:cs="Arial"/>
          <w:b w:val="0"/>
          <w:sz w:val="21"/>
        </w:rPr>
        <w:t>B) Falta toda identificación del responsable.</w:t>
      </w:r>
    </w:p>
    <w:p>
      <w:pPr>
        <w:keepNext/>
        <w:keepLines/>
        <w:spacing w:after="40"/>
        <w:ind w:left="369" w:hanging="198"/>
      </w:pPr>
      <w:r>
        <w:rPr>
          <w:rFonts w:ascii="Arial" w:hAnsi="Arial" w:cs="Arial"/>
          <w:b w:val="0"/>
          <w:sz w:val="21"/>
        </w:rPr>
        <w:t>C) Existe un aplazamiento vigente y cumplido.</w:t>
      </w:r>
    </w:p>
    <w:p>
      <w:pPr>
        <w:keepNext/>
        <w:keepLines/>
        <w:spacing w:after="40"/>
        <w:ind w:left="369" w:hanging="198"/>
      </w:pPr>
      <w:r>
        <w:rPr>
          <w:rFonts w:ascii="Arial" w:hAnsi="Arial" w:cs="Arial"/>
          <w:b w:val="0"/>
          <w:sz w:val="21"/>
        </w:rPr>
        <w:t>D) Se dejaron de ingresar cuotas de trabajadores en alta correctamente liquidadas mediante los sistemas o documentos presentados en plazo.</w:t>
      </w:r>
    </w:p>
    <w:p>
      <w:pPr>
        <w:pStyle w:val="Question"/>
        <w:keepNext/>
      </w:pPr>
      <w:r>
        <w:rPr>
          <w:rFonts w:ascii="Arial" w:hAnsi="Arial" w:cs="Arial"/>
          <w:sz w:val="22"/>
        </w:rPr>
        <w:t>2. En el subexpediente descrito y con los únicos datos facilitados, el tipo total por contingencias comunes del Régimen General en 2026 es:</w:t>
      </w:r>
    </w:p>
    <w:p>
      <w:pPr>
        <w:keepNext/>
        <w:keepLines/>
        <w:spacing w:after="40"/>
        <w:ind w:left="369" w:hanging="198"/>
      </w:pPr>
      <w:r>
        <w:rPr>
          <w:rFonts w:ascii="Arial" w:hAnsi="Arial" w:cs="Arial"/>
          <w:b w:val="0"/>
          <w:sz w:val="21"/>
        </w:rPr>
        <w:t>A) 23,60 por ciento.</w:t>
      </w:r>
    </w:p>
    <w:p>
      <w:pPr>
        <w:keepNext/>
        <w:keepLines/>
        <w:spacing w:after="40"/>
        <w:ind w:left="369" w:hanging="198"/>
      </w:pPr>
      <w:r>
        <w:rPr>
          <w:rFonts w:ascii="Arial" w:hAnsi="Arial" w:cs="Arial"/>
          <w:b w:val="0"/>
          <w:sz w:val="21"/>
        </w:rPr>
        <w:t>B) 7,05 por ciento.</w:t>
      </w:r>
    </w:p>
    <w:p>
      <w:pPr>
        <w:keepNext/>
        <w:keepLines/>
        <w:spacing w:after="40"/>
        <w:ind w:left="369" w:hanging="198"/>
      </w:pPr>
      <w:r>
        <w:rPr>
          <w:rFonts w:ascii="Arial" w:hAnsi="Arial" w:cs="Arial"/>
          <w:b w:val="0"/>
          <w:sz w:val="21"/>
        </w:rPr>
        <w:t>C) 28,30 por ciento.</w:t>
      </w:r>
    </w:p>
    <w:p>
      <w:pPr>
        <w:keepNext/>
        <w:keepLines/>
        <w:spacing w:after="40"/>
        <w:ind w:left="369" w:hanging="198"/>
      </w:pPr>
      <w:r>
        <w:rPr>
          <w:rFonts w:ascii="Arial" w:hAnsi="Arial" w:cs="Arial"/>
          <w:b w:val="0"/>
          <w:sz w:val="21"/>
        </w:rPr>
        <w:t>D) 0,90 por ciento.</w:t>
      </w:r>
    </w:p>
    <w:p>
      <w:pPr>
        <w:pStyle w:val="Question"/>
        <w:keepNext/>
      </w:pPr>
      <w:r>
        <w:rPr>
          <w:rFonts w:ascii="Arial" w:hAnsi="Arial" w:cs="Arial"/>
          <w:sz w:val="22"/>
        </w:rPr>
        <w:t>3. La unidad competente debe resolver la siguiente cuestión: Aunque no haya llegado la fecha de revisión indicada, el INSS puede revisar la IP si:</w:t>
      </w:r>
    </w:p>
    <w:p>
      <w:pPr>
        <w:keepNext/>
        <w:keepLines/>
        <w:spacing w:after="40"/>
        <w:ind w:left="369" w:hanging="198"/>
      </w:pPr>
      <w:r>
        <w:rPr>
          <w:rFonts w:ascii="Arial" w:hAnsi="Arial" w:cs="Arial"/>
          <w:b w:val="0"/>
          <w:sz w:val="21"/>
        </w:rPr>
        <w:t>A) El pensionista está realizando trabajo por cuenta propia o ajena.</w:t>
      </w:r>
    </w:p>
    <w:p>
      <w:pPr>
        <w:keepNext/>
        <w:keepLines/>
        <w:spacing w:after="40"/>
        <w:ind w:left="369" w:hanging="198"/>
      </w:pPr>
      <w:r>
        <w:rPr>
          <w:rFonts w:ascii="Arial" w:hAnsi="Arial" w:cs="Arial"/>
          <w:b w:val="0"/>
          <w:sz w:val="21"/>
        </w:rPr>
        <w:t>B) Lo pide cualquier empresa sin prueba.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pStyle w:val="Question"/>
        <w:keepNext/>
      </w:pPr>
      <w:r>
        <w:rPr>
          <w:rFonts w:ascii="Arial" w:hAnsi="Arial" w:cs="Arial"/>
          <w:sz w:val="22"/>
        </w:rPr>
        <w:t>4. En el subexpediente descrito y con los únicos datos facilitados, un huérfano de 22 años comienza a trabajar y sus ingresos anuales superan el SMI. ¿Cuál es el efecto ordinario?</w:t>
      </w:r>
    </w:p>
    <w:p>
      <w:pPr>
        <w:keepNext/>
        <w:keepLines/>
        <w:spacing w:after="40"/>
        <w:ind w:left="369" w:hanging="198"/>
      </w:pPr>
      <w:r>
        <w:rPr>
          <w:rFonts w:ascii="Arial" w:hAnsi="Arial" w:cs="Arial"/>
          <w:b w:val="0"/>
          <w:sz w:val="21"/>
        </w:rPr>
        <w:t>A) El abono se suspende en los términos reglamentarios mientras subsista la incompatibilidad por ingresos.</w:t>
      </w:r>
    </w:p>
    <w:p>
      <w:pPr>
        <w:keepNext/>
        <w:keepLines/>
        <w:spacing w:after="40"/>
        <w:ind w:left="369" w:hanging="198"/>
      </w:pPr>
      <w:r>
        <w:rPr>
          <w:rFonts w:ascii="Arial" w:hAnsi="Arial" w:cs="Arial"/>
          <w:b w:val="0"/>
          <w:sz w:val="21"/>
        </w:rPr>
        <w:t>B) La pensión se incrementa por actividad.</w:t>
      </w:r>
    </w:p>
    <w:p>
      <w:pPr>
        <w:keepNext/>
        <w:keepLines/>
        <w:spacing w:after="40"/>
        <w:ind w:left="369" w:hanging="198"/>
      </w:pPr>
      <w:r>
        <w:rPr>
          <w:rFonts w:ascii="Arial" w:hAnsi="Arial" w:cs="Arial"/>
          <w:b w:val="0"/>
          <w:sz w:val="21"/>
        </w:rPr>
        <w:t>C) No se produce ningún efecto hasta los 25 años.</w:t>
      </w:r>
    </w:p>
    <w:p>
      <w:pPr>
        <w:keepNext/>
        <w:keepLines/>
        <w:spacing w:after="40"/>
        <w:ind w:left="369" w:hanging="198"/>
      </w:pPr>
      <w:r>
        <w:rPr>
          <w:rFonts w:ascii="Arial" w:hAnsi="Arial" w:cs="Arial"/>
          <w:b w:val="0"/>
          <w:sz w:val="21"/>
        </w:rPr>
        <w:t>D) Se transforma en prestación en favor de familiares.</w:t>
      </w:r>
    </w:p>
    <w:p>
      <w:pPr>
        <w:pStyle w:val="Question"/>
        <w:keepNext/>
      </w:pPr>
      <w:r>
        <w:rPr>
          <w:rFonts w:ascii="Arial" w:hAnsi="Arial" w:cs="Arial"/>
          <w:sz w:val="22"/>
        </w:rPr>
        <w:t>5. La unidad competente debe resolver la siguiente cuestión: Diagnosticada la enfermedad antes de los 18, la protección puede alcanzar:</w:t>
      </w:r>
    </w:p>
    <w:p>
      <w:pPr>
        <w:keepNext/>
        <w:keepLines/>
        <w:spacing w:after="40"/>
        <w:ind w:left="369" w:hanging="198"/>
      </w:pPr>
      <w:r>
        <w:rPr>
          <w:rFonts w:ascii="Arial" w:hAnsi="Arial" w:cs="Arial"/>
          <w:b w:val="0"/>
          <w:sz w:val="21"/>
        </w:rPr>
        <w:t>A) Solo hasta los 18 años.</w:t>
      </w:r>
    </w:p>
    <w:p>
      <w:pPr>
        <w:keepNext/>
        <w:keepLines/>
        <w:spacing w:after="40"/>
        <w:ind w:left="369" w:hanging="198"/>
      </w:pPr>
      <w:r>
        <w:rPr>
          <w:rFonts w:ascii="Arial" w:hAnsi="Arial" w:cs="Arial"/>
          <w:b w:val="0"/>
          <w:sz w:val="21"/>
        </w:rPr>
        <w:t>B) Hasta 23 años y hasta 26 si antes de 23 acredita discapacidad de al menos 65 por ciento.</w:t>
      </w:r>
    </w:p>
    <w:p>
      <w:pPr>
        <w:keepNext/>
        <w:keepLines/>
        <w:spacing w:after="40"/>
        <w:ind w:left="369" w:hanging="198"/>
      </w:pPr>
      <w:r>
        <w:rPr>
          <w:rFonts w:ascii="Arial" w:hAnsi="Arial" w:cs="Arial"/>
          <w:b w:val="0"/>
          <w:sz w:val="21"/>
        </w:rPr>
        <w:t>C) Hasta 21 años sin excepciones.</w:t>
      </w:r>
    </w:p>
    <w:p>
      <w:pPr>
        <w:keepNext/>
        <w:keepLines/>
        <w:spacing w:after="40"/>
        <w:ind w:left="369" w:hanging="198"/>
      </w:pPr>
      <w:r>
        <w:rPr>
          <w:rFonts w:ascii="Arial" w:hAnsi="Arial" w:cs="Arial"/>
          <w:b w:val="0"/>
          <w:sz w:val="21"/>
        </w:rPr>
        <w:t>D) Hasta 30 años en todo caso.</w:t>
      </w:r>
    </w:p>
    <w:p>
      <w:pPr>
        <w:pStyle w:val="Question"/>
        <w:keepNext/>
      </w:pPr>
      <w:r>
        <w:rPr>
          <w:rFonts w:ascii="Arial" w:hAnsi="Arial" w:cs="Arial"/>
          <w:sz w:val="22"/>
        </w:rPr>
        <w:t>6. En la tramitación del expediente de Seguridad Social, para que una enfermedad sea profesional conforme al artículo 157 debe:</w:t>
      </w:r>
    </w:p>
    <w:p>
      <w:pPr>
        <w:keepNext/>
        <w:keepLines/>
        <w:spacing w:after="40"/>
        <w:ind w:left="369" w:hanging="198"/>
      </w:pPr>
      <w:r>
        <w:rPr>
          <w:rFonts w:ascii="Arial" w:hAnsi="Arial" w:cs="Arial"/>
          <w:b w:val="0"/>
          <w:sz w:val="21"/>
        </w:rPr>
        <w:t>A) Haber causado necesariamente incapacidad permanente.</w:t>
      </w:r>
    </w:p>
    <w:p>
      <w:pPr>
        <w:keepNext/>
        <w:keepLines/>
        <w:spacing w:after="40"/>
        <w:ind w:left="369" w:hanging="198"/>
      </w:pPr>
      <w:r>
        <w:rPr>
          <w:rFonts w:ascii="Arial" w:hAnsi="Arial" w:cs="Arial"/>
          <w:b w:val="0"/>
          <w:sz w:val="21"/>
        </w:rPr>
        <w:t>B) Ser diagnosticada por un médico de empresa.</w:t>
      </w:r>
    </w:p>
    <w:p>
      <w:pPr>
        <w:keepNext/>
        <w:keepLines/>
        <w:spacing w:after="40"/>
        <w:ind w:left="369" w:hanging="198"/>
      </w:pPr>
      <w:r>
        <w:rPr>
          <w:rFonts w:ascii="Arial" w:hAnsi="Arial" w:cs="Arial"/>
          <w:b w:val="0"/>
          <w:sz w:val="21"/>
        </w:rPr>
        <w:t>C) Deberse solo a una jornada extensa.</w:t>
      </w:r>
    </w:p>
    <w:p>
      <w:pPr>
        <w:keepNext/>
        <w:keepLines/>
        <w:spacing w:after="40"/>
        <w:ind w:left="369" w:hanging="198"/>
      </w:pPr>
      <w:r>
        <w:rPr>
          <w:rFonts w:ascii="Arial" w:hAnsi="Arial" w:cs="Arial"/>
          <w:b w:val="0"/>
          <w:sz w:val="21"/>
        </w:rPr>
        <w:t>D) Encajar en actividad y agente del cuadro oficial.</w:t>
      </w:r>
    </w:p>
    <w:p>
      <w:pPr>
        <w:pStyle w:val="Question"/>
        <w:keepNext/>
      </w:pPr>
      <w:r>
        <w:rPr>
          <w:rFonts w:ascii="Arial" w:hAnsi="Arial" w:cs="Arial"/>
          <w:sz w:val="22"/>
        </w:rPr>
        <w:t>7. Al comprobar el encuadramiento y sus efectos,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val="0"/>
          <w:sz w:val="21"/>
        </w:rPr>
        <w:t>C) La incompatibilidad, sin perjuicio de las excepciones expresamente previstas.</w:t>
      </w:r>
    </w:p>
    <w:p>
      <w:pPr>
        <w:keepNext/>
        <w:keepLines/>
        <w:spacing w:after="40"/>
        <w:ind w:left="369" w:hanging="198"/>
      </w:pPr>
      <w:r>
        <w:rPr>
          <w:rFonts w:ascii="Arial" w:hAnsi="Arial" w:cs="Arial"/>
          <w:b w:val="0"/>
          <w:sz w:val="21"/>
        </w:rPr>
        <w:t>D) La compatibilidad solo cuando el trabajo sea por cuenta ajena.</w:t>
      </w:r>
    </w:p>
    <w:p>
      <w:pPr>
        <w:pStyle w:val="Question"/>
        <w:keepNext/>
      </w:pPr>
      <w:r>
        <w:rPr>
          <w:rFonts w:ascii="Arial" w:hAnsi="Arial" w:cs="Arial"/>
          <w:sz w:val="22"/>
        </w:rPr>
        <w:t>8. Al comprobar el encuadramiento y sus efectos, la prestación por parto o adopción múltiples:</w:t>
      </w:r>
    </w:p>
    <w:p>
      <w:pPr>
        <w:keepNext/>
        <w:keepLines/>
        <w:spacing w:after="40"/>
        <w:ind w:left="369" w:hanging="198"/>
      </w:pPr>
      <w:r>
        <w:rPr>
          <w:rFonts w:ascii="Arial" w:hAnsi="Arial" w:cs="Arial"/>
          <w:b w:val="0"/>
          <w:sz w:val="21"/>
        </w:rPr>
        <w:t>A) Se calcula multiplicando el SMI mensual por 4, 8 o 12 según el número computable de hijos.</w:t>
      </w:r>
    </w:p>
    <w:p>
      <w:pPr>
        <w:keepNext/>
        <w:keepLines/>
        <w:spacing w:after="40"/>
        <w:ind w:left="369" w:hanging="198"/>
      </w:pPr>
      <w:r>
        <w:rPr>
          <w:rFonts w:ascii="Arial" w:hAnsi="Arial" w:cs="Arial"/>
          <w:b w:val="0"/>
          <w:sz w:val="21"/>
        </w:rPr>
        <w:t>B) Exige siempre que la familia sea numerosa.</w:t>
      </w:r>
    </w:p>
    <w:p>
      <w:pPr>
        <w:keepNext/>
        <w:keepLines/>
        <w:spacing w:after="40"/>
        <w:ind w:left="369" w:hanging="198"/>
      </w:pPr>
      <w:r>
        <w:rPr>
          <w:rFonts w:ascii="Arial" w:hAnsi="Arial" w:cs="Arial"/>
          <w:b w:val="0"/>
          <w:sz w:val="21"/>
        </w:rPr>
        <w:t>C) Solo se reconoce por cuatro o más hijos.</w:t>
      </w:r>
    </w:p>
    <w:p>
      <w:pPr>
        <w:keepNext/>
        <w:keepLines/>
        <w:spacing w:after="40"/>
        <w:ind w:left="369" w:hanging="198"/>
      </w:pPr>
      <w:r>
        <w:rPr>
          <w:rFonts w:ascii="Arial" w:hAnsi="Arial" w:cs="Arial"/>
          <w:b w:val="0"/>
          <w:sz w:val="21"/>
        </w:rPr>
        <w:t>D) Tiene una cuantía fija de 1.000 euros.</w:t>
      </w:r>
    </w:p>
    <w:p>
      <w:pPr>
        <w:pStyle w:val="Question"/>
        <w:keepNext/>
      </w:pPr>
      <w:r>
        <w:rPr>
          <w:rFonts w:ascii="Arial" w:hAnsi="Arial" w:cs="Arial"/>
          <w:sz w:val="22"/>
        </w:rPr>
        <w:t>9. La unidad competente debe resolver la siguiente cuestión: La reclamación administrativa de tercería la resuelve:</w:t>
      </w:r>
    </w:p>
    <w:p>
      <w:pPr>
        <w:keepNext/>
        <w:keepLines/>
        <w:spacing w:after="40"/>
        <w:ind w:left="369" w:hanging="198"/>
      </w:pPr>
      <w:r>
        <w:rPr>
          <w:rFonts w:ascii="Arial" w:hAnsi="Arial" w:cs="Arial"/>
          <w:b w:val="0"/>
          <w:sz w:val="21"/>
        </w:rPr>
        <w:t>A) El recaudador ejecutivo en un mes.</w:t>
      </w:r>
    </w:p>
    <w:p>
      <w:pPr>
        <w:keepNext/>
        <w:keepLines/>
        <w:spacing w:after="40"/>
        <w:ind w:left="369" w:hanging="198"/>
      </w:pPr>
      <w:r>
        <w:rPr>
          <w:rFonts w:ascii="Arial" w:hAnsi="Arial" w:cs="Arial"/>
          <w:b w:val="0"/>
          <w:sz w:val="21"/>
        </w:rPr>
        <w:t>B) El INSS en seis meses.</w:t>
      </w:r>
    </w:p>
    <w:p>
      <w:pPr>
        <w:keepNext/>
        <w:keepLines/>
        <w:spacing w:after="40"/>
        <w:ind w:left="369" w:hanging="198"/>
      </w:pPr>
      <w:r>
        <w:rPr>
          <w:rFonts w:ascii="Arial" w:hAnsi="Arial" w:cs="Arial"/>
          <w:b w:val="0"/>
          <w:sz w:val="21"/>
        </w:rPr>
        <w:t>C) El banco depositario en diez días.</w:t>
      </w:r>
    </w:p>
    <w:p>
      <w:pPr>
        <w:keepNext/>
        <w:keepLines/>
        <w:spacing w:after="40"/>
        <w:ind w:left="369" w:hanging="198"/>
      </w:pPr>
      <w:r>
        <w:rPr>
          <w:rFonts w:ascii="Arial" w:hAnsi="Arial" w:cs="Arial"/>
          <w:b w:val="0"/>
          <w:sz w:val="21"/>
        </w:rPr>
        <w:t>D) El director provincial de la TGSS en el plazo máximo de tres meses.</w:t>
      </w:r>
    </w:p>
    <w:p>
      <w:pPr>
        <w:pStyle w:val="Question"/>
        <w:keepNext/>
      </w:pPr>
      <w:r>
        <w:rPr>
          <w:rFonts w:ascii="Arial" w:hAnsi="Arial" w:cs="Arial"/>
          <w:sz w:val="22"/>
        </w:rPr>
        <w:t>10. En el subexpediente descrito y con los únicos datos facilitados, una pareja está inscrita desde hace tres años, convive desde hace dos y tiene un hijo común. Respecto del requisito de convivencia:</w:t>
      </w:r>
    </w:p>
    <w:p>
      <w:pPr>
        <w:keepNext/>
        <w:keepLines/>
        <w:spacing w:after="40"/>
        <w:ind w:left="369" w:hanging="198"/>
      </w:pPr>
      <w:r>
        <w:rPr>
          <w:rFonts w:ascii="Arial" w:hAnsi="Arial" w:cs="Arial"/>
          <w:b w:val="0"/>
          <w:sz w:val="21"/>
        </w:rPr>
        <w:t>A) No puede existir viudedad porque faltan siempre tres años de convivencia.</w:t>
      </w:r>
    </w:p>
    <w:p>
      <w:pPr>
        <w:keepNext/>
        <w:keepLines/>
        <w:spacing w:after="40"/>
        <w:ind w:left="369" w:hanging="198"/>
      </w:pPr>
      <w:r>
        <w:rPr>
          <w:rFonts w:ascii="Arial" w:hAnsi="Arial" w:cs="Arial"/>
          <w:b w:val="0"/>
          <w:sz w:val="21"/>
        </w:rPr>
        <w:t>B) La inscripción deja de tener valor por existir descendencia.</w:t>
      </w:r>
    </w:p>
    <w:p>
      <w:pPr>
        <w:keepNext/>
        <w:keepLines/>
        <w:spacing w:after="40"/>
        <w:ind w:left="369" w:hanging="198"/>
      </w:pPr>
      <w:r>
        <w:rPr>
          <w:rFonts w:ascii="Arial" w:hAnsi="Arial" w:cs="Arial"/>
          <w:b w:val="0"/>
          <w:sz w:val="21"/>
        </w:rPr>
        <w:t>C) El hijo común permite exceptuar los cinco años de convivencia, sin dispensar la formalización de la pareja.</w:t>
      </w:r>
    </w:p>
    <w:p>
      <w:pPr>
        <w:keepNext/>
        <w:keepLines/>
        <w:spacing w:after="40"/>
        <w:ind w:left="369" w:hanging="198"/>
      </w:pPr>
      <w:r>
        <w:rPr>
          <w:rFonts w:ascii="Arial" w:hAnsi="Arial" w:cs="Arial"/>
          <w:b w:val="0"/>
          <w:sz w:val="21"/>
        </w:rPr>
        <w:t>D) Se exigen diez años de convivencia por tratarse de una pareja de hecho.</w:t>
      </w:r>
    </w:p>
    <w:p>
      <w:pPr>
        <w:pStyle w:val="Question"/>
        <w:keepNext/>
      </w:pPr>
      <w:r>
        <w:rPr>
          <w:rFonts w:ascii="Arial" w:hAnsi="Arial" w:cs="Arial"/>
          <w:sz w:val="22"/>
        </w:rPr>
        <w:t>11. La unidad competente debe resolver la siguiente cuestión: Según el artículo 41, la situación destacada expresamente es:</w:t>
      </w:r>
    </w:p>
    <w:p>
      <w:pPr>
        <w:keepNext/>
        <w:keepLines/>
        <w:spacing w:after="40"/>
        <w:ind w:left="369" w:hanging="198"/>
      </w:pPr>
      <w:r>
        <w:rPr>
          <w:rFonts w:ascii="Arial" w:hAnsi="Arial" w:cs="Arial"/>
          <w:b w:val="0"/>
          <w:sz w:val="21"/>
        </w:rPr>
        <w:t>A) La vivienda.</w:t>
      </w:r>
    </w:p>
    <w:p>
      <w:pPr>
        <w:keepNext/>
        <w:keepLines/>
        <w:spacing w:after="40"/>
        <w:ind w:left="369" w:hanging="198"/>
      </w:pPr>
      <w:r>
        <w:rPr>
          <w:rFonts w:ascii="Arial" w:hAnsi="Arial" w:cs="Arial"/>
          <w:b w:val="0"/>
          <w:sz w:val="21"/>
        </w:rPr>
        <w:t>B) La educación.</w:t>
      </w:r>
    </w:p>
    <w:p>
      <w:pPr>
        <w:keepNext/>
        <w:keepLines/>
        <w:spacing w:after="40"/>
        <w:ind w:left="369" w:hanging="198"/>
      </w:pPr>
      <w:r>
        <w:rPr>
          <w:rFonts w:ascii="Arial" w:hAnsi="Arial" w:cs="Arial"/>
          <w:b w:val="0"/>
          <w:sz w:val="21"/>
        </w:rPr>
        <w:t>C) La defensa nacional.</w:t>
      </w:r>
    </w:p>
    <w:p>
      <w:pPr>
        <w:keepNext/>
        <w:keepLines/>
        <w:spacing w:after="40"/>
        <w:ind w:left="369" w:hanging="198"/>
      </w:pPr>
      <w:r>
        <w:rPr>
          <w:rFonts w:ascii="Arial" w:hAnsi="Arial" w:cs="Arial"/>
          <w:b w:val="0"/>
          <w:sz w:val="21"/>
        </w:rPr>
        <w:t>D) El desempleo.</w:t>
      </w:r>
    </w:p>
    <w:p>
      <w:pPr>
        <w:pStyle w:val="Question"/>
        <w:keepNext/>
      </w:pPr>
      <w:r>
        <w:rPr>
          <w:rFonts w:ascii="Arial" w:hAnsi="Arial" w:cs="Arial"/>
          <w:sz w:val="22"/>
        </w:rPr>
        <w:t>12. En el subexpediente descrito y con los únicos datos facilitados, una subida salarial de convenio con efectos retroactivos obliga, en principio, a:</w:t>
      </w:r>
    </w:p>
    <w:p>
      <w:pPr>
        <w:keepNext/>
        <w:keepLines/>
        <w:spacing w:after="40"/>
        <w:ind w:left="369" w:hanging="198"/>
      </w:pPr>
      <w:r>
        <w:rPr>
          <w:rFonts w:ascii="Arial" w:hAnsi="Arial" w:cs="Arial"/>
          <w:b w:val="0"/>
          <w:sz w:val="21"/>
        </w:rPr>
        <w:t>A) Cotizar íntegramente en el mes en que se firma, sin imputación.</w:t>
      </w:r>
    </w:p>
    <w:p>
      <w:pPr>
        <w:keepNext/>
        <w:keepLines/>
        <w:spacing w:after="40"/>
        <w:ind w:left="369" w:hanging="198"/>
      </w:pPr>
      <w:r>
        <w:rPr>
          <w:rFonts w:ascii="Arial" w:hAnsi="Arial" w:cs="Arial"/>
          <w:b w:val="0"/>
          <w:sz w:val="21"/>
        </w:rPr>
        <w:t>B) Presentar liquidación complementaria imputada a los períodos de devengo.</w:t>
      </w:r>
    </w:p>
    <w:p>
      <w:pPr>
        <w:keepNext/>
        <w:keepLines/>
        <w:spacing w:after="40"/>
        <w:ind w:left="369" w:hanging="198"/>
      </w:pPr>
      <w:r>
        <w:rPr>
          <w:rFonts w:ascii="Arial" w:hAnsi="Arial" w:cs="Arial"/>
          <w:b w:val="0"/>
          <w:sz w:val="21"/>
        </w:rPr>
        <w:t>C) Rectificar solo el alta.</w:t>
      </w:r>
    </w:p>
    <w:p>
      <w:pPr>
        <w:keepNext/>
        <w:keepLines/>
        <w:spacing w:after="40"/>
        <w:ind w:left="369" w:hanging="198"/>
      </w:pPr>
      <w:r>
        <w:rPr>
          <w:rFonts w:ascii="Arial" w:hAnsi="Arial" w:cs="Arial"/>
          <w:b w:val="0"/>
          <w:sz w:val="21"/>
        </w:rPr>
        <w:t>D) Excluir las diferencias por ser retroactivas.</w:t>
      </w:r>
    </w:p>
    <w:p>
      <w:pPr>
        <w:pStyle w:val="Question"/>
        <w:keepNext/>
      </w:pPr>
      <w:r>
        <w:rPr>
          <w:rFonts w:ascii="Arial" w:hAnsi="Arial" w:cs="Arial"/>
          <w:sz w:val="22"/>
        </w:rPr>
        <w:t>13. En el subexpediente descrito y con los únicos datos facilitados, cuando una empresa contrata a una persona que nunca estuvo afiliada, está obligada:</w:t>
      </w:r>
    </w:p>
    <w:p>
      <w:pPr>
        <w:keepNext/>
        <w:keepLines/>
        <w:spacing w:after="40"/>
        <w:ind w:left="369" w:hanging="198"/>
      </w:pPr>
      <w:r>
        <w:rPr>
          <w:rFonts w:ascii="Arial" w:hAnsi="Arial" w:cs="Arial"/>
          <w:b w:val="0"/>
          <w:sz w:val="21"/>
        </w:rPr>
        <w:t>A) Solo a solicitar el alta, pues la afiliación se presume.</w:t>
      </w:r>
    </w:p>
    <w:p>
      <w:pPr>
        <w:keepNext/>
        <w:keepLines/>
        <w:spacing w:after="40"/>
        <w:ind w:left="369" w:hanging="198"/>
      </w:pPr>
      <w:r>
        <w:rPr>
          <w:rFonts w:ascii="Arial" w:hAnsi="Arial" w:cs="Arial"/>
          <w:b w:val="0"/>
          <w:sz w:val="21"/>
        </w:rPr>
        <w:t>B) A solicitar su afiliación y su alta antes del inicio de la prestación.</w:t>
      </w:r>
    </w:p>
    <w:p>
      <w:pPr>
        <w:keepNext/>
        <w:keepLines/>
        <w:spacing w:after="40"/>
        <w:ind w:left="369" w:hanging="198"/>
      </w:pPr>
      <w:r>
        <w:rPr>
          <w:rFonts w:ascii="Arial" w:hAnsi="Arial" w:cs="Arial"/>
          <w:b w:val="0"/>
          <w:sz w:val="21"/>
        </w:rPr>
        <w:t>C) A esperar a que la persona se afilie por sí misma.</w:t>
      </w:r>
    </w:p>
    <w:p>
      <w:pPr>
        <w:keepNext/>
        <w:keepLines/>
        <w:spacing w:after="40"/>
        <w:ind w:left="369" w:hanging="198"/>
      </w:pPr>
      <w:r>
        <w:rPr>
          <w:rFonts w:ascii="Arial" w:hAnsi="Arial" w:cs="Arial"/>
          <w:b w:val="0"/>
          <w:sz w:val="21"/>
        </w:rPr>
        <w:t>D) A comunicar primero la baja y después la afiliación.</w:t>
      </w:r>
    </w:p>
    <w:p>
      <w:pPr>
        <w:pStyle w:val="Question"/>
        <w:keepNext/>
      </w:pPr>
      <w:r>
        <w:rPr>
          <w:rFonts w:ascii="Arial" w:hAnsi="Arial" w:cs="Arial"/>
          <w:sz w:val="22"/>
        </w:rPr>
        <w:t>14. En el subexpediente descrito y con los únicos datos facilitados, los intereses de demora resultan exigibles, entre otros supuestos, cuando no se paga la deuda una vez transcurridos:</w:t>
      </w:r>
    </w:p>
    <w:p>
      <w:pPr>
        <w:keepNext/>
        <w:keepLines/>
        <w:spacing w:after="40"/>
        <w:ind w:left="369" w:hanging="198"/>
      </w:pPr>
      <w:r>
        <w:rPr>
          <w:rFonts w:ascii="Arial" w:hAnsi="Arial" w:cs="Arial"/>
          <w:b w:val="0"/>
          <w:sz w:val="21"/>
        </w:rPr>
        <w:t>A) Tres días hábiles desde el devengo de la cuota.</w:t>
      </w:r>
    </w:p>
    <w:p>
      <w:pPr>
        <w:keepNext/>
        <w:keepLines/>
        <w:spacing w:after="40"/>
        <w:ind w:left="369" w:hanging="198"/>
      </w:pPr>
      <w:r>
        <w:rPr>
          <w:rFonts w:ascii="Arial" w:hAnsi="Arial" w:cs="Arial"/>
          <w:b w:val="0"/>
          <w:sz w:val="21"/>
        </w:rPr>
        <w:t>B) Quince días naturales desde la notificación de la providencia de apremio.</w:t>
      </w:r>
    </w:p>
    <w:p>
      <w:pPr>
        <w:keepNext/>
        <w:keepLines/>
        <w:spacing w:after="40"/>
        <w:ind w:left="369" w:hanging="198"/>
      </w:pPr>
      <w:r>
        <w:rPr>
          <w:rFonts w:ascii="Arial" w:hAnsi="Arial" w:cs="Arial"/>
          <w:b w:val="0"/>
          <w:sz w:val="21"/>
        </w:rPr>
        <w:t>C) Un año desde la reclamación.</w:t>
      </w:r>
    </w:p>
    <w:p>
      <w:pPr>
        <w:keepNext/>
        <w:keepLines/>
        <w:spacing w:after="40"/>
        <w:ind w:left="369" w:hanging="198"/>
      </w:pPr>
      <w:r>
        <w:rPr>
          <w:rFonts w:ascii="Arial" w:hAnsi="Arial" w:cs="Arial"/>
          <w:b w:val="0"/>
          <w:sz w:val="21"/>
        </w:rPr>
        <w:t>D) Dos meses desde la orden de transferencia.</w:t>
      </w:r>
    </w:p>
    <w:p>
      <w:pPr>
        <w:pStyle w:val="Question"/>
        <w:keepNext/>
      </w:pPr>
      <w:r>
        <w:rPr>
          <w:rFonts w:ascii="Arial" w:hAnsi="Arial" w:cs="Arial"/>
          <w:sz w:val="22"/>
        </w:rPr>
        <w:t>15. Al comprobar el encuadramiento y sus efectos, el Sistema Especial para Empleados de Hogar:</w:t>
      </w:r>
    </w:p>
    <w:p>
      <w:pPr>
        <w:keepNext/>
        <w:keepLines/>
        <w:spacing w:after="40"/>
        <w:ind w:left="369" w:hanging="198"/>
      </w:pPr>
      <w:r>
        <w:rPr>
          <w:rFonts w:ascii="Arial" w:hAnsi="Arial" w:cs="Arial"/>
          <w:b w:val="0"/>
          <w:sz w:val="21"/>
        </w:rPr>
        <w:t>A) Es un régimen especial independiente del sistema.</w:t>
      </w:r>
    </w:p>
    <w:p>
      <w:pPr>
        <w:keepNext/>
        <w:keepLines/>
        <w:spacing w:after="40"/>
        <w:ind w:left="369" w:hanging="198"/>
      </w:pPr>
      <w:r>
        <w:rPr>
          <w:rFonts w:ascii="Arial" w:hAnsi="Arial" w:cs="Arial"/>
          <w:b w:val="0"/>
          <w:sz w:val="21"/>
        </w:rPr>
        <w:t>B) Está integrado en el Régimen General.</w:t>
      </w:r>
    </w:p>
    <w:p>
      <w:pPr>
        <w:keepNext/>
        <w:keepLines/>
        <w:spacing w:after="40"/>
        <w:ind w:left="369" w:hanging="198"/>
      </w:pPr>
      <w:r>
        <w:rPr>
          <w:rFonts w:ascii="Arial" w:hAnsi="Arial" w:cs="Arial"/>
          <w:b w:val="0"/>
          <w:sz w:val="21"/>
        </w:rPr>
        <w:t>C) Forma parte del RETA.</w:t>
      </w:r>
    </w:p>
    <w:p>
      <w:pPr>
        <w:keepNext/>
        <w:keepLines/>
        <w:spacing w:after="40"/>
        <w:ind w:left="369" w:hanging="198"/>
      </w:pPr>
      <w:r>
        <w:rPr>
          <w:rFonts w:ascii="Arial" w:hAnsi="Arial" w:cs="Arial"/>
          <w:b w:val="0"/>
          <w:sz w:val="21"/>
        </w:rPr>
        <w:t>D) Pertenece al Régimen Especial de los Trabajadores del Mar.</w:t>
      </w:r>
    </w:p>
    <w:p>
      <w:pPr>
        <w:pStyle w:val="Heading2"/>
      </w:pPr>
      <w:r>
        <w:t>Preguntas de reserva de la segunda parte</w:t>
      </w:r>
    </w:p>
    <w:p>
      <w:pPr>
        <w:pStyle w:val="Question"/>
        <w:keepNext/>
      </w:pPr>
      <w:r>
        <w:rPr>
          <w:rFonts w:ascii="Arial" w:hAnsi="Arial" w:cs="Arial"/>
          <w:sz w:val="22"/>
        </w:rPr>
        <w:t>16. En el subexpediente descrito y con los únicos datos facilitados, el derecho a solicitar la devolución de ingresos indebidos prescribe, con carácter general:</w:t>
      </w:r>
    </w:p>
    <w:p>
      <w:pPr>
        <w:keepNext/>
        <w:keepLines/>
        <w:spacing w:after="40"/>
        <w:ind w:left="369" w:hanging="198"/>
      </w:pPr>
      <w:r>
        <w:rPr>
          <w:rFonts w:ascii="Arial" w:hAnsi="Arial" w:cs="Arial"/>
          <w:b w:val="0"/>
          <w:sz w:val="21"/>
        </w:rPr>
        <w:t>A) A los cuatro años.</w:t>
      </w:r>
    </w:p>
    <w:p>
      <w:pPr>
        <w:keepNext/>
        <w:keepLines/>
        <w:spacing w:after="40"/>
        <w:ind w:left="369" w:hanging="198"/>
      </w:pPr>
      <w:r>
        <w:rPr>
          <w:rFonts w:ascii="Arial" w:hAnsi="Arial" w:cs="Arial"/>
          <w:b w:val="0"/>
          <w:sz w:val="21"/>
        </w:rPr>
        <w:t>B) Al año.</w:t>
      </w:r>
    </w:p>
    <w:p>
      <w:pPr>
        <w:keepNext/>
        <w:keepLines/>
        <w:spacing w:after="40"/>
        <w:ind w:left="369" w:hanging="198"/>
      </w:pPr>
      <w:r>
        <w:rPr>
          <w:rFonts w:ascii="Arial" w:hAnsi="Arial" w:cs="Arial"/>
          <w:b w:val="0"/>
          <w:sz w:val="21"/>
        </w:rPr>
        <w:t>C) A los dos años.</w:t>
      </w:r>
    </w:p>
    <w:p>
      <w:pPr>
        <w:keepNext/>
        <w:keepLines/>
        <w:spacing w:after="40"/>
        <w:ind w:left="369" w:hanging="198"/>
      </w:pPr>
      <w:r>
        <w:rPr>
          <w:rFonts w:ascii="Arial" w:hAnsi="Arial" w:cs="Arial"/>
          <w:b w:val="0"/>
          <w:sz w:val="21"/>
        </w:rPr>
        <w:t>D) A los diez años.</w:t>
      </w:r>
    </w:p>
    <w:p>
      <w:pPr>
        <w:pStyle w:val="Question"/>
        <w:keepNext/>
      </w:pPr>
      <w:r>
        <w:rPr>
          <w:rFonts w:ascii="Arial" w:hAnsi="Arial" w:cs="Arial"/>
          <w:sz w:val="22"/>
        </w:rPr>
        <w:t>17. En el subexpediente descrito y con los únicos datos facilitados, en la jubilación demorada, si el interesado no ejerce opción entre los incentivos legales:</w:t>
      </w:r>
    </w:p>
    <w:p>
      <w:pPr>
        <w:keepNext/>
        <w:keepLines/>
        <w:spacing w:after="40"/>
        <w:ind w:left="369" w:hanging="198"/>
      </w:pPr>
      <w:r>
        <w:rPr>
          <w:rFonts w:ascii="Arial" w:hAnsi="Arial" w:cs="Arial"/>
          <w:b w:val="0"/>
          <w:sz w:val="21"/>
        </w:rPr>
        <w:t>A) Se aplica el porcentaje adicional.</w:t>
      </w:r>
    </w:p>
    <w:p>
      <w:pPr>
        <w:keepNext/>
        <w:keepLines/>
        <w:spacing w:after="40"/>
        <w:ind w:left="369" w:hanging="198"/>
      </w:pPr>
      <w:r>
        <w:rPr>
          <w:rFonts w:ascii="Arial" w:hAnsi="Arial" w:cs="Arial"/>
          <w:b w:val="0"/>
          <w:sz w:val="21"/>
        </w:rPr>
        <w:t>B) Se reconoce necesariamente una cantidad a tanto alzado.</w:t>
      </w:r>
    </w:p>
    <w:p>
      <w:pPr>
        <w:keepNext/>
        <w:keepLines/>
        <w:spacing w:after="40"/>
        <w:ind w:left="369" w:hanging="198"/>
      </w:pPr>
      <w:r>
        <w:rPr>
          <w:rFonts w:ascii="Arial" w:hAnsi="Arial" w:cs="Arial"/>
          <w:b w:val="0"/>
          <w:sz w:val="21"/>
        </w:rPr>
        <w:t>C) Se pierde todo incentivo por demora.</w:t>
      </w:r>
    </w:p>
    <w:p>
      <w:pPr>
        <w:keepNext/>
        <w:keepLines/>
        <w:spacing w:after="40"/>
        <w:ind w:left="369" w:hanging="198"/>
      </w:pPr>
      <w:r>
        <w:rPr>
          <w:rFonts w:ascii="Arial" w:hAnsi="Arial" w:cs="Arial"/>
          <w:b w:val="0"/>
          <w:sz w:val="21"/>
        </w:rPr>
        <w:t>D) La TGSS decide entre pago único y fórmula mixta.</w:t>
      </w:r>
    </w:p>
    <w:p>
      <w:pPr>
        <w:pStyle w:val="Question"/>
        <w:keepNext/>
      </w:pPr>
      <w:r>
        <w:rPr>
          <w:rFonts w:ascii="Arial" w:hAnsi="Arial" w:cs="Arial"/>
          <w:sz w:val="22"/>
        </w:rPr>
        <w:t>18. La unidad competente debe resolver la siguiente cuestión: Si la primera subasta de un inmueble queda desierta, el Real Decreto 1221/1992 permite:</w:t>
      </w:r>
    </w:p>
    <w:p>
      <w:pPr>
        <w:keepNext/>
        <w:keepLines/>
        <w:spacing w:after="40"/>
        <w:ind w:left="369" w:hanging="198"/>
      </w:pPr>
      <w:r>
        <w:rPr>
          <w:rFonts w:ascii="Arial" w:hAnsi="Arial" w:cs="Arial"/>
          <w:b w:val="0"/>
          <w:sz w:val="21"/>
        </w:rPr>
        <w:t>A) Una sola nueva subasta sin cambiar el tipo.</w:t>
      </w:r>
    </w:p>
    <w:p>
      <w:pPr>
        <w:keepNext/>
        <w:keepLines/>
        <w:spacing w:after="40"/>
        <w:ind w:left="369" w:hanging="198"/>
      </w:pPr>
      <w:r>
        <w:rPr>
          <w:rFonts w:ascii="Arial" w:hAnsi="Arial" w:cs="Arial"/>
          <w:b w:val="0"/>
          <w:sz w:val="21"/>
        </w:rPr>
        <w:t>B) Vender automáticamente a la primera oferta posterior.</w:t>
      </w:r>
    </w:p>
    <w:p>
      <w:pPr>
        <w:keepNext/>
        <w:keepLines/>
        <w:spacing w:after="40"/>
        <w:ind w:left="369" w:hanging="198"/>
      </w:pPr>
      <w:r>
        <w:rPr>
          <w:rFonts w:ascii="Arial" w:hAnsi="Arial" w:cs="Arial"/>
          <w:b w:val="0"/>
          <w:sz w:val="21"/>
        </w:rPr>
        <w:t>C) Celebrar hasta tres subastas más, conforme al expediente y las reglas aplicables.</w:t>
      </w:r>
    </w:p>
    <w:p>
      <w:pPr>
        <w:keepNext/>
        <w:keepLines/>
        <w:spacing w:after="40"/>
        <w:ind w:left="369" w:hanging="198"/>
      </w:pPr>
      <w:r>
        <w:rPr>
          <w:rFonts w:ascii="Arial" w:hAnsi="Arial" w:cs="Arial"/>
          <w:b w:val="0"/>
          <w:sz w:val="21"/>
        </w:rPr>
        <w:t>D) Donar obligatoriamente el inmueble.</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08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08 - nivel oficial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