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Simulacro 10 · nivel oficial</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nivel oficial</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FFF2CC"/>
      </w:pPr>
      <w:r>
        <w:rPr>
          <w:rFonts w:ascii="Arial" w:hAnsi="Arial" w:cs="Arial"/>
          <w:b/>
          <w:sz w:val="20"/>
        </w:rPr>
        <w:t>No consulte la plantilla durante la realización.</w:t>
      </w:r>
      <w:r>
        <w:rPr>
          <w:rFonts w:ascii="Arial" w:hAnsi="Arial" w:cs="Arial"/>
          <w:sz w:val="20"/>
        </w:rPr>
        <w:t xml:space="preserve"> Controle el tiempo de forma conjunta y reserve unos minutos para revisar omisiones y traslados de respuesta.</w:t>
      </w:r>
    </w:p>
    <w:p>
      <w:pPr>
        <w:pStyle w:val="Heading1"/>
      </w:pPr>
      <w:r>
        <w:t>Primera parte · cuestionario teórico</w:t>
      </w:r>
    </w:p>
    <w:p>
      <w:pPr>
        <w:pStyle w:val="Question"/>
        <w:keepNext/>
      </w:pPr>
      <w:r>
        <w:rPr>
          <w:rFonts w:ascii="Arial" w:hAnsi="Arial" w:cs="Arial"/>
          <w:sz w:val="22"/>
        </w:rPr>
        <w:t>1. Conforme al ordenamiento vigente a la fecha de corte, si el Rey es menor de edad, ¿quién entra en primer lugar a ejercer la Regencia?</w:t>
      </w:r>
    </w:p>
    <w:p>
      <w:pPr>
        <w:keepNext/>
        <w:keepLines/>
        <w:spacing w:after="40"/>
        <w:ind w:left="369" w:hanging="198"/>
      </w:pPr>
      <w:r>
        <w:rPr>
          <w:rFonts w:ascii="Arial" w:hAnsi="Arial" w:cs="Arial"/>
          <w:b w:val="0"/>
          <w:sz w:val="21"/>
        </w:rPr>
        <w:t>A) El Presidente del Congreso.</w:t>
      </w:r>
    </w:p>
    <w:p>
      <w:pPr>
        <w:keepNext/>
        <w:keepLines/>
        <w:spacing w:after="40"/>
        <w:ind w:left="369" w:hanging="198"/>
      </w:pPr>
      <w:r>
        <w:rPr>
          <w:rFonts w:ascii="Arial" w:hAnsi="Arial" w:cs="Arial"/>
          <w:b w:val="0"/>
          <w:sz w:val="21"/>
        </w:rPr>
        <w:t>B) El padre o la madre del Rey.</w:t>
      </w:r>
    </w:p>
    <w:p>
      <w:pPr>
        <w:keepNext/>
        <w:keepLines/>
        <w:spacing w:after="40"/>
        <w:ind w:left="369" w:hanging="198"/>
      </w:pPr>
      <w:r>
        <w:rPr>
          <w:rFonts w:ascii="Arial" w:hAnsi="Arial" w:cs="Arial"/>
          <w:b w:val="0"/>
          <w:sz w:val="21"/>
        </w:rPr>
        <w:t>C) El Príncipe heredero aunque también sea menor.</w:t>
      </w:r>
    </w:p>
    <w:p>
      <w:pPr>
        <w:keepNext/>
        <w:keepLines/>
        <w:spacing w:after="40"/>
        <w:ind w:left="369" w:hanging="198"/>
      </w:pPr>
      <w:r>
        <w:rPr>
          <w:rFonts w:ascii="Arial" w:hAnsi="Arial" w:cs="Arial"/>
          <w:b w:val="0"/>
          <w:sz w:val="21"/>
        </w:rPr>
        <w:t>D) El Presidente del Gobierno.</w:t>
      </w:r>
    </w:p>
    <w:p>
      <w:pPr>
        <w:pStyle w:val="Question"/>
        <w:keepNext/>
      </w:pPr>
      <w:r>
        <w:rPr>
          <w:rFonts w:ascii="Arial" w:hAnsi="Arial" w:cs="Arial"/>
          <w:sz w:val="22"/>
        </w:rPr>
        <w:t>2. A efectos de aplicar correctamente la regla examinada, a efectos del orden subsidiario de embargo, se considera realizable a corto plazo el crédito que puede hacerse efectivo en un plazo no superior a:</w:t>
      </w:r>
    </w:p>
    <w:p>
      <w:pPr>
        <w:keepNext/>
        <w:keepLines/>
        <w:spacing w:after="40"/>
        <w:ind w:left="369" w:hanging="198"/>
      </w:pPr>
      <w:r>
        <w:rPr>
          <w:rFonts w:ascii="Arial" w:hAnsi="Arial" w:cs="Arial"/>
          <w:b w:val="0"/>
          <w:sz w:val="21"/>
        </w:rPr>
        <w:t>A) Quince días.</w:t>
      </w:r>
    </w:p>
    <w:p>
      <w:pPr>
        <w:keepNext/>
        <w:keepLines/>
        <w:spacing w:after="40"/>
        <w:ind w:left="369" w:hanging="198"/>
      </w:pPr>
      <w:r>
        <w:rPr>
          <w:rFonts w:ascii="Arial" w:hAnsi="Arial" w:cs="Arial"/>
          <w:b w:val="0"/>
          <w:sz w:val="21"/>
        </w:rPr>
        <w:t>B) Un mes.</w:t>
      </w:r>
    </w:p>
    <w:p>
      <w:pPr>
        <w:keepNext/>
        <w:keepLines/>
        <w:spacing w:after="40"/>
        <w:ind w:left="369" w:hanging="198"/>
      </w:pPr>
      <w:r>
        <w:rPr>
          <w:rFonts w:ascii="Arial" w:hAnsi="Arial" w:cs="Arial"/>
          <w:b w:val="0"/>
          <w:sz w:val="21"/>
        </w:rPr>
        <w:t>C) Tres meses.</w:t>
      </w:r>
    </w:p>
    <w:p>
      <w:pPr>
        <w:keepNext/>
        <w:keepLines/>
        <w:spacing w:after="40"/>
        <w:ind w:left="369" w:hanging="198"/>
      </w:pPr>
      <w:r>
        <w:rPr>
          <w:rFonts w:ascii="Arial" w:hAnsi="Arial" w:cs="Arial"/>
          <w:b w:val="0"/>
          <w:sz w:val="21"/>
        </w:rPr>
        <w:t>D) Dos meses.</w:t>
      </w:r>
    </w:p>
    <w:p>
      <w:pPr>
        <w:pStyle w:val="Question"/>
        <w:keepNext/>
      </w:pPr>
      <w:r>
        <w:rPr>
          <w:rFonts w:ascii="Arial" w:hAnsi="Arial" w:cs="Arial"/>
          <w:sz w:val="22"/>
        </w:rPr>
        <w:t>3. Conforme al ordenamiento vigente a la fecha de corte, desde el Real Decreto-ley 9/2025, la suspensión general por nacimiento para cada progenitor dura:</w:t>
      </w:r>
    </w:p>
    <w:p>
      <w:pPr>
        <w:keepNext/>
        <w:keepLines/>
        <w:spacing w:after="40"/>
        <w:ind w:left="369" w:hanging="198"/>
      </w:pPr>
      <w:r>
        <w:rPr>
          <w:rFonts w:ascii="Arial" w:hAnsi="Arial" w:cs="Arial"/>
          <w:b w:val="0"/>
          <w:sz w:val="21"/>
        </w:rPr>
        <w:t>A) 16 semanas.</w:t>
      </w:r>
    </w:p>
    <w:p>
      <w:pPr>
        <w:keepNext/>
        <w:keepLines/>
        <w:spacing w:after="40"/>
        <w:ind w:left="369" w:hanging="198"/>
      </w:pPr>
      <w:r>
        <w:rPr>
          <w:rFonts w:ascii="Arial" w:hAnsi="Arial" w:cs="Arial"/>
          <w:b w:val="0"/>
          <w:sz w:val="21"/>
        </w:rPr>
        <w:t>B) 20 semanas.</w:t>
      </w:r>
    </w:p>
    <w:p>
      <w:pPr>
        <w:keepNext/>
        <w:keepLines/>
        <w:spacing w:after="40"/>
        <w:ind w:left="369" w:hanging="198"/>
      </w:pPr>
      <w:r>
        <w:rPr>
          <w:rFonts w:ascii="Arial" w:hAnsi="Arial" w:cs="Arial"/>
          <w:b w:val="0"/>
          <w:sz w:val="21"/>
        </w:rPr>
        <w:t>C) 19 semanas.</w:t>
      </w:r>
    </w:p>
    <w:p>
      <w:pPr>
        <w:keepNext/>
        <w:keepLines/>
        <w:spacing w:after="40"/>
        <w:ind w:left="369" w:hanging="198"/>
      </w:pPr>
      <w:r>
        <w:rPr>
          <w:rFonts w:ascii="Arial" w:hAnsi="Arial" w:cs="Arial"/>
          <w:b w:val="0"/>
          <w:sz w:val="21"/>
        </w:rPr>
        <w:t>D) 32 semanas.</w:t>
      </w:r>
    </w:p>
    <w:p>
      <w:pPr>
        <w:pStyle w:val="Question"/>
        <w:keepNext/>
      </w:pPr>
      <w:r>
        <w:rPr>
          <w:rFonts w:ascii="Arial" w:hAnsi="Arial" w:cs="Arial"/>
          <w:sz w:val="22"/>
        </w:rPr>
        <w:t>4. Conforme al ordenamiento vigente a la fecha de corte, el Real Decreto 616/2026 entró en vigor:</w:t>
      </w:r>
    </w:p>
    <w:p>
      <w:pPr>
        <w:keepNext/>
        <w:keepLines/>
        <w:spacing w:after="40"/>
        <w:ind w:left="369" w:hanging="198"/>
      </w:pPr>
      <w:r>
        <w:rPr>
          <w:rFonts w:ascii="Arial" w:hAnsi="Arial" w:cs="Arial"/>
          <w:b w:val="0"/>
          <w:sz w:val="21"/>
        </w:rPr>
        <w:t>A) El 22 de julio de 2026.</w:t>
      </w:r>
    </w:p>
    <w:p>
      <w:pPr>
        <w:keepNext/>
        <w:keepLines/>
        <w:spacing w:after="40"/>
        <w:ind w:left="369" w:hanging="198"/>
      </w:pPr>
      <w:r>
        <w:rPr>
          <w:rFonts w:ascii="Arial" w:hAnsi="Arial" w:cs="Arial"/>
          <w:b w:val="0"/>
          <w:sz w:val="21"/>
        </w:rPr>
        <w:t>B) El 24 de julio de 2026.</w:t>
      </w:r>
    </w:p>
    <w:p>
      <w:pPr>
        <w:keepNext/>
        <w:keepLines/>
        <w:spacing w:after="40"/>
        <w:ind w:left="369" w:hanging="198"/>
      </w:pPr>
      <w:r>
        <w:rPr>
          <w:rFonts w:ascii="Arial" w:hAnsi="Arial" w:cs="Arial"/>
          <w:b w:val="0"/>
          <w:sz w:val="21"/>
        </w:rPr>
        <w:t>C) El 23 de julio de 2027.</w:t>
      </w:r>
    </w:p>
    <w:p>
      <w:pPr>
        <w:keepNext/>
        <w:keepLines/>
        <w:spacing w:after="40"/>
        <w:ind w:left="369" w:hanging="198"/>
      </w:pPr>
      <w:r>
        <w:rPr>
          <w:rFonts w:ascii="Arial" w:hAnsi="Arial" w:cs="Arial"/>
          <w:b w:val="0"/>
          <w:sz w:val="21"/>
        </w:rPr>
        <w:t>D) El 29 de julio de 2026.</w:t>
      </w:r>
    </w:p>
    <w:p>
      <w:pPr>
        <w:pStyle w:val="Question"/>
        <w:keepNext/>
      </w:pPr>
      <w:r>
        <w:rPr>
          <w:rFonts w:ascii="Arial" w:hAnsi="Arial" w:cs="Arial"/>
          <w:sz w:val="22"/>
        </w:rPr>
        <w:t>5. En una comprobación jurídica del expediente, en el RETA, el sistema ordinario de cotización vigente toma como referencia:</w:t>
      </w:r>
    </w:p>
    <w:p>
      <w:pPr>
        <w:keepNext/>
        <w:keepLines/>
        <w:spacing w:after="40"/>
        <w:ind w:left="369" w:hanging="198"/>
      </w:pPr>
      <w:r>
        <w:rPr>
          <w:rFonts w:ascii="Arial" w:hAnsi="Arial" w:cs="Arial"/>
          <w:b w:val="0"/>
          <w:sz w:val="21"/>
        </w:rPr>
        <w:t>A) Los rendimientos netos anuales de todas sus actividades económicas o profesionales, con base provisional y posterior regularización.</w:t>
      </w:r>
    </w:p>
    <w:p>
      <w:pPr>
        <w:keepNext/>
        <w:keepLines/>
        <w:spacing w:after="40"/>
        <w:ind w:left="369" w:hanging="198"/>
      </w:pPr>
      <w:r>
        <w:rPr>
          <w:rFonts w:ascii="Arial" w:hAnsi="Arial" w:cs="Arial"/>
          <w:b w:val="0"/>
          <w:sz w:val="21"/>
        </w:rPr>
        <w:t>B) Únicamente la edad del autónomo al inicio del año.</w:t>
      </w:r>
    </w:p>
    <w:p>
      <w:pPr>
        <w:keepNext/>
        <w:keepLines/>
        <w:spacing w:after="40"/>
        <w:ind w:left="369" w:hanging="198"/>
      </w:pPr>
      <w:r>
        <w:rPr>
          <w:rFonts w:ascii="Arial" w:hAnsi="Arial" w:cs="Arial"/>
          <w:b w:val="0"/>
          <w:sz w:val="21"/>
        </w:rPr>
        <w:t>C) El salario del convenio colectivo del sector.</w:t>
      </w:r>
    </w:p>
    <w:p>
      <w:pPr>
        <w:keepNext/>
        <w:keepLines/>
        <w:spacing w:after="40"/>
        <w:ind w:left="369" w:hanging="198"/>
      </w:pPr>
      <w:r>
        <w:rPr>
          <w:rFonts w:ascii="Arial" w:hAnsi="Arial" w:cs="Arial"/>
          <w:b w:val="0"/>
          <w:sz w:val="21"/>
        </w:rPr>
        <w:t>D) Una base idéntica e invariable para todos los autónomos.</w:t>
      </w:r>
    </w:p>
    <w:p>
      <w:pPr>
        <w:pStyle w:val="Question"/>
        <w:keepNext/>
      </w:pPr>
      <w:r>
        <w:rPr>
          <w:rFonts w:ascii="Arial" w:hAnsi="Arial" w:cs="Arial"/>
          <w:sz w:val="22"/>
        </w:rPr>
        <w:t>6. Sin añadir circunstancias distintas de las indicadas, la reclamación administrativa de tercería la resuelve:</w:t>
      </w:r>
    </w:p>
    <w:p>
      <w:pPr>
        <w:keepNext/>
        <w:keepLines/>
        <w:spacing w:after="40"/>
        <w:ind w:left="369" w:hanging="198"/>
      </w:pPr>
      <w:r>
        <w:rPr>
          <w:rFonts w:ascii="Arial" w:hAnsi="Arial" w:cs="Arial"/>
          <w:b w:val="0"/>
          <w:sz w:val="21"/>
        </w:rPr>
        <w:t>A) El recaudador ejecutivo en un mes.</w:t>
      </w:r>
    </w:p>
    <w:p>
      <w:pPr>
        <w:keepNext/>
        <w:keepLines/>
        <w:spacing w:after="40"/>
        <w:ind w:left="369" w:hanging="198"/>
      </w:pPr>
      <w:r>
        <w:rPr>
          <w:rFonts w:ascii="Arial" w:hAnsi="Arial" w:cs="Arial"/>
          <w:b w:val="0"/>
          <w:sz w:val="21"/>
        </w:rPr>
        <w:t>B) El INSS en seis meses.</w:t>
      </w:r>
    </w:p>
    <w:p>
      <w:pPr>
        <w:keepNext/>
        <w:keepLines/>
        <w:spacing w:after="40"/>
        <w:ind w:left="369" w:hanging="198"/>
      </w:pPr>
      <w:r>
        <w:rPr>
          <w:rFonts w:ascii="Arial" w:hAnsi="Arial" w:cs="Arial"/>
          <w:b w:val="0"/>
          <w:sz w:val="21"/>
        </w:rPr>
        <w:t>C) El director provincial de la TGSS en el plazo máximo de tres meses.</w:t>
      </w:r>
    </w:p>
    <w:p>
      <w:pPr>
        <w:keepNext/>
        <w:keepLines/>
        <w:spacing w:after="40"/>
        <w:ind w:left="369" w:hanging="198"/>
      </w:pPr>
      <w:r>
        <w:rPr>
          <w:rFonts w:ascii="Arial" w:hAnsi="Arial" w:cs="Arial"/>
          <w:b w:val="0"/>
          <w:sz w:val="21"/>
        </w:rPr>
        <w:t>D) El banco depositario en diez días.</w:t>
      </w:r>
    </w:p>
    <w:p>
      <w:pPr>
        <w:pStyle w:val="Question"/>
        <w:keepNext/>
      </w:pPr>
      <w:r>
        <w:rPr>
          <w:rFonts w:ascii="Arial" w:hAnsi="Arial" w:cs="Arial"/>
          <w:sz w:val="22"/>
        </w:rPr>
        <w:t>7. Conforme al ordenamiento vigente a la fecha de corte, la imprudencia profesional derivada de la confianza habitual en el trabajo:</w:t>
      </w:r>
    </w:p>
    <w:p>
      <w:pPr>
        <w:keepNext/>
        <w:keepLines/>
        <w:spacing w:after="40"/>
        <w:ind w:left="369" w:hanging="198"/>
      </w:pPr>
      <w:r>
        <w:rPr>
          <w:rFonts w:ascii="Arial" w:hAnsi="Arial" w:cs="Arial"/>
          <w:b w:val="0"/>
          <w:sz w:val="21"/>
        </w:rPr>
        <w:t>A) Convierte siempre el accidente en común.</w:t>
      </w:r>
    </w:p>
    <w:p>
      <w:pPr>
        <w:keepNext/>
        <w:keepLines/>
        <w:spacing w:after="40"/>
        <w:ind w:left="369" w:hanging="198"/>
      </w:pPr>
      <w:r>
        <w:rPr>
          <w:rFonts w:ascii="Arial" w:hAnsi="Arial" w:cs="Arial"/>
          <w:b w:val="0"/>
          <w:sz w:val="21"/>
        </w:rPr>
        <w:t>B) No impide por sí sola la calificación laboral.</w:t>
      </w:r>
    </w:p>
    <w:p>
      <w:pPr>
        <w:keepNext/>
        <w:keepLines/>
        <w:spacing w:after="40"/>
        <w:ind w:left="369" w:hanging="198"/>
      </w:pPr>
      <w:r>
        <w:rPr>
          <w:rFonts w:ascii="Arial" w:hAnsi="Arial" w:cs="Arial"/>
          <w:b w:val="0"/>
          <w:sz w:val="21"/>
        </w:rPr>
        <w:t>C) Excluye la asistencia sanitaria.</w:t>
      </w:r>
    </w:p>
    <w:p>
      <w:pPr>
        <w:keepNext/>
        <w:keepLines/>
        <w:spacing w:after="40"/>
        <w:ind w:left="369" w:hanging="198"/>
      </w:pPr>
      <w:r>
        <w:rPr>
          <w:rFonts w:ascii="Arial" w:hAnsi="Arial" w:cs="Arial"/>
          <w:b w:val="0"/>
          <w:sz w:val="21"/>
        </w:rPr>
        <w:t>D) Equivale a dolo.</w:t>
      </w:r>
    </w:p>
    <w:p>
      <w:pPr>
        <w:pStyle w:val="Question"/>
        <w:keepNext/>
      </w:pPr>
      <w:r>
        <w:rPr>
          <w:rFonts w:ascii="Arial" w:hAnsi="Arial" w:cs="Arial"/>
          <w:sz w:val="22"/>
        </w:rPr>
        <w:t>8. En una comprobación jurídica del expediente, cuando una empresa contrata a una persona que nunca estuvo afiliada, está obligada:</w:t>
      </w:r>
    </w:p>
    <w:p>
      <w:pPr>
        <w:keepNext/>
        <w:keepLines/>
        <w:spacing w:after="40"/>
        <w:ind w:left="369" w:hanging="198"/>
      </w:pPr>
      <w:r>
        <w:rPr>
          <w:rFonts w:ascii="Arial" w:hAnsi="Arial" w:cs="Arial"/>
          <w:b w:val="0"/>
          <w:sz w:val="21"/>
        </w:rPr>
        <w:t>A) Solo a solicitar el alta, pues la afiliación se presume.</w:t>
      </w:r>
    </w:p>
    <w:p>
      <w:pPr>
        <w:keepNext/>
        <w:keepLines/>
        <w:spacing w:after="40"/>
        <w:ind w:left="369" w:hanging="198"/>
      </w:pPr>
      <w:r>
        <w:rPr>
          <w:rFonts w:ascii="Arial" w:hAnsi="Arial" w:cs="Arial"/>
          <w:b w:val="0"/>
          <w:sz w:val="21"/>
        </w:rPr>
        <w:t>B) A esperar a que la persona se afilie por sí misma.</w:t>
      </w:r>
    </w:p>
    <w:p>
      <w:pPr>
        <w:keepNext/>
        <w:keepLines/>
        <w:spacing w:after="40"/>
        <w:ind w:left="369" w:hanging="198"/>
      </w:pPr>
      <w:r>
        <w:rPr>
          <w:rFonts w:ascii="Arial" w:hAnsi="Arial" w:cs="Arial"/>
          <w:b w:val="0"/>
          <w:sz w:val="21"/>
        </w:rPr>
        <w:t>C) A solicitar su afiliación y su alta antes del inicio de la prestación.</w:t>
      </w:r>
    </w:p>
    <w:p>
      <w:pPr>
        <w:keepNext/>
        <w:keepLines/>
        <w:spacing w:after="40"/>
        <w:ind w:left="369" w:hanging="198"/>
      </w:pPr>
      <w:r>
        <w:rPr>
          <w:rFonts w:ascii="Arial" w:hAnsi="Arial" w:cs="Arial"/>
          <w:b w:val="0"/>
          <w:sz w:val="21"/>
        </w:rPr>
        <w:t>D) A comunicar primero la baja y después la afiliación.</w:t>
      </w:r>
    </w:p>
    <w:p>
      <w:pPr>
        <w:pStyle w:val="Question"/>
        <w:keepNext/>
      </w:pPr>
      <w:r>
        <w:rPr>
          <w:rFonts w:ascii="Arial" w:hAnsi="Arial" w:cs="Arial"/>
          <w:sz w:val="22"/>
        </w:rPr>
        <w:t>9. Conforme al ordenamiento vigente a la fecha de corte, para que un tratado válidamente celebrado forme parte del ordenamiento interno español se exige:</w:t>
      </w:r>
    </w:p>
    <w:p>
      <w:pPr>
        <w:keepNext/>
        <w:keepLines/>
        <w:spacing w:after="40"/>
        <w:ind w:left="369" w:hanging="198"/>
      </w:pPr>
      <w:r>
        <w:rPr>
          <w:rFonts w:ascii="Arial" w:hAnsi="Arial" w:cs="Arial"/>
          <w:b w:val="0"/>
          <w:sz w:val="21"/>
        </w:rPr>
        <w:t>A) Una sentencia previa del Tribunal Supremo.</w:t>
      </w:r>
    </w:p>
    <w:p>
      <w:pPr>
        <w:keepNext/>
        <w:keepLines/>
        <w:spacing w:after="40"/>
        <w:ind w:left="369" w:hanging="198"/>
      </w:pPr>
      <w:r>
        <w:rPr>
          <w:rFonts w:ascii="Arial" w:hAnsi="Arial" w:cs="Arial"/>
          <w:b w:val="0"/>
          <w:sz w:val="21"/>
        </w:rPr>
        <w:t>B) Una orden ministerial de recepción en cada departamento.</w:t>
      </w:r>
    </w:p>
    <w:p>
      <w:pPr>
        <w:keepNext/>
        <w:keepLines/>
        <w:spacing w:after="40"/>
        <w:ind w:left="369" w:hanging="198"/>
      </w:pPr>
      <w:r>
        <w:rPr>
          <w:rFonts w:ascii="Arial" w:hAnsi="Arial" w:cs="Arial"/>
          <w:b w:val="0"/>
          <w:sz w:val="21"/>
        </w:rPr>
        <w:t>C) Siempre una ley orgánica posterior que reproduzca su texto.</w:t>
      </w:r>
    </w:p>
    <w:p>
      <w:pPr>
        <w:keepNext/>
        <w:keepLines/>
        <w:spacing w:after="40"/>
        <w:ind w:left="369" w:hanging="198"/>
      </w:pPr>
      <w:r>
        <w:rPr>
          <w:rFonts w:ascii="Arial" w:hAnsi="Arial" w:cs="Arial"/>
          <w:b w:val="0"/>
          <w:sz w:val="21"/>
        </w:rPr>
        <w:t>D) Su publicación oficial en España.</w:t>
      </w:r>
    </w:p>
    <w:p>
      <w:pPr>
        <w:pStyle w:val="Question"/>
        <w:keepNext/>
      </w:pPr>
      <w:r>
        <w:rPr>
          <w:rFonts w:ascii="Arial" w:hAnsi="Arial" w:cs="Arial"/>
          <w:sz w:val="22"/>
        </w:rPr>
        <w:t>10. En una comprobación jurídica del expediente, una persona demora un año el acceso después de reunir edad ordinaria y carencia y comienza una actividad compatible en jubilación activa. Con carácter general, el porcentaje inicial compatible es:</w:t>
      </w:r>
    </w:p>
    <w:p>
      <w:pPr>
        <w:keepNext/>
        <w:keepLines/>
        <w:spacing w:after="40"/>
        <w:ind w:left="369" w:hanging="198"/>
      </w:pPr>
      <w:r>
        <w:rPr>
          <w:rFonts w:ascii="Arial" w:hAnsi="Arial" w:cs="Arial"/>
          <w:b w:val="0"/>
          <w:sz w:val="21"/>
        </w:rPr>
        <w:t>A) El 25 % de la pensión, incluido siempre el complemento a mínimos.</w:t>
      </w:r>
    </w:p>
    <w:p>
      <w:pPr>
        <w:keepNext/>
        <w:keepLines/>
        <w:spacing w:after="40"/>
        <w:ind w:left="369" w:hanging="198"/>
      </w:pPr>
      <w:r>
        <w:rPr>
          <w:rFonts w:ascii="Arial" w:hAnsi="Arial" w:cs="Arial"/>
          <w:b w:val="0"/>
          <w:sz w:val="21"/>
        </w:rPr>
        <w:t>B) El 50 % invariable cualquiera que sea la demora.</w:t>
      </w:r>
    </w:p>
    <w:p>
      <w:pPr>
        <w:keepNext/>
        <w:keepLines/>
        <w:spacing w:after="40"/>
        <w:ind w:left="369" w:hanging="198"/>
      </w:pPr>
      <w:r>
        <w:rPr>
          <w:rFonts w:ascii="Arial" w:hAnsi="Arial" w:cs="Arial"/>
          <w:b w:val="0"/>
          <w:sz w:val="21"/>
        </w:rPr>
        <w:t>C) El 100 % desde el primer año en todos los casos.</w:t>
      </w:r>
    </w:p>
    <w:p>
      <w:pPr>
        <w:keepNext/>
        <w:keepLines/>
        <w:spacing w:after="40"/>
        <w:ind w:left="369" w:hanging="198"/>
      </w:pPr>
      <w:r>
        <w:rPr>
          <w:rFonts w:ascii="Arial" w:hAnsi="Arial" w:cs="Arial"/>
          <w:b w:val="0"/>
          <w:sz w:val="21"/>
        </w:rPr>
        <w:t>D) El 45 % de la pensión, sin complemento a mínimos durante la compatibilidad.</w:t>
      </w:r>
    </w:p>
    <w:p>
      <w:pPr>
        <w:pStyle w:val="Question"/>
        <w:keepNext/>
      </w:pPr>
      <w:r>
        <w:rPr>
          <w:rFonts w:ascii="Arial" w:hAnsi="Arial" w:cs="Arial"/>
          <w:sz w:val="22"/>
        </w:rPr>
        <w:t>11. A efectos de aplicar correctamente la regla examinada, según la Ley 39/2015, los actos administrativos se producirán:</w:t>
      </w:r>
    </w:p>
    <w:p>
      <w:pPr>
        <w:keepNext/>
        <w:keepLines/>
        <w:spacing w:after="40"/>
        <w:ind w:left="369" w:hanging="198"/>
      </w:pPr>
      <w:r>
        <w:rPr>
          <w:rFonts w:ascii="Arial" w:hAnsi="Arial" w:cs="Arial"/>
          <w:b w:val="0"/>
          <w:sz w:val="21"/>
        </w:rPr>
        <w:t>A) Por el órgano competente, de oficio o a instancia del interesado, con sujeción al procedimiento y requisitos establecidos.</w:t>
      </w:r>
    </w:p>
    <w:p>
      <w:pPr>
        <w:keepNext/>
        <w:keepLines/>
        <w:spacing w:after="40"/>
        <w:ind w:left="369" w:hanging="198"/>
      </w:pPr>
      <w:r>
        <w:rPr>
          <w:rFonts w:ascii="Arial" w:hAnsi="Arial" w:cs="Arial"/>
          <w:b w:val="0"/>
          <w:sz w:val="21"/>
        </w:rPr>
        <w:t>B) Exclusivamente de oficio y por el superior jerárquico.</w:t>
      </w:r>
    </w:p>
    <w:p>
      <w:pPr>
        <w:keepNext/>
        <w:keepLines/>
        <w:spacing w:after="40"/>
        <w:ind w:left="369" w:hanging="198"/>
      </w:pPr>
      <w:r>
        <w:rPr>
          <w:rFonts w:ascii="Arial" w:hAnsi="Arial" w:cs="Arial"/>
          <w:b w:val="0"/>
          <w:sz w:val="21"/>
        </w:rPr>
        <w:t>C) Solo a instancia de persona con un derecho subjetivo.</w:t>
      </w:r>
    </w:p>
    <w:p>
      <w:pPr>
        <w:keepNext/>
        <w:keepLines/>
        <w:spacing w:after="40"/>
        <w:ind w:left="369" w:hanging="198"/>
      </w:pPr>
      <w:r>
        <w:rPr>
          <w:rFonts w:ascii="Arial" w:hAnsi="Arial" w:cs="Arial"/>
          <w:b w:val="0"/>
          <w:sz w:val="21"/>
        </w:rPr>
        <w:t>D) Por cualquier unidad administrativa que haya instruido el expediente.</w:t>
      </w:r>
    </w:p>
    <w:p>
      <w:pPr>
        <w:pStyle w:val="Question"/>
        <w:keepNext/>
      </w:pPr>
      <w:r>
        <w:rPr>
          <w:rFonts w:ascii="Arial" w:hAnsi="Arial" w:cs="Arial"/>
          <w:sz w:val="22"/>
        </w:rPr>
        <w:t xml:space="preserve">12. En una comprobación jurídica del expediente, la doctrina </w:t>
      </w:r>
      <w:r>
        <w:rPr>
          <w:rFonts w:ascii="Arial" w:hAnsi="Arial" w:cs="Arial"/>
          <w:i/>
          <w:sz w:val="22"/>
        </w:rPr>
        <w:t>Grimaldi</w:t>
      </w:r>
      <w:r>
        <w:rPr>
          <w:rFonts w:ascii="Arial" w:hAnsi="Arial" w:cs="Arial"/>
          <w:sz w:val="22"/>
        </w:rPr>
        <w:t xml:space="preserve"> atribuye a las recomendaciones:</w:t>
      </w:r>
    </w:p>
    <w:p>
      <w:pPr>
        <w:keepNext/>
        <w:keepLines/>
        <w:spacing w:after="40"/>
        <w:ind w:left="369" w:hanging="198"/>
      </w:pPr>
      <w:r>
        <w:rPr>
          <w:rFonts w:ascii="Arial" w:hAnsi="Arial" w:cs="Arial"/>
          <w:b w:val="0"/>
          <w:sz w:val="21"/>
        </w:rPr>
        <w:t>A) Efecto directo horizontal.</w:t>
      </w:r>
    </w:p>
    <w:p>
      <w:pPr>
        <w:keepNext/>
        <w:keepLines/>
        <w:spacing w:after="40"/>
        <w:ind w:left="369" w:hanging="198"/>
      </w:pPr>
      <w:r>
        <w:rPr>
          <w:rFonts w:ascii="Arial" w:hAnsi="Arial" w:cs="Arial"/>
          <w:b w:val="0"/>
          <w:sz w:val="21"/>
        </w:rPr>
        <w:t>B) Relevancia para que los jueces nacionales las tomen en consideración al interpretar.</w:t>
      </w:r>
    </w:p>
    <w:p>
      <w:pPr>
        <w:keepNext/>
        <w:keepLines/>
        <w:spacing w:after="40"/>
        <w:ind w:left="369" w:hanging="198"/>
      </w:pPr>
      <w:r>
        <w:rPr>
          <w:rFonts w:ascii="Arial" w:hAnsi="Arial" w:cs="Arial"/>
          <w:b w:val="0"/>
          <w:sz w:val="21"/>
        </w:rPr>
        <w:t>C) La misma fuerza que un reglamento.</w:t>
      </w:r>
    </w:p>
    <w:p>
      <w:pPr>
        <w:keepNext/>
        <w:keepLines/>
        <w:spacing w:after="40"/>
        <w:ind w:left="369" w:hanging="198"/>
      </w:pPr>
      <w:r>
        <w:rPr>
          <w:rFonts w:ascii="Arial" w:hAnsi="Arial" w:cs="Arial"/>
          <w:b w:val="0"/>
          <w:sz w:val="21"/>
        </w:rPr>
        <w:t>D) Nulidad si no se transponen.</w:t>
      </w:r>
    </w:p>
    <w:p>
      <w:pPr>
        <w:pStyle w:val="Question"/>
        <w:keepNext/>
      </w:pPr>
      <w:r>
        <w:rPr>
          <w:rFonts w:ascii="Arial" w:hAnsi="Arial" w:cs="Arial"/>
          <w:sz w:val="22"/>
        </w:rPr>
        <w:t>13. Conforme al ordenamiento vigente a la fecha de corte, ¿Cómo define la Constitución al Senado?</w:t>
      </w:r>
    </w:p>
    <w:p>
      <w:pPr>
        <w:keepNext/>
        <w:keepLines/>
        <w:spacing w:after="40"/>
        <w:ind w:left="369" w:hanging="198"/>
      </w:pPr>
      <w:r>
        <w:rPr>
          <w:rFonts w:ascii="Arial" w:hAnsi="Arial" w:cs="Arial"/>
          <w:b w:val="0"/>
          <w:sz w:val="21"/>
        </w:rPr>
        <w:t>A) Como la Cámara de representación territorial.</w:t>
      </w:r>
    </w:p>
    <w:p>
      <w:pPr>
        <w:keepNext/>
        <w:keepLines/>
        <w:spacing w:after="40"/>
        <w:ind w:left="369" w:hanging="198"/>
      </w:pPr>
      <w:r>
        <w:rPr>
          <w:rFonts w:ascii="Arial" w:hAnsi="Arial" w:cs="Arial"/>
          <w:b w:val="0"/>
          <w:sz w:val="21"/>
        </w:rPr>
        <w:t>B) Como la Cámara de control presupuestario.</w:t>
      </w:r>
    </w:p>
    <w:p>
      <w:pPr>
        <w:keepNext/>
        <w:keepLines/>
        <w:spacing w:after="40"/>
        <w:ind w:left="369" w:hanging="198"/>
      </w:pPr>
      <w:r>
        <w:rPr>
          <w:rFonts w:ascii="Arial" w:hAnsi="Arial" w:cs="Arial"/>
          <w:b w:val="0"/>
          <w:sz w:val="21"/>
        </w:rPr>
        <w:t>C) Como la Cámara de representación popular directa exclusiva.</w:t>
      </w:r>
    </w:p>
    <w:p>
      <w:pPr>
        <w:keepNext/>
        <w:keepLines/>
        <w:spacing w:after="40"/>
        <w:ind w:left="369" w:hanging="198"/>
      </w:pPr>
      <w:r>
        <w:rPr>
          <w:rFonts w:ascii="Arial" w:hAnsi="Arial" w:cs="Arial"/>
          <w:b w:val="0"/>
          <w:sz w:val="21"/>
        </w:rPr>
        <w:t>D) Como el órgano consultivo de las Comunidades Autónomas.</w:t>
      </w:r>
    </w:p>
    <w:p>
      <w:pPr>
        <w:pStyle w:val="Question"/>
        <w:keepNext/>
      </w:pPr>
      <w:r>
        <w:rPr>
          <w:rFonts w:ascii="Arial" w:hAnsi="Arial" w:cs="Arial"/>
          <w:sz w:val="22"/>
        </w:rPr>
        <w:t>14. A efectos de aplicar correctamente la regla examinada, en caso de vacante, ausencia o enfermedad de un ministro, su suplencia:</w:t>
      </w:r>
    </w:p>
    <w:p>
      <w:pPr>
        <w:keepNext/>
        <w:keepLines/>
        <w:spacing w:after="40"/>
        <w:ind w:left="369" w:hanging="198"/>
      </w:pPr>
      <w:r>
        <w:rPr>
          <w:rFonts w:ascii="Arial" w:hAnsi="Arial" w:cs="Arial"/>
          <w:b w:val="0"/>
          <w:sz w:val="21"/>
        </w:rPr>
        <w:t>A) Corresponde automáticamente al subsecretario.</w:t>
      </w:r>
    </w:p>
    <w:p>
      <w:pPr>
        <w:keepNext/>
        <w:keepLines/>
        <w:spacing w:after="40"/>
        <w:ind w:left="369" w:hanging="198"/>
      </w:pPr>
      <w:r>
        <w:rPr>
          <w:rFonts w:ascii="Arial" w:hAnsi="Arial" w:cs="Arial"/>
          <w:b w:val="0"/>
          <w:sz w:val="21"/>
        </w:rPr>
        <w:t>B) Debe recaer en el secretario de Estado más antiguo.</w:t>
      </w:r>
    </w:p>
    <w:p>
      <w:pPr>
        <w:keepNext/>
        <w:keepLines/>
        <w:spacing w:after="40"/>
        <w:ind w:left="369" w:hanging="198"/>
      </w:pPr>
      <w:r>
        <w:rPr>
          <w:rFonts w:ascii="Arial" w:hAnsi="Arial" w:cs="Arial"/>
          <w:b w:val="0"/>
          <w:sz w:val="21"/>
        </w:rPr>
        <w:t>C) La decide el Congreso por mayoría simple.</w:t>
      </w:r>
    </w:p>
    <w:p>
      <w:pPr>
        <w:keepNext/>
        <w:keepLines/>
        <w:spacing w:after="40"/>
        <w:ind w:left="369" w:hanging="198"/>
      </w:pPr>
      <w:r>
        <w:rPr>
          <w:rFonts w:ascii="Arial" w:hAnsi="Arial" w:cs="Arial"/>
          <w:b w:val="0"/>
          <w:sz w:val="21"/>
        </w:rPr>
        <w:t>D) Recae en otro miembro del Gobierno y se determina por real decreto del presidente.</w:t>
      </w:r>
    </w:p>
    <w:p>
      <w:pPr>
        <w:pStyle w:val="Question"/>
        <w:keepNext/>
      </w:pPr>
      <w:r>
        <w:rPr>
          <w:rFonts w:ascii="Arial" w:hAnsi="Arial" w:cs="Arial"/>
          <w:sz w:val="22"/>
        </w:rPr>
        <w:t>15. Conforme al ordenamiento vigente a la fecha de corte, los abogados generales:</w:t>
      </w:r>
    </w:p>
    <w:p>
      <w:pPr>
        <w:keepNext/>
        <w:keepLines/>
        <w:spacing w:after="40"/>
        <w:ind w:left="369" w:hanging="198"/>
      </w:pPr>
      <w:r>
        <w:rPr>
          <w:rFonts w:ascii="Arial" w:hAnsi="Arial" w:cs="Arial"/>
          <w:b w:val="0"/>
          <w:sz w:val="21"/>
        </w:rPr>
        <w:t>A) Representan a los Estados en todos los litigios.</w:t>
      </w:r>
    </w:p>
    <w:p>
      <w:pPr>
        <w:keepNext/>
        <w:keepLines/>
        <w:spacing w:after="40"/>
        <w:ind w:left="369" w:hanging="198"/>
      </w:pPr>
      <w:r>
        <w:rPr>
          <w:rFonts w:ascii="Arial" w:hAnsi="Arial" w:cs="Arial"/>
          <w:b w:val="0"/>
          <w:sz w:val="21"/>
        </w:rPr>
        <w:t>B) Forman una fiscalía jerárquicamente dependiente de la Comisión.</w:t>
      </w:r>
    </w:p>
    <w:p>
      <w:pPr>
        <w:keepNext/>
        <w:keepLines/>
        <w:spacing w:after="40"/>
        <w:ind w:left="369" w:hanging="198"/>
      </w:pPr>
      <w:r>
        <w:rPr>
          <w:rFonts w:ascii="Arial" w:hAnsi="Arial" w:cs="Arial"/>
          <w:b w:val="0"/>
          <w:sz w:val="21"/>
        </w:rPr>
        <w:t>C) Votan siempre junto a los jueces para dictar sentencia.</w:t>
      </w:r>
    </w:p>
    <w:p>
      <w:pPr>
        <w:keepNext/>
        <w:keepLines/>
        <w:spacing w:after="40"/>
        <w:ind w:left="369" w:hanging="198"/>
      </w:pPr>
      <w:r>
        <w:rPr>
          <w:rFonts w:ascii="Arial" w:hAnsi="Arial" w:cs="Arial"/>
          <w:b w:val="0"/>
          <w:sz w:val="21"/>
        </w:rPr>
        <w:t>D) Presentan con imparcialidad e independencia conclusiones motivadas en los asuntos que lo requieren, sin vincular a los jueces.</w:t>
      </w:r>
    </w:p>
    <w:p>
      <w:pPr>
        <w:pStyle w:val="Question"/>
        <w:keepNext/>
      </w:pPr>
      <w:r>
        <w:rPr>
          <w:rFonts w:ascii="Arial" w:hAnsi="Arial" w:cs="Arial"/>
          <w:sz w:val="22"/>
        </w:rPr>
        <w:t>16. A efectos de aplicar correctamente la regla examinada, la participación de los interesados en la Seguridad Social se conecta con:</w:t>
      </w:r>
    </w:p>
    <w:p>
      <w:pPr>
        <w:keepNext/>
        <w:keepLines/>
        <w:spacing w:after="40"/>
        <w:ind w:left="369" w:hanging="198"/>
      </w:pPr>
      <w:r>
        <w:rPr>
          <w:rFonts w:ascii="Arial" w:hAnsi="Arial" w:cs="Arial"/>
          <w:b w:val="0"/>
          <w:sz w:val="21"/>
        </w:rPr>
        <w:t>A) El artículo 18 CE.</w:t>
      </w:r>
    </w:p>
    <w:p>
      <w:pPr>
        <w:keepNext/>
        <w:keepLines/>
        <w:spacing w:after="40"/>
        <w:ind w:left="369" w:hanging="198"/>
      </w:pPr>
      <w:r>
        <w:rPr>
          <w:rFonts w:ascii="Arial" w:hAnsi="Arial" w:cs="Arial"/>
          <w:b w:val="0"/>
          <w:sz w:val="21"/>
        </w:rPr>
        <w:t>B) El artículo 25 CE.</w:t>
      </w:r>
    </w:p>
    <w:p>
      <w:pPr>
        <w:keepNext/>
        <w:keepLines/>
        <w:spacing w:after="40"/>
        <w:ind w:left="369" w:hanging="198"/>
      </w:pPr>
      <w:r>
        <w:rPr>
          <w:rFonts w:ascii="Arial" w:hAnsi="Arial" w:cs="Arial"/>
          <w:b w:val="0"/>
          <w:sz w:val="21"/>
        </w:rPr>
        <w:t>C) El artículo 117 CE.</w:t>
      </w:r>
    </w:p>
    <w:p>
      <w:pPr>
        <w:keepNext/>
        <w:keepLines/>
        <w:spacing w:after="40"/>
        <w:ind w:left="369" w:hanging="198"/>
      </w:pPr>
      <w:r>
        <w:rPr>
          <w:rFonts w:ascii="Arial" w:hAnsi="Arial" w:cs="Arial"/>
          <w:b w:val="0"/>
          <w:sz w:val="21"/>
        </w:rPr>
        <w:t>D) El artículo 129.1 CE.</w:t>
      </w:r>
    </w:p>
    <w:p>
      <w:pPr>
        <w:pStyle w:val="Question"/>
        <w:keepNext/>
      </w:pPr>
      <w:r>
        <w:rPr>
          <w:rFonts w:ascii="Arial" w:hAnsi="Arial" w:cs="Arial"/>
          <w:sz w:val="22"/>
        </w:rPr>
        <w:t>17. A efectos de aplicar correctamente la regla examinada, ¿Cuántos artículos contiene la Constitución Española?</w:t>
      </w:r>
    </w:p>
    <w:p>
      <w:pPr>
        <w:keepNext/>
        <w:keepLines/>
        <w:spacing w:after="40"/>
        <w:ind w:left="369" w:hanging="198"/>
      </w:pPr>
      <w:r>
        <w:rPr>
          <w:rFonts w:ascii="Arial" w:hAnsi="Arial" w:cs="Arial"/>
          <w:b w:val="0"/>
          <w:sz w:val="21"/>
        </w:rPr>
        <w:t>A) 168.</w:t>
      </w:r>
    </w:p>
    <w:p>
      <w:pPr>
        <w:keepNext/>
        <w:keepLines/>
        <w:spacing w:after="40"/>
        <w:ind w:left="369" w:hanging="198"/>
      </w:pPr>
      <w:r>
        <w:rPr>
          <w:rFonts w:ascii="Arial" w:hAnsi="Arial" w:cs="Arial"/>
          <w:b w:val="0"/>
          <w:sz w:val="21"/>
        </w:rPr>
        <w:t>B) 169.</w:t>
      </w:r>
    </w:p>
    <w:p>
      <w:pPr>
        <w:keepNext/>
        <w:keepLines/>
        <w:spacing w:after="40"/>
        <w:ind w:left="369" w:hanging="198"/>
      </w:pPr>
      <w:r>
        <w:rPr>
          <w:rFonts w:ascii="Arial" w:hAnsi="Arial" w:cs="Arial"/>
          <w:b w:val="0"/>
          <w:sz w:val="21"/>
        </w:rPr>
        <w:t>C) 170.</w:t>
      </w:r>
    </w:p>
    <w:p>
      <w:pPr>
        <w:keepNext/>
        <w:keepLines/>
        <w:spacing w:after="40"/>
        <w:ind w:left="369" w:hanging="198"/>
      </w:pPr>
      <w:r>
        <w:rPr>
          <w:rFonts w:ascii="Arial" w:hAnsi="Arial" w:cs="Arial"/>
          <w:b w:val="0"/>
          <w:sz w:val="21"/>
        </w:rPr>
        <w:t>D) 172.</w:t>
      </w:r>
    </w:p>
    <w:p>
      <w:pPr>
        <w:pStyle w:val="Question"/>
        <w:keepNext/>
      </w:pPr>
      <w:r>
        <w:rPr>
          <w:rFonts w:ascii="Arial" w:hAnsi="Arial" w:cs="Arial"/>
          <w:sz w:val="22"/>
        </w:rPr>
        <w:t>18. Conforme al ordenamiento vigente a la fecha de corte, el plazo ordinario para subsanar una solicitud defectuosa es de:</w:t>
      </w:r>
    </w:p>
    <w:p>
      <w:pPr>
        <w:keepNext/>
        <w:keepLines/>
        <w:spacing w:after="40"/>
        <w:ind w:left="369" w:hanging="198"/>
      </w:pPr>
      <w:r>
        <w:rPr>
          <w:rFonts w:ascii="Arial" w:hAnsi="Arial" w:cs="Arial"/>
          <w:b w:val="0"/>
          <w:sz w:val="21"/>
        </w:rPr>
        <w:t>A) Diez días.</w:t>
      </w:r>
    </w:p>
    <w:p>
      <w:pPr>
        <w:keepNext/>
        <w:keepLines/>
        <w:spacing w:after="40"/>
        <w:ind w:left="369" w:hanging="198"/>
      </w:pPr>
      <w:r>
        <w:rPr>
          <w:rFonts w:ascii="Arial" w:hAnsi="Arial" w:cs="Arial"/>
          <w:b w:val="0"/>
          <w:sz w:val="21"/>
        </w:rPr>
        <w:t>B) Cinco días.</w:t>
      </w:r>
    </w:p>
    <w:p>
      <w:pPr>
        <w:keepNext/>
        <w:keepLines/>
        <w:spacing w:after="40"/>
        <w:ind w:left="369" w:hanging="198"/>
      </w:pPr>
      <w:r>
        <w:rPr>
          <w:rFonts w:ascii="Arial" w:hAnsi="Arial" w:cs="Arial"/>
          <w:b w:val="0"/>
          <w:sz w:val="21"/>
        </w:rPr>
        <w:t>C) Quince días.</w:t>
      </w:r>
    </w:p>
    <w:p>
      <w:pPr>
        <w:keepNext/>
        <w:keepLines/>
        <w:spacing w:after="40"/>
        <w:ind w:left="369" w:hanging="198"/>
      </w:pPr>
      <w:r>
        <w:rPr>
          <w:rFonts w:ascii="Arial" w:hAnsi="Arial" w:cs="Arial"/>
          <w:b w:val="0"/>
          <w:sz w:val="21"/>
        </w:rPr>
        <w:t>D) Un mes.</w:t>
      </w:r>
    </w:p>
    <w:p>
      <w:pPr>
        <w:pStyle w:val="Question"/>
        <w:keepNext/>
      </w:pPr>
      <w:r>
        <w:rPr>
          <w:rFonts w:ascii="Arial" w:hAnsi="Arial" w:cs="Arial"/>
          <w:sz w:val="22"/>
        </w:rPr>
        <w:t>19. Conforme al ordenamiento vigente a la fecha de corte, el veto del Senado a un proyecto de ley requiere:</w:t>
      </w:r>
    </w:p>
    <w:p>
      <w:pPr>
        <w:keepNext/>
        <w:keepLines/>
        <w:spacing w:after="40"/>
        <w:ind w:left="369" w:hanging="198"/>
      </w:pPr>
      <w:r>
        <w:rPr>
          <w:rFonts w:ascii="Arial" w:hAnsi="Arial" w:cs="Arial"/>
          <w:b w:val="0"/>
          <w:sz w:val="21"/>
        </w:rPr>
        <w:t>A) Mayoría simple.</w:t>
      </w:r>
    </w:p>
    <w:p>
      <w:pPr>
        <w:keepNext/>
        <w:keepLines/>
        <w:spacing w:after="40"/>
        <w:ind w:left="369" w:hanging="198"/>
      </w:pPr>
      <w:r>
        <w:rPr>
          <w:rFonts w:ascii="Arial" w:hAnsi="Arial" w:cs="Arial"/>
          <w:b w:val="0"/>
          <w:sz w:val="21"/>
        </w:rPr>
        <w:t>B) Tres quintos.</w:t>
      </w:r>
    </w:p>
    <w:p>
      <w:pPr>
        <w:keepNext/>
        <w:keepLines/>
        <w:spacing w:after="40"/>
        <w:ind w:left="369" w:hanging="198"/>
      </w:pPr>
      <w:r>
        <w:rPr>
          <w:rFonts w:ascii="Arial" w:hAnsi="Arial" w:cs="Arial"/>
          <w:b w:val="0"/>
          <w:sz w:val="21"/>
        </w:rPr>
        <w:t>C) Mayoría absoluta.</w:t>
      </w:r>
    </w:p>
    <w:p>
      <w:pPr>
        <w:keepNext/>
        <w:keepLines/>
        <w:spacing w:after="40"/>
        <w:ind w:left="369" w:hanging="198"/>
      </w:pPr>
      <w:r>
        <w:rPr>
          <w:rFonts w:ascii="Arial" w:hAnsi="Arial" w:cs="Arial"/>
          <w:b w:val="0"/>
          <w:sz w:val="21"/>
        </w:rPr>
        <w:t>D) Unanimidad.</w:t>
      </w:r>
    </w:p>
    <w:p>
      <w:pPr>
        <w:pStyle w:val="Question"/>
        <w:keepNext/>
      </w:pPr>
      <w:r>
        <w:rPr>
          <w:rFonts w:ascii="Arial" w:hAnsi="Arial" w:cs="Arial"/>
          <w:sz w:val="22"/>
        </w:rPr>
        <w:t>20. A efectos de aplicar correctamente la regla examinada, si el recurso extraordinario se funda en un error de hecho que resulte de los propios documentos incorporados al expediente, se interpondrá dentro de:</w:t>
      </w:r>
    </w:p>
    <w:p>
      <w:pPr>
        <w:keepNext/>
        <w:keepLines/>
        <w:spacing w:after="40"/>
        <w:ind w:left="369" w:hanging="198"/>
      </w:pPr>
      <w:r>
        <w:rPr>
          <w:rFonts w:ascii="Arial" w:hAnsi="Arial" w:cs="Arial"/>
          <w:b w:val="0"/>
          <w:sz w:val="21"/>
        </w:rPr>
        <w:t>A) Tres meses desde la notificación.</w:t>
      </w:r>
    </w:p>
    <w:p>
      <w:pPr>
        <w:keepNext/>
        <w:keepLines/>
        <w:spacing w:after="40"/>
        <w:ind w:left="369" w:hanging="198"/>
      </w:pPr>
      <w:r>
        <w:rPr>
          <w:rFonts w:ascii="Arial" w:hAnsi="Arial" w:cs="Arial"/>
          <w:b w:val="0"/>
          <w:sz w:val="21"/>
        </w:rPr>
        <w:t>B) Un mes desde que se conoció el error.</w:t>
      </w:r>
    </w:p>
    <w:p>
      <w:pPr>
        <w:keepNext/>
        <w:keepLines/>
        <w:spacing w:after="40"/>
        <w:ind w:left="369" w:hanging="198"/>
      </w:pPr>
      <w:r>
        <w:rPr>
          <w:rFonts w:ascii="Arial" w:hAnsi="Arial" w:cs="Arial"/>
          <w:b w:val="0"/>
          <w:sz w:val="21"/>
        </w:rPr>
        <w:t>C) Cuatro años desde la notificación de la resolución impugnada.</w:t>
      </w:r>
    </w:p>
    <w:p>
      <w:pPr>
        <w:keepNext/>
        <w:keepLines/>
        <w:spacing w:after="40"/>
        <w:ind w:left="369" w:hanging="198"/>
      </w:pPr>
      <w:r>
        <w:rPr>
          <w:rFonts w:ascii="Arial" w:hAnsi="Arial" w:cs="Arial"/>
          <w:b w:val="0"/>
          <w:sz w:val="21"/>
        </w:rPr>
        <w:t>D) Cinco años desde la firmeza judicial.</w:t>
      </w:r>
    </w:p>
    <w:p>
      <w:pPr>
        <w:pStyle w:val="Question"/>
        <w:keepNext/>
      </w:pPr>
      <w:r>
        <w:rPr>
          <w:rFonts w:ascii="Arial" w:hAnsi="Arial" w:cs="Arial"/>
          <w:sz w:val="22"/>
        </w:rPr>
        <w:t>21. En una comprobación jurídica del expediente, ¿Qué Estado ejerce la presidencia rotatoria del Consejo entre el 1 de julio y el 31 de diciembre de 2026?</w:t>
      </w:r>
    </w:p>
    <w:p>
      <w:pPr>
        <w:keepNext/>
        <w:keepLines/>
        <w:spacing w:after="40"/>
        <w:ind w:left="369" w:hanging="198"/>
      </w:pPr>
      <w:r>
        <w:rPr>
          <w:rFonts w:ascii="Arial" w:hAnsi="Arial" w:cs="Arial"/>
          <w:b w:val="0"/>
          <w:sz w:val="21"/>
        </w:rPr>
        <w:t>A) Irlanda.</w:t>
      </w:r>
    </w:p>
    <w:p>
      <w:pPr>
        <w:keepNext/>
        <w:keepLines/>
        <w:spacing w:after="40"/>
        <w:ind w:left="369" w:hanging="198"/>
      </w:pPr>
      <w:r>
        <w:rPr>
          <w:rFonts w:ascii="Arial" w:hAnsi="Arial" w:cs="Arial"/>
          <w:b w:val="0"/>
          <w:sz w:val="21"/>
        </w:rPr>
        <w:t>B) Chipre.</w:t>
      </w:r>
    </w:p>
    <w:p>
      <w:pPr>
        <w:keepNext/>
        <w:keepLines/>
        <w:spacing w:after="40"/>
        <w:ind w:left="369" w:hanging="198"/>
      </w:pPr>
      <w:r>
        <w:rPr>
          <w:rFonts w:ascii="Arial" w:hAnsi="Arial" w:cs="Arial"/>
          <w:b w:val="0"/>
          <w:sz w:val="21"/>
        </w:rPr>
        <w:t>C) Lituania.</w:t>
      </w:r>
    </w:p>
    <w:p>
      <w:pPr>
        <w:keepNext/>
        <w:keepLines/>
        <w:spacing w:after="40"/>
        <w:ind w:left="369" w:hanging="198"/>
      </w:pPr>
      <w:r>
        <w:rPr>
          <w:rFonts w:ascii="Arial" w:hAnsi="Arial" w:cs="Arial"/>
          <w:b w:val="0"/>
          <w:sz w:val="21"/>
        </w:rPr>
        <w:t>D) Grecia.</w:t>
      </w:r>
    </w:p>
    <w:p>
      <w:pPr>
        <w:pStyle w:val="Question"/>
        <w:keepNext/>
      </w:pPr>
      <w:r>
        <w:rPr>
          <w:rFonts w:ascii="Arial" w:hAnsi="Arial" w:cs="Arial"/>
          <w:sz w:val="22"/>
        </w:rPr>
        <w:t>22. Conforme al ordenamiento vigente a la fecha de corte, las restantes horas extraordinarias, distintas de fuerza mayor, cotizan adicionalmente al:</w:t>
      </w:r>
    </w:p>
    <w:p>
      <w:pPr>
        <w:keepNext/>
        <w:keepLines/>
        <w:spacing w:after="40"/>
        <w:ind w:left="369" w:hanging="198"/>
      </w:pPr>
      <w:r>
        <w:rPr>
          <w:rFonts w:ascii="Arial" w:hAnsi="Arial" w:cs="Arial"/>
          <w:b w:val="0"/>
          <w:sz w:val="21"/>
        </w:rPr>
        <w:t>A) 28,30 por ciento.</w:t>
      </w:r>
    </w:p>
    <w:p>
      <w:pPr>
        <w:keepNext/>
        <w:keepLines/>
        <w:spacing w:after="40"/>
        <w:ind w:left="369" w:hanging="198"/>
      </w:pPr>
      <w:r>
        <w:rPr>
          <w:rFonts w:ascii="Arial" w:hAnsi="Arial" w:cs="Arial"/>
          <w:b w:val="0"/>
          <w:sz w:val="21"/>
        </w:rPr>
        <w:t>B) 14,00 por ciento.</w:t>
      </w:r>
    </w:p>
    <w:p>
      <w:pPr>
        <w:keepNext/>
        <w:keepLines/>
        <w:spacing w:after="40"/>
        <w:ind w:left="369" w:hanging="198"/>
      </w:pPr>
      <w:r>
        <w:rPr>
          <w:rFonts w:ascii="Arial" w:hAnsi="Arial" w:cs="Arial"/>
          <w:b w:val="0"/>
          <w:sz w:val="21"/>
        </w:rPr>
        <w:t>C) 7,05 por ciento.</w:t>
      </w:r>
    </w:p>
    <w:p>
      <w:pPr>
        <w:keepNext/>
        <w:keepLines/>
        <w:spacing w:after="40"/>
        <w:ind w:left="369" w:hanging="198"/>
      </w:pPr>
      <w:r>
        <w:rPr>
          <w:rFonts w:ascii="Arial" w:hAnsi="Arial" w:cs="Arial"/>
          <w:b w:val="0"/>
          <w:sz w:val="21"/>
        </w:rPr>
        <w:t>D) 0,90 por ciento.</w:t>
      </w:r>
    </w:p>
    <w:p>
      <w:pPr>
        <w:pStyle w:val="Question"/>
        <w:keepNext/>
      </w:pPr>
      <w:r>
        <w:rPr>
          <w:rFonts w:ascii="Arial" w:hAnsi="Arial" w:cs="Arial"/>
          <w:sz w:val="22"/>
        </w:rPr>
        <w:t>23. Conforme al ordenamiento vigente a la fecha de corte, en la tramitación de urgencia se reducen a la mitad los plazos ordinarios, excepto los relativos:</w:t>
      </w:r>
    </w:p>
    <w:p>
      <w:pPr>
        <w:keepNext/>
        <w:keepLines/>
        <w:spacing w:after="40"/>
        <w:ind w:left="369" w:hanging="198"/>
      </w:pPr>
      <w:r>
        <w:rPr>
          <w:rFonts w:ascii="Arial" w:hAnsi="Arial" w:cs="Arial"/>
          <w:b w:val="0"/>
          <w:sz w:val="21"/>
        </w:rPr>
        <w:t>A) A informes y prueba.</w:t>
      </w:r>
    </w:p>
    <w:p>
      <w:pPr>
        <w:keepNext/>
        <w:keepLines/>
        <w:spacing w:after="40"/>
        <w:ind w:left="369" w:hanging="198"/>
      </w:pPr>
      <w:r>
        <w:rPr>
          <w:rFonts w:ascii="Arial" w:hAnsi="Arial" w:cs="Arial"/>
          <w:b w:val="0"/>
          <w:sz w:val="21"/>
        </w:rPr>
        <w:t>B) A audiencia y alegaciones.</w:t>
      </w:r>
    </w:p>
    <w:p>
      <w:pPr>
        <w:keepNext/>
        <w:keepLines/>
        <w:spacing w:after="40"/>
        <w:ind w:left="369" w:hanging="198"/>
      </w:pPr>
      <w:r>
        <w:rPr>
          <w:rFonts w:ascii="Arial" w:hAnsi="Arial" w:cs="Arial"/>
          <w:b w:val="0"/>
          <w:sz w:val="21"/>
        </w:rPr>
        <w:t>C) A presentación de solicitudes e interposición de recursos.</w:t>
      </w:r>
    </w:p>
    <w:p>
      <w:pPr>
        <w:keepNext/>
        <w:keepLines/>
        <w:spacing w:after="40"/>
        <w:ind w:left="369" w:hanging="198"/>
      </w:pPr>
      <w:r>
        <w:rPr>
          <w:rFonts w:ascii="Arial" w:hAnsi="Arial" w:cs="Arial"/>
          <w:b w:val="0"/>
          <w:sz w:val="21"/>
        </w:rPr>
        <w:t>D) A notificación de la resolución.</w:t>
      </w:r>
    </w:p>
    <w:p>
      <w:pPr>
        <w:pStyle w:val="Question"/>
        <w:keepNext/>
      </w:pPr>
      <w:r>
        <w:rPr>
          <w:rFonts w:ascii="Arial" w:hAnsi="Arial" w:cs="Arial"/>
          <w:sz w:val="22"/>
        </w:rPr>
        <w:t>24. Conforme al ordenamiento vigente a la fecha de corte, todos los ministerios cuentan, en todo caso:</w:t>
      </w:r>
    </w:p>
    <w:p>
      <w:pPr>
        <w:keepNext/>
        <w:keepLines/>
        <w:spacing w:after="40"/>
        <w:ind w:left="369" w:hanging="198"/>
      </w:pPr>
      <w:r>
        <w:rPr>
          <w:rFonts w:ascii="Arial" w:hAnsi="Arial" w:cs="Arial"/>
          <w:b w:val="0"/>
          <w:sz w:val="21"/>
        </w:rPr>
        <w:t>A) Con una secretaría de Estado y una secretaría general.</w:t>
      </w:r>
    </w:p>
    <w:p>
      <w:pPr>
        <w:keepNext/>
        <w:keepLines/>
        <w:spacing w:after="40"/>
        <w:ind w:left="369" w:hanging="198"/>
      </w:pPr>
      <w:r>
        <w:rPr>
          <w:rFonts w:ascii="Arial" w:hAnsi="Arial" w:cs="Arial"/>
          <w:b w:val="0"/>
          <w:sz w:val="21"/>
        </w:rPr>
        <w:t>B) Con una subsecretaría y, dependiente de ella, una secretaría general técnica.</w:t>
      </w:r>
    </w:p>
    <w:p>
      <w:pPr>
        <w:keepNext/>
        <w:keepLines/>
        <w:spacing w:after="40"/>
        <w:ind w:left="369" w:hanging="198"/>
      </w:pPr>
      <w:r>
        <w:rPr>
          <w:rFonts w:ascii="Arial" w:hAnsi="Arial" w:cs="Arial"/>
          <w:b w:val="0"/>
          <w:sz w:val="21"/>
        </w:rPr>
        <w:t>C) Con dos secretarías de Estado.</w:t>
      </w:r>
    </w:p>
    <w:p>
      <w:pPr>
        <w:keepNext/>
        <w:keepLines/>
        <w:spacing w:after="40"/>
        <w:ind w:left="369" w:hanging="198"/>
      </w:pPr>
      <w:r>
        <w:rPr>
          <w:rFonts w:ascii="Arial" w:hAnsi="Arial" w:cs="Arial"/>
          <w:b w:val="0"/>
          <w:sz w:val="21"/>
        </w:rPr>
        <w:t>D) Con una dirección insular.</w:t>
      </w:r>
    </w:p>
    <w:p>
      <w:pPr>
        <w:pStyle w:val="Question"/>
        <w:keepNext/>
      </w:pPr>
      <w:r>
        <w:rPr>
          <w:rFonts w:ascii="Arial" w:hAnsi="Arial" w:cs="Arial"/>
          <w:sz w:val="22"/>
        </w:rPr>
        <w:t>25. Conforme al ordenamiento vigente a la fecha de corte, el Rey sancionará las leyes aprobadas por las Cortes en el plazo de:</w:t>
      </w:r>
    </w:p>
    <w:p>
      <w:pPr>
        <w:keepNext/>
        <w:keepLines/>
        <w:spacing w:after="40"/>
        <w:ind w:left="369" w:hanging="198"/>
      </w:pPr>
      <w:r>
        <w:rPr>
          <w:rFonts w:ascii="Arial" w:hAnsi="Arial" w:cs="Arial"/>
          <w:b w:val="0"/>
          <w:sz w:val="21"/>
        </w:rPr>
        <w:t>A) Quince días.</w:t>
      </w:r>
    </w:p>
    <w:p>
      <w:pPr>
        <w:keepNext/>
        <w:keepLines/>
        <w:spacing w:after="40"/>
        <w:ind w:left="369" w:hanging="198"/>
      </w:pPr>
      <w:r>
        <w:rPr>
          <w:rFonts w:ascii="Arial" w:hAnsi="Arial" w:cs="Arial"/>
          <w:b w:val="0"/>
          <w:sz w:val="21"/>
        </w:rPr>
        <w:t>B) Cinco días.</w:t>
      </w:r>
    </w:p>
    <w:p>
      <w:pPr>
        <w:keepNext/>
        <w:keepLines/>
        <w:spacing w:after="40"/>
        <w:ind w:left="369" w:hanging="198"/>
      </w:pPr>
      <w:r>
        <w:rPr>
          <w:rFonts w:ascii="Arial" w:hAnsi="Arial" w:cs="Arial"/>
          <w:b w:val="0"/>
          <w:sz w:val="21"/>
        </w:rPr>
        <w:t>C) Diez días hábiles.</w:t>
      </w:r>
    </w:p>
    <w:p>
      <w:pPr>
        <w:keepNext/>
        <w:keepLines/>
        <w:spacing w:after="40"/>
        <w:ind w:left="369" w:hanging="198"/>
      </w:pPr>
      <w:r>
        <w:rPr>
          <w:rFonts w:ascii="Arial" w:hAnsi="Arial" w:cs="Arial"/>
          <w:b w:val="0"/>
          <w:sz w:val="21"/>
        </w:rPr>
        <w:t>D) Veinte días naturales.</w:t>
      </w:r>
    </w:p>
    <w:p>
      <w:pPr>
        <w:pStyle w:val="Question"/>
        <w:keepNext/>
      </w:pPr>
      <w:r>
        <w:rPr>
          <w:rFonts w:ascii="Arial" w:hAnsi="Arial" w:cs="Arial"/>
          <w:sz w:val="22"/>
        </w:rPr>
        <w:t>26. Conforme al ordenamiento vigente a la fecha de corte, frente a una vulneración procedente del Gobierno o de la Administración, tras el proceso judicial previo, el plazo de amparo es:</w:t>
      </w:r>
    </w:p>
    <w:p>
      <w:pPr>
        <w:keepNext/>
        <w:keepLines/>
        <w:spacing w:after="40"/>
        <w:ind w:left="369" w:hanging="198"/>
      </w:pPr>
      <w:r>
        <w:rPr>
          <w:rFonts w:ascii="Arial" w:hAnsi="Arial" w:cs="Arial"/>
          <w:b w:val="0"/>
          <w:sz w:val="21"/>
        </w:rPr>
        <w:t>A) Diez días.</w:t>
      </w:r>
    </w:p>
    <w:p>
      <w:pPr>
        <w:keepNext/>
        <w:keepLines/>
        <w:spacing w:after="40"/>
        <w:ind w:left="369" w:hanging="198"/>
      </w:pPr>
      <w:r>
        <w:rPr>
          <w:rFonts w:ascii="Arial" w:hAnsi="Arial" w:cs="Arial"/>
          <w:b w:val="0"/>
          <w:sz w:val="21"/>
        </w:rPr>
        <w:t>B) Veinte días desde la notificación de la resolución judicial.</w:t>
      </w:r>
    </w:p>
    <w:p>
      <w:pPr>
        <w:keepNext/>
        <w:keepLines/>
        <w:spacing w:after="40"/>
        <w:ind w:left="369" w:hanging="198"/>
      </w:pPr>
      <w:r>
        <w:rPr>
          <w:rFonts w:ascii="Arial" w:hAnsi="Arial" w:cs="Arial"/>
          <w:b w:val="0"/>
          <w:sz w:val="21"/>
        </w:rPr>
        <w:t>C) Quince días.</w:t>
      </w:r>
    </w:p>
    <w:p>
      <w:pPr>
        <w:keepNext/>
        <w:keepLines/>
        <w:spacing w:after="40"/>
        <w:ind w:left="369" w:hanging="198"/>
      </w:pPr>
      <w:r>
        <w:rPr>
          <w:rFonts w:ascii="Arial" w:hAnsi="Arial" w:cs="Arial"/>
          <w:b w:val="0"/>
          <w:sz w:val="21"/>
        </w:rPr>
        <w:t>D) Treinta días.</w:t>
      </w:r>
    </w:p>
    <w:p>
      <w:pPr>
        <w:pStyle w:val="Question"/>
        <w:keepNext/>
      </w:pPr>
      <w:r>
        <w:rPr>
          <w:rFonts w:ascii="Arial" w:hAnsi="Arial" w:cs="Arial"/>
          <w:sz w:val="22"/>
        </w:rPr>
        <w:t>27. A efectos de aplicar correctamente la regla examinada, en España, como regla, un tratamiento basado en consentimiento puede fundarse en el prestado por el menor:</w:t>
      </w:r>
    </w:p>
    <w:p>
      <w:pPr>
        <w:keepNext/>
        <w:keepLines/>
        <w:spacing w:after="40"/>
        <w:ind w:left="369" w:hanging="198"/>
      </w:pPr>
      <w:r>
        <w:rPr>
          <w:rFonts w:ascii="Arial" w:hAnsi="Arial" w:cs="Arial"/>
          <w:b w:val="0"/>
          <w:sz w:val="21"/>
        </w:rPr>
        <w:t>A) Desde los doce años.</w:t>
      </w:r>
    </w:p>
    <w:p>
      <w:pPr>
        <w:keepNext/>
        <w:keepLines/>
        <w:spacing w:after="40"/>
        <w:ind w:left="369" w:hanging="198"/>
      </w:pPr>
      <w:r>
        <w:rPr>
          <w:rFonts w:ascii="Arial" w:hAnsi="Arial" w:cs="Arial"/>
          <w:b w:val="0"/>
          <w:sz w:val="21"/>
        </w:rPr>
        <w:t>B) Cuando sea mayor de catorce años, salvo que otra ley exija asistencia.</w:t>
      </w:r>
    </w:p>
    <w:p>
      <w:pPr>
        <w:keepNext/>
        <w:keepLines/>
        <w:spacing w:after="40"/>
        <w:ind w:left="369" w:hanging="198"/>
      </w:pPr>
      <w:r>
        <w:rPr>
          <w:rFonts w:ascii="Arial" w:hAnsi="Arial" w:cs="Arial"/>
          <w:b w:val="0"/>
          <w:sz w:val="21"/>
        </w:rPr>
        <w:t>C) Solo desde los dieciocho.</w:t>
      </w:r>
    </w:p>
    <w:p>
      <w:pPr>
        <w:keepNext/>
        <w:keepLines/>
        <w:spacing w:after="40"/>
        <w:ind w:left="369" w:hanging="198"/>
      </w:pPr>
      <w:r>
        <w:rPr>
          <w:rFonts w:ascii="Arial" w:hAnsi="Arial" w:cs="Arial"/>
          <w:b w:val="0"/>
          <w:sz w:val="21"/>
        </w:rPr>
        <w:t>D) Desde los catorce inclusive según cualquier formulación.</w:t>
      </w:r>
    </w:p>
    <w:p>
      <w:pPr>
        <w:pStyle w:val="Question"/>
        <w:keepNext/>
      </w:pPr>
      <w:r>
        <w:rPr>
          <w:rFonts w:ascii="Arial" w:hAnsi="Arial" w:cs="Arial"/>
          <w:sz w:val="22"/>
        </w:rPr>
        <w:t>28. En una comprobación jurídica del expediente, ¿Cuál es el plazo ordinario para interponer el recurso de inconstitucionalidad desde la publicación de la norma?</w:t>
      </w:r>
    </w:p>
    <w:p>
      <w:pPr>
        <w:keepNext/>
        <w:keepLines/>
        <w:spacing w:after="40"/>
        <w:ind w:left="369" w:hanging="198"/>
      </w:pPr>
      <w:r>
        <w:rPr>
          <w:rFonts w:ascii="Arial" w:hAnsi="Arial" w:cs="Arial"/>
          <w:b w:val="0"/>
          <w:sz w:val="21"/>
        </w:rPr>
        <w:t>A) Quince días.</w:t>
      </w:r>
    </w:p>
    <w:p>
      <w:pPr>
        <w:keepNext/>
        <w:keepLines/>
        <w:spacing w:after="40"/>
        <w:ind w:left="369" w:hanging="198"/>
      </w:pPr>
      <w:r>
        <w:rPr>
          <w:rFonts w:ascii="Arial" w:hAnsi="Arial" w:cs="Arial"/>
          <w:b w:val="0"/>
          <w:sz w:val="21"/>
        </w:rPr>
        <w:t>B) Un mes.</w:t>
      </w:r>
    </w:p>
    <w:p>
      <w:pPr>
        <w:keepNext/>
        <w:keepLines/>
        <w:spacing w:after="40"/>
        <w:ind w:left="369" w:hanging="198"/>
      </w:pPr>
      <w:r>
        <w:rPr>
          <w:rFonts w:ascii="Arial" w:hAnsi="Arial" w:cs="Arial"/>
          <w:b w:val="0"/>
          <w:sz w:val="21"/>
        </w:rPr>
        <w:t>C) Tres meses.</w:t>
      </w:r>
    </w:p>
    <w:p>
      <w:pPr>
        <w:keepNext/>
        <w:keepLines/>
        <w:spacing w:after="40"/>
        <w:ind w:left="369" w:hanging="198"/>
      </w:pPr>
      <w:r>
        <w:rPr>
          <w:rFonts w:ascii="Arial" w:hAnsi="Arial" w:cs="Arial"/>
          <w:b w:val="0"/>
          <w:sz w:val="21"/>
        </w:rPr>
        <w:t>D) Dos meses.</w:t>
      </w:r>
    </w:p>
    <w:p>
      <w:pPr>
        <w:pStyle w:val="Question"/>
        <w:keepNext/>
      </w:pPr>
      <w:r>
        <w:rPr>
          <w:rFonts w:ascii="Arial" w:hAnsi="Arial" w:cs="Arial"/>
          <w:sz w:val="22"/>
        </w:rPr>
        <w:t>29. Conforme al ordenamiento vigente a la fecha de corte, ¿Qué presencia mínima se exige para que el Pleno pueda adoptar acuerdos?</w:t>
      </w:r>
    </w:p>
    <w:p>
      <w:pPr>
        <w:keepNext/>
        <w:keepLines/>
        <w:spacing w:after="40"/>
        <w:ind w:left="369" w:hanging="198"/>
      </w:pPr>
      <w:r>
        <w:rPr>
          <w:rFonts w:ascii="Arial" w:hAnsi="Arial" w:cs="Arial"/>
          <w:b w:val="0"/>
          <w:sz w:val="21"/>
        </w:rPr>
        <w:t>A) La mitad más uno de sus doce miembros en todo caso.</w:t>
      </w:r>
    </w:p>
    <w:p>
      <w:pPr>
        <w:keepNext/>
        <w:keepLines/>
        <w:spacing w:after="40"/>
        <w:ind w:left="369" w:hanging="198"/>
      </w:pPr>
      <w:r>
        <w:rPr>
          <w:rFonts w:ascii="Arial" w:hAnsi="Arial" w:cs="Arial"/>
          <w:b w:val="0"/>
          <w:sz w:val="21"/>
        </w:rPr>
        <w:t>B) Dos tercios de los miembros que en ese momento lo compongan.</w:t>
      </w:r>
    </w:p>
    <w:p>
      <w:pPr>
        <w:keepNext/>
        <w:keepLines/>
        <w:spacing w:after="40"/>
        <w:ind w:left="369" w:hanging="198"/>
      </w:pPr>
      <w:r>
        <w:rPr>
          <w:rFonts w:ascii="Arial" w:hAnsi="Arial" w:cs="Arial"/>
          <w:b w:val="0"/>
          <w:sz w:val="21"/>
        </w:rPr>
        <w:t>C) Tres cuartas partes de sus miembros.</w:t>
      </w:r>
    </w:p>
    <w:p>
      <w:pPr>
        <w:keepNext/>
        <w:keepLines/>
        <w:spacing w:after="40"/>
        <w:ind w:left="369" w:hanging="198"/>
      </w:pPr>
      <w:r>
        <w:rPr>
          <w:rFonts w:ascii="Arial" w:hAnsi="Arial" w:cs="Arial"/>
          <w:b w:val="0"/>
          <w:sz w:val="21"/>
        </w:rPr>
        <w:t>D) Todos sus miembros.</w:t>
      </w:r>
    </w:p>
    <w:p>
      <w:pPr>
        <w:pStyle w:val="Question"/>
        <w:keepNext/>
      </w:pPr>
      <w:r>
        <w:rPr>
          <w:rFonts w:ascii="Arial" w:hAnsi="Arial" w:cs="Arial"/>
          <w:sz w:val="22"/>
        </w:rPr>
        <w:t>30. Conforme al ordenamiento vigente a la fecha de corte, las unidades que no tienen la consideración de órgano se crean, modifican y suprimen:</w:t>
      </w:r>
    </w:p>
    <w:p>
      <w:pPr>
        <w:keepNext/>
        <w:keepLines/>
        <w:spacing w:after="40"/>
        <w:ind w:left="369" w:hanging="198"/>
      </w:pPr>
      <w:r>
        <w:rPr>
          <w:rFonts w:ascii="Arial" w:hAnsi="Arial" w:cs="Arial"/>
          <w:b w:val="0"/>
          <w:sz w:val="21"/>
        </w:rPr>
        <w:t>A) A través de las relaciones de puestos de trabajo.</w:t>
      </w:r>
    </w:p>
    <w:p>
      <w:pPr>
        <w:keepNext/>
        <w:keepLines/>
        <w:spacing w:after="40"/>
        <w:ind w:left="369" w:hanging="198"/>
      </w:pPr>
      <w:r>
        <w:rPr>
          <w:rFonts w:ascii="Arial" w:hAnsi="Arial" w:cs="Arial"/>
          <w:b w:val="0"/>
          <w:sz w:val="21"/>
        </w:rPr>
        <w:t>B) Por real decreto del presidente.</w:t>
      </w:r>
    </w:p>
    <w:p>
      <w:pPr>
        <w:keepNext/>
        <w:keepLines/>
        <w:spacing w:after="40"/>
        <w:ind w:left="369" w:hanging="198"/>
      </w:pPr>
      <w:r>
        <w:rPr>
          <w:rFonts w:ascii="Arial" w:hAnsi="Arial" w:cs="Arial"/>
          <w:b w:val="0"/>
          <w:sz w:val="21"/>
        </w:rPr>
        <w:t>C) Por acuerdo del Consejo de Ministros.</w:t>
      </w:r>
    </w:p>
    <w:p>
      <w:pPr>
        <w:keepNext/>
        <w:keepLines/>
        <w:spacing w:after="40"/>
        <w:ind w:left="369" w:hanging="198"/>
      </w:pPr>
      <w:r>
        <w:rPr>
          <w:rFonts w:ascii="Arial" w:hAnsi="Arial" w:cs="Arial"/>
          <w:b w:val="0"/>
          <w:sz w:val="21"/>
        </w:rPr>
        <w:t>D) Por orden ministerial sin más trámite.</w:t>
      </w:r>
    </w:p>
    <w:p>
      <w:pPr>
        <w:pStyle w:val="Question"/>
        <w:keepNext/>
      </w:pPr>
      <w:r>
        <w:rPr>
          <w:rFonts w:ascii="Arial" w:hAnsi="Arial" w:cs="Arial"/>
          <w:sz w:val="22"/>
        </w:rPr>
        <w:t>31. A efectos de aplicar correctamente la regla examinada, concedido un aplazamiento que incluye cuotas inaplazables aún no ingresadas, estas deben abonarse, como regla:</w:t>
      </w:r>
    </w:p>
    <w:p>
      <w:pPr>
        <w:keepNext/>
        <w:keepLines/>
        <w:spacing w:after="40"/>
        <w:ind w:left="369" w:hanging="198"/>
      </w:pPr>
      <w:r>
        <w:rPr>
          <w:rFonts w:ascii="Arial" w:hAnsi="Arial" w:cs="Arial"/>
          <w:b w:val="0"/>
          <w:sz w:val="21"/>
        </w:rPr>
        <w:t>A) Al final de los cinco años.</w:t>
      </w:r>
    </w:p>
    <w:p>
      <w:pPr>
        <w:keepNext/>
        <w:keepLines/>
        <w:spacing w:after="40"/>
        <w:ind w:left="369" w:hanging="198"/>
      </w:pPr>
      <w:r>
        <w:rPr>
          <w:rFonts w:ascii="Arial" w:hAnsi="Arial" w:cs="Arial"/>
          <w:b w:val="0"/>
          <w:sz w:val="21"/>
        </w:rPr>
        <w:t>B) Dentro de los seis meses siguientes.</w:t>
      </w:r>
    </w:p>
    <w:p>
      <w:pPr>
        <w:keepNext/>
        <w:keepLines/>
        <w:spacing w:after="40"/>
        <w:ind w:left="369" w:hanging="198"/>
      </w:pPr>
      <w:r>
        <w:rPr>
          <w:rFonts w:ascii="Arial" w:hAnsi="Arial" w:cs="Arial"/>
          <w:b w:val="0"/>
          <w:sz w:val="21"/>
        </w:rPr>
        <w:t>C) Cuando se cancele la garantía.</w:t>
      </w:r>
    </w:p>
    <w:p>
      <w:pPr>
        <w:keepNext/>
        <w:keepLines/>
        <w:spacing w:after="40"/>
        <w:ind w:left="369" w:hanging="198"/>
      </w:pPr>
      <w:r>
        <w:rPr>
          <w:rFonts w:ascii="Arial" w:hAnsi="Arial" w:cs="Arial"/>
          <w:b w:val="0"/>
          <w:sz w:val="21"/>
        </w:rPr>
        <w:t>D) Dentro del mes siguiente a la notificación de la resolución de concesión.</w:t>
      </w:r>
    </w:p>
    <w:p>
      <w:pPr>
        <w:pStyle w:val="Question"/>
        <w:keepNext/>
      </w:pPr>
      <w:r>
        <w:rPr>
          <w:rFonts w:ascii="Arial" w:hAnsi="Arial" w:cs="Arial"/>
          <w:sz w:val="22"/>
        </w:rPr>
        <w:t>32. A efectos de aplicar correctamente la regla examinada, si ambos reúnen requisitos para la prestación de corresponsabilidad:</w:t>
      </w:r>
    </w:p>
    <w:p>
      <w:pPr>
        <w:keepNext/>
        <w:keepLines/>
        <w:spacing w:after="40"/>
        <w:ind w:left="369" w:hanging="198"/>
      </w:pPr>
      <w:r>
        <w:rPr>
          <w:rFonts w:ascii="Arial" w:hAnsi="Arial" w:cs="Arial"/>
          <w:b w:val="0"/>
          <w:sz w:val="21"/>
        </w:rPr>
        <w:t>A) Cobran ambos el subsidio completo.</w:t>
      </w:r>
    </w:p>
    <w:p>
      <w:pPr>
        <w:keepNext/>
        <w:keepLines/>
        <w:spacing w:after="40"/>
        <w:ind w:left="369" w:hanging="198"/>
      </w:pPr>
      <w:r>
        <w:rPr>
          <w:rFonts w:ascii="Arial" w:hAnsi="Arial" w:cs="Arial"/>
          <w:b w:val="0"/>
          <w:sz w:val="21"/>
        </w:rPr>
        <w:t>B) No cobra ninguno.</w:t>
      </w:r>
    </w:p>
    <w:p>
      <w:pPr>
        <w:keepNext/>
        <w:keepLines/>
        <w:spacing w:after="40"/>
        <w:ind w:left="369" w:hanging="198"/>
      </w:pPr>
      <w:r>
        <w:rPr>
          <w:rFonts w:ascii="Arial" w:hAnsi="Arial" w:cs="Arial"/>
          <w:b w:val="0"/>
          <w:sz w:val="21"/>
        </w:rPr>
        <w:t>C) Solo uno puede ser beneficiario económico.</w:t>
      </w:r>
    </w:p>
    <w:p>
      <w:pPr>
        <w:keepNext/>
        <w:keepLines/>
        <w:spacing w:after="40"/>
        <w:ind w:left="369" w:hanging="198"/>
      </w:pPr>
      <w:r>
        <w:rPr>
          <w:rFonts w:ascii="Arial" w:hAnsi="Arial" w:cs="Arial"/>
          <w:b w:val="0"/>
          <w:sz w:val="21"/>
        </w:rPr>
        <w:t>D) Deben transferir el derecho a la empresa.</w:t>
      </w:r>
    </w:p>
    <w:p>
      <w:pPr>
        <w:pStyle w:val="Question"/>
        <w:keepNext/>
      </w:pPr>
      <w:r>
        <w:rPr>
          <w:rFonts w:ascii="Arial" w:hAnsi="Arial" w:cs="Arial"/>
          <w:sz w:val="22"/>
        </w:rPr>
        <w:t>33. En una comprobación jurídica del expediente, el plazo máximo para resolver una solicitud de cesión es de 90 días y el silencio:</w:t>
      </w:r>
    </w:p>
    <w:p>
      <w:pPr>
        <w:keepNext/>
        <w:keepLines/>
        <w:spacing w:after="40"/>
        <w:ind w:left="369" w:hanging="198"/>
      </w:pPr>
      <w:r>
        <w:rPr>
          <w:rFonts w:ascii="Arial" w:hAnsi="Arial" w:cs="Arial"/>
          <w:b w:val="0"/>
          <w:sz w:val="21"/>
        </w:rPr>
        <w:t>A) Es estimatorio.</w:t>
      </w:r>
    </w:p>
    <w:p>
      <w:pPr>
        <w:keepNext/>
        <w:keepLines/>
        <w:spacing w:after="40"/>
        <w:ind w:left="369" w:hanging="198"/>
      </w:pPr>
      <w:r>
        <w:rPr>
          <w:rFonts w:ascii="Arial" w:hAnsi="Arial" w:cs="Arial"/>
          <w:b w:val="0"/>
          <w:sz w:val="21"/>
        </w:rPr>
        <w:t>B) Produce una cesión provisional.</w:t>
      </w:r>
    </w:p>
    <w:p>
      <w:pPr>
        <w:keepNext/>
        <w:keepLines/>
        <w:spacing w:after="40"/>
        <w:ind w:left="369" w:hanging="198"/>
      </w:pPr>
      <w:r>
        <w:rPr>
          <w:rFonts w:ascii="Arial" w:hAnsi="Arial" w:cs="Arial"/>
          <w:b w:val="0"/>
          <w:sz w:val="21"/>
        </w:rPr>
        <w:t>C) Transfiere la propiedad al solicitante.</w:t>
      </w:r>
    </w:p>
    <w:p>
      <w:pPr>
        <w:keepNext/>
        <w:keepLines/>
        <w:spacing w:after="40"/>
        <w:ind w:left="369" w:hanging="198"/>
      </w:pPr>
      <w:r>
        <w:rPr>
          <w:rFonts w:ascii="Arial" w:hAnsi="Arial" w:cs="Arial"/>
          <w:b w:val="0"/>
          <w:sz w:val="21"/>
        </w:rPr>
        <w:t>D) Es desestimatorio.</w:t>
      </w:r>
    </w:p>
    <w:p>
      <w:pPr>
        <w:pStyle w:val="Question"/>
        <w:keepNext/>
      </w:pPr>
      <w:r>
        <w:rPr>
          <w:rFonts w:ascii="Arial" w:hAnsi="Arial" w:cs="Arial"/>
          <w:sz w:val="22"/>
        </w:rPr>
        <w:t>34. Conforme al ordenamiento vigente a la fecha de corte, ¿Cuál es el régimen provincial de las Comunidades Autónomas uniprovinciales?</w:t>
      </w:r>
    </w:p>
    <w:p>
      <w:pPr>
        <w:keepNext/>
        <w:keepLines/>
        <w:spacing w:after="40"/>
        <w:ind w:left="369" w:hanging="198"/>
      </w:pPr>
      <w:r>
        <w:rPr>
          <w:rFonts w:ascii="Arial" w:hAnsi="Arial" w:cs="Arial"/>
          <w:b w:val="0"/>
          <w:sz w:val="21"/>
        </w:rPr>
        <w:t>A) Mantienen necesariamente una Diputación ordinaria separada.</w:t>
      </w:r>
    </w:p>
    <w:p>
      <w:pPr>
        <w:keepNext/>
        <w:keepLines/>
        <w:spacing w:after="40"/>
        <w:ind w:left="369" w:hanging="198"/>
      </w:pPr>
      <w:r>
        <w:rPr>
          <w:rFonts w:ascii="Arial" w:hAnsi="Arial" w:cs="Arial"/>
          <w:b w:val="0"/>
          <w:sz w:val="21"/>
        </w:rPr>
        <w:t>B) Carecen de las competencias que corresponden a las Diputaciones.</w:t>
      </w:r>
    </w:p>
    <w:p>
      <w:pPr>
        <w:keepNext/>
        <w:keepLines/>
        <w:spacing w:after="40"/>
        <w:ind w:left="369" w:hanging="198"/>
      </w:pPr>
      <w:r>
        <w:rPr>
          <w:rFonts w:ascii="Arial" w:hAnsi="Arial" w:cs="Arial"/>
          <w:b w:val="0"/>
          <w:sz w:val="21"/>
        </w:rPr>
        <w:t>C) Las competencias provinciales pasan al Delegado del Gobierno.</w:t>
      </w:r>
    </w:p>
    <w:p>
      <w:pPr>
        <w:keepNext/>
        <w:keepLines/>
        <w:spacing w:after="40"/>
        <w:ind w:left="369" w:hanging="198"/>
      </w:pPr>
      <w:r>
        <w:rPr>
          <w:rFonts w:ascii="Arial" w:hAnsi="Arial" w:cs="Arial"/>
          <w:b w:val="0"/>
          <w:sz w:val="21"/>
        </w:rPr>
        <w:t>D) Asumen competencias, medios y recursos de las Diputaciones, con la excepción balear en los términos de su Estatuto.</w:t>
      </w:r>
    </w:p>
    <w:p>
      <w:pPr>
        <w:pStyle w:val="Question"/>
        <w:keepNext/>
      </w:pPr>
      <w:r>
        <w:rPr>
          <w:rFonts w:ascii="Arial" w:hAnsi="Arial" w:cs="Arial"/>
          <w:sz w:val="22"/>
        </w:rPr>
        <w:t>35. Conforme al ordenamiento vigente a la fecha de corte, una persona percibe incapacidad no contributiva y cumple 65 años:</w:t>
      </w:r>
    </w:p>
    <w:p>
      <w:pPr>
        <w:keepNext/>
        <w:keepLines/>
        <w:spacing w:after="40"/>
        <w:ind w:left="369" w:hanging="198"/>
      </w:pPr>
      <w:r>
        <w:rPr>
          <w:rFonts w:ascii="Arial" w:hAnsi="Arial" w:cs="Arial"/>
          <w:b w:val="0"/>
          <w:sz w:val="21"/>
        </w:rPr>
        <w:t>A) Se extingue y debe esperar diez años para pedir otra pensión.</w:t>
      </w:r>
    </w:p>
    <w:p>
      <w:pPr>
        <w:keepNext/>
        <w:keepLines/>
        <w:spacing w:after="40"/>
        <w:ind w:left="369" w:hanging="198"/>
      </w:pPr>
      <w:r>
        <w:rPr>
          <w:rFonts w:ascii="Arial" w:hAnsi="Arial" w:cs="Arial"/>
          <w:b w:val="0"/>
          <w:sz w:val="21"/>
        </w:rPr>
        <w:t>B) Se transforma automáticamente en jubilación contributiva.</w:t>
      </w:r>
    </w:p>
    <w:p>
      <w:pPr>
        <w:keepNext/>
        <w:keepLines/>
        <w:spacing w:after="40"/>
        <w:ind w:left="369" w:hanging="198"/>
      </w:pPr>
      <w:r>
        <w:rPr>
          <w:rFonts w:ascii="Arial" w:hAnsi="Arial" w:cs="Arial"/>
          <w:b w:val="0"/>
          <w:sz w:val="21"/>
        </w:rPr>
        <w:t>C) Pasa a denominarse jubilación no contributiva sin alterar por ello sus condiciones ni cuantía.</w:t>
      </w:r>
    </w:p>
    <w:p>
      <w:pPr>
        <w:keepNext/>
        <w:keepLines/>
        <w:spacing w:after="40"/>
        <w:ind w:left="369" w:hanging="198"/>
      </w:pPr>
      <w:r>
        <w:rPr>
          <w:rFonts w:ascii="Arial" w:hAnsi="Arial" w:cs="Arial"/>
          <w:b w:val="0"/>
          <w:sz w:val="21"/>
        </w:rPr>
        <w:t>D) Se abona simultáneamente con una nueva PNC completa.</w:t>
      </w:r>
    </w:p>
    <w:p>
      <w:pPr>
        <w:pStyle w:val="Question"/>
        <w:keepNext/>
      </w:pPr>
      <w:r>
        <w:rPr>
          <w:rFonts w:ascii="Arial" w:hAnsi="Arial" w:cs="Arial"/>
          <w:sz w:val="22"/>
        </w:rPr>
        <w:t>36. A efectos de aplicar correctamente la regla examinada, ¿Cómo se explica que el SJASS figure adscrito con rango de Dirección General y también entre los servicios adscritos a la Secretaría de Estado?</w:t>
      </w:r>
    </w:p>
    <w:p>
      <w:pPr>
        <w:keepNext/>
        <w:keepLines/>
        <w:spacing w:after="40"/>
        <w:ind w:left="369" w:hanging="198"/>
      </w:pPr>
      <w:r>
        <w:rPr>
          <w:rFonts w:ascii="Arial" w:hAnsi="Arial" w:cs="Arial"/>
          <w:b w:val="0"/>
          <w:sz w:val="21"/>
        </w:rPr>
        <w:t>A) Una previsión expresa su nivel orgánico y otra su naturaleza y adscripción como servicio común.</w:t>
      </w:r>
    </w:p>
    <w:p>
      <w:pPr>
        <w:keepNext/>
        <w:keepLines/>
        <w:spacing w:after="40"/>
        <w:ind w:left="369" w:hanging="198"/>
      </w:pPr>
      <w:r>
        <w:rPr>
          <w:rFonts w:ascii="Arial" w:hAnsi="Arial" w:cs="Arial"/>
          <w:b w:val="0"/>
          <w:sz w:val="21"/>
        </w:rPr>
        <w:t>B) Es una errata y solo cuenta la primera mención.</w:t>
      </w:r>
    </w:p>
    <w:p>
      <w:pPr>
        <w:keepNext/>
        <w:keepLines/>
        <w:spacing w:after="40"/>
        <w:ind w:left="369" w:hanging="198"/>
      </w:pPr>
      <w:r>
        <w:rPr>
          <w:rFonts w:ascii="Arial" w:hAnsi="Arial" w:cs="Arial"/>
          <w:b w:val="0"/>
          <w:sz w:val="21"/>
        </w:rPr>
        <w:t>C) Se trata de dos organismos distintos con el mismo nombre.</w:t>
      </w:r>
    </w:p>
    <w:p>
      <w:pPr>
        <w:keepNext/>
        <w:keepLines/>
        <w:spacing w:after="40"/>
        <w:ind w:left="369" w:hanging="198"/>
      </w:pPr>
      <w:r>
        <w:rPr>
          <w:rFonts w:ascii="Arial" w:hAnsi="Arial" w:cs="Arial"/>
          <w:b w:val="0"/>
          <w:sz w:val="21"/>
        </w:rPr>
        <w:t>D) La segunda adscripción quedó derogada tácitamente.</w:t>
      </w:r>
    </w:p>
    <w:p>
      <w:pPr>
        <w:pStyle w:val="Question"/>
        <w:keepNext/>
      </w:pPr>
      <w:r>
        <w:rPr>
          <w:rFonts w:ascii="Arial" w:hAnsi="Arial" w:cs="Arial"/>
          <w:sz w:val="22"/>
        </w:rPr>
        <w:t>37. En una comprobación jurídica del expediente, aunque no haya llegado la fecha de revisión indicada, el INSS puede revisar la IP si:</w:t>
      </w:r>
    </w:p>
    <w:p>
      <w:pPr>
        <w:keepNext/>
        <w:keepLines/>
        <w:spacing w:after="40"/>
        <w:ind w:left="369" w:hanging="198"/>
      </w:pPr>
      <w:r>
        <w:rPr>
          <w:rFonts w:ascii="Arial" w:hAnsi="Arial" w:cs="Arial"/>
          <w:b w:val="0"/>
          <w:sz w:val="21"/>
        </w:rPr>
        <w:t>A) Lo pide cualquier empresa sin prueba.</w:t>
      </w:r>
    </w:p>
    <w:p>
      <w:pPr>
        <w:keepNext/>
        <w:keepLines/>
        <w:spacing w:after="40"/>
        <w:ind w:left="369" w:hanging="198"/>
      </w:pPr>
      <w:r>
        <w:rPr>
          <w:rFonts w:ascii="Arial" w:hAnsi="Arial" w:cs="Arial"/>
          <w:b w:val="0"/>
          <w:sz w:val="21"/>
        </w:rPr>
        <w:t>B) Han pasado solo diez días.</w:t>
      </w:r>
    </w:p>
    <w:p>
      <w:pPr>
        <w:keepNext/>
        <w:keepLines/>
        <w:spacing w:after="40"/>
        <w:ind w:left="369" w:hanging="198"/>
      </w:pPr>
      <w:r>
        <w:rPr>
          <w:rFonts w:ascii="Arial" w:hAnsi="Arial" w:cs="Arial"/>
          <w:b w:val="0"/>
          <w:sz w:val="21"/>
        </w:rPr>
        <w:t>C) La persona cumplió ya 67 años.</w:t>
      </w:r>
    </w:p>
    <w:p>
      <w:pPr>
        <w:keepNext/>
        <w:keepLines/>
        <w:spacing w:after="40"/>
        <w:ind w:left="369" w:hanging="198"/>
      </w:pPr>
      <w:r>
        <w:rPr>
          <w:rFonts w:ascii="Arial" w:hAnsi="Arial" w:cs="Arial"/>
          <w:b w:val="0"/>
          <w:sz w:val="21"/>
        </w:rPr>
        <w:t>D) El pensionista está realizando trabajo por cuenta propia o ajena.</w:t>
      </w:r>
    </w:p>
    <w:p>
      <w:pPr>
        <w:pStyle w:val="Question"/>
        <w:keepNext/>
      </w:pPr>
      <w:r>
        <w:rPr>
          <w:rFonts w:ascii="Arial" w:hAnsi="Arial" w:cs="Arial"/>
          <w:sz w:val="22"/>
        </w:rPr>
        <w:t>38. Conforme al ordenamiento vigente a la fecha de corte, ¿Puede el CGPJ ordenar a un juez el sentido en que debe interpretar la ley en un proceso concreto?</w:t>
      </w:r>
    </w:p>
    <w:p>
      <w:pPr>
        <w:keepNext/>
        <w:keepLines/>
        <w:spacing w:after="40"/>
        <w:ind w:left="369" w:hanging="198"/>
      </w:pPr>
      <w:r>
        <w:rPr>
          <w:rFonts w:ascii="Arial" w:hAnsi="Arial" w:cs="Arial"/>
          <w:b w:val="0"/>
          <w:sz w:val="21"/>
        </w:rPr>
        <w:t>A) Sí, mediante circular de la Comisión Permanente.</w:t>
      </w:r>
    </w:p>
    <w:p>
      <w:pPr>
        <w:keepNext/>
        <w:keepLines/>
        <w:spacing w:after="40"/>
        <w:ind w:left="369" w:hanging="198"/>
      </w:pPr>
      <w:r>
        <w:rPr>
          <w:rFonts w:ascii="Arial" w:hAnsi="Arial" w:cs="Arial"/>
          <w:b w:val="0"/>
          <w:sz w:val="21"/>
        </w:rPr>
        <w:t>B) Sí, cuando el asunto tenga repercusión nacional.</w:t>
      </w:r>
    </w:p>
    <w:p>
      <w:pPr>
        <w:keepNext/>
        <w:keepLines/>
        <w:spacing w:after="40"/>
        <w:ind w:left="369" w:hanging="198"/>
      </w:pPr>
      <w:r>
        <w:rPr>
          <w:rFonts w:ascii="Arial" w:hAnsi="Arial" w:cs="Arial"/>
          <w:b w:val="0"/>
          <w:sz w:val="21"/>
        </w:rPr>
        <w:t>C) Solo si lo aprueba el Pleno por tres quintos.</w:t>
      </w:r>
    </w:p>
    <w:p>
      <w:pPr>
        <w:keepNext/>
        <w:keepLines/>
        <w:spacing w:after="40"/>
        <w:ind w:left="369" w:hanging="198"/>
      </w:pPr>
      <w:r>
        <w:rPr>
          <w:rFonts w:ascii="Arial" w:hAnsi="Arial" w:cs="Arial"/>
          <w:b w:val="0"/>
          <w:sz w:val="21"/>
        </w:rPr>
        <w:t>D) No; sus potestades de gobierno no permiten instrucciones sobre el ejercicio jurisdiccional.</w:t>
      </w:r>
    </w:p>
    <w:p>
      <w:pPr>
        <w:pStyle w:val="Question"/>
        <w:keepNext/>
      </w:pPr>
      <w:r>
        <w:rPr>
          <w:rFonts w:ascii="Arial" w:hAnsi="Arial" w:cs="Arial"/>
          <w:sz w:val="22"/>
        </w:rPr>
        <w:t>39. Conforme al ordenamiento vigente a la fecha de corte, una persona que trabaja por cuenta propia en una actividad marítimo-pesquera incluida en la Ley 47/2015 debe encuadrarse, por esa actividad:</w:t>
      </w:r>
    </w:p>
    <w:p>
      <w:pPr>
        <w:keepNext/>
        <w:keepLines/>
        <w:spacing w:after="40"/>
        <w:ind w:left="369" w:hanging="198"/>
      </w:pPr>
      <w:r>
        <w:rPr>
          <w:rFonts w:ascii="Arial" w:hAnsi="Arial" w:cs="Arial"/>
          <w:b w:val="0"/>
          <w:sz w:val="21"/>
        </w:rPr>
        <w:t>A) Necesariamente en el RETA, porque todo trabajo por cuenta propia pertenece a ese régimen.</w:t>
      </w:r>
    </w:p>
    <w:p>
      <w:pPr>
        <w:keepNext/>
        <w:keepLines/>
        <w:spacing w:after="40"/>
        <w:ind w:left="369" w:hanging="198"/>
      </w:pPr>
      <w:r>
        <w:rPr>
          <w:rFonts w:ascii="Arial" w:hAnsi="Arial" w:cs="Arial"/>
          <w:b w:val="0"/>
          <w:sz w:val="21"/>
        </w:rPr>
        <w:t>B) En el Régimen Especial de la Seguridad Social de los Trabajadores del Mar.</w:t>
      </w:r>
    </w:p>
    <w:p>
      <w:pPr>
        <w:keepNext/>
        <w:keepLines/>
        <w:spacing w:after="40"/>
        <w:ind w:left="369" w:hanging="198"/>
      </w:pPr>
      <w:r>
        <w:rPr>
          <w:rFonts w:ascii="Arial" w:hAnsi="Arial" w:cs="Arial"/>
          <w:b w:val="0"/>
          <w:sz w:val="21"/>
        </w:rPr>
        <w:t>C) En el Régimen General como asimilada.</w:t>
      </w:r>
    </w:p>
    <w:p>
      <w:pPr>
        <w:keepNext/>
        <w:keepLines/>
        <w:spacing w:after="40"/>
        <w:ind w:left="369" w:hanging="198"/>
      </w:pPr>
      <w:r>
        <w:rPr>
          <w:rFonts w:ascii="Arial" w:hAnsi="Arial" w:cs="Arial"/>
          <w:b w:val="0"/>
          <w:sz w:val="21"/>
        </w:rPr>
        <w:t>D) En el Seguro Escolar.</w:t>
      </w:r>
    </w:p>
    <w:p>
      <w:pPr>
        <w:pStyle w:val="Question"/>
        <w:keepNext/>
      </w:pPr>
      <w:r>
        <w:rPr>
          <w:rFonts w:ascii="Arial" w:hAnsi="Arial" w:cs="Arial"/>
          <w:sz w:val="22"/>
        </w:rPr>
        <w:t>40. Conforme al ordenamiento vigente a la fecha de corte, la violencia de género definida en el artículo 1 de la Ley Orgánica 1/2004 exige:</w:t>
      </w:r>
    </w:p>
    <w:p>
      <w:pPr>
        <w:keepNext/>
        <w:keepLines/>
        <w:spacing w:after="40"/>
        <w:ind w:left="369" w:hanging="198"/>
      </w:pPr>
      <w:r>
        <w:rPr>
          <w:rFonts w:ascii="Arial" w:hAnsi="Arial" w:cs="Arial"/>
          <w:b w:val="0"/>
          <w:sz w:val="21"/>
        </w:rPr>
        <w:t>A) Convivencia actual en todo caso.</w:t>
      </w:r>
    </w:p>
    <w:p>
      <w:pPr>
        <w:keepNext/>
        <w:keepLines/>
        <w:spacing w:after="40"/>
        <w:ind w:left="369" w:hanging="198"/>
      </w:pPr>
      <w:r>
        <w:rPr>
          <w:rFonts w:ascii="Arial" w:hAnsi="Arial" w:cs="Arial"/>
          <w:b w:val="0"/>
          <w:sz w:val="21"/>
        </w:rPr>
        <w:t>B) Que víctima y agresor sean familiares consanguíneos.</w:t>
      </w:r>
    </w:p>
    <w:p>
      <w:pPr>
        <w:keepNext/>
        <w:keepLines/>
        <w:spacing w:after="40"/>
        <w:ind w:left="369" w:hanging="198"/>
      </w:pPr>
      <w:r>
        <w:rPr>
          <w:rFonts w:ascii="Arial" w:hAnsi="Arial" w:cs="Arial"/>
          <w:b w:val="0"/>
          <w:sz w:val="21"/>
        </w:rPr>
        <w:t>C) Sentencia firme previa para que el hecho exista.</w:t>
      </w:r>
    </w:p>
    <w:p>
      <w:pPr>
        <w:keepNext/>
        <w:keepLines/>
        <w:spacing w:after="40"/>
        <w:ind w:left="369" w:hanging="198"/>
      </w:pPr>
      <w:r>
        <w:rPr>
          <w:rFonts w:ascii="Arial" w:hAnsi="Arial" w:cs="Arial"/>
          <w:b w:val="0"/>
          <w:sz w:val="21"/>
        </w:rPr>
        <w:t>D) Que el agresor sea o haya sido cónyuge o esté o haya estado unido a la mujer por relación análoga de afectividad, aun sin convivencia.</w:t>
      </w:r>
    </w:p>
    <w:p>
      <w:pPr>
        <w:pStyle w:val="Question"/>
        <w:keepNext/>
      </w:pPr>
      <w:r>
        <w:rPr>
          <w:rFonts w:ascii="Arial" w:hAnsi="Arial" w:cs="Arial"/>
          <w:sz w:val="22"/>
        </w:rPr>
        <w:t>41. A efectos de aplicar correctamente la regla examinada, ¿Quién refrenda con carácter general los actos del Rey?</w:t>
      </w:r>
    </w:p>
    <w:p>
      <w:pPr>
        <w:keepNext/>
        <w:keepLines/>
        <w:spacing w:after="40"/>
        <w:ind w:left="369" w:hanging="198"/>
      </w:pPr>
      <w:r>
        <w:rPr>
          <w:rFonts w:ascii="Arial" w:hAnsi="Arial" w:cs="Arial"/>
          <w:b w:val="0"/>
          <w:sz w:val="21"/>
        </w:rPr>
        <w:t>A) El Presidente del Gobierno y, en su caso, los ministros competentes.</w:t>
      </w:r>
    </w:p>
    <w:p>
      <w:pPr>
        <w:keepNext/>
        <w:keepLines/>
        <w:spacing w:after="40"/>
        <w:ind w:left="369" w:hanging="198"/>
      </w:pPr>
      <w:r>
        <w:rPr>
          <w:rFonts w:ascii="Arial" w:hAnsi="Arial" w:cs="Arial"/>
          <w:b w:val="0"/>
          <w:sz w:val="21"/>
        </w:rPr>
        <w:t>B) El Presidente del Congreso en todos los casos.</w:t>
      </w:r>
    </w:p>
    <w:p>
      <w:pPr>
        <w:keepNext/>
        <w:keepLines/>
        <w:spacing w:after="40"/>
        <w:ind w:left="369" w:hanging="198"/>
      </w:pPr>
      <w:r>
        <w:rPr>
          <w:rFonts w:ascii="Arial" w:hAnsi="Arial" w:cs="Arial"/>
          <w:b w:val="0"/>
          <w:sz w:val="21"/>
        </w:rPr>
        <w:t>C) El Presidente del Tribunal Supremo.</w:t>
      </w:r>
    </w:p>
    <w:p>
      <w:pPr>
        <w:keepNext/>
        <w:keepLines/>
        <w:spacing w:after="40"/>
        <w:ind w:left="369" w:hanging="198"/>
      </w:pPr>
      <w:r>
        <w:rPr>
          <w:rFonts w:ascii="Arial" w:hAnsi="Arial" w:cs="Arial"/>
          <w:b w:val="0"/>
          <w:sz w:val="21"/>
        </w:rPr>
        <w:t>D) El Consejo de Ministros colegiadamente mediante acuerdo secreto.</w:t>
      </w:r>
    </w:p>
    <w:p>
      <w:pPr>
        <w:pStyle w:val="Question"/>
        <w:keepNext/>
      </w:pPr>
      <w:r>
        <w:rPr>
          <w:rFonts w:ascii="Arial" w:hAnsi="Arial" w:cs="Arial"/>
          <w:sz w:val="22"/>
        </w:rPr>
        <w:t>42. A efectos de aplicar correctamente la regla examinada, ¿Puede el consorte del titular de la Corona asumir funciones constitucionales?</w:t>
      </w:r>
    </w:p>
    <w:p>
      <w:pPr>
        <w:keepNext/>
        <w:keepLines/>
        <w:spacing w:after="40"/>
        <w:ind w:left="369" w:hanging="198"/>
      </w:pPr>
      <w:r>
        <w:rPr>
          <w:rFonts w:ascii="Arial" w:hAnsi="Arial" w:cs="Arial"/>
          <w:b w:val="0"/>
          <w:sz w:val="21"/>
        </w:rPr>
        <w:t>A) No, salvo lo dispuesto para la Regencia.</w:t>
      </w:r>
    </w:p>
    <w:p>
      <w:pPr>
        <w:keepNext/>
        <w:keepLines/>
        <w:spacing w:after="40"/>
        <w:ind w:left="369" w:hanging="198"/>
      </w:pPr>
      <w:r>
        <w:rPr>
          <w:rFonts w:ascii="Arial" w:hAnsi="Arial" w:cs="Arial"/>
          <w:b w:val="0"/>
          <w:sz w:val="21"/>
        </w:rPr>
        <w:t>B) Sí, siempre que las refrende el Presidente del Gobierno.</w:t>
      </w:r>
    </w:p>
    <w:p>
      <w:pPr>
        <w:keepNext/>
        <w:keepLines/>
        <w:spacing w:after="40"/>
        <w:ind w:left="369" w:hanging="198"/>
      </w:pPr>
      <w:r>
        <w:rPr>
          <w:rFonts w:ascii="Arial" w:hAnsi="Arial" w:cs="Arial"/>
          <w:b w:val="0"/>
          <w:sz w:val="21"/>
        </w:rPr>
        <w:t>C) Sí, si lo autoriza el Congreso.</w:t>
      </w:r>
    </w:p>
    <w:p>
      <w:pPr>
        <w:keepNext/>
        <w:keepLines/>
        <w:spacing w:after="40"/>
        <w:ind w:left="369" w:hanging="198"/>
      </w:pPr>
      <w:r>
        <w:rPr>
          <w:rFonts w:ascii="Arial" w:hAnsi="Arial" w:cs="Arial"/>
          <w:b w:val="0"/>
          <w:sz w:val="21"/>
        </w:rPr>
        <w:t>D) Solo puede ejercer el mando supremo de las Fuerzas Armadas.</w:t>
      </w:r>
    </w:p>
    <w:p>
      <w:pPr>
        <w:pStyle w:val="Question"/>
        <w:keepNext/>
      </w:pPr>
      <w:r>
        <w:rPr>
          <w:rFonts w:ascii="Arial" w:hAnsi="Arial" w:cs="Arial"/>
          <w:sz w:val="22"/>
        </w:rPr>
        <w:t>43. A efectos de aplicar correctamente la regla examinada, la IT especial desde el primer día de la semana 39 de gestación exige:</w:t>
      </w:r>
    </w:p>
    <w:p>
      <w:pPr>
        <w:keepNext/>
        <w:keepLines/>
        <w:spacing w:after="40"/>
        <w:ind w:left="369" w:hanging="198"/>
      </w:pPr>
      <w:r>
        <w:rPr>
          <w:rFonts w:ascii="Arial" w:hAnsi="Arial" w:cs="Arial"/>
          <w:b w:val="0"/>
          <w:sz w:val="21"/>
        </w:rPr>
        <w:t>A) Siempre 180 días en cinco años.</w:t>
      </w:r>
    </w:p>
    <w:p>
      <w:pPr>
        <w:keepNext/>
        <w:keepLines/>
        <w:spacing w:after="40"/>
        <w:ind w:left="369" w:hanging="198"/>
      </w:pPr>
      <w:r>
        <w:rPr>
          <w:rFonts w:ascii="Arial" w:hAnsi="Arial" w:cs="Arial"/>
          <w:b w:val="0"/>
          <w:sz w:val="21"/>
        </w:rPr>
        <w:t>B) Ninguna carencia en cualquier edad.</w:t>
      </w:r>
    </w:p>
    <w:p>
      <w:pPr>
        <w:keepNext/>
        <w:keepLines/>
        <w:spacing w:after="40"/>
        <w:ind w:left="369" w:hanging="198"/>
      </w:pPr>
      <w:r>
        <w:rPr>
          <w:rFonts w:ascii="Arial" w:hAnsi="Arial" w:cs="Arial"/>
          <w:b w:val="0"/>
          <w:sz w:val="21"/>
        </w:rPr>
        <w:t>C) La carencia de nacimiento y cuidado según la edad.</w:t>
      </w:r>
    </w:p>
    <w:p>
      <w:pPr>
        <w:keepNext/>
        <w:keepLines/>
        <w:spacing w:after="40"/>
        <w:ind w:left="369" w:hanging="198"/>
      </w:pPr>
      <w:r>
        <w:rPr>
          <w:rFonts w:ascii="Arial" w:hAnsi="Arial" w:cs="Arial"/>
          <w:b w:val="0"/>
          <w:sz w:val="21"/>
        </w:rPr>
        <w:t>D) 1.800 días en diez años.</w:t>
      </w:r>
    </w:p>
    <w:p>
      <w:pPr>
        <w:pStyle w:val="Question"/>
        <w:keepNext/>
      </w:pPr>
      <w:r>
        <w:rPr>
          <w:rFonts w:ascii="Arial" w:hAnsi="Arial" w:cs="Arial"/>
          <w:sz w:val="22"/>
        </w:rPr>
        <w:t>44. A efectos de aplicar correctamente la regla examinada, en el sistema de liquidación directa, las cuotas por trabajador las calcula:</w:t>
      </w:r>
    </w:p>
    <w:p>
      <w:pPr>
        <w:keepNext/>
        <w:keepLines/>
        <w:spacing w:after="40"/>
        <w:ind w:left="369" w:hanging="198"/>
      </w:pPr>
      <w:r>
        <w:rPr>
          <w:rFonts w:ascii="Arial" w:hAnsi="Arial" w:cs="Arial"/>
          <w:b w:val="0"/>
          <w:sz w:val="21"/>
        </w:rPr>
        <w:t>A) La Tesorería General de la Seguridad Social.</w:t>
      </w:r>
    </w:p>
    <w:p>
      <w:pPr>
        <w:keepNext/>
        <w:keepLines/>
        <w:spacing w:after="40"/>
        <w:ind w:left="369" w:hanging="198"/>
      </w:pPr>
      <w:r>
        <w:rPr>
          <w:rFonts w:ascii="Arial" w:hAnsi="Arial" w:cs="Arial"/>
          <w:b w:val="0"/>
          <w:sz w:val="21"/>
        </w:rPr>
        <w:t>B) El INSS.</w:t>
      </w:r>
    </w:p>
    <w:p>
      <w:pPr>
        <w:keepNext/>
        <w:keepLines/>
        <w:spacing w:after="40"/>
        <w:ind w:left="369" w:hanging="198"/>
      </w:pPr>
      <w:r>
        <w:rPr>
          <w:rFonts w:ascii="Arial" w:hAnsi="Arial" w:cs="Arial"/>
          <w:b w:val="0"/>
          <w:sz w:val="21"/>
        </w:rPr>
        <w:t>C) La Inspección de Trabajo.</w:t>
      </w:r>
    </w:p>
    <w:p>
      <w:pPr>
        <w:keepNext/>
        <w:keepLines/>
        <w:spacing w:after="40"/>
        <w:ind w:left="369" w:hanging="198"/>
      </w:pPr>
      <w:r>
        <w:rPr>
          <w:rFonts w:ascii="Arial" w:hAnsi="Arial" w:cs="Arial"/>
          <w:b w:val="0"/>
          <w:sz w:val="21"/>
        </w:rPr>
        <w:t>D) La Agencia Tributaria.</w:t>
      </w:r>
    </w:p>
    <w:p>
      <w:pPr>
        <w:pStyle w:val="Question"/>
        <w:keepNext/>
      </w:pPr>
      <w:r>
        <w:rPr>
          <w:rFonts w:ascii="Arial" w:hAnsi="Arial" w:cs="Arial"/>
          <w:sz w:val="22"/>
        </w:rPr>
        <w:t>45. A efectos de aplicar correctamente la regla examinada, la cotización del mecanismo de equidad intergeneracional:</w:t>
      </w:r>
    </w:p>
    <w:p>
      <w:pPr>
        <w:keepNext/>
        <w:keepLines/>
        <w:spacing w:after="40"/>
        <w:ind w:left="369" w:hanging="198"/>
      </w:pPr>
      <w:r>
        <w:rPr>
          <w:rFonts w:ascii="Arial" w:hAnsi="Arial" w:cs="Arial"/>
          <w:b w:val="0"/>
          <w:sz w:val="21"/>
        </w:rPr>
        <w:t>A) Genera por sí misma una pensión adicional individual.</w:t>
      </w:r>
    </w:p>
    <w:p>
      <w:pPr>
        <w:keepNext/>
        <w:keepLines/>
        <w:spacing w:after="40"/>
        <w:ind w:left="369" w:hanging="198"/>
      </w:pPr>
      <w:r>
        <w:rPr>
          <w:rFonts w:ascii="Arial" w:hAnsi="Arial" w:cs="Arial"/>
          <w:b w:val="0"/>
          <w:sz w:val="21"/>
        </w:rPr>
        <w:t>B) Se ingresa en el patrimonio de cada mutua.</w:t>
      </w:r>
    </w:p>
    <w:p>
      <w:pPr>
        <w:keepNext/>
        <w:keepLines/>
        <w:spacing w:after="40"/>
        <w:ind w:left="369" w:hanging="198"/>
      </w:pPr>
      <w:r>
        <w:rPr>
          <w:rFonts w:ascii="Arial" w:hAnsi="Arial" w:cs="Arial"/>
          <w:b w:val="0"/>
          <w:sz w:val="21"/>
        </w:rPr>
        <w:t>C) Puede bonificarse libremente por convenio colectivo.</w:t>
      </w:r>
    </w:p>
    <w:p>
      <w:pPr>
        <w:keepNext/>
        <w:keepLines/>
        <w:spacing w:after="40"/>
        <w:ind w:left="369" w:hanging="198"/>
      </w:pPr>
      <w:r>
        <w:rPr>
          <w:rFonts w:ascii="Arial" w:hAnsi="Arial" w:cs="Arial"/>
          <w:b w:val="0"/>
          <w:sz w:val="21"/>
        </w:rPr>
        <w:t>D) Tiene carácter finalista, nutre el Fondo de Reserva y no genera prestaciones.</w:t>
      </w:r>
    </w:p>
    <w:p>
      <w:pPr>
        <w:pStyle w:val="Question"/>
        <w:keepNext/>
      </w:pPr>
      <w:r>
        <w:rPr>
          <w:rFonts w:ascii="Arial" w:hAnsi="Arial" w:cs="Arial"/>
          <w:sz w:val="22"/>
        </w:rPr>
        <w:t>46. A efectos de aplicar correctamente la regla examinada, a los municipios con población superior a 5.000 habitantes se les añaden como servicios mínimos:</w:t>
      </w:r>
    </w:p>
    <w:p>
      <w:pPr>
        <w:keepNext/>
        <w:keepLines/>
        <w:spacing w:after="40"/>
        <w:ind w:left="369" w:hanging="198"/>
      </w:pPr>
      <w:r>
        <w:rPr>
          <w:rFonts w:ascii="Arial" w:hAnsi="Arial" w:cs="Arial"/>
          <w:b w:val="0"/>
          <w:sz w:val="21"/>
        </w:rPr>
        <w:t>A) Protección civil, bomberos y transporte colectivo.</w:t>
      </w:r>
    </w:p>
    <w:p>
      <w:pPr>
        <w:keepNext/>
        <w:keepLines/>
        <w:spacing w:after="40"/>
        <w:ind w:left="369" w:hanging="198"/>
      </w:pPr>
      <w:r>
        <w:rPr>
          <w:rFonts w:ascii="Arial" w:hAnsi="Arial" w:cs="Arial"/>
          <w:b w:val="0"/>
          <w:sz w:val="21"/>
        </w:rPr>
        <w:t>B) Medio ambiente urbano y atención social inmediata.</w:t>
      </w:r>
    </w:p>
    <w:p>
      <w:pPr>
        <w:keepNext/>
        <w:keepLines/>
        <w:spacing w:after="40"/>
        <w:ind w:left="369" w:hanging="198"/>
      </w:pPr>
      <w:r>
        <w:rPr>
          <w:rFonts w:ascii="Arial" w:hAnsi="Arial" w:cs="Arial"/>
          <w:b w:val="0"/>
          <w:sz w:val="21"/>
        </w:rPr>
        <w:t>C) Policía local, mercado y cementerio.</w:t>
      </w:r>
    </w:p>
    <w:p>
      <w:pPr>
        <w:keepNext/>
        <w:keepLines/>
        <w:spacing w:after="40"/>
        <w:ind w:left="369" w:hanging="198"/>
      </w:pPr>
      <w:r>
        <w:rPr>
          <w:rFonts w:ascii="Arial" w:hAnsi="Arial" w:cs="Arial"/>
          <w:b w:val="0"/>
          <w:sz w:val="21"/>
        </w:rPr>
        <w:t>D) Parque público, biblioteca pública y tratamiento de residuos.</w:t>
      </w:r>
    </w:p>
    <w:p>
      <w:pPr>
        <w:pStyle w:val="Question"/>
        <w:keepNext/>
      </w:pPr>
      <w:r>
        <w:rPr>
          <w:rFonts w:ascii="Arial" w:hAnsi="Arial" w:cs="Arial"/>
          <w:sz w:val="22"/>
        </w:rPr>
        <w:t>47. A efectos de aplicar correctamente la regla examinada, la Tesorería General de la Seguridad Social es:</w:t>
      </w:r>
    </w:p>
    <w:p>
      <w:pPr>
        <w:keepNext/>
        <w:keepLines/>
        <w:spacing w:after="40"/>
        <w:ind w:left="369" w:hanging="198"/>
      </w:pPr>
      <w:r>
        <w:rPr>
          <w:rFonts w:ascii="Arial" w:hAnsi="Arial" w:cs="Arial"/>
          <w:b w:val="0"/>
          <w:sz w:val="21"/>
        </w:rPr>
        <w:t>A) Una entidad colaboradora privada.</w:t>
      </w:r>
    </w:p>
    <w:p>
      <w:pPr>
        <w:keepNext/>
        <w:keepLines/>
        <w:spacing w:after="40"/>
        <w:ind w:left="369" w:hanging="198"/>
      </w:pPr>
      <w:r>
        <w:rPr>
          <w:rFonts w:ascii="Arial" w:hAnsi="Arial" w:cs="Arial"/>
          <w:b w:val="0"/>
          <w:sz w:val="21"/>
        </w:rPr>
        <w:t>B) Un servicio común con personalidad jurídica propia en el que se unifican los recursos conforme a la caja única.</w:t>
      </w:r>
    </w:p>
    <w:p>
      <w:pPr>
        <w:keepNext/>
        <w:keepLines/>
        <w:spacing w:after="40"/>
        <w:ind w:left="369" w:hanging="198"/>
      </w:pPr>
      <w:r>
        <w:rPr>
          <w:rFonts w:ascii="Arial" w:hAnsi="Arial" w:cs="Arial"/>
          <w:b w:val="0"/>
          <w:sz w:val="21"/>
        </w:rPr>
        <w:t>C) Un órgano colegiado consultivo.</w:t>
      </w:r>
    </w:p>
    <w:p>
      <w:pPr>
        <w:keepNext/>
        <w:keepLines/>
        <w:spacing w:after="40"/>
        <w:ind w:left="369" w:hanging="198"/>
      </w:pPr>
      <w:r>
        <w:rPr>
          <w:rFonts w:ascii="Arial" w:hAnsi="Arial" w:cs="Arial"/>
          <w:b w:val="0"/>
          <w:sz w:val="21"/>
        </w:rPr>
        <w:t>D) Una Subdirección General de la DGOSS.</w:t>
      </w:r>
    </w:p>
    <w:p>
      <w:pPr>
        <w:pStyle w:val="Question"/>
        <w:keepNext/>
      </w:pPr>
      <w:r>
        <w:rPr>
          <w:rFonts w:ascii="Arial" w:hAnsi="Arial" w:cs="Arial"/>
          <w:sz w:val="22"/>
        </w:rPr>
        <w:t>48. A efectos de aplicar correctamente la regla examinada, en sucesión de la titularidad de una empresa, por prestaciones causadas antes de la sucesión:</w:t>
      </w:r>
    </w:p>
    <w:p>
      <w:pPr>
        <w:keepNext/>
        <w:keepLines/>
        <w:spacing w:after="40"/>
        <w:ind w:left="369" w:hanging="198"/>
      </w:pPr>
      <w:r>
        <w:rPr>
          <w:rFonts w:ascii="Arial" w:hAnsi="Arial" w:cs="Arial"/>
          <w:b w:val="0"/>
          <w:sz w:val="21"/>
        </w:rPr>
        <w:t>A) Solo responde el beneficiario.</w:t>
      </w:r>
    </w:p>
    <w:p>
      <w:pPr>
        <w:keepNext/>
        <w:keepLines/>
        <w:spacing w:after="40"/>
        <w:ind w:left="369" w:hanging="198"/>
      </w:pPr>
      <w:r>
        <w:rPr>
          <w:rFonts w:ascii="Arial" w:hAnsi="Arial" w:cs="Arial"/>
          <w:b w:val="0"/>
          <w:sz w:val="21"/>
        </w:rPr>
        <w:t>B) El adquirente responde solidariamente con el anterior o sus herederos.</w:t>
      </w:r>
    </w:p>
    <w:p>
      <w:pPr>
        <w:keepNext/>
        <w:keepLines/>
        <w:spacing w:after="40"/>
        <w:ind w:left="369" w:hanging="198"/>
      </w:pPr>
      <w:r>
        <w:rPr>
          <w:rFonts w:ascii="Arial" w:hAnsi="Arial" w:cs="Arial"/>
          <w:b w:val="0"/>
          <w:sz w:val="21"/>
        </w:rPr>
        <w:t>C) El adquirente nunca responde.</w:t>
      </w:r>
    </w:p>
    <w:p>
      <w:pPr>
        <w:keepNext/>
        <w:keepLines/>
        <w:spacing w:after="40"/>
        <w:ind w:left="369" w:hanging="198"/>
      </w:pPr>
      <w:r>
        <w:rPr>
          <w:rFonts w:ascii="Arial" w:hAnsi="Arial" w:cs="Arial"/>
          <w:b w:val="0"/>
          <w:sz w:val="21"/>
        </w:rPr>
        <w:t>D) La responsabilidad es siempre subsidiaria.</w:t>
      </w:r>
    </w:p>
    <w:p>
      <w:pPr>
        <w:pStyle w:val="Question"/>
        <w:keepNext/>
      </w:pPr>
      <w:r>
        <w:rPr>
          <w:rFonts w:ascii="Arial" w:hAnsi="Arial" w:cs="Arial"/>
          <w:sz w:val="22"/>
        </w:rPr>
        <w:t>49. A efectos de aplicar correctamente la regla examinada, en el Sistema Especial para Empleados de Hogar, la prestación económica por incapacidad temporal derivada de enfermedad común o accidente no laboral se abona directamente por la entidad gestora o colaboradora:</w:t>
      </w:r>
    </w:p>
    <w:p>
      <w:pPr>
        <w:keepNext/>
        <w:keepLines/>
        <w:spacing w:after="40"/>
        <w:ind w:left="369" w:hanging="198"/>
      </w:pPr>
      <w:r>
        <w:rPr>
          <w:rFonts w:ascii="Arial" w:hAnsi="Arial" w:cs="Arial"/>
          <w:b w:val="0"/>
          <w:sz w:val="21"/>
        </w:rPr>
        <w:t>A) Desde el mismo día de la baja.</w:t>
      </w:r>
    </w:p>
    <w:p>
      <w:pPr>
        <w:keepNext/>
        <w:keepLines/>
        <w:spacing w:after="40"/>
        <w:ind w:left="369" w:hanging="198"/>
      </w:pPr>
      <w:r>
        <w:rPr>
          <w:rFonts w:ascii="Arial" w:hAnsi="Arial" w:cs="Arial"/>
          <w:b w:val="0"/>
          <w:sz w:val="21"/>
        </w:rPr>
        <w:t>B) Desde el cuarto día, sin responsabilidad previa del empleador.</w:t>
      </w:r>
    </w:p>
    <w:p>
      <w:pPr>
        <w:keepNext/>
        <w:keepLines/>
        <w:spacing w:after="40"/>
        <w:ind w:left="369" w:hanging="198"/>
      </w:pPr>
      <w:r>
        <w:rPr>
          <w:rFonts w:ascii="Arial" w:hAnsi="Arial" w:cs="Arial"/>
          <w:b w:val="0"/>
          <w:sz w:val="21"/>
        </w:rPr>
        <w:t>C) Desde el decimosexto día.</w:t>
      </w:r>
    </w:p>
    <w:p>
      <w:pPr>
        <w:keepNext/>
        <w:keepLines/>
        <w:spacing w:after="40"/>
        <w:ind w:left="369" w:hanging="198"/>
      </w:pPr>
      <w:r>
        <w:rPr>
          <w:rFonts w:ascii="Arial" w:hAnsi="Arial" w:cs="Arial"/>
          <w:b w:val="0"/>
          <w:sz w:val="21"/>
        </w:rPr>
        <w:t>D) Desde el noveno día de la baja, siendo a cargo del empleador el abono desde el cuarto hasta el octavo día.</w:t>
      </w:r>
    </w:p>
    <w:p>
      <w:pPr>
        <w:pStyle w:val="Question"/>
        <w:keepNext/>
      </w:pPr>
      <w:r>
        <w:rPr>
          <w:rFonts w:ascii="Arial" w:hAnsi="Arial" w:cs="Arial"/>
          <w:sz w:val="22"/>
        </w:rPr>
        <w:t>50. Conforme al ordenamiento vigente a la fecha de corte, la exigencia constitucional de veracidad se refiere:</w:t>
      </w:r>
    </w:p>
    <w:p>
      <w:pPr>
        <w:keepNext/>
        <w:keepLines/>
        <w:spacing w:after="40"/>
        <w:ind w:left="369" w:hanging="198"/>
      </w:pPr>
      <w:r>
        <w:rPr>
          <w:rFonts w:ascii="Arial" w:hAnsi="Arial" w:cs="Arial"/>
          <w:b w:val="0"/>
          <w:sz w:val="21"/>
        </w:rPr>
        <w:t>A) A toda creación artística.</w:t>
      </w:r>
    </w:p>
    <w:p>
      <w:pPr>
        <w:keepNext/>
        <w:keepLines/>
        <w:spacing w:after="40"/>
        <w:ind w:left="369" w:hanging="198"/>
      </w:pPr>
      <w:r>
        <w:rPr>
          <w:rFonts w:ascii="Arial" w:hAnsi="Arial" w:cs="Arial"/>
          <w:b w:val="0"/>
          <w:sz w:val="21"/>
        </w:rPr>
        <w:t>B) A cualquier opinión política.</w:t>
      </w:r>
    </w:p>
    <w:p>
      <w:pPr>
        <w:keepNext/>
        <w:keepLines/>
        <w:spacing w:after="40"/>
        <w:ind w:left="369" w:hanging="198"/>
      </w:pPr>
      <w:r>
        <w:rPr>
          <w:rFonts w:ascii="Arial" w:hAnsi="Arial" w:cs="Arial"/>
          <w:b w:val="0"/>
          <w:sz w:val="21"/>
        </w:rPr>
        <w:t>C) A la libertad de cátedra.</w:t>
      </w:r>
    </w:p>
    <w:p>
      <w:pPr>
        <w:keepNext/>
        <w:keepLines/>
        <w:spacing w:after="40"/>
        <w:ind w:left="369" w:hanging="198"/>
      </w:pPr>
      <w:r>
        <w:rPr>
          <w:rFonts w:ascii="Arial" w:hAnsi="Arial" w:cs="Arial"/>
          <w:b w:val="0"/>
          <w:sz w:val="21"/>
        </w:rPr>
        <w:t>D) A la comunicación o recepción de información.</w:t>
      </w:r>
    </w:p>
    <w:p>
      <w:pPr>
        <w:pStyle w:val="Question"/>
        <w:keepNext/>
      </w:pPr>
      <w:r>
        <w:rPr>
          <w:rFonts w:ascii="Arial" w:hAnsi="Arial" w:cs="Arial"/>
          <w:sz w:val="22"/>
        </w:rPr>
        <w:t>51. En una comprobación jurídica del expediente, la excepción de ilegalidad del artículo 277 TFUE:</w:t>
      </w:r>
    </w:p>
    <w:p>
      <w:pPr>
        <w:keepNext/>
        <w:keepLines/>
        <w:spacing w:after="40"/>
        <w:ind w:left="369" w:hanging="198"/>
      </w:pPr>
      <w:r>
        <w:rPr>
          <w:rFonts w:ascii="Arial" w:hAnsi="Arial" w:cs="Arial"/>
          <w:b w:val="0"/>
          <w:sz w:val="21"/>
        </w:rPr>
        <w:t>A) Anula siempre el acto con efectos generales.</w:t>
      </w:r>
    </w:p>
    <w:p>
      <w:pPr>
        <w:keepNext/>
        <w:keepLines/>
        <w:spacing w:after="40"/>
        <w:ind w:left="369" w:hanging="198"/>
      </w:pPr>
      <w:r>
        <w:rPr>
          <w:rFonts w:ascii="Arial" w:hAnsi="Arial" w:cs="Arial"/>
          <w:b w:val="0"/>
          <w:sz w:val="21"/>
        </w:rPr>
        <w:t>B) Sustituye al recurso por incumplimiento.</w:t>
      </w:r>
    </w:p>
    <w:p>
      <w:pPr>
        <w:keepNext/>
        <w:keepLines/>
        <w:spacing w:after="40"/>
        <w:ind w:left="369" w:hanging="198"/>
      </w:pPr>
      <w:r>
        <w:rPr>
          <w:rFonts w:ascii="Arial" w:hAnsi="Arial" w:cs="Arial"/>
          <w:b w:val="0"/>
          <w:sz w:val="21"/>
        </w:rPr>
        <w:t>C) Permite alegar incidentalmente la inaplicabilidad de un acto de alcance general en un litigio.</w:t>
      </w:r>
    </w:p>
    <w:p>
      <w:pPr>
        <w:keepNext/>
        <w:keepLines/>
        <w:spacing w:after="40"/>
        <w:ind w:left="369" w:hanging="198"/>
      </w:pPr>
      <w:r>
        <w:rPr>
          <w:rFonts w:ascii="Arial" w:hAnsi="Arial" w:cs="Arial"/>
          <w:b w:val="0"/>
          <w:sz w:val="21"/>
        </w:rPr>
        <w:t>D) Solo puede ser invocada por Estados miembros.</w:t>
      </w:r>
    </w:p>
    <w:p>
      <w:pPr>
        <w:pStyle w:val="Question"/>
        <w:keepNext/>
      </w:pPr>
      <w:r>
        <w:rPr>
          <w:rFonts w:ascii="Arial" w:hAnsi="Arial" w:cs="Arial"/>
          <w:sz w:val="22"/>
        </w:rPr>
        <w:t>52. A efectos de aplicar correctamente la regla examinada, presentado un escrito en día inhábil dentro de un plazo en días hábiles, como regla se entiende presentado:</w:t>
      </w:r>
    </w:p>
    <w:p>
      <w:pPr>
        <w:keepNext/>
        <w:keepLines/>
        <w:spacing w:after="40"/>
        <w:ind w:left="369" w:hanging="198"/>
      </w:pPr>
      <w:r>
        <w:rPr>
          <w:rFonts w:ascii="Arial" w:hAnsi="Arial" w:cs="Arial"/>
          <w:b w:val="0"/>
          <w:sz w:val="21"/>
        </w:rPr>
        <w:t>A) En la última hora del día hábil anterior.</w:t>
      </w:r>
    </w:p>
    <w:p>
      <w:pPr>
        <w:keepNext/>
        <w:keepLines/>
        <w:spacing w:after="40"/>
        <w:ind w:left="369" w:hanging="198"/>
      </w:pPr>
      <w:r>
        <w:rPr>
          <w:rFonts w:ascii="Arial" w:hAnsi="Arial" w:cs="Arial"/>
          <w:b w:val="0"/>
          <w:sz w:val="21"/>
        </w:rPr>
        <w:t>B) En la primera hora del primer día hábil siguiente.</w:t>
      </w:r>
    </w:p>
    <w:p>
      <w:pPr>
        <w:keepNext/>
        <w:keepLines/>
        <w:spacing w:after="40"/>
        <w:ind w:left="369" w:hanging="198"/>
      </w:pPr>
      <w:r>
        <w:rPr>
          <w:rFonts w:ascii="Arial" w:hAnsi="Arial" w:cs="Arial"/>
          <w:b w:val="0"/>
          <w:sz w:val="21"/>
        </w:rPr>
        <w:t>C) Al mediodía del día inhábil.</w:t>
      </w:r>
    </w:p>
    <w:p>
      <w:pPr>
        <w:keepNext/>
        <w:keepLines/>
        <w:spacing w:after="40"/>
        <w:ind w:left="369" w:hanging="198"/>
      </w:pPr>
      <w:r>
        <w:rPr>
          <w:rFonts w:ascii="Arial" w:hAnsi="Arial" w:cs="Arial"/>
          <w:b w:val="0"/>
          <w:sz w:val="21"/>
        </w:rPr>
        <w:t>D) Cuando el órgano lo lea efectivamente.</w:t>
      </w:r>
    </w:p>
    <w:p>
      <w:pPr>
        <w:pStyle w:val="Question"/>
        <w:keepNext/>
      </w:pPr>
      <w:r>
        <w:rPr>
          <w:rFonts w:ascii="Arial" w:hAnsi="Arial" w:cs="Arial"/>
          <w:sz w:val="22"/>
        </w:rPr>
        <w:t>53. A efectos de aplicar correctamente la regla examinada, ¿Cuál de estas decisiones corresponde al Consejo de Ministros?</w:t>
      </w:r>
    </w:p>
    <w:p>
      <w:pPr>
        <w:keepNext/>
        <w:keepLines/>
        <w:spacing w:after="40"/>
        <w:ind w:left="369" w:hanging="198"/>
      </w:pPr>
      <w:r>
        <w:rPr>
          <w:rFonts w:ascii="Arial" w:hAnsi="Arial" w:cs="Arial"/>
          <w:b w:val="0"/>
          <w:sz w:val="21"/>
        </w:rPr>
        <w:t>A) Aprobar los reales decretos-leyes y los reales decretos legislativos.</w:t>
      </w:r>
    </w:p>
    <w:p>
      <w:pPr>
        <w:keepNext/>
        <w:keepLines/>
        <w:spacing w:after="40"/>
        <w:ind w:left="369" w:hanging="198"/>
      </w:pPr>
      <w:r>
        <w:rPr>
          <w:rFonts w:ascii="Arial" w:hAnsi="Arial" w:cs="Arial"/>
          <w:b w:val="0"/>
          <w:sz w:val="21"/>
        </w:rPr>
        <w:t>B) Investir al presidente del Gobierno.</w:t>
      </w:r>
    </w:p>
    <w:p>
      <w:pPr>
        <w:keepNext/>
        <w:keepLines/>
        <w:spacing w:after="40"/>
        <w:ind w:left="369" w:hanging="198"/>
      </w:pPr>
      <w:r>
        <w:rPr>
          <w:rFonts w:ascii="Arial" w:hAnsi="Arial" w:cs="Arial"/>
          <w:b w:val="0"/>
          <w:sz w:val="21"/>
        </w:rPr>
        <w:t>C) Autorizar por sí solo un referéndum consultivo.</w:t>
      </w:r>
    </w:p>
    <w:p>
      <w:pPr>
        <w:keepNext/>
        <w:keepLines/>
        <w:spacing w:after="40"/>
        <w:ind w:left="369" w:hanging="198"/>
      </w:pPr>
      <w:r>
        <w:rPr>
          <w:rFonts w:ascii="Arial" w:hAnsi="Arial" w:cs="Arial"/>
          <w:b w:val="0"/>
          <w:sz w:val="21"/>
        </w:rPr>
        <w:t>D) Declarar el estado de sitio.</w:t>
      </w:r>
    </w:p>
    <w:p>
      <w:pPr>
        <w:pStyle w:val="Question"/>
        <w:keepNext/>
      </w:pPr>
      <w:r>
        <w:rPr>
          <w:rFonts w:ascii="Arial" w:hAnsi="Arial" w:cs="Arial"/>
          <w:sz w:val="22"/>
        </w:rPr>
        <w:t>54. Sin añadir circunstancias distintas de las indicadas, respecto del trabajo del pensionista, ¿cuál es la regla general?</w:t>
      </w:r>
    </w:p>
    <w:p>
      <w:pPr>
        <w:keepNext/>
        <w:keepLines/>
        <w:spacing w:after="40"/>
        <w:ind w:left="369" w:hanging="198"/>
      </w:pPr>
      <w:r>
        <w:rPr>
          <w:rFonts w:ascii="Arial" w:hAnsi="Arial" w:cs="Arial"/>
          <w:b w:val="0"/>
          <w:sz w:val="21"/>
        </w:rPr>
        <w:t>A) La incompatibilidad, sin perjuicio de las excepciones expresamente previstas.</w:t>
      </w:r>
    </w:p>
    <w:p>
      <w:pPr>
        <w:keepNext/>
        <w:keepLines/>
        <w:spacing w:after="40"/>
        <w:ind w:left="369" w:hanging="198"/>
      </w:pPr>
      <w:r>
        <w:rPr>
          <w:rFonts w:ascii="Arial" w:hAnsi="Arial" w:cs="Arial"/>
          <w:b w:val="0"/>
          <w:sz w:val="21"/>
        </w:rPr>
        <w:t>B) La compatibilidad plena sin obligación de comunicar.</w:t>
      </w:r>
    </w:p>
    <w:p>
      <w:pPr>
        <w:keepNext/>
        <w:keepLines/>
        <w:spacing w:after="40"/>
        <w:ind w:left="369" w:hanging="198"/>
      </w:pPr>
      <w:r>
        <w:rPr>
          <w:rFonts w:ascii="Arial" w:hAnsi="Arial" w:cs="Arial"/>
          <w:b w:val="0"/>
          <w:sz w:val="21"/>
        </w:rPr>
        <w:t>C) La extinción automática de la pensión por cualquier actividad.</w:t>
      </w:r>
    </w:p>
    <w:p>
      <w:pPr>
        <w:keepNext/>
        <w:keepLines/>
        <w:spacing w:after="40"/>
        <w:ind w:left="369" w:hanging="198"/>
      </w:pPr>
      <w:r>
        <w:rPr>
          <w:rFonts w:ascii="Arial" w:hAnsi="Arial" w:cs="Arial"/>
          <w:b w:val="0"/>
          <w:sz w:val="21"/>
        </w:rPr>
        <w:t>D) La compatibilidad solo cuando el trabajo sea por cuenta ajena.</w:t>
      </w:r>
    </w:p>
    <w:p>
      <w:pPr>
        <w:pStyle w:val="Question"/>
        <w:keepNext/>
      </w:pPr>
      <w:r>
        <w:rPr>
          <w:rFonts w:ascii="Arial" w:hAnsi="Arial" w:cs="Arial"/>
          <w:sz w:val="22"/>
        </w:rPr>
        <w:t>55. Conforme al ordenamiento vigente a la fecha de corte, un consentimiento válido requiere:</w:t>
      </w:r>
    </w:p>
    <w:p>
      <w:pPr>
        <w:keepNext/>
        <w:keepLines/>
        <w:spacing w:after="40"/>
        <w:ind w:left="369" w:hanging="198"/>
      </w:pPr>
      <w:r>
        <w:rPr>
          <w:rFonts w:ascii="Arial" w:hAnsi="Arial" w:cs="Arial"/>
          <w:b w:val="0"/>
          <w:sz w:val="21"/>
        </w:rPr>
        <w:t>A) Silencio del interesado.</w:t>
      </w:r>
    </w:p>
    <w:p>
      <w:pPr>
        <w:keepNext/>
        <w:keepLines/>
        <w:spacing w:after="40"/>
        <w:ind w:left="369" w:hanging="198"/>
      </w:pPr>
      <w:r>
        <w:rPr>
          <w:rFonts w:ascii="Arial" w:hAnsi="Arial" w:cs="Arial"/>
          <w:b w:val="0"/>
          <w:sz w:val="21"/>
        </w:rPr>
        <w:t>B) Declaración o clara acción afirmativa, libre, específica, informada e inequívoca.</w:t>
      </w:r>
    </w:p>
    <w:p>
      <w:pPr>
        <w:keepNext/>
        <w:keepLines/>
        <w:spacing w:after="40"/>
        <w:ind w:left="369" w:hanging="198"/>
      </w:pPr>
      <w:r>
        <w:rPr>
          <w:rFonts w:ascii="Arial" w:hAnsi="Arial" w:cs="Arial"/>
          <w:b w:val="0"/>
          <w:sz w:val="21"/>
        </w:rPr>
        <w:t>C) Una casilla marcada de antemano.</w:t>
      </w:r>
    </w:p>
    <w:p>
      <w:pPr>
        <w:keepNext/>
        <w:keepLines/>
        <w:spacing w:after="40"/>
        <w:ind w:left="369" w:hanging="198"/>
      </w:pPr>
      <w:r>
        <w:rPr>
          <w:rFonts w:ascii="Arial" w:hAnsi="Arial" w:cs="Arial"/>
          <w:b w:val="0"/>
          <w:sz w:val="21"/>
        </w:rPr>
        <w:t>D) Imposibilidad de retirarlo.</w:t>
      </w:r>
    </w:p>
    <w:p>
      <w:pPr>
        <w:pStyle w:val="Question"/>
        <w:keepNext/>
      </w:pPr>
      <w:r>
        <w:rPr>
          <w:rFonts w:ascii="Arial" w:hAnsi="Arial" w:cs="Arial"/>
          <w:sz w:val="22"/>
        </w:rPr>
        <w:t>56. A efectos de aplicar correctamente la regla examinada, para declarar de oficio la nulidad de una disposición administrativa, el artículo 106.2 LPAC exige:</w:t>
      </w:r>
    </w:p>
    <w:p>
      <w:pPr>
        <w:keepNext/>
        <w:keepLines/>
        <w:spacing w:after="40"/>
        <w:ind w:left="369" w:hanging="198"/>
      </w:pPr>
      <w:r>
        <w:rPr>
          <w:rFonts w:ascii="Arial" w:hAnsi="Arial" w:cs="Arial"/>
          <w:b w:val="0"/>
          <w:sz w:val="21"/>
        </w:rPr>
        <w:t>A) Autorización por mayoría absoluta del Congreso.</w:t>
      </w:r>
    </w:p>
    <w:p>
      <w:pPr>
        <w:keepNext/>
        <w:keepLines/>
        <w:spacing w:after="40"/>
        <w:ind w:left="369" w:hanging="198"/>
      </w:pPr>
      <w:r>
        <w:rPr>
          <w:rFonts w:ascii="Arial" w:hAnsi="Arial" w:cs="Arial"/>
          <w:b w:val="0"/>
          <w:sz w:val="21"/>
        </w:rPr>
        <w:t>B) Dictamen favorable previo del Consejo de Estado u órgano consultivo autonómico equivalente.</w:t>
      </w:r>
    </w:p>
    <w:p>
      <w:pPr>
        <w:keepNext/>
        <w:keepLines/>
        <w:spacing w:after="40"/>
        <w:ind w:left="369" w:hanging="198"/>
      </w:pPr>
      <w:r>
        <w:rPr>
          <w:rFonts w:ascii="Arial" w:hAnsi="Arial" w:cs="Arial"/>
          <w:b w:val="0"/>
          <w:sz w:val="21"/>
        </w:rPr>
        <w:t>C) Sentencia penal firme contra el autor.</w:t>
      </w:r>
    </w:p>
    <w:p>
      <w:pPr>
        <w:keepNext/>
        <w:keepLines/>
        <w:spacing w:after="40"/>
        <w:ind w:left="369" w:hanging="198"/>
      </w:pPr>
      <w:r>
        <w:rPr>
          <w:rFonts w:ascii="Arial" w:hAnsi="Arial" w:cs="Arial"/>
          <w:b w:val="0"/>
          <w:sz w:val="21"/>
        </w:rPr>
        <w:t>D) Que no hayan transcurrido cuatro años.</w:t>
      </w:r>
    </w:p>
    <w:p>
      <w:pPr>
        <w:pStyle w:val="Question"/>
        <w:keepNext/>
      </w:pPr>
      <w:r>
        <w:rPr>
          <w:rFonts w:ascii="Arial" w:hAnsi="Arial" w:cs="Arial"/>
          <w:sz w:val="22"/>
        </w:rPr>
        <w:t>57. Conforme al ordenamiento vigente a la fecha de corte, los municipios con población superior a 50.000 habitantes deben prestar, además:</w:t>
      </w:r>
    </w:p>
    <w:p>
      <w:pPr>
        <w:keepNext/>
        <w:keepLines/>
        <w:spacing w:after="40"/>
        <w:ind w:left="369" w:hanging="198"/>
      </w:pPr>
      <w:r>
        <w:rPr>
          <w:rFonts w:ascii="Arial" w:hAnsi="Arial" w:cs="Arial"/>
          <w:b w:val="0"/>
          <w:sz w:val="21"/>
        </w:rPr>
        <w:t>A) Tratamiento de residuos y cementerio.</w:t>
      </w:r>
    </w:p>
    <w:p>
      <w:pPr>
        <w:keepNext/>
        <w:keepLines/>
        <w:spacing w:after="40"/>
        <w:ind w:left="369" w:hanging="198"/>
      </w:pPr>
      <w:r>
        <w:rPr>
          <w:rFonts w:ascii="Arial" w:hAnsi="Arial" w:cs="Arial"/>
          <w:b w:val="0"/>
          <w:sz w:val="21"/>
        </w:rPr>
        <w:t>B) Protección civil y biblioteca.</w:t>
      </w:r>
    </w:p>
    <w:p>
      <w:pPr>
        <w:keepNext/>
        <w:keepLines/>
        <w:spacing w:after="40"/>
        <w:ind w:left="369" w:hanging="198"/>
      </w:pPr>
      <w:r>
        <w:rPr>
          <w:rFonts w:ascii="Arial" w:hAnsi="Arial" w:cs="Arial"/>
          <w:b w:val="0"/>
          <w:sz w:val="21"/>
        </w:rPr>
        <w:t>C) Transporte colectivo urbano de viajeros y medio ambiente urbano.</w:t>
      </w:r>
    </w:p>
    <w:p>
      <w:pPr>
        <w:keepNext/>
        <w:keepLines/>
        <w:spacing w:after="40"/>
        <w:ind w:left="369" w:hanging="198"/>
      </w:pPr>
      <w:r>
        <w:rPr>
          <w:rFonts w:ascii="Arial" w:hAnsi="Arial" w:cs="Arial"/>
          <w:b w:val="0"/>
          <w:sz w:val="21"/>
        </w:rPr>
        <w:t>D) Instalaciones deportivas y alumbrado.</w:t>
      </w:r>
    </w:p>
    <w:p>
      <w:pPr>
        <w:pStyle w:val="Question"/>
        <w:keepNext/>
      </w:pPr>
      <w:r>
        <w:rPr>
          <w:rFonts w:ascii="Arial" w:hAnsi="Arial" w:cs="Arial"/>
          <w:sz w:val="22"/>
        </w:rPr>
        <w:t>58. A efectos de aplicar correctamente la regla examinada, la carrera horizontal consiste en:</w:t>
      </w:r>
    </w:p>
    <w:p>
      <w:pPr>
        <w:keepNext/>
        <w:keepLines/>
        <w:spacing w:after="40"/>
        <w:ind w:left="369" w:hanging="198"/>
      </w:pPr>
      <w:r>
        <w:rPr>
          <w:rFonts w:ascii="Arial" w:hAnsi="Arial" w:cs="Arial"/>
          <w:b w:val="0"/>
          <w:sz w:val="21"/>
        </w:rPr>
        <w:t>A) Progresar de grado, categoría o concepto análogo sin necesidad de cambiar de puesto.</w:t>
      </w:r>
    </w:p>
    <w:p>
      <w:pPr>
        <w:keepNext/>
        <w:keepLines/>
        <w:spacing w:after="40"/>
        <w:ind w:left="369" w:hanging="198"/>
      </w:pPr>
      <w:r>
        <w:rPr>
          <w:rFonts w:ascii="Arial" w:hAnsi="Arial" w:cs="Arial"/>
          <w:b w:val="0"/>
          <w:sz w:val="21"/>
        </w:rPr>
        <w:t>B) Acceder a un cuerpo de subgrupo superior.</w:t>
      </w:r>
    </w:p>
    <w:p>
      <w:pPr>
        <w:keepNext/>
        <w:keepLines/>
        <w:spacing w:after="40"/>
        <w:ind w:left="369" w:hanging="198"/>
      </w:pPr>
      <w:r>
        <w:rPr>
          <w:rFonts w:ascii="Arial" w:hAnsi="Arial" w:cs="Arial"/>
          <w:b w:val="0"/>
          <w:sz w:val="21"/>
        </w:rPr>
        <w:t>C) Cambiar de puesto mediante concurso.</w:t>
      </w:r>
    </w:p>
    <w:p>
      <w:pPr>
        <w:keepNext/>
        <w:keepLines/>
        <w:spacing w:after="40"/>
        <w:ind w:left="369" w:hanging="198"/>
      </w:pPr>
      <w:r>
        <w:rPr>
          <w:rFonts w:ascii="Arial" w:hAnsi="Arial" w:cs="Arial"/>
          <w:b w:val="0"/>
          <w:sz w:val="21"/>
        </w:rPr>
        <w:t>D) Acceder a un cuerpo distinto del mismo subgrupo.</w:t>
      </w:r>
    </w:p>
    <w:p>
      <w:pPr>
        <w:pStyle w:val="Question"/>
        <w:keepNext/>
      </w:pPr>
      <w:r>
        <w:rPr>
          <w:rFonts w:ascii="Arial" w:hAnsi="Arial" w:cs="Arial"/>
          <w:sz w:val="22"/>
        </w:rPr>
        <w:t>59. Conforme al ordenamiento vigente a la fecha de corte, un edificio adscrito al INSS deja de ser necesario. ¿Qué actuación procede?</w:t>
      </w:r>
    </w:p>
    <w:p>
      <w:pPr>
        <w:keepNext/>
        <w:keepLines/>
        <w:spacing w:after="40"/>
        <w:ind w:left="369" w:hanging="198"/>
      </w:pPr>
      <w:r>
        <w:rPr>
          <w:rFonts w:ascii="Arial" w:hAnsi="Arial" w:cs="Arial"/>
          <w:b w:val="0"/>
          <w:sz w:val="21"/>
        </w:rPr>
        <w:t>A) El INSS comunica la innecesariedad y la TGSS tramita la desadscripción y decide el nuevo destino patrimonial.</w:t>
      </w:r>
    </w:p>
    <w:p>
      <w:pPr>
        <w:keepNext/>
        <w:keepLines/>
        <w:spacing w:after="40"/>
        <w:ind w:left="369" w:hanging="198"/>
      </w:pPr>
      <w:r>
        <w:rPr>
          <w:rFonts w:ascii="Arial" w:hAnsi="Arial" w:cs="Arial"/>
          <w:b w:val="0"/>
          <w:sz w:val="21"/>
        </w:rPr>
        <w:t>B) El INSS lo vende directamente y conserva el precio.</w:t>
      </w:r>
    </w:p>
    <w:p>
      <w:pPr>
        <w:keepNext/>
        <w:keepLines/>
        <w:spacing w:after="40"/>
        <w:ind w:left="369" w:hanging="198"/>
      </w:pPr>
      <w:r>
        <w:rPr>
          <w:rFonts w:ascii="Arial" w:hAnsi="Arial" w:cs="Arial"/>
          <w:b w:val="0"/>
          <w:sz w:val="21"/>
        </w:rPr>
        <w:t>C) El dominio pasa automáticamente al Ministerio de Hacienda.</w:t>
      </w:r>
    </w:p>
    <w:p>
      <w:pPr>
        <w:keepNext/>
        <w:keepLines/>
        <w:spacing w:after="40"/>
        <w:ind w:left="369" w:hanging="198"/>
      </w:pPr>
      <w:r>
        <w:rPr>
          <w:rFonts w:ascii="Arial" w:hAnsi="Arial" w:cs="Arial"/>
          <w:b w:val="0"/>
          <w:sz w:val="21"/>
        </w:rPr>
        <w:t>D) El inmueble debe demolerse.</w:t>
      </w:r>
    </w:p>
    <w:p>
      <w:pPr>
        <w:pStyle w:val="Question"/>
        <w:keepNext/>
      </w:pPr>
      <w:r>
        <w:rPr>
          <w:rFonts w:ascii="Arial" w:hAnsi="Arial" w:cs="Arial"/>
          <w:sz w:val="22"/>
        </w:rPr>
        <w:t>60. Conforme al ordenamiento vigente a la fecha de corte, el Gabinete de asistencia inmediata a la persona titular del Ministerio tiene rango de:</w:t>
      </w:r>
    </w:p>
    <w:p>
      <w:pPr>
        <w:keepNext/>
        <w:keepLines/>
        <w:spacing w:after="40"/>
        <w:ind w:left="369" w:hanging="198"/>
      </w:pPr>
      <w:r>
        <w:rPr>
          <w:rFonts w:ascii="Arial" w:hAnsi="Arial" w:cs="Arial"/>
          <w:b w:val="0"/>
          <w:sz w:val="21"/>
        </w:rPr>
        <w:t>A) Dirección General.</w:t>
      </w:r>
    </w:p>
    <w:p>
      <w:pPr>
        <w:keepNext/>
        <w:keepLines/>
        <w:spacing w:after="40"/>
        <w:ind w:left="369" w:hanging="198"/>
      </w:pPr>
      <w:r>
        <w:rPr>
          <w:rFonts w:ascii="Arial" w:hAnsi="Arial" w:cs="Arial"/>
          <w:b w:val="0"/>
          <w:sz w:val="21"/>
        </w:rPr>
        <w:t>B) Secretaría de Estado.</w:t>
      </w:r>
    </w:p>
    <w:p>
      <w:pPr>
        <w:keepNext/>
        <w:keepLines/>
        <w:spacing w:after="40"/>
        <w:ind w:left="369" w:hanging="198"/>
      </w:pPr>
      <w:r>
        <w:rPr>
          <w:rFonts w:ascii="Arial" w:hAnsi="Arial" w:cs="Arial"/>
          <w:b w:val="0"/>
          <w:sz w:val="21"/>
        </w:rPr>
        <w:t>C) Subsecretaría.</w:t>
      </w:r>
    </w:p>
    <w:p>
      <w:pPr>
        <w:keepNext/>
        <w:keepLines/>
        <w:spacing w:after="40"/>
        <w:ind w:left="369" w:hanging="198"/>
      </w:pPr>
      <w:r>
        <w:rPr>
          <w:rFonts w:ascii="Arial" w:hAnsi="Arial" w:cs="Arial"/>
          <w:b w:val="0"/>
          <w:sz w:val="21"/>
        </w:rPr>
        <w:t>D) Subdirección General.</w:t>
      </w:r>
    </w:p>
    <w:p>
      <w:pPr>
        <w:pStyle w:val="Question"/>
        <w:keepNext/>
      </w:pPr>
      <w:r>
        <w:rPr>
          <w:rFonts w:ascii="Arial" w:hAnsi="Arial" w:cs="Arial"/>
          <w:sz w:val="22"/>
        </w:rPr>
        <w:t>61. A efectos de aplicar correctamente la regla examinada, la convalidación:</w:t>
      </w:r>
    </w:p>
    <w:p>
      <w:pPr>
        <w:keepNext/>
        <w:keepLines/>
        <w:spacing w:after="40"/>
        <w:ind w:left="369" w:hanging="198"/>
      </w:pPr>
      <w:r>
        <w:rPr>
          <w:rFonts w:ascii="Arial" w:hAnsi="Arial" w:cs="Arial"/>
          <w:b w:val="0"/>
          <w:sz w:val="21"/>
        </w:rPr>
        <w:t>A) Convierte en válido cualquier acto nulo.</w:t>
      </w:r>
    </w:p>
    <w:p>
      <w:pPr>
        <w:keepNext/>
        <w:keepLines/>
        <w:spacing w:after="40"/>
        <w:ind w:left="369" w:hanging="198"/>
      </w:pPr>
      <w:r>
        <w:rPr>
          <w:rFonts w:ascii="Arial" w:hAnsi="Arial" w:cs="Arial"/>
          <w:b w:val="0"/>
          <w:sz w:val="21"/>
        </w:rPr>
        <w:t>B) Permite subsanar los vicios de los actos anulables.</w:t>
      </w:r>
    </w:p>
    <w:p>
      <w:pPr>
        <w:keepNext/>
        <w:keepLines/>
        <w:spacing w:after="40"/>
        <w:ind w:left="369" w:hanging="198"/>
      </w:pPr>
      <w:r>
        <w:rPr>
          <w:rFonts w:ascii="Arial" w:hAnsi="Arial" w:cs="Arial"/>
          <w:b w:val="0"/>
          <w:sz w:val="21"/>
        </w:rPr>
        <w:t>C) Produce siempre efectos desde la fecha del acto original.</w:t>
      </w:r>
    </w:p>
    <w:p>
      <w:pPr>
        <w:keepNext/>
        <w:keepLines/>
        <w:spacing w:after="40"/>
        <w:ind w:left="369" w:hanging="198"/>
      </w:pPr>
      <w:r>
        <w:rPr>
          <w:rFonts w:ascii="Arial" w:hAnsi="Arial" w:cs="Arial"/>
          <w:b w:val="0"/>
          <w:sz w:val="21"/>
        </w:rPr>
        <w:t>D) Solo puede acordarla un tribunal.</w:t>
      </w:r>
    </w:p>
    <w:p>
      <w:pPr>
        <w:pStyle w:val="Question"/>
        <w:keepNext/>
      </w:pPr>
      <w:r>
        <w:rPr>
          <w:rFonts w:ascii="Arial" w:hAnsi="Arial" w:cs="Arial"/>
          <w:sz w:val="22"/>
        </w:rPr>
        <w:t>62. Conforme al ordenamiento vigente a la fecha de corte, si la viudedad se calcula con un porcentaje superior al 52 %, la suma de las pensiones de orfandad:</w:t>
      </w:r>
    </w:p>
    <w:p>
      <w:pPr>
        <w:keepNext/>
        <w:keepLines/>
        <w:spacing w:after="40"/>
        <w:ind w:left="369" w:hanging="198"/>
      </w:pPr>
      <w:r>
        <w:rPr>
          <w:rFonts w:ascii="Arial" w:hAnsi="Arial" w:cs="Arial"/>
          <w:b w:val="0"/>
          <w:sz w:val="21"/>
        </w:rPr>
        <w:t>A) No puede superar conjuntamente el 48 % de la base reguladora.</w:t>
      </w:r>
    </w:p>
    <w:p>
      <w:pPr>
        <w:keepNext/>
        <w:keepLines/>
        <w:spacing w:after="40"/>
        <w:ind w:left="369" w:hanging="198"/>
      </w:pPr>
      <w:r>
        <w:rPr>
          <w:rFonts w:ascii="Arial" w:hAnsi="Arial" w:cs="Arial"/>
          <w:b w:val="0"/>
          <w:sz w:val="21"/>
        </w:rPr>
        <w:t>B) Puede alcanzar sin límite el 100 % adicional.</w:t>
      </w:r>
    </w:p>
    <w:p>
      <w:pPr>
        <w:keepNext/>
        <w:keepLines/>
        <w:spacing w:after="40"/>
        <w:ind w:left="369" w:hanging="198"/>
      </w:pPr>
      <w:r>
        <w:rPr>
          <w:rFonts w:ascii="Arial" w:hAnsi="Arial" w:cs="Arial"/>
          <w:b w:val="0"/>
          <w:sz w:val="21"/>
        </w:rPr>
        <w:t>C) Queda reducida necesariamente al 20 % conjunto.</w:t>
      </w:r>
    </w:p>
    <w:p>
      <w:pPr>
        <w:keepNext/>
        <w:keepLines/>
        <w:spacing w:after="40"/>
        <w:ind w:left="369" w:hanging="198"/>
      </w:pPr>
      <w:r>
        <w:rPr>
          <w:rFonts w:ascii="Arial" w:hAnsi="Arial" w:cs="Arial"/>
          <w:b w:val="0"/>
          <w:sz w:val="21"/>
        </w:rPr>
        <w:t>D) Se extingue si existen dos huérfanos.</w:t>
      </w:r>
    </w:p>
    <w:p>
      <w:pPr>
        <w:pStyle w:val="Question"/>
        <w:keepNext/>
      </w:pPr>
      <w:r>
        <w:rPr>
          <w:rFonts w:ascii="Arial" w:hAnsi="Arial" w:cs="Arial"/>
          <w:sz w:val="22"/>
        </w:rPr>
        <w:t>63. A efectos de aplicar correctamente la regla examinada, a requerimiento de una persona con discapacidad, el Real Decreto 366/2007 prevé que los documentos puedan ofrecerse:</w:t>
      </w:r>
    </w:p>
    <w:p>
      <w:pPr>
        <w:keepNext/>
        <w:keepLines/>
        <w:spacing w:after="40"/>
        <w:ind w:left="369" w:hanging="198"/>
      </w:pPr>
      <w:r>
        <w:rPr>
          <w:rFonts w:ascii="Arial" w:hAnsi="Arial" w:cs="Arial"/>
          <w:b w:val="0"/>
          <w:sz w:val="21"/>
        </w:rPr>
        <w:t>A) Solo en papel ordinario.</w:t>
      </w:r>
    </w:p>
    <w:p>
      <w:pPr>
        <w:keepNext/>
        <w:keepLines/>
        <w:spacing w:after="40"/>
        <w:ind w:left="369" w:hanging="198"/>
      </w:pPr>
      <w:r>
        <w:rPr>
          <w:rFonts w:ascii="Arial" w:hAnsi="Arial" w:cs="Arial"/>
          <w:b w:val="0"/>
          <w:sz w:val="21"/>
        </w:rPr>
        <w:t>B) Únicamente mediante comparecencia judicial.</w:t>
      </w:r>
    </w:p>
    <w:p>
      <w:pPr>
        <w:keepNext/>
        <w:keepLines/>
        <w:spacing w:after="40"/>
        <w:ind w:left="369" w:hanging="198"/>
      </w:pPr>
      <w:r>
        <w:rPr>
          <w:rFonts w:ascii="Arial" w:hAnsi="Arial" w:cs="Arial"/>
          <w:b w:val="0"/>
          <w:sz w:val="21"/>
        </w:rPr>
        <w:t>C) Sin instrucciones para preservar neutralidad.</w:t>
      </w:r>
    </w:p>
    <w:p>
      <w:pPr>
        <w:keepNext/>
        <w:keepLines/>
        <w:spacing w:after="40"/>
        <w:ind w:left="369" w:hanging="198"/>
      </w:pPr>
      <w:r>
        <w:rPr>
          <w:rFonts w:ascii="Arial" w:hAnsi="Arial" w:cs="Arial"/>
          <w:b w:val="0"/>
          <w:sz w:val="21"/>
        </w:rPr>
        <w:t>D) En formatos alternativos como letra grande o braille, o con apoyo para cumplimentarlos.</w:t>
      </w:r>
    </w:p>
    <w:p>
      <w:pPr>
        <w:pStyle w:val="Question"/>
        <w:keepNext/>
      </w:pPr>
      <w:r>
        <w:rPr>
          <w:rFonts w:ascii="Arial" w:hAnsi="Arial" w:cs="Arial"/>
          <w:sz w:val="22"/>
        </w:rPr>
        <w:t>64. Conforme al ordenamiento vigente a la fecha de corte, de la Secretaría de Estado de Migraciones dependen:</w:t>
      </w:r>
    </w:p>
    <w:p>
      <w:pPr>
        <w:keepNext/>
        <w:keepLines/>
        <w:spacing w:after="40"/>
        <w:ind w:left="369" w:hanging="198"/>
      </w:pPr>
      <w:r>
        <w:rPr>
          <w:rFonts w:ascii="Arial" w:hAnsi="Arial" w:cs="Arial"/>
          <w:b w:val="0"/>
          <w:sz w:val="21"/>
        </w:rPr>
        <w:t>A) Tres Direcciones Generales.</w:t>
      </w:r>
    </w:p>
    <w:p>
      <w:pPr>
        <w:keepNext/>
        <w:keepLines/>
        <w:spacing w:after="40"/>
        <w:ind w:left="369" w:hanging="198"/>
      </w:pPr>
      <w:r>
        <w:rPr>
          <w:rFonts w:ascii="Arial" w:hAnsi="Arial" w:cs="Arial"/>
          <w:b w:val="0"/>
          <w:sz w:val="21"/>
        </w:rPr>
        <w:t>B) Una Dirección General y dos organismos autónomos.</w:t>
      </w:r>
    </w:p>
    <w:p>
      <w:pPr>
        <w:keepNext/>
        <w:keepLines/>
        <w:spacing w:after="40"/>
        <w:ind w:left="369" w:hanging="198"/>
      </w:pPr>
      <w:r>
        <w:rPr>
          <w:rFonts w:ascii="Arial" w:hAnsi="Arial" w:cs="Arial"/>
          <w:b w:val="0"/>
          <w:sz w:val="21"/>
        </w:rPr>
        <w:t>C) Cuatro Secretarías Generales.</w:t>
      </w:r>
    </w:p>
    <w:p>
      <w:pPr>
        <w:keepNext/>
        <w:keepLines/>
        <w:spacing w:after="40"/>
        <w:ind w:left="369" w:hanging="198"/>
      </w:pPr>
      <w:r>
        <w:rPr>
          <w:rFonts w:ascii="Arial" w:hAnsi="Arial" w:cs="Arial"/>
          <w:b w:val="0"/>
          <w:sz w:val="21"/>
        </w:rPr>
        <w:t>D) Exclusivamente órganos colegiados.</w:t>
      </w:r>
    </w:p>
    <w:p>
      <w:pPr>
        <w:pStyle w:val="Question"/>
        <w:keepNext/>
      </w:pPr>
      <w:r>
        <w:rPr>
          <w:rFonts w:ascii="Arial" w:hAnsi="Arial" w:cs="Arial"/>
          <w:sz w:val="22"/>
        </w:rPr>
        <w:t>65. Conforme al ordenamiento vigente a la fecha de corte, en la primera propuesta, ¿qué mayoría exige la elección del Defensor del Pueblo?</w:t>
      </w:r>
    </w:p>
    <w:p>
      <w:pPr>
        <w:keepNext/>
        <w:keepLines/>
        <w:spacing w:after="40"/>
        <w:ind w:left="369" w:hanging="198"/>
      </w:pPr>
      <w:r>
        <w:rPr>
          <w:rFonts w:ascii="Arial" w:hAnsi="Arial" w:cs="Arial"/>
          <w:b w:val="0"/>
          <w:sz w:val="21"/>
        </w:rPr>
        <w:t>A) Mayoría absoluta del Congreso y simple del Senado.</w:t>
      </w:r>
    </w:p>
    <w:p>
      <w:pPr>
        <w:keepNext/>
        <w:keepLines/>
        <w:spacing w:after="40"/>
        <w:ind w:left="369" w:hanging="198"/>
      </w:pPr>
      <w:r>
        <w:rPr>
          <w:rFonts w:ascii="Arial" w:hAnsi="Arial" w:cs="Arial"/>
          <w:b w:val="0"/>
          <w:sz w:val="21"/>
        </w:rPr>
        <w:t>B) Dos tercios de cada Cámara.</w:t>
      </w:r>
    </w:p>
    <w:p>
      <w:pPr>
        <w:keepNext/>
        <w:keepLines/>
        <w:spacing w:after="40"/>
        <w:ind w:left="369" w:hanging="198"/>
      </w:pPr>
      <w:r>
        <w:rPr>
          <w:rFonts w:ascii="Arial" w:hAnsi="Arial" w:cs="Arial"/>
          <w:b w:val="0"/>
          <w:sz w:val="21"/>
        </w:rPr>
        <w:t>C) Tres quintos del Congreso, sin intervención del Senado.</w:t>
      </w:r>
    </w:p>
    <w:p>
      <w:pPr>
        <w:keepNext/>
        <w:keepLines/>
        <w:spacing w:after="40"/>
        <w:ind w:left="369" w:hanging="198"/>
      </w:pPr>
      <w:r>
        <w:rPr>
          <w:rFonts w:ascii="Arial" w:hAnsi="Arial" w:cs="Arial"/>
          <w:b w:val="0"/>
          <w:sz w:val="21"/>
        </w:rPr>
        <w:t>D) Tres quintos del Congreso y posterior ratificación por tres quintos del Senado.</w:t>
      </w:r>
    </w:p>
    <w:p>
      <w:pPr>
        <w:pStyle w:val="Question"/>
        <w:keepNext/>
      </w:pPr>
      <w:r>
        <w:rPr>
          <w:rFonts w:ascii="Arial" w:hAnsi="Arial" w:cs="Arial"/>
          <w:sz w:val="22"/>
        </w:rPr>
        <w:t>66. En una comprobación jurídica del expediente, en relación con el ingreso mínimo vital, la Secretaría General de Inclusión:</w:t>
      </w:r>
    </w:p>
    <w:p>
      <w:pPr>
        <w:keepNext/>
        <w:keepLines/>
        <w:spacing w:after="40"/>
        <w:ind w:left="369" w:hanging="198"/>
      </w:pPr>
      <w:r>
        <w:rPr>
          <w:rFonts w:ascii="Arial" w:hAnsi="Arial" w:cs="Arial"/>
          <w:b w:val="0"/>
          <w:sz w:val="21"/>
        </w:rPr>
        <w:t>A) Resuelve todos los expedientes individuales.</w:t>
      </w:r>
    </w:p>
    <w:p>
      <w:pPr>
        <w:keepNext/>
        <w:keepLines/>
        <w:spacing w:after="40"/>
        <w:ind w:left="369" w:hanging="198"/>
      </w:pPr>
      <w:r>
        <w:rPr>
          <w:rFonts w:ascii="Arial" w:hAnsi="Arial" w:cs="Arial"/>
          <w:b w:val="0"/>
          <w:sz w:val="21"/>
        </w:rPr>
        <w:t>B) Recauda las cuantías indebidamente percibidas.</w:t>
      </w:r>
    </w:p>
    <w:p>
      <w:pPr>
        <w:keepNext/>
        <w:keepLines/>
        <w:spacing w:after="40"/>
        <w:ind w:left="369" w:hanging="198"/>
      </w:pPr>
      <w:r>
        <w:rPr>
          <w:rFonts w:ascii="Arial" w:hAnsi="Arial" w:cs="Arial"/>
          <w:b w:val="0"/>
          <w:sz w:val="21"/>
        </w:rPr>
        <w:t>C) Sustituye al INSS en la gestión.</w:t>
      </w:r>
    </w:p>
    <w:p>
      <w:pPr>
        <w:keepNext/>
        <w:keepLines/>
        <w:spacing w:after="40"/>
        <w:ind w:left="369" w:hanging="198"/>
      </w:pPr>
      <w:r>
        <w:rPr>
          <w:rFonts w:ascii="Arial" w:hAnsi="Arial" w:cs="Arial"/>
          <w:b w:val="0"/>
          <w:sz w:val="21"/>
        </w:rPr>
        <w:t>D) Evalúa, estudia, informa y propone sobre sus normas y medidas asociadas.</w:t>
      </w:r>
    </w:p>
    <w:p>
      <w:pPr>
        <w:pStyle w:val="Question"/>
        <w:keepNext/>
      </w:pPr>
      <w:r>
        <w:rPr>
          <w:rFonts w:ascii="Arial" w:hAnsi="Arial" w:cs="Arial"/>
          <w:sz w:val="22"/>
        </w:rPr>
        <w:t>67. En una comprobación jurídica del expediente, el precepto constitucional central sobre Seguridad Social es:</w:t>
      </w:r>
    </w:p>
    <w:p>
      <w:pPr>
        <w:keepNext/>
        <w:keepLines/>
        <w:spacing w:after="40"/>
        <w:ind w:left="369" w:hanging="198"/>
      </w:pPr>
      <w:r>
        <w:rPr>
          <w:rFonts w:ascii="Arial" w:hAnsi="Arial" w:cs="Arial"/>
          <w:b w:val="0"/>
          <w:sz w:val="21"/>
        </w:rPr>
        <w:t>A) El artículo 20.</w:t>
      </w:r>
    </w:p>
    <w:p>
      <w:pPr>
        <w:keepNext/>
        <w:keepLines/>
        <w:spacing w:after="40"/>
        <w:ind w:left="369" w:hanging="198"/>
      </w:pPr>
      <w:r>
        <w:rPr>
          <w:rFonts w:ascii="Arial" w:hAnsi="Arial" w:cs="Arial"/>
          <w:b w:val="0"/>
          <w:sz w:val="21"/>
        </w:rPr>
        <w:t>B) El artículo 41.</w:t>
      </w:r>
    </w:p>
    <w:p>
      <w:pPr>
        <w:keepNext/>
        <w:keepLines/>
        <w:spacing w:after="40"/>
        <w:ind w:left="369" w:hanging="198"/>
      </w:pPr>
      <w:r>
        <w:rPr>
          <w:rFonts w:ascii="Arial" w:hAnsi="Arial" w:cs="Arial"/>
          <w:b w:val="0"/>
          <w:sz w:val="21"/>
        </w:rPr>
        <w:t>C) El artículo 27.</w:t>
      </w:r>
    </w:p>
    <w:p>
      <w:pPr>
        <w:keepNext/>
        <w:keepLines/>
        <w:spacing w:after="40"/>
        <w:ind w:left="369" w:hanging="198"/>
      </w:pPr>
      <w:r>
        <w:rPr>
          <w:rFonts w:ascii="Arial" w:hAnsi="Arial" w:cs="Arial"/>
          <w:b w:val="0"/>
          <w:sz w:val="21"/>
        </w:rPr>
        <w:t>D) El artículo 54.</w:t>
      </w:r>
    </w:p>
    <w:p>
      <w:pPr>
        <w:pStyle w:val="Question"/>
        <w:keepNext/>
      </w:pPr>
      <w:r>
        <w:rPr>
          <w:rFonts w:ascii="Arial" w:hAnsi="Arial" w:cs="Arial"/>
          <w:sz w:val="22"/>
        </w:rPr>
        <w:t>68. Conforme al ordenamiento vigente a la fecha de corte, el plazo general de emisión de un informe es de:</w:t>
      </w:r>
    </w:p>
    <w:p>
      <w:pPr>
        <w:keepNext/>
        <w:keepLines/>
        <w:spacing w:after="40"/>
        <w:ind w:left="369" w:hanging="198"/>
      </w:pPr>
      <w:r>
        <w:rPr>
          <w:rFonts w:ascii="Arial" w:hAnsi="Arial" w:cs="Arial"/>
          <w:b w:val="0"/>
          <w:sz w:val="21"/>
        </w:rPr>
        <w:t>A) Cinco días.</w:t>
      </w:r>
    </w:p>
    <w:p>
      <w:pPr>
        <w:keepNext/>
        <w:keepLines/>
        <w:spacing w:after="40"/>
        <w:ind w:left="369" w:hanging="198"/>
      </w:pPr>
      <w:r>
        <w:rPr>
          <w:rFonts w:ascii="Arial" w:hAnsi="Arial" w:cs="Arial"/>
          <w:b w:val="0"/>
          <w:sz w:val="21"/>
        </w:rPr>
        <w:t>B) Quince días en todo caso.</w:t>
      </w:r>
    </w:p>
    <w:p>
      <w:pPr>
        <w:keepNext/>
        <w:keepLines/>
        <w:spacing w:after="40"/>
        <w:ind w:left="369" w:hanging="198"/>
      </w:pPr>
      <w:r>
        <w:rPr>
          <w:rFonts w:ascii="Arial" w:hAnsi="Arial" w:cs="Arial"/>
          <w:b w:val="0"/>
          <w:sz w:val="21"/>
        </w:rPr>
        <w:t>C) Diez días, salvo que una disposición o los demás plazos permitan o exijan otro.</w:t>
      </w:r>
    </w:p>
    <w:p>
      <w:pPr>
        <w:keepNext/>
        <w:keepLines/>
        <w:spacing w:after="40"/>
        <w:ind w:left="369" w:hanging="198"/>
      </w:pPr>
      <w:r>
        <w:rPr>
          <w:rFonts w:ascii="Arial" w:hAnsi="Arial" w:cs="Arial"/>
          <w:b w:val="0"/>
          <w:sz w:val="21"/>
        </w:rPr>
        <w:t>D) Dos meses.</w:t>
      </w:r>
    </w:p>
    <w:p>
      <w:pPr>
        <w:pStyle w:val="Question"/>
        <w:keepNext/>
      </w:pPr>
      <w:r>
        <w:rPr>
          <w:rFonts w:ascii="Arial" w:hAnsi="Arial" w:cs="Arial"/>
          <w:sz w:val="22"/>
        </w:rPr>
        <w:t>69. Conforme al ordenamiento vigente a la fecha de corte, si no se logra acuerdo mediante la comisión paritaria del artículo 167, la reforma todavía puede prosperar cuando:</w:t>
      </w:r>
    </w:p>
    <w:p>
      <w:pPr>
        <w:keepNext/>
        <w:keepLines/>
        <w:spacing w:after="40"/>
        <w:ind w:left="369" w:hanging="198"/>
      </w:pPr>
      <w:r>
        <w:rPr>
          <w:rFonts w:ascii="Arial" w:hAnsi="Arial" w:cs="Arial"/>
          <w:b w:val="0"/>
          <w:sz w:val="21"/>
        </w:rPr>
        <w:t>A) El Congreso la aprueba por mayoría absoluta y el Senado por mayoría simple.</w:t>
      </w:r>
    </w:p>
    <w:p>
      <w:pPr>
        <w:keepNext/>
        <w:keepLines/>
        <w:spacing w:after="40"/>
        <w:ind w:left="369" w:hanging="198"/>
      </w:pPr>
      <w:r>
        <w:rPr>
          <w:rFonts w:ascii="Arial" w:hAnsi="Arial" w:cs="Arial"/>
          <w:b w:val="0"/>
          <w:sz w:val="21"/>
        </w:rPr>
        <w:t>B) El Senado la aprueba por tres quintos y el Congreso por mayoría absoluta.</w:t>
      </w:r>
    </w:p>
    <w:p>
      <w:pPr>
        <w:keepNext/>
        <w:keepLines/>
        <w:spacing w:after="40"/>
        <w:ind w:left="369" w:hanging="198"/>
      </w:pPr>
      <w:r>
        <w:rPr>
          <w:rFonts w:ascii="Arial" w:hAnsi="Arial" w:cs="Arial"/>
          <w:b w:val="0"/>
          <w:sz w:val="21"/>
        </w:rPr>
        <w:t>C) El Senado la aprueba por mayoría absoluta y el Congreso por mayoría de dos tercios.</w:t>
      </w:r>
    </w:p>
    <w:p>
      <w:pPr>
        <w:keepNext/>
        <w:keepLines/>
        <w:spacing w:after="40"/>
        <w:ind w:left="369" w:hanging="198"/>
      </w:pPr>
      <w:r>
        <w:rPr>
          <w:rFonts w:ascii="Arial" w:hAnsi="Arial" w:cs="Arial"/>
          <w:b w:val="0"/>
          <w:sz w:val="21"/>
        </w:rPr>
        <w:t>D) El Congreso la aprueba por tres quintos aunque el Senado la rechace.</w:t>
      </w:r>
    </w:p>
    <w:p>
      <w:pPr>
        <w:pStyle w:val="Question"/>
        <w:keepNext/>
      </w:pPr>
      <w:r>
        <w:rPr>
          <w:rFonts w:ascii="Arial" w:hAnsi="Arial" w:cs="Arial"/>
          <w:sz w:val="22"/>
        </w:rPr>
        <w:t>70. En una comprobación jurídica del expediente, si el valor del inmueble que se pretende enajenar supera 20 millones de euros, la autorización corresponde:</w:t>
      </w:r>
    </w:p>
    <w:p>
      <w:pPr>
        <w:keepNext/>
        <w:keepLines/>
        <w:spacing w:after="40"/>
        <w:ind w:left="369" w:hanging="198"/>
      </w:pPr>
      <w:r>
        <w:rPr>
          <w:rFonts w:ascii="Arial" w:hAnsi="Arial" w:cs="Arial"/>
          <w:b w:val="0"/>
          <w:sz w:val="21"/>
        </w:rPr>
        <w:t>A) Al Director General de la TGSS.</w:t>
      </w:r>
    </w:p>
    <w:p>
      <w:pPr>
        <w:keepNext/>
        <w:keepLines/>
        <w:spacing w:after="40"/>
        <w:ind w:left="369" w:hanging="198"/>
      </w:pPr>
      <w:r>
        <w:rPr>
          <w:rFonts w:ascii="Arial" w:hAnsi="Arial" w:cs="Arial"/>
          <w:b w:val="0"/>
          <w:sz w:val="21"/>
        </w:rPr>
        <w:t>B) Al Consejo de Ministros.</w:t>
      </w:r>
    </w:p>
    <w:p>
      <w:pPr>
        <w:keepNext/>
        <w:keepLines/>
        <w:spacing w:after="40"/>
        <w:ind w:left="369" w:hanging="198"/>
      </w:pPr>
      <w:r>
        <w:rPr>
          <w:rFonts w:ascii="Arial" w:hAnsi="Arial" w:cs="Arial"/>
          <w:b w:val="0"/>
          <w:sz w:val="21"/>
        </w:rPr>
        <w:t>C) Al Ministro competente, sin límite.</w:t>
      </w:r>
    </w:p>
    <w:p>
      <w:pPr>
        <w:keepNext/>
        <w:keepLines/>
        <w:spacing w:after="40"/>
        <w:ind w:left="369" w:hanging="198"/>
      </w:pPr>
      <w:r>
        <w:rPr>
          <w:rFonts w:ascii="Arial" w:hAnsi="Arial" w:cs="Arial"/>
          <w:b w:val="0"/>
          <w:sz w:val="21"/>
        </w:rPr>
        <w:t>D) A la Comisión de Seguimiento del Fondo de Reserva.</w:t>
      </w:r>
    </w:p>
    <w:p>
      <w:pPr>
        <w:pStyle w:val="Heading2"/>
      </w:pPr>
      <w:r>
        <w:t>Preguntas de reserva de la primera parte</w:t>
      </w:r>
    </w:p>
    <w:p>
      <w:pPr>
        <w:pStyle w:val="Question"/>
        <w:keepNext/>
      </w:pPr>
      <w:r>
        <w:rPr>
          <w:rFonts w:ascii="Arial" w:hAnsi="Arial" w:cs="Arial"/>
          <w:sz w:val="22"/>
        </w:rPr>
        <w:t>71. Conforme al ordenamiento vigente a la fecha de corte, la suspensión firme de funciones o de empleo y sueldo puede alcanzar como máximo:</w:t>
      </w:r>
    </w:p>
    <w:p>
      <w:pPr>
        <w:keepNext/>
        <w:keepLines/>
        <w:spacing w:after="40"/>
        <w:ind w:left="369" w:hanging="198"/>
      </w:pPr>
      <w:r>
        <w:rPr>
          <w:rFonts w:ascii="Arial" w:hAnsi="Arial" w:cs="Arial"/>
          <w:b w:val="0"/>
          <w:sz w:val="21"/>
        </w:rPr>
        <w:t>A) Dos años.</w:t>
      </w:r>
    </w:p>
    <w:p>
      <w:pPr>
        <w:keepNext/>
        <w:keepLines/>
        <w:spacing w:after="40"/>
        <w:ind w:left="369" w:hanging="198"/>
      </w:pPr>
      <w:r>
        <w:rPr>
          <w:rFonts w:ascii="Arial" w:hAnsi="Arial" w:cs="Arial"/>
          <w:b w:val="0"/>
          <w:sz w:val="21"/>
        </w:rPr>
        <w:t>B) Tres años.</w:t>
      </w:r>
    </w:p>
    <w:p>
      <w:pPr>
        <w:keepNext/>
        <w:keepLines/>
        <w:spacing w:after="40"/>
        <w:ind w:left="369" w:hanging="198"/>
      </w:pPr>
      <w:r>
        <w:rPr>
          <w:rFonts w:ascii="Arial" w:hAnsi="Arial" w:cs="Arial"/>
          <w:b w:val="0"/>
          <w:sz w:val="21"/>
        </w:rPr>
        <w:t>C) Seis años.</w:t>
      </w:r>
    </w:p>
    <w:p>
      <w:pPr>
        <w:keepNext/>
        <w:keepLines/>
        <w:spacing w:after="40"/>
        <w:ind w:left="369" w:hanging="198"/>
      </w:pPr>
      <w:r>
        <w:rPr>
          <w:rFonts w:ascii="Arial" w:hAnsi="Arial" w:cs="Arial"/>
          <w:b w:val="0"/>
          <w:sz w:val="21"/>
        </w:rPr>
        <w:t>D) Diez años.</w:t>
      </w:r>
    </w:p>
    <w:p>
      <w:pPr>
        <w:pStyle w:val="Question"/>
        <w:keepNext/>
      </w:pPr>
      <w:r>
        <w:rPr>
          <w:rFonts w:ascii="Arial" w:hAnsi="Arial" w:cs="Arial"/>
          <w:sz w:val="22"/>
        </w:rPr>
        <w:t>72. A efectos de aplicar correctamente la regla examinada, la reserva de ley significa que:</w:t>
      </w:r>
    </w:p>
    <w:p>
      <w:pPr>
        <w:keepNext/>
        <w:keepLines/>
        <w:spacing w:after="40"/>
        <w:ind w:left="369" w:hanging="198"/>
      </w:pPr>
      <w:r>
        <w:rPr>
          <w:rFonts w:ascii="Arial" w:hAnsi="Arial" w:cs="Arial"/>
          <w:b w:val="0"/>
          <w:sz w:val="21"/>
        </w:rPr>
        <w:t>A) Toda materia administrativa debe agotarse en ley orgánica.</w:t>
      </w:r>
    </w:p>
    <w:p>
      <w:pPr>
        <w:keepNext/>
        <w:keepLines/>
        <w:spacing w:after="40"/>
        <w:ind w:left="369" w:hanging="198"/>
      </w:pPr>
      <w:r>
        <w:rPr>
          <w:rFonts w:ascii="Arial" w:hAnsi="Arial" w:cs="Arial"/>
          <w:b w:val="0"/>
          <w:sz w:val="21"/>
        </w:rPr>
        <w:t>B) Un reglamento puede sustituir la ley si es técnico.</w:t>
      </w:r>
    </w:p>
    <w:p>
      <w:pPr>
        <w:keepNext/>
        <w:keepLines/>
        <w:spacing w:after="40"/>
        <w:ind w:left="369" w:hanging="198"/>
      </w:pPr>
      <w:r>
        <w:rPr>
          <w:rFonts w:ascii="Arial" w:hAnsi="Arial" w:cs="Arial"/>
          <w:b w:val="0"/>
          <w:sz w:val="21"/>
        </w:rPr>
        <w:t>C) Los elementos que la Constitución reserva deben decidirse por norma con rango legal, admitiendo solo la colaboración reglamentaria compatible.</w:t>
      </w:r>
    </w:p>
    <w:p>
      <w:pPr>
        <w:keepNext/>
        <w:keepLines/>
        <w:spacing w:after="40"/>
        <w:ind w:left="369" w:hanging="198"/>
      </w:pPr>
      <w:r>
        <w:rPr>
          <w:rFonts w:ascii="Arial" w:hAnsi="Arial" w:cs="Arial"/>
          <w:b w:val="0"/>
          <w:sz w:val="21"/>
        </w:rPr>
        <w:t>D) El Gobierno elige libremente el rango.</w:t>
      </w:r>
    </w:p>
    <w:p>
      <w:pPr>
        <w:pStyle w:val="Question"/>
        <w:keepNext/>
      </w:pPr>
      <w:r>
        <w:rPr>
          <w:rFonts w:ascii="Arial" w:hAnsi="Arial" w:cs="Arial"/>
          <w:sz w:val="22"/>
        </w:rPr>
        <w:t>73. A efectos de aplicar correctamente la regla examinada, en el Régimen General, la solicitud de alta debe presentarse, como regla:</w:t>
      </w:r>
    </w:p>
    <w:p>
      <w:pPr>
        <w:keepNext/>
        <w:keepLines/>
        <w:spacing w:after="40"/>
        <w:ind w:left="369" w:hanging="198"/>
      </w:pPr>
      <w:r>
        <w:rPr>
          <w:rFonts w:ascii="Arial" w:hAnsi="Arial" w:cs="Arial"/>
          <w:b w:val="0"/>
          <w:sz w:val="21"/>
        </w:rPr>
        <w:t>A) Dentro de los tres días naturales posteriores al comienzo.</w:t>
      </w:r>
    </w:p>
    <w:p>
      <w:pPr>
        <w:keepNext/>
        <w:keepLines/>
        <w:spacing w:after="40"/>
        <w:ind w:left="369" w:hanging="198"/>
      </w:pPr>
      <w:r>
        <w:rPr>
          <w:rFonts w:ascii="Arial" w:hAnsi="Arial" w:cs="Arial"/>
          <w:b w:val="0"/>
          <w:sz w:val="21"/>
        </w:rPr>
        <w:t>B) Antes de terminar el primer día trabajado.</w:t>
      </w:r>
    </w:p>
    <w:p>
      <w:pPr>
        <w:keepNext/>
        <w:keepLines/>
        <w:spacing w:after="40"/>
        <w:ind w:left="369" w:hanging="198"/>
      </w:pPr>
      <w:r>
        <w:rPr>
          <w:rFonts w:ascii="Arial" w:hAnsi="Arial" w:cs="Arial"/>
          <w:b w:val="0"/>
          <w:sz w:val="21"/>
        </w:rPr>
        <w:t>C) Antes del comienzo de la prestación de servicios.</w:t>
      </w:r>
    </w:p>
    <w:p>
      <w:pPr>
        <w:keepNext/>
        <w:keepLines/>
        <w:spacing w:after="40"/>
        <w:ind w:left="369" w:hanging="198"/>
      </w:pPr>
      <w:r>
        <w:rPr>
          <w:rFonts w:ascii="Arial" w:hAnsi="Arial" w:cs="Arial"/>
          <w:b w:val="0"/>
          <w:sz w:val="21"/>
        </w:rPr>
        <w:t>D) En los diez primeros días del mes siguiente.</w:t>
      </w:r>
    </w:p>
    <w:p>
      <w:r>
        <w:br w:type="page"/>
      </w:r>
    </w:p>
    <w:p>
      <w:pPr>
        <w:pStyle w:val="Heading1"/>
      </w:pPr>
      <w:r>
        <w:t>Segunda parte · supuesto práctico</w:t>
      </w:r>
    </w:p>
    <w:p>
      <w:pPr>
        <w:shd w:fill="EAF2F8"/>
      </w:pPr>
      <w:r>
        <w:t>La equipo de revisión de expedientes atiende a varias personas trabajadoras, pensionistas y empresas con incidencias conectadas.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La unidad competente debe resolver la siguiente cuestión: La jubilación no contributiva exige residencia legal en España durante:</w:t>
      </w:r>
    </w:p>
    <w:p>
      <w:pPr>
        <w:keepNext/>
        <w:keepLines/>
        <w:spacing w:after="40"/>
        <w:ind w:left="369" w:hanging="198"/>
      </w:pPr>
      <w:r>
        <w:rPr>
          <w:rFonts w:ascii="Arial" w:hAnsi="Arial" w:cs="Arial"/>
          <w:b w:val="0"/>
          <w:sz w:val="21"/>
        </w:rPr>
        <w:t>A) Cinco años desde el nacimiento.</w:t>
      </w:r>
    </w:p>
    <w:p>
      <w:pPr>
        <w:keepNext/>
        <w:keepLines/>
        <w:spacing w:after="40"/>
        <w:ind w:left="369" w:hanging="198"/>
      </w:pPr>
      <w:r>
        <w:rPr>
          <w:rFonts w:ascii="Arial" w:hAnsi="Arial" w:cs="Arial"/>
          <w:b w:val="0"/>
          <w:sz w:val="21"/>
        </w:rPr>
        <w:t>B) Quince años, todos posteriores a los 50.</w:t>
      </w:r>
    </w:p>
    <w:p>
      <w:pPr>
        <w:keepNext/>
        <w:keepLines/>
        <w:spacing w:after="40"/>
        <w:ind w:left="369" w:hanging="198"/>
      </w:pPr>
      <w:r>
        <w:rPr>
          <w:rFonts w:ascii="Arial" w:hAnsi="Arial" w:cs="Arial"/>
          <w:b w:val="0"/>
          <w:sz w:val="21"/>
        </w:rPr>
        <w:t>C) Un año inmediatamente anterior.</w:t>
      </w:r>
    </w:p>
    <w:p>
      <w:pPr>
        <w:keepNext/>
        <w:keepLines/>
        <w:spacing w:after="40"/>
        <w:ind w:left="369" w:hanging="198"/>
      </w:pPr>
      <w:r>
        <w:rPr>
          <w:rFonts w:ascii="Arial" w:hAnsi="Arial" w:cs="Arial"/>
          <w:b w:val="0"/>
          <w:sz w:val="21"/>
        </w:rPr>
        <w:t>D) Diez años entre los 16 años y el devengo, dos inmediatamente anteriores.</w:t>
      </w:r>
    </w:p>
    <w:p>
      <w:pPr>
        <w:pStyle w:val="Question"/>
        <w:keepNext/>
      </w:pPr>
      <w:r>
        <w:rPr>
          <w:rFonts w:ascii="Arial" w:hAnsi="Arial" w:cs="Arial"/>
          <w:sz w:val="22"/>
        </w:rPr>
        <w:t>2. La unidad competente debe resolver la siguiente cuestión: El subsidio por cuidado de menor con enfermedad grave lo gestiona:</w:t>
      </w:r>
    </w:p>
    <w:p>
      <w:pPr>
        <w:keepNext/>
        <w:keepLines/>
        <w:spacing w:after="40"/>
        <w:ind w:left="369" w:hanging="198"/>
      </w:pPr>
      <w:r>
        <w:rPr>
          <w:rFonts w:ascii="Arial" w:hAnsi="Arial" w:cs="Arial"/>
          <w:b w:val="0"/>
          <w:sz w:val="21"/>
        </w:rPr>
        <w:t>A) La mutua o entidad con la que se cubren los riesgos profesionales.</w:t>
      </w:r>
    </w:p>
    <w:p>
      <w:pPr>
        <w:keepNext/>
        <w:keepLines/>
        <w:spacing w:after="40"/>
        <w:ind w:left="369" w:hanging="198"/>
      </w:pPr>
      <w:r>
        <w:rPr>
          <w:rFonts w:ascii="Arial" w:hAnsi="Arial" w:cs="Arial"/>
          <w:b w:val="0"/>
          <w:sz w:val="21"/>
        </w:rPr>
        <w:t>B) Exclusivamente el servicio público de salud.</w:t>
      </w:r>
    </w:p>
    <w:p>
      <w:pPr>
        <w:keepNext/>
        <w:keepLines/>
        <w:spacing w:after="40"/>
        <w:ind w:left="369" w:hanging="198"/>
      </w:pPr>
      <w:r>
        <w:rPr>
          <w:rFonts w:ascii="Arial" w:hAnsi="Arial" w:cs="Arial"/>
          <w:b w:val="0"/>
          <w:sz w:val="21"/>
        </w:rPr>
        <w:t>C) La empresa mediante pago delegado.</w:t>
      </w:r>
    </w:p>
    <w:p>
      <w:pPr>
        <w:keepNext/>
        <w:keepLines/>
        <w:spacing w:after="40"/>
        <w:ind w:left="369" w:hanging="198"/>
      </w:pPr>
      <w:r>
        <w:rPr>
          <w:rFonts w:ascii="Arial" w:hAnsi="Arial" w:cs="Arial"/>
          <w:b w:val="0"/>
          <w:sz w:val="21"/>
        </w:rPr>
        <w:t>D) La Agencia Tributaria.</w:t>
      </w:r>
    </w:p>
    <w:p>
      <w:pPr>
        <w:pStyle w:val="Question"/>
        <w:keepNext/>
      </w:pPr>
      <w:r>
        <w:rPr>
          <w:rFonts w:ascii="Arial" w:hAnsi="Arial" w:cs="Arial"/>
          <w:sz w:val="22"/>
        </w:rPr>
        <w:t>3. La unidad competente debe resolver la siguiente cuestión: El subsidio de IT se extingue por transcurso del plazo máximo de:</w:t>
      </w:r>
    </w:p>
    <w:p>
      <w:pPr>
        <w:keepNext/>
        <w:keepLines/>
        <w:spacing w:after="40"/>
        <w:ind w:left="369" w:hanging="198"/>
      </w:pPr>
      <w:r>
        <w:rPr>
          <w:rFonts w:ascii="Arial" w:hAnsi="Arial" w:cs="Arial"/>
          <w:b w:val="0"/>
          <w:sz w:val="21"/>
        </w:rPr>
        <w:t>A) 365 días.</w:t>
      </w:r>
    </w:p>
    <w:p>
      <w:pPr>
        <w:keepNext/>
        <w:keepLines/>
        <w:spacing w:after="40"/>
        <w:ind w:left="369" w:hanging="198"/>
      </w:pPr>
      <w:r>
        <w:rPr>
          <w:rFonts w:ascii="Arial" w:hAnsi="Arial" w:cs="Arial"/>
          <w:b w:val="0"/>
          <w:sz w:val="21"/>
        </w:rPr>
        <w:t>B) 545 días naturales desde la baja.</w:t>
      </w:r>
    </w:p>
    <w:p>
      <w:pPr>
        <w:keepNext/>
        <w:keepLines/>
        <w:spacing w:after="40"/>
        <w:ind w:left="369" w:hanging="198"/>
      </w:pPr>
      <w:r>
        <w:rPr>
          <w:rFonts w:ascii="Arial" w:hAnsi="Arial" w:cs="Arial"/>
          <w:b w:val="0"/>
          <w:sz w:val="21"/>
        </w:rPr>
        <w:t>C) 180 días.</w:t>
      </w:r>
    </w:p>
    <w:p>
      <w:pPr>
        <w:keepNext/>
        <w:keepLines/>
        <w:spacing w:after="40"/>
        <w:ind w:left="369" w:hanging="198"/>
      </w:pPr>
      <w:r>
        <w:rPr>
          <w:rFonts w:ascii="Arial" w:hAnsi="Arial" w:cs="Arial"/>
          <w:b w:val="0"/>
          <w:sz w:val="21"/>
        </w:rPr>
        <w:t>D) 730 días de subsidio.</w:t>
      </w:r>
    </w:p>
    <w:p>
      <w:pPr>
        <w:pStyle w:val="Question"/>
        <w:keepNext/>
      </w:pPr>
      <w:r>
        <w:rPr>
          <w:rFonts w:ascii="Arial" w:hAnsi="Arial" w:cs="Arial"/>
          <w:sz w:val="22"/>
        </w:rPr>
        <w:t>4. La unidad competente debe resolver la siguiente cuestión: La gestión recaudatoria de la Seguridad Social es:</w:t>
      </w:r>
    </w:p>
    <w:p>
      <w:pPr>
        <w:keepNext/>
        <w:keepLines/>
        <w:spacing w:after="40"/>
        <w:ind w:left="369" w:hanging="198"/>
      </w:pPr>
      <w:r>
        <w:rPr>
          <w:rFonts w:ascii="Arial" w:hAnsi="Arial" w:cs="Arial"/>
          <w:b w:val="0"/>
          <w:sz w:val="21"/>
        </w:rPr>
        <w:t>A) La potestad de crear tributos estatales.</w:t>
      </w:r>
    </w:p>
    <w:p>
      <w:pPr>
        <w:keepNext/>
        <w:keepLines/>
        <w:spacing w:after="40"/>
        <w:ind w:left="369" w:hanging="198"/>
      </w:pPr>
      <w:r>
        <w:rPr>
          <w:rFonts w:ascii="Arial" w:hAnsi="Arial" w:cs="Arial"/>
          <w:b w:val="0"/>
          <w:sz w:val="21"/>
        </w:rPr>
        <w:t>B) El ejercicio de la actividad administrativa conducente a la realización de sus créditos y derechos.</w:t>
      </w:r>
    </w:p>
    <w:p>
      <w:pPr>
        <w:keepNext/>
        <w:keepLines/>
        <w:spacing w:after="40"/>
        <w:ind w:left="369" w:hanging="198"/>
      </w:pPr>
      <w:r>
        <w:rPr>
          <w:rFonts w:ascii="Arial" w:hAnsi="Arial" w:cs="Arial"/>
          <w:b w:val="0"/>
          <w:sz w:val="21"/>
        </w:rPr>
        <w:t>C) La gestión exclusiva de pensiones contributivas.</w:t>
      </w:r>
    </w:p>
    <w:p>
      <w:pPr>
        <w:keepNext/>
        <w:keepLines/>
        <w:spacing w:after="40"/>
        <w:ind w:left="369" w:hanging="198"/>
      </w:pPr>
      <w:r>
        <w:rPr>
          <w:rFonts w:ascii="Arial" w:hAnsi="Arial" w:cs="Arial"/>
          <w:b w:val="0"/>
          <w:sz w:val="21"/>
        </w:rPr>
        <w:t>D) La actividad privada de las entidades financieras.</w:t>
      </w:r>
    </w:p>
    <w:p>
      <w:pPr>
        <w:pStyle w:val="Question"/>
        <w:keepNext/>
      </w:pPr>
      <w:r>
        <w:rPr>
          <w:rFonts w:ascii="Arial" w:hAnsi="Arial" w:cs="Arial"/>
          <w:sz w:val="22"/>
        </w:rPr>
        <w:t>5. En el subexpediente descrito y con los únicos datos facilitados, para una pensión común desde alta, si el causante tiene menos de 31 años, se exige:</w:t>
      </w:r>
    </w:p>
    <w:p>
      <w:pPr>
        <w:keepNext/>
        <w:keepLines/>
        <w:spacing w:after="40"/>
        <w:ind w:left="369" w:hanging="198"/>
      </w:pPr>
      <w:r>
        <w:rPr>
          <w:rFonts w:ascii="Arial" w:hAnsi="Arial" w:cs="Arial"/>
          <w:b w:val="0"/>
          <w:sz w:val="21"/>
        </w:rPr>
        <w:t>A) La cuarta parte del tiempo desde los 20.</w:t>
      </w:r>
    </w:p>
    <w:p>
      <w:pPr>
        <w:keepNext/>
        <w:keepLines/>
        <w:spacing w:after="40"/>
        <w:ind w:left="369" w:hanging="198"/>
      </w:pPr>
      <w:r>
        <w:rPr>
          <w:rFonts w:ascii="Arial" w:hAnsi="Arial" w:cs="Arial"/>
          <w:b w:val="0"/>
          <w:sz w:val="21"/>
        </w:rPr>
        <w:t>B) La tercera parte del tiempo desde los 16 hasta el hecho causante.</w:t>
      </w:r>
    </w:p>
    <w:p>
      <w:pPr>
        <w:keepNext/>
        <w:keepLines/>
        <w:spacing w:after="40"/>
        <w:ind w:left="369" w:hanging="198"/>
      </w:pPr>
      <w:r>
        <w:rPr>
          <w:rFonts w:ascii="Arial" w:hAnsi="Arial" w:cs="Arial"/>
          <w:b w:val="0"/>
          <w:sz w:val="21"/>
        </w:rPr>
        <w:t>C) Siempre cinco años.</w:t>
      </w:r>
    </w:p>
    <w:p>
      <w:pPr>
        <w:keepNext/>
        <w:keepLines/>
        <w:spacing w:after="40"/>
        <w:ind w:left="369" w:hanging="198"/>
      </w:pPr>
      <w:r>
        <w:rPr>
          <w:rFonts w:ascii="Arial" w:hAnsi="Arial" w:cs="Arial"/>
          <w:b w:val="0"/>
          <w:sz w:val="21"/>
        </w:rPr>
        <w:t>D) Quince años, dos en los últimos quince.</w:t>
      </w:r>
    </w:p>
    <w:p>
      <w:pPr>
        <w:pStyle w:val="Question"/>
        <w:keepNext/>
      </w:pPr>
      <w:r>
        <w:rPr>
          <w:rFonts w:ascii="Arial" w:hAnsi="Arial" w:cs="Arial"/>
          <w:sz w:val="22"/>
        </w:rPr>
        <w:t>6. La unidad competente debe resolver la siguiente cuestión: Nacen trillizos y uno de ellos tiene discapacidad igual o superior al 33 %. La prestación por parto múltiple equivale a:</w:t>
      </w:r>
    </w:p>
    <w:p>
      <w:pPr>
        <w:keepNext/>
        <w:keepLines/>
        <w:spacing w:after="40"/>
        <w:ind w:left="369" w:hanging="198"/>
      </w:pPr>
      <w:r>
        <w:rPr>
          <w:rFonts w:ascii="Arial" w:hAnsi="Arial" w:cs="Arial"/>
          <w:b w:val="0"/>
          <w:sz w:val="21"/>
        </w:rPr>
        <w:t>A) Doce veces el SMI mensual, porque el hijo con discapacidad computa doble y el total computable es cuatro.</w:t>
      </w:r>
    </w:p>
    <w:p>
      <w:pPr>
        <w:keepNext/>
        <w:keepLines/>
        <w:spacing w:after="40"/>
        <w:ind w:left="369" w:hanging="198"/>
      </w:pPr>
      <w:r>
        <w:rPr>
          <w:rFonts w:ascii="Arial" w:hAnsi="Arial" w:cs="Arial"/>
          <w:b w:val="0"/>
          <w:sz w:val="21"/>
        </w:rPr>
        <w:t>B) Ocho veces el SMI anual.</w:t>
      </w:r>
    </w:p>
    <w:p>
      <w:pPr>
        <w:keepNext/>
        <w:keepLines/>
        <w:spacing w:after="40"/>
        <w:ind w:left="369" w:hanging="198"/>
      </w:pPr>
      <w:r>
        <w:rPr>
          <w:rFonts w:ascii="Arial" w:hAnsi="Arial" w:cs="Arial"/>
          <w:b w:val="0"/>
          <w:sz w:val="21"/>
        </w:rPr>
        <w:t>C) Cuatro veces el SMI mensual.</w:t>
      </w:r>
    </w:p>
    <w:p>
      <w:pPr>
        <w:keepNext/>
        <w:keepLines/>
        <w:spacing w:after="40"/>
        <w:ind w:left="369" w:hanging="198"/>
      </w:pPr>
      <w:r>
        <w:rPr>
          <w:rFonts w:ascii="Arial" w:hAnsi="Arial" w:cs="Arial"/>
          <w:b w:val="0"/>
          <w:sz w:val="21"/>
        </w:rPr>
        <w:t>D) 1.000 euros por cada hijo.</w:t>
      </w:r>
    </w:p>
    <w:p>
      <w:pPr>
        <w:pStyle w:val="Question"/>
        <w:keepNext/>
      </w:pPr>
      <w:r>
        <w:rPr>
          <w:rFonts w:ascii="Arial" w:hAnsi="Arial" w:cs="Arial"/>
          <w:sz w:val="22"/>
        </w:rPr>
        <w:t>7. La unidad competente debe resolver la siguiente cuestión: Una solicitud de alta puede presentarse anticipadamente:</w:t>
      </w:r>
    </w:p>
    <w:p>
      <w:pPr>
        <w:keepNext/>
        <w:keepLines/>
        <w:spacing w:after="40"/>
        <w:ind w:left="369" w:hanging="198"/>
      </w:pPr>
      <w:r>
        <w:rPr>
          <w:rFonts w:ascii="Arial" w:hAnsi="Arial" w:cs="Arial"/>
          <w:b w:val="0"/>
          <w:sz w:val="21"/>
        </w:rPr>
        <w:t>A) Sin límite temporal mientras exista promesa de contrato.</w:t>
      </w:r>
    </w:p>
    <w:p>
      <w:pPr>
        <w:keepNext/>
        <w:keepLines/>
        <w:spacing w:after="40"/>
        <w:ind w:left="369" w:hanging="198"/>
      </w:pPr>
      <w:r>
        <w:rPr>
          <w:rFonts w:ascii="Arial" w:hAnsi="Arial" w:cs="Arial"/>
          <w:b w:val="0"/>
          <w:sz w:val="21"/>
        </w:rPr>
        <w:t>B) Con una antelación máxima general de sesenta días naturales.</w:t>
      </w:r>
    </w:p>
    <w:p>
      <w:pPr>
        <w:keepNext/>
        <w:keepLines/>
        <w:spacing w:after="40"/>
        <w:ind w:left="369" w:hanging="198"/>
      </w:pPr>
      <w:r>
        <w:rPr>
          <w:rFonts w:ascii="Arial" w:hAnsi="Arial" w:cs="Arial"/>
          <w:b w:val="0"/>
          <w:sz w:val="21"/>
        </w:rPr>
        <w:t>C) Con un máximo de treinta días hábiles.</w:t>
      </w:r>
    </w:p>
    <w:p>
      <w:pPr>
        <w:keepNext/>
        <w:keepLines/>
        <w:spacing w:after="40"/>
        <w:ind w:left="369" w:hanging="198"/>
      </w:pPr>
      <w:r>
        <w:rPr>
          <w:rFonts w:ascii="Arial" w:hAnsi="Arial" w:cs="Arial"/>
          <w:b w:val="0"/>
          <w:sz w:val="21"/>
        </w:rPr>
        <w:t>D) Solo el día inmediatamente anterior.</w:t>
      </w:r>
    </w:p>
    <w:p>
      <w:pPr>
        <w:pStyle w:val="Question"/>
        <w:keepNext/>
      </w:pPr>
      <w:r>
        <w:rPr>
          <w:rFonts w:ascii="Arial" w:hAnsi="Arial" w:cs="Arial"/>
          <w:sz w:val="22"/>
        </w:rPr>
        <w:t>8. Al comprobar el encuadramiento y sus efectos, respecto de otras deudas de Seguridad Social, es correcto que:</w:t>
      </w:r>
    </w:p>
    <w:p>
      <w:pPr>
        <w:keepNext/>
        <w:keepLines/>
        <w:spacing w:after="40"/>
        <w:ind w:left="369" w:hanging="198"/>
      </w:pPr>
      <w:r>
        <w:rPr>
          <w:rFonts w:ascii="Arial" w:hAnsi="Arial" w:cs="Arial"/>
          <w:b w:val="0"/>
          <w:sz w:val="21"/>
        </w:rPr>
        <w:t>A) La TGSS reconoce todas las pensiones antes de recaudarlas.</w:t>
      </w:r>
    </w:p>
    <w:p>
      <w:pPr>
        <w:keepNext/>
        <w:keepLines/>
        <w:spacing w:after="40"/>
        <w:ind w:left="369" w:hanging="198"/>
      </w:pPr>
      <w:r>
        <w:rPr>
          <w:rFonts w:ascii="Arial" w:hAnsi="Arial" w:cs="Arial"/>
          <w:b w:val="0"/>
          <w:sz w:val="21"/>
        </w:rPr>
        <w:t>B) Todo capital coste se calcula como una cuota mensual ordinaria.</w:t>
      </w:r>
    </w:p>
    <w:p>
      <w:pPr>
        <w:keepNext/>
        <w:keepLines/>
        <w:spacing w:after="40"/>
        <w:ind w:left="369" w:hanging="198"/>
      </w:pPr>
      <w:r>
        <w:rPr>
          <w:rFonts w:ascii="Arial" w:hAnsi="Arial" w:cs="Arial"/>
          <w:b w:val="0"/>
          <w:sz w:val="21"/>
        </w:rPr>
        <w:t>C) La entidad gestora puede declarar un cobro indebido y la TGSS recaudarlo.</w:t>
      </w:r>
    </w:p>
    <w:p>
      <w:pPr>
        <w:keepNext/>
        <w:keepLines/>
        <w:spacing w:after="40"/>
        <w:ind w:left="369" w:hanging="198"/>
      </w:pPr>
      <w:r>
        <w:rPr>
          <w:rFonts w:ascii="Arial" w:hAnsi="Arial" w:cs="Arial"/>
          <w:b w:val="0"/>
          <w:sz w:val="21"/>
        </w:rPr>
        <w:t>D) Las sanciones nacen del sistema de liquidación directa.</w:t>
      </w:r>
    </w:p>
    <w:p>
      <w:pPr>
        <w:pStyle w:val="Question"/>
        <w:keepNext/>
      </w:pPr>
      <w:r>
        <w:rPr>
          <w:rFonts w:ascii="Arial" w:hAnsi="Arial" w:cs="Arial"/>
          <w:sz w:val="22"/>
        </w:rPr>
        <w:t>9. La unidad competente debe resolver la siguiente cuestión: El TRLGSS vigente fue aprobado por:</w:t>
      </w:r>
    </w:p>
    <w:p>
      <w:pPr>
        <w:keepNext/>
        <w:keepLines/>
        <w:spacing w:after="40"/>
        <w:ind w:left="369" w:hanging="198"/>
      </w:pPr>
      <w:r>
        <w:rPr>
          <w:rFonts w:ascii="Arial" w:hAnsi="Arial" w:cs="Arial"/>
          <w:b w:val="0"/>
          <w:sz w:val="21"/>
        </w:rPr>
        <w:t>A) Real Decreto Legislativo 8/2015, de 30 de octubre.</w:t>
      </w:r>
    </w:p>
    <w:p>
      <w:pPr>
        <w:keepNext/>
        <w:keepLines/>
        <w:spacing w:after="40"/>
        <w:ind w:left="369" w:hanging="198"/>
      </w:pPr>
      <w:r>
        <w:rPr>
          <w:rFonts w:ascii="Arial" w:hAnsi="Arial" w:cs="Arial"/>
          <w:b w:val="0"/>
          <w:sz w:val="21"/>
        </w:rPr>
        <w:t>B) Ley Orgánica 8/2015.</w:t>
      </w:r>
    </w:p>
    <w:p>
      <w:pPr>
        <w:keepNext/>
        <w:keepLines/>
        <w:spacing w:after="40"/>
        <w:ind w:left="369" w:hanging="198"/>
      </w:pPr>
      <w:r>
        <w:rPr>
          <w:rFonts w:ascii="Arial" w:hAnsi="Arial" w:cs="Arial"/>
          <w:b w:val="0"/>
          <w:sz w:val="21"/>
        </w:rPr>
        <w:t>C) Real Decreto 8/2015, de 1 de enero.</w:t>
      </w:r>
    </w:p>
    <w:p>
      <w:pPr>
        <w:keepNext/>
        <w:keepLines/>
        <w:spacing w:after="40"/>
        <w:ind w:left="369" w:hanging="198"/>
      </w:pPr>
      <w:r>
        <w:rPr>
          <w:rFonts w:ascii="Arial" w:hAnsi="Arial" w:cs="Arial"/>
          <w:b w:val="0"/>
          <w:sz w:val="21"/>
        </w:rPr>
        <w:t>D) Ley 8/1980.</w:t>
      </w:r>
    </w:p>
    <w:p>
      <w:pPr>
        <w:pStyle w:val="Question"/>
        <w:keepNext/>
      </w:pPr>
      <w:r>
        <w:rPr>
          <w:rFonts w:ascii="Arial" w:hAnsi="Arial" w:cs="Arial"/>
          <w:sz w:val="22"/>
        </w:rPr>
        <w:t>10. En la tramitación del expediente de Seguridad Social, ¿Qué rasgo distingue la jubilación flexible de la parcial?</w:t>
      </w:r>
    </w:p>
    <w:p>
      <w:pPr>
        <w:keepNext/>
        <w:keepLines/>
        <w:spacing w:after="40"/>
        <w:ind w:left="369" w:hanging="198"/>
      </w:pPr>
      <w:r>
        <w:rPr>
          <w:rFonts w:ascii="Arial" w:hAnsi="Arial" w:cs="Arial"/>
          <w:b w:val="0"/>
          <w:sz w:val="21"/>
        </w:rPr>
        <w:t>A) La flexible parte de una pensión ya causada y permite un trabajo a tiempo parcial con reducción proporcional.</w:t>
      </w:r>
    </w:p>
    <w:p>
      <w:pPr>
        <w:keepNext/>
        <w:keepLines/>
        <w:spacing w:after="40"/>
        <w:ind w:left="369" w:hanging="198"/>
      </w:pPr>
      <w:r>
        <w:rPr>
          <w:rFonts w:ascii="Arial" w:hAnsi="Arial" w:cs="Arial"/>
          <w:b w:val="0"/>
          <w:sz w:val="21"/>
        </w:rPr>
        <w:t>B) La flexible solo puede iniciarse antes de la edad ordinaria.</w:t>
      </w:r>
    </w:p>
    <w:p>
      <w:pPr>
        <w:keepNext/>
        <w:keepLines/>
        <w:spacing w:after="40"/>
        <w:ind w:left="369" w:hanging="198"/>
      </w:pPr>
      <w:r>
        <w:rPr>
          <w:rFonts w:ascii="Arial" w:hAnsi="Arial" w:cs="Arial"/>
          <w:b w:val="0"/>
          <w:sz w:val="21"/>
        </w:rPr>
        <w:t>C) La flexible exige siempre contrato de relevo.</w:t>
      </w:r>
    </w:p>
    <w:p>
      <w:pPr>
        <w:keepNext/>
        <w:keepLines/>
        <w:spacing w:after="40"/>
        <w:ind w:left="369" w:hanging="198"/>
      </w:pPr>
      <w:r>
        <w:rPr>
          <w:rFonts w:ascii="Arial" w:hAnsi="Arial" w:cs="Arial"/>
          <w:b w:val="0"/>
          <w:sz w:val="21"/>
        </w:rPr>
        <w:t>D) La flexible impide toda nueva cotización.</w:t>
      </w:r>
    </w:p>
    <w:p>
      <w:pPr>
        <w:pStyle w:val="Question"/>
        <w:keepNext/>
      </w:pPr>
      <w:r>
        <w:rPr>
          <w:rFonts w:ascii="Arial" w:hAnsi="Arial" w:cs="Arial"/>
          <w:sz w:val="22"/>
        </w:rPr>
        <w:t>11. En el subexpediente descrito y con los únicos datos facilitados, fallece un trabajador por accidente laboral dejando cónyuge, excónyuge beneficiaria y dos hijos. ¿Qué secuencia es correcta?</w:t>
      </w:r>
    </w:p>
    <w:p>
      <w:pPr>
        <w:keepNext/>
        <w:keepLines/>
        <w:spacing w:after="40"/>
        <w:ind w:left="369" w:hanging="198"/>
      </w:pPr>
      <w:r>
        <w:rPr>
          <w:rFonts w:ascii="Arial" w:hAnsi="Arial" w:cs="Arial"/>
          <w:b w:val="0"/>
          <w:sz w:val="21"/>
        </w:rPr>
        <w:t>A) Primero se pagan prestaciones en favor de familiares sin límite.</w:t>
      </w:r>
    </w:p>
    <w:p>
      <w:pPr>
        <w:keepNext/>
        <w:keepLines/>
        <w:spacing w:after="40"/>
        <w:ind w:left="369" w:hanging="198"/>
      </w:pPr>
      <w:r>
        <w:rPr>
          <w:rFonts w:ascii="Arial" w:hAnsi="Arial" w:cs="Arial"/>
          <w:b w:val="0"/>
          <w:sz w:val="21"/>
        </w:rPr>
        <w:t>B) El accidente excluye la viudedad si existen hijos.</w:t>
      </w:r>
    </w:p>
    <w:p>
      <w:pPr>
        <w:keepNext/>
        <w:keepLines/>
        <w:spacing w:after="40"/>
        <w:ind w:left="369" w:hanging="198"/>
      </w:pPr>
      <w:r>
        <w:rPr>
          <w:rFonts w:ascii="Arial" w:hAnsi="Arial" w:cs="Arial"/>
          <w:b w:val="0"/>
          <w:sz w:val="21"/>
        </w:rPr>
        <w:t>C) La indemnización especial sustituye todas las pensiones periódicas.</w:t>
      </w:r>
    </w:p>
    <w:p>
      <w:pPr>
        <w:keepNext/>
        <w:keepLines/>
        <w:spacing w:after="40"/>
        <w:ind w:left="369" w:hanging="198"/>
      </w:pPr>
      <w:r>
        <w:rPr>
          <w:rFonts w:ascii="Arial" w:hAnsi="Arial" w:cs="Arial"/>
          <w:b w:val="0"/>
          <w:sz w:val="21"/>
        </w:rPr>
        <w:t>D) Se calcula y distribuye la viudedad, se calculan las orfandades con su preferencia y límites y se añade, si procede, la indemnización especial por contingencia profesional.</w:t>
      </w:r>
    </w:p>
    <w:p>
      <w:pPr>
        <w:pStyle w:val="Question"/>
        <w:keepNext/>
      </w:pPr>
      <w:r>
        <w:rPr>
          <w:rFonts w:ascii="Arial" w:hAnsi="Arial" w:cs="Arial"/>
          <w:sz w:val="22"/>
        </w:rPr>
        <w:t>12. En el subexpediente descrito y con los únicos datos facilitados, cuando se exige garantía para un aplazamiento, debe constituirse, como regla general:</w:t>
      </w:r>
    </w:p>
    <w:p>
      <w:pPr>
        <w:keepNext/>
        <w:keepLines/>
        <w:spacing w:after="40"/>
        <w:ind w:left="369" w:hanging="198"/>
      </w:pPr>
      <w:r>
        <w:rPr>
          <w:rFonts w:ascii="Arial" w:hAnsi="Arial" w:cs="Arial"/>
          <w:b w:val="0"/>
          <w:sz w:val="21"/>
        </w:rPr>
        <w:t>A) Dentro de los treinta días naturales siguientes a la notificación de la concesión, salvo que la resolución fije un plazo superior dentro del límite reglamentario.</w:t>
      </w:r>
    </w:p>
    <w:p>
      <w:pPr>
        <w:keepNext/>
        <w:keepLines/>
        <w:spacing w:after="40"/>
        <w:ind w:left="369" w:hanging="198"/>
      </w:pPr>
      <w:r>
        <w:rPr>
          <w:rFonts w:ascii="Arial" w:hAnsi="Arial" w:cs="Arial"/>
          <w:b w:val="0"/>
          <w:sz w:val="21"/>
        </w:rPr>
        <w:t>B) En tres días hábiles desde la solicitud.</w:t>
      </w:r>
    </w:p>
    <w:p>
      <w:pPr>
        <w:keepNext/>
        <w:keepLines/>
        <w:spacing w:after="40"/>
        <w:ind w:left="369" w:hanging="198"/>
      </w:pPr>
      <w:r>
        <w:rPr>
          <w:rFonts w:ascii="Arial" w:hAnsi="Arial" w:cs="Arial"/>
          <w:b w:val="0"/>
          <w:sz w:val="21"/>
        </w:rPr>
        <w:t>C) Después de satisfacer el último plazo.</w:t>
      </w:r>
    </w:p>
    <w:p>
      <w:pPr>
        <w:keepNext/>
        <w:keepLines/>
        <w:spacing w:after="40"/>
        <w:ind w:left="369" w:hanging="198"/>
      </w:pPr>
      <w:r>
        <w:rPr>
          <w:rFonts w:ascii="Arial" w:hAnsi="Arial" w:cs="Arial"/>
          <w:b w:val="0"/>
          <w:sz w:val="21"/>
        </w:rPr>
        <w:t>D) Antes de que exista resolución, sin excepción.</w:t>
      </w:r>
    </w:p>
    <w:p>
      <w:pPr>
        <w:pStyle w:val="Question"/>
        <w:keepNext/>
      </w:pPr>
      <w:r>
        <w:rPr>
          <w:rFonts w:ascii="Arial" w:hAnsi="Arial" w:cs="Arial"/>
          <w:sz w:val="22"/>
        </w:rPr>
        <w:t>13. En el subexpediente descrito y con los únicos datos facilitados, la duración total de un aplazamiento no puede exceder, como regla general, de:</w:t>
      </w:r>
    </w:p>
    <w:p>
      <w:pPr>
        <w:keepNext/>
        <w:keepLines/>
        <w:spacing w:after="40"/>
        <w:ind w:left="369" w:hanging="198"/>
      </w:pPr>
      <w:r>
        <w:rPr>
          <w:rFonts w:ascii="Arial" w:hAnsi="Arial" w:cs="Arial"/>
          <w:b w:val="0"/>
          <w:sz w:val="21"/>
        </w:rPr>
        <w:t>A) Un año.</w:t>
      </w:r>
    </w:p>
    <w:p>
      <w:pPr>
        <w:keepNext/>
        <w:keepLines/>
        <w:spacing w:after="40"/>
        <w:ind w:left="369" w:hanging="198"/>
      </w:pPr>
      <w:r>
        <w:rPr>
          <w:rFonts w:ascii="Arial" w:hAnsi="Arial" w:cs="Arial"/>
          <w:b w:val="0"/>
          <w:sz w:val="21"/>
        </w:rPr>
        <w:t>B) Ocho años.</w:t>
      </w:r>
    </w:p>
    <w:p>
      <w:pPr>
        <w:keepNext/>
        <w:keepLines/>
        <w:spacing w:after="40"/>
        <w:ind w:left="369" w:hanging="198"/>
      </w:pPr>
      <w:r>
        <w:rPr>
          <w:rFonts w:ascii="Arial" w:hAnsi="Arial" w:cs="Arial"/>
          <w:b w:val="0"/>
          <w:sz w:val="21"/>
        </w:rPr>
        <w:t>C) Cinco años.</w:t>
      </w:r>
    </w:p>
    <w:p>
      <w:pPr>
        <w:keepNext/>
        <w:keepLines/>
        <w:spacing w:after="40"/>
        <w:ind w:left="369" w:hanging="198"/>
      </w:pPr>
      <w:r>
        <w:rPr>
          <w:rFonts w:ascii="Arial" w:hAnsi="Arial" w:cs="Arial"/>
          <w:b w:val="0"/>
          <w:sz w:val="21"/>
        </w:rPr>
        <w:t>D) Diez años.</w:t>
      </w:r>
    </w:p>
    <w:p>
      <w:pPr>
        <w:pStyle w:val="Question"/>
        <w:keepNext/>
      </w:pPr>
      <w:r>
        <w:rPr>
          <w:rFonts w:ascii="Arial" w:hAnsi="Arial" w:cs="Arial"/>
          <w:sz w:val="22"/>
        </w:rPr>
        <w:t>14. La unidad competente debe resolver la siguiente cuestión: El plazo general de prescripción del derecho al reconocimiento de una prestación es de:</w:t>
      </w:r>
    </w:p>
    <w:p>
      <w:pPr>
        <w:keepNext/>
        <w:keepLines/>
        <w:spacing w:after="40"/>
        <w:ind w:left="369" w:hanging="198"/>
      </w:pPr>
      <w:r>
        <w:rPr>
          <w:rFonts w:ascii="Arial" w:hAnsi="Arial" w:cs="Arial"/>
          <w:b w:val="0"/>
          <w:sz w:val="21"/>
        </w:rPr>
        <w:t>A) Un año.</w:t>
      </w:r>
    </w:p>
    <w:p>
      <w:pPr>
        <w:keepNext/>
        <w:keepLines/>
        <w:spacing w:after="40"/>
        <w:ind w:left="369" w:hanging="198"/>
      </w:pPr>
      <w:r>
        <w:rPr>
          <w:rFonts w:ascii="Arial" w:hAnsi="Arial" w:cs="Arial"/>
          <w:b w:val="0"/>
          <w:sz w:val="21"/>
        </w:rPr>
        <w:t>B) Cuatro años.</w:t>
      </w:r>
    </w:p>
    <w:p>
      <w:pPr>
        <w:keepNext/>
        <w:keepLines/>
        <w:spacing w:after="40"/>
        <w:ind w:left="369" w:hanging="198"/>
      </w:pPr>
      <w:r>
        <w:rPr>
          <w:rFonts w:ascii="Arial" w:hAnsi="Arial" w:cs="Arial"/>
          <w:b w:val="0"/>
          <w:sz w:val="21"/>
        </w:rPr>
        <w:t>C) Cinco años.</w:t>
      </w:r>
    </w:p>
    <w:p>
      <w:pPr>
        <w:keepNext/>
        <w:keepLines/>
        <w:spacing w:after="40"/>
        <w:ind w:left="369" w:hanging="198"/>
      </w:pPr>
      <w:r>
        <w:rPr>
          <w:rFonts w:ascii="Arial" w:hAnsi="Arial" w:cs="Arial"/>
          <w:b w:val="0"/>
          <w:sz w:val="21"/>
        </w:rPr>
        <w:t>D) Diez años.</w:t>
      </w:r>
    </w:p>
    <w:p>
      <w:pPr>
        <w:pStyle w:val="Question"/>
        <w:keepNext/>
      </w:pPr>
      <w:r>
        <w:rPr>
          <w:rFonts w:ascii="Arial" w:hAnsi="Arial" w:cs="Arial"/>
          <w:sz w:val="22"/>
        </w:rPr>
        <w:t>15. La unidad competente debe resolver la siguiente cuestión: Se considera de pleno derecho en alta, aunque el empresario incumpla, a efectos de:</w:t>
      </w:r>
    </w:p>
    <w:p>
      <w:pPr>
        <w:keepNext/>
        <w:keepLines/>
        <w:spacing w:after="40"/>
        <w:ind w:left="369" w:hanging="198"/>
      </w:pPr>
      <w:r>
        <w:rPr>
          <w:rFonts w:ascii="Arial" w:hAnsi="Arial" w:cs="Arial"/>
          <w:b w:val="0"/>
          <w:sz w:val="21"/>
        </w:rPr>
        <w:t>A) Cualquier pensión no contributiva.</w:t>
      </w:r>
    </w:p>
    <w:p>
      <w:pPr>
        <w:keepNext/>
        <w:keepLines/>
        <w:spacing w:after="40"/>
        <w:ind w:left="369" w:hanging="198"/>
      </w:pPr>
      <w:r>
        <w:rPr>
          <w:rFonts w:ascii="Arial" w:hAnsi="Arial" w:cs="Arial"/>
          <w:b w:val="0"/>
          <w:sz w:val="21"/>
        </w:rPr>
        <w:t>B) Solo jubilación ordinaria.</w:t>
      </w:r>
    </w:p>
    <w:p>
      <w:pPr>
        <w:keepNext/>
        <w:keepLines/>
        <w:spacing w:after="40"/>
        <w:ind w:left="369" w:hanging="198"/>
      </w:pPr>
      <w:r>
        <w:rPr>
          <w:rFonts w:ascii="Arial" w:hAnsi="Arial" w:cs="Arial"/>
          <w:b w:val="0"/>
          <w:sz w:val="21"/>
        </w:rPr>
        <w:t>C) Accidente de trabajo, enfermedad profesional y desempleo.</w:t>
      </w:r>
    </w:p>
    <w:p>
      <w:pPr>
        <w:keepNext/>
        <w:keepLines/>
        <w:spacing w:after="40"/>
        <w:ind w:left="369" w:hanging="198"/>
      </w:pPr>
      <w:r>
        <w:rPr>
          <w:rFonts w:ascii="Arial" w:hAnsi="Arial" w:cs="Arial"/>
          <w:b w:val="0"/>
          <w:sz w:val="21"/>
        </w:rPr>
        <w:t>D) Toda prestación sin excepción.</w:t>
      </w:r>
    </w:p>
    <w:p>
      <w:pPr>
        <w:pStyle w:val="Heading2"/>
      </w:pPr>
      <w:r>
        <w:t>Preguntas de reserva de la segunda parte</w:t>
      </w:r>
    </w:p>
    <w:p>
      <w:pPr>
        <w:pStyle w:val="Question"/>
        <w:keepNext/>
      </w:pPr>
      <w:r>
        <w:rPr>
          <w:rFonts w:ascii="Arial" w:hAnsi="Arial" w:cs="Arial"/>
          <w:sz w:val="22"/>
        </w:rPr>
        <w:t>16. La unidad competente debe resolver la siguiente cuestión: En cada nueva subasta, el tipo puede reducirse mediante resolución motivada hasta:</w:t>
      </w:r>
    </w:p>
    <w:p>
      <w:pPr>
        <w:keepNext/>
        <w:keepLines/>
        <w:spacing w:after="40"/>
        <w:ind w:left="369" w:hanging="198"/>
      </w:pPr>
      <w:r>
        <w:rPr>
          <w:rFonts w:ascii="Arial" w:hAnsi="Arial" w:cs="Arial"/>
          <w:b w:val="0"/>
          <w:sz w:val="21"/>
        </w:rPr>
        <w:t>A) Un 5 %.</w:t>
      </w:r>
    </w:p>
    <w:p>
      <w:pPr>
        <w:keepNext/>
        <w:keepLines/>
        <w:spacing w:after="40"/>
        <w:ind w:left="369" w:hanging="198"/>
      </w:pPr>
      <w:r>
        <w:rPr>
          <w:rFonts w:ascii="Arial" w:hAnsi="Arial" w:cs="Arial"/>
          <w:b w:val="0"/>
          <w:sz w:val="21"/>
        </w:rPr>
        <w:t>B) Un 15 %.</w:t>
      </w:r>
    </w:p>
    <w:p>
      <w:pPr>
        <w:keepNext/>
        <w:keepLines/>
        <w:spacing w:after="40"/>
        <w:ind w:left="369" w:hanging="198"/>
      </w:pPr>
      <w:r>
        <w:rPr>
          <w:rFonts w:ascii="Arial" w:hAnsi="Arial" w:cs="Arial"/>
          <w:b w:val="0"/>
          <w:sz w:val="21"/>
        </w:rPr>
        <w:t>C) Un 25 %.</w:t>
      </w:r>
    </w:p>
    <w:p>
      <w:pPr>
        <w:keepNext/>
        <w:keepLines/>
        <w:spacing w:after="40"/>
        <w:ind w:left="369" w:hanging="198"/>
      </w:pPr>
      <w:r>
        <w:rPr>
          <w:rFonts w:ascii="Arial" w:hAnsi="Arial" w:cs="Arial"/>
          <w:b w:val="0"/>
          <w:sz w:val="21"/>
        </w:rPr>
        <w:t>D) Un 50 %.</w:t>
      </w:r>
    </w:p>
    <w:p>
      <w:pPr>
        <w:pStyle w:val="Question"/>
        <w:keepNext/>
      </w:pPr>
      <w:r>
        <w:rPr>
          <w:rFonts w:ascii="Arial" w:hAnsi="Arial" w:cs="Arial"/>
          <w:sz w:val="22"/>
        </w:rPr>
        <w:t>17. En el subexpediente descrito y con los únicos datos facilitados, si la tercería se presenta sin los documentos originales en que se funda, se concede para aportarlos un plazo de:</w:t>
      </w:r>
    </w:p>
    <w:p>
      <w:pPr>
        <w:keepNext/>
        <w:keepLines/>
        <w:spacing w:after="40"/>
        <w:ind w:left="369" w:hanging="198"/>
      </w:pPr>
      <w:r>
        <w:rPr>
          <w:rFonts w:ascii="Arial" w:hAnsi="Arial" w:cs="Arial"/>
          <w:b w:val="0"/>
          <w:sz w:val="21"/>
        </w:rPr>
        <w:t>A) Tres días.</w:t>
      </w:r>
    </w:p>
    <w:p>
      <w:pPr>
        <w:keepNext/>
        <w:keepLines/>
        <w:spacing w:after="40"/>
        <w:ind w:left="369" w:hanging="198"/>
      </w:pPr>
      <w:r>
        <w:rPr>
          <w:rFonts w:ascii="Arial" w:hAnsi="Arial" w:cs="Arial"/>
          <w:b w:val="0"/>
          <w:sz w:val="21"/>
        </w:rPr>
        <w:t>B) Veinte días.</w:t>
      </w:r>
    </w:p>
    <w:p>
      <w:pPr>
        <w:keepNext/>
        <w:keepLines/>
        <w:spacing w:after="40"/>
        <w:ind w:left="369" w:hanging="198"/>
      </w:pPr>
      <w:r>
        <w:rPr>
          <w:rFonts w:ascii="Arial" w:hAnsi="Arial" w:cs="Arial"/>
          <w:b w:val="0"/>
          <w:sz w:val="21"/>
        </w:rPr>
        <w:t>C) Tres meses.</w:t>
      </w:r>
    </w:p>
    <w:p>
      <w:pPr>
        <w:keepNext/>
        <w:keepLines/>
        <w:spacing w:after="40"/>
        <w:ind w:left="369" w:hanging="198"/>
      </w:pPr>
      <w:r>
        <w:rPr>
          <w:rFonts w:ascii="Arial" w:hAnsi="Arial" w:cs="Arial"/>
          <w:b w:val="0"/>
          <w:sz w:val="21"/>
        </w:rPr>
        <w:t>D) Diez días.</w:t>
      </w:r>
    </w:p>
    <w:p>
      <w:pPr>
        <w:pStyle w:val="Question"/>
        <w:keepNext/>
      </w:pPr>
      <w:r>
        <w:rPr>
          <w:rFonts w:ascii="Arial" w:hAnsi="Arial" w:cs="Arial"/>
          <w:sz w:val="22"/>
        </w:rPr>
        <w:t>18. Al comprobar el encuadramiento y sus efectos, el Sistema Especial para Trabajadores por Cuenta Propia Agrarios se integra:</w:t>
      </w:r>
    </w:p>
    <w:p>
      <w:pPr>
        <w:keepNext/>
        <w:keepLines/>
        <w:spacing w:after="40"/>
        <w:ind w:left="369" w:hanging="198"/>
      </w:pPr>
      <w:r>
        <w:rPr>
          <w:rFonts w:ascii="Arial" w:hAnsi="Arial" w:cs="Arial"/>
          <w:b w:val="0"/>
          <w:sz w:val="21"/>
        </w:rPr>
        <w:t>A) En el Régimen General.</w:t>
      </w:r>
    </w:p>
    <w:p>
      <w:pPr>
        <w:keepNext/>
        <w:keepLines/>
        <w:spacing w:after="40"/>
        <w:ind w:left="369" w:hanging="198"/>
      </w:pPr>
      <w:r>
        <w:rPr>
          <w:rFonts w:ascii="Arial" w:hAnsi="Arial" w:cs="Arial"/>
          <w:b w:val="0"/>
          <w:sz w:val="21"/>
        </w:rPr>
        <w:t>B) En el Régimen Especial del Mar.</w:t>
      </w:r>
    </w:p>
    <w:p>
      <w:pPr>
        <w:keepNext/>
        <w:keepLines/>
        <w:spacing w:after="40"/>
        <w:ind w:left="369" w:hanging="198"/>
      </w:pPr>
      <w:r>
        <w:rPr>
          <w:rFonts w:ascii="Arial" w:hAnsi="Arial" w:cs="Arial"/>
          <w:b w:val="0"/>
          <w:sz w:val="21"/>
        </w:rPr>
        <w:t>C) En el Régimen Especial de la Minería del Carbón.</w:t>
      </w:r>
    </w:p>
    <w:p>
      <w:pPr>
        <w:keepNext/>
        <w:keepLines/>
        <w:spacing w:after="40"/>
        <w:ind w:left="369" w:hanging="198"/>
      </w:pPr>
      <w:r>
        <w:rPr>
          <w:rFonts w:ascii="Arial" w:hAnsi="Arial" w:cs="Arial"/>
          <w:b w:val="0"/>
          <w:sz w:val="21"/>
        </w:rPr>
        <w:t>D) En el RETA.</w:t>
      </w:r>
    </w:p>
    <w:p>
      <w:r>
        <w:br w:type="page"/>
      </w:r>
    </w:p>
    <w:p>
      <w:pPr>
        <w:pStyle w:val="Heading1"/>
      </w:pPr>
      <w:r>
        <w:t>Hoja final de respuestas</w:t>
      </w:r>
    </w:p>
    <w:p>
      <w:pPr>
        <w:pStyle w:val="Heading2"/>
      </w:pPr>
      <w:r>
        <w:t>Primera parte · 1 a 73</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t>19:  ☐ A   ☐ B   ☐ C   ☐ D</w:t>
            </w:r>
          </w:p>
        </w:tc>
        <w:tc>
          <w:tcPr>
            <w:tcW w:type="dxa" w:w="2258"/>
            <w:vAlign w:val="center"/>
          </w:tcPr>
          <w:p>
            <w:pPr>
              <w:spacing w:before="0" w:after="0" w:line="240" w:lineRule="auto"/>
            </w:pPr>
            <w:r/>
            <w:r>
              <w:rPr>
                <w:rFonts w:ascii="Arial" w:hAnsi="Arial" w:cs="Arial"/>
                <w:b w:val="0"/>
                <w:color w:val="333333"/>
                <w:sz w:val="17"/>
              </w:rPr>
              <w:t>20:  ☐ A   ☐ B   ☐ C   ☐ D</w:t>
            </w:r>
          </w:p>
        </w:tc>
      </w:tr>
      <w:tr>
        <w:tc>
          <w:tcPr>
            <w:tcW w:type="dxa" w:w="2256"/>
            <w:vAlign w:val="center"/>
          </w:tcPr>
          <w:p>
            <w:pPr>
              <w:spacing w:before="0" w:after="0" w:line="240" w:lineRule="auto"/>
            </w:pPr>
            <w:r/>
            <w:r>
              <w:rPr>
                <w:rFonts w:ascii="Arial" w:hAnsi="Arial" w:cs="Arial"/>
                <w:b w:val="0"/>
                <w:color w:val="333333"/>
                <w:sz w:val="17"/>
              </w:rPr>
              <w:t>21:  ☐ A   ☐ B   ☐ C   ☐ D</w:t>
            </w:r>
          </w:p>
        </w:tc>
        <w:tc>
          <w:tcPr>
            <w:tcW w:type="dxa" w:w="2256"/>
            <w:vAlign w:val="center"/>
          </w:tcPr>
          <w:p>
            <w:pPr>
              <w:spacing w:before="0" w:after="0" w:line="240" w:lineRule="auto"/>
            </w:pPr>
            <w:r/>
            <w:r>
              <w:rPr>
                <w:rFonts w:ascii="Arial" w:hAnsi="Arial" w:cs="Arial"/>
                <w:b w:val="0"/>
                <w:color w:val="333333"/>
                <w:sz w:val="17"/>
              </w:rPr>
              <w:t>22:  ☐ A   ☐ B   ☐ C   ☐ D</w:t>
            </w:r>
          </w:p>
        </w:tc>
        <w:tc>
          <w:tcPr>
            <w:tcW w:type="dxa" w:w="2256"/>
            <w:vAlign w:val="center"/>
          </w:tcPr>
          <w:p>
            <w:pPr>
              <w:spacing w:before="0" w:after="0" w:line="240" w:lineRule="auto"/>
            </w:pPr>
            <w:r/>
            <w:r>
              <w:rPr>
                <w:rFonts w:ascii="Arial" w:hAnsi="Arial" w:cs="Arial"/>
                <w:b w:val="0"/>
                <w:color w:val="333333"/>
                <w:sz w:val="17"/>
              </w:rPr>
              <w:t>23:  ☐ A   ☐ B   ☐ C   ☐ D</w:t>
            </w:r>
          </w:p>
        </w:tc>
        <w:tc>
          <w:tcPr>
            <w:tcW w:type="dxa" w:w="2258"/>
            <w:vAlign w:val="center"/>
          </w:tcPr>
          <w:p>
            <w:pPr>
              <w:spacing w:before="0" w:after="0" w:line="240" w:lineRule="auto"/>
            </w:pPr>
            <w:r/>
            <w:r>
              <w:rPr>
                <w:rFonts w:ascii="Arial" w:hAnsi="Arial" w:cs="Arial"/>
                <w:b w:val="0"/>
                <w:color w:val="333333"/>
                <w:sz w:val="17"/>
              </w:rPr>
              <w:t>24:  ☐ A   ☐ B   ☐ C   ☐ D</w:t>
            </w:r>
          </w:p>
        </w:tc>
      </w:tr>
      <w:tr>
        <w:tc>
          <w:tcPr>
            <w:tcW w:type="dxa" w:w="2256"/>
            <w:vAlign w:val="center"/>
          </w:tcPr>
          <w:p>
            <w:pPr>
              <w:spacing w:before="0" w:after="0" w:line="240" w:lineRule="auto"/>
            </w:pPr>
            <w:r/>
            <w:r>
              <w:rPr>
                <w:rFonts w:ascii="Arial" w:hAnsi="Arial" w:cs="Arial"/>
                <w:b w:val="0"/>
                <w:color w:val="333333"/>
                <w:sz w:val="17"/>
              </w:rPr>
              <w:t>25:  ☐ A   ☐ B   ☐ C   ☐ D</w:t>
            </w:r>
          </w:p>
        </w:tc>
        <w:tc>
          <w:tcPr>
            <w:tcW w:type="dxa" w:w="2256"/>
            <w:vAlign w:val="center"/>
          </w:tcPr>
          <w:p>
            <w:pPr>
              <w:spacing w:before="0" w:after="0" w:line="240" w:lineRule="auto"/>
            </w:pPr>
            <w:r/>
            <w:r>
              <w:rPr>
                <w:rFonts w:ascii="Arial" w:hAnsi="Arial" w:cs="Arial"/>
                <w:b w:val="0"/>
                <w:color w:val="333333"/>
                <w:sz w:val="17"/>
              </w:rPr>
              <w:t>26:  ☐ A   ☐ B   ☐ C   ☐ D</w:t>
            </w:r>
          </w:p>
        </w:tc>
        <w:tc>
          <w:tcPr>
            <w:tcW w:type="dxa" w:w="2256"/>
            <w:vAlign w:val="center"/>
          </w:tcPr>
          <w:p>
            <w:pPr>
              <w:spacing w:before="0" w:after="0" w:line="240" w:lineRule="auto"/>
            </w:pPr>
            <w:r/>
            <w:r>
              <w:rPr>
                <w:rFonts w:ascii="Arial" w:hAnsi="Arial" w:cs="Arial"/>
                <w:b w:val="0"/>
                <w:color w:val="333333"/>
                <w:sz w:val="17"/>
              </w:rPr>
              <w:t>27:  ☐ A   ☐ B   ☐ C   ☐ D</w:t>
            </w:r>
          </w:p>
        </w:tc>
        <w:tc>
          <w:tcPr>
            <w:tcW w:type="dxa" w:w="2258"/>
            <w:vAlign w:val="center"/>
          </w:tcPr>
          <w:p>
            <w:pPr>
              <w:spacing w:before="0" w:after="0" w:line="240" w:lineRule="auto"/>
            </w:pPr>
            <w:r/>
            <w:r>
              <w:rPr>
                <w:rFonts w:ascii="Arial" w:hAnsi="Arial" w:cs="Arial"/>
                <w:b w:val="0"/>
                <w:color w:val="333333"/>
                <w:sz w:val="17"/>
              </w:rPr>
              <w:t>28:  ☐ A   ☐ B   ☐ C   ☐ D</w:t>
            </w:r>
          </w:p>
        </w:tc>
      </w:tr>
      <w:tr>
        <w:tc>
          <w:tcPr>
            <w:tcW w:type="dxa" w:w="2256"/>
            <w:vAlign w:val="center"/>
          </w:tcPr>
          <w:p>
            <w:pPr>
              <w:spacing w:before="0" w:after="0" w:line="240" w:lineRule="auto"/>
            </w:pPr>
            <w:r/>
            <w:r>
              <w:rPr>
                <w:rFonts w:ascii="Arial" w:hAnsi="Arial" w:cs="Arial"/>
                <w:b w:val="0"/>
                <w:color w:val="333333"/>
                <w:sz w:val="17"/>
              </w:rPr>
              <w:t>29:  ☐ A   ☐ B   ☐ C   ☐ D</w:t>
            </w:r>
          </w:p>
        </w:tc>
        <w:tc>
          <w:tcPr>
            <w:tcW w:type="dxa" w:w="2256"/>
            <w:vAlign w:val="center"/>
          </w:tcPr>
          <w:p>
            <w:pPr>
              <w:spacing w:before="0" w:after="0" w:line="240" w:lineRule="auto"/>
            </w:pPr>
            <w:r/>
            <w:r>
              <w:rPr>
                <w:rFonts w:ascii="Arial" w:hAnsi="Arial" w:cs="Arial"/>
                <w:b w:val="0"/>
                <w:color w:val="333333"/>
                <w:sz w:val="17"/>
              </w:rPr>
              <w:t>30:  ☐ A   ☐ B   ☐ C   ☐ D</w:t>
            </w:r>
          </w:p>
        </w:tc>
        <w:tc>
          <w:tcPr>
            <w:tcW w:type="dxa" w:w="2256"/>
            <w:vAlign w:val="center"/>
          </w:tcPr>
          <w:p>
            <w:pPr>
              <w:spacing w:before="0" w:after="0" w:line="240" w:lineRule="auto"/>
            </w:pPr>
            <w:r/>
            <w:r>
              <w:rPr>
                <w:rFonts w:ascii="Arial" w:hAnsi="Arial" w:cs="Arial"/>
                <w:b w:val="0"/>
                <w:color w:val="333333"/>
                <w:sz w:val="17"/>
              </w:rPr>
              <w:t>31:  ☐ A   ☐ B   ☐ C   ☐ D</w:t>
            </w:r>
          </w:p>
        </w:tc>
        <w:tc>
          <w:tcPr>
            <w:tcW w:type="dxa" w:w="2258"/>
            <w:vAlign w:val="center"/>
          </w:tcPr>
          <w:p>
            <w:pPr>
              <w:spacing w:before="0" w:after="0" w:line="240" w:lineRule="auto"/>
            </w:pPr>
            <w:r/>
            <w:r>
              <w:rPr>
                <w:rFonts w:ascii="Arial" w:hAnsi="Arial" w:cs="Arial"/>
                <w:b w:val="0"/>
                <w:color w:val="333333"/>
                <w:sz w:val="17"/>
              </w:rPr>
              <w:t>32:  ☐ A   ☐ B   ☐ C   ☐ D</w:t>
            </w:r>
          </w:p>
        </w:tc>
      </w:tr>
      <w:tr>
        <w:tc>
          <w:tcPr>
            <w:tcW w:type="dxa" w:w="2256"/>
            <w:vAlign w:val="center"/>
          </w:tcPr>
          <w:p>
            <w:pPr>
              <w:spacing w:before="0" w:after="0" w:line="240" w:lineRule="auto"/>
            </w:pPr>
            <w:r/>
            <w:r>
              <w:rPr>
                <w:rFonts w:ascii="Arial" w:hAnsi="Arial" w:cs="Arial"/>
                <w:b w:val="0"/>
                <w:color w:val="333333"/>
                <w:sz w:val="17"/>
              </w:rPr>
              <w:t>33:  ☐ A   ☐ B   ☐ C   ☐ D</w:t>
            </w:r>
          </w:p>
        </w:tc>
        <w:tc>
          <w:tcPr>
            <w:tcW w:type="dxa" w:w="2256"/>
            <w:vAlign w:val="center"/>
          </w:tcPr>
          <w:p>
            <w:pPr>
              <w:spacing w:before="0" w:after="0" w:line="240" w:lineRule="auto"/>
            </w:pPr>
            <w:r/>
            <w:r>
              <w:rPr>
                <w:rFonts w:ascii="Arial" w:hAnsi="Arial" w:cs="Arial"/>
                <w:b w:val="0"/>
                <w:color w:val="333333"/>
                <w:sz w:val="17"/>
              </w:rPr>
              <w:t>34:  ☐ A   ☐ B   ☐ C   ☐ D</w:t>
            </w:r>
          </w:p>
        </w:tc>
        <w:tc>
          <w:tcPr>
            <w:tcW w:type="dxa" w:w="2256"/>
            <w:vAlign w:val="center"/>
          </w:tcPr>
          <w:p>
            <w:pPr>
              <w:spacing w:before="0" w:after="0" w:line="240" w:lineRule="auto"/>
            </w:pPr>
            <w:r/>
            <w:r>
              <w:rPr>
                <w:rFonts w:ascii="Arial" w:hAnsi="Arial" w:cs="Arial"/>
                <w:b w:val="0"/>
                <w:color w:val="333333"/>
                <w:sz w:val="17"/>
              </w:rPr>
              <w:t>35:  ☐ A   ☐ B   ☐ C   ☐ D</w:t>
            </w:r>
          </w:p>
        </w:tc>
        <w:tc>
          <w:tcPr>
            <w:tcW w:type="dxa" w:w="2258"/>
            <w:vAlign w:val="center"/>
          </w:tcPr>
          <w:p>
            <w:pPr>
              <w:spacing w:before="0" w:after="0" w:line="240" w:lineRule="auto"/>
            </w:pPr>
            <w:r/>
            <w:r>
              <w:rPr>
                <w:rFonts w:ascii="Arial" w:hAnsi="Arial" w:cs="Arial"/>
                <w:b w:val="0"/>
                <w:color w:val="333333"/>
                <w:sz w:val="17"/>
              </w:rPr>
              <w:t>36:  ☐ A   ☐ B   ☐ C   ☐ D</w:t>
            </w:r>
          </w:p>
        </w:tc>
      </w:tr>
      <w:tr>
        <w:tc>
          <w:tcPr>
            <w:tcW w:type="dxa" w:w="2256"/>
            <w:vAlign w:val="center"/>
          </w:tcPr>
          <w:p>
            <w:pPr>
              <w:spacing w:before="0" w:after="0" w:line="240" w:lineRule="auto"/>
            </w:pPr>
            <w:r/>
            <w:r>
              <w:rPr>
                <w:rFonts w:ascii="Arial" w:hAnsi="Arial" w:cs="Arial"/>
                <w:b w:val="0"/>
                <w:color w:val="333333"/>
                <w:sz w:val="17"/>
              </w:rPr>
              <w:t>37:  ☐ A   ☐ B   ☐ C   ☐ D</w:t>
            </w:r>
          </w:p>
        </w:tc>
        <w:tc>
          <w:tcPr>
            <w:tcW w:type="dxa" w:w="2256"/>
            <w:vAlign w:val="center"/>
          </w:tcPr>
          <w:p>
            <w:pPr>
              <w:spacing w:before="0" w:after="0" w:line="240" w:lineRule="auto"/>
            </w:pPr>
            <w:r/>
            <w:r>
              <w:rPr>
                <w:rFonts w:ascii="Arial" w:hAnsi="Arial" w:cs="Arial"/>
                <w:b w:val="0"/>
                <w:color w:val="333333"/>
                <w:sz w:val="17"/>
              </w:rPr>
              <w:t>38:  ☐ A   ☐ B   ☐ C   ☐ D</w:t>
            </w:r>
          </w:p>
        </w:tc>
        <w:tc>
          <w:tcPr>
            <w:tcW w:type="dxa" w:w="2256"/>
            <w:vAlign w:val="center"/>
          </w:tcPr>
          <w:p>
            <w:pPr>
              <w:spacing w:before="0" w:after="0" w:line="240" w:lineRule="auto"/>
            </w:pPr>
            <w:r/>
            <w:r>
              <w:rPr>
                <w:rFonts w:ascii="Arial" w:hAnsi="Arial" w:cs="Arial"/>
                <w:b w:val="0"/>
                <w:color w:val="333333"/>
                <w:sz w:val="17"/>
              </w:rPr>
              <w:t>39:  ☐ A   ☐ B   ☐ C   ☐ D</w:t>
            </w:r>
          </w:p>
        </w:tc>
        <w:tc>
          <w:tcPr>
            <w:tcW w:type="dxa" w:w="2258"/>
            <w:vAlign w:val="center"/>
          </w:tcPr>
          <w:p>
            <w:pPr>
              <w:spacing w:before="0" w:after="0" w:line="240" w:lineRule="auto"/>
            </w:pPr>
            <w:r/>
            <w:r>
              <w:rPr>
                <w:rFonts w:ascii="Arial" w:hAnsi="Arial" w:cs="Arial"/>
                <w:b w:val="0"/>
                <w:color w:val="333333"/>
                <w:sz w:val="17"/>
              </w:rPr>
              <w:t>40:  ☐ A   ☐ B   ☐ C   ☐ D</w:t>
            </w:r>
          </w:p>
        </w:tc>
      </w:tr>
      <w:tr>
        <w:tc>
          <w:tcPr>
            <w:tcW w:type="dxa" w:w="2256"/>
            <w:vAlign w:val="center"/>
          </w:tcPr>
          <w:p>
            <w:pPr>
              <w:spacing w:before="0" w:after="0" w:line="240" w:lineRule="auto"/>
            </w:pPr>
            <w:r/>
            <w:r>
              <w:rPr>
                <w:rFonts w:ascii="Arial" w:hAnsi="Arial" w:cs="Arial"/>
                <w:b w:val="0"/>
                <w:color w:val="333333"/>
                <w:sz w:val="17"/>
              </w:rPr>
              <w:t>41:  ☐ A   ☐ B   ☐ C   ☐ D</w:t>
            </w:r>
          </w:p>
        </w:tc>
        <w:tc>
          <w:tcPr>
            <w:tcW w:type="dxa" w:w="2256"/>
            <w:vAlign w:val="center"/>
          </w:tcPr>
          <w:p>
            <w:pPr>
              <w:spacing w:before="0" w:after="0" w:line="240" w:lineRule="auto"/>
            </w:pPr>
            <w:r/>
            <w:r>
              <w:rPr>
                <w:rFonts w:ascii="Arial" w:hAnsi="Arial" w:cs="Arial"/>
                <w:b w:val="0"/>
                <w:color w:val="333333"/>
                <w:sz w:val="17"/>
              </w:rPr>
              <w:t>42:  ☐ A   ☐ B   ☐ C   ☐ D</w:t>
            </w:r>
          </w:p>
        </w:tc>
        <w:tc>
          <w:tcPr>
            <w:tcW w:type="dxa" w:w="2256"/>
            <w:vAlign w:val="center"/>
          </w:tcPr>
          <w:p>
            <w:pPr>
              <w:spacing w:before="0" w:after="0" w:line="240" w:lineRule="auto"/>
            </w:pPr>
            <w:r/>
            <w:r>
              <w:rPr>
                <w:rFonts w:ascii="Arial" w:hAnsi="Arial" w:cs="Arial"/>
                <w:b w:val="0"/>
                <w:color w:val="333333"/>
                <w:sz w:val="17"/>
              </w:rPr>
              <w:t>43:  ☐ A   ☐ B   ☐ C   ☐ D</w:t>
            </w:r>
          </w:p>
        </w:tc>
        <w:tc>
          <w:tcPr>
            <w:tcW w:type="dxa" w:w="2258"/>
            <w:vAlign w:val="center"/>
          </w:tcPr>
          <w:p>
            <w:pPr>
              <w:spacing w:before="0" w:after="0" w:line="240" w:lineRule="auto"/>
            </w:pPr>
            <w:r/>
            <w:r>
              <w:rPr>
                <w:rFonts w:ascii="Arial" w:hAnsi="Arial" w:cs="Arial"/>
                <w:b w:val="0"/>
                <w:color w:val="333333"/>
                <w:sz w:val="17"/>
              </w:rPr>
              <w:t>44:  ☐ A   ☐ B   ☐ C   ☐ D</w:t>
            </w:r>
          </w:p>
        </w:tc>
      </w:tr>
      <w:tr>
        <w:tc>
          <w:tcPr>
            <w:tcW w:type="dxa" w:w="2256"/>
            <w:vAlign w:val="center"/>
          </w:tcPr>
          <w:p>
            <w:pPr>
              <w:spacing w:before="0" w:after="0" w:line="240" w:lineRule="auto"/>
            </w:pPr>
            <w:r/>
            <w:r>
              <w:rPr>
                <w:rFonts w:ascii="Arial" w:hAnsi="Arial" w:cs="Arial"/>
                <w:b w:val="0"/>
                <w:color w:val="333333"/>
                <w:sz w:val="17"/>
              </w:rPr>
              <w:t>45:  ☐ A   ☐ B   ☐ C   ☐ D</w:t>
            </w:r>
          </w:p>
        </w:tc>
        <w:tc>
          <w:tcPr>
            <w:tcW w:type="dxa" w:w="2256"/>
            <w:vAlign w:val="center"/>
          </w:tcPr>
          <w:p>
            <w:pPr>
              <w:spacing w:before="0" w:after="0" w:line="240" w:lineRule="auto"/>
            </w:pPr>
            <w:r/>
            <w:r>
              <w:rPr>
                <w:rFonts w:ascii="Arial" w:hAnsi="Arial" w:cs="Arial"/>
                <w:b w:val="0"/>
                <w:color w:val="333333"/>
                <w:sz w:val="17"/>
              </w:rPr>
              <w:t>46:  ☐ A   ☐ B   ☐ C   ☐ D</w:t>
            </w:r>
          </w:p>
        </w:tc>
        <w:tc>
          <w:tcPr>
            <w:tcW w:type="dxa" w:w="2256"/>
            <w:vAlign w:val="center"/>
          </w:tcPr>
          <w:p>
            <w:pPr>
              <w:spacing w:before="0" w:after="0" w:line="240" w:lineRule="auto"/>
            </w:pPr>
            <w:r/>
            <w:r>
              <w:rPr>
                <w:rFonts w:ascii="Arial" w:hAnsi="Arial" w:cs="Arial"/>
                <w:b w:val="0"/>
                <w:color w:val="333333"/>
                <w:sz w:val="17"/>
              </w:rPr>
              <w:t>47:  ☐ A   ☐ B   ☐ C   ☐ D</w:t>
            </w:r>
          </w:p>
        </w:tc>
        <w:tc>
          <w:tcPr>
            <w:tcW w:type="dxa" w:w="2258"/>
            <w:vAlign w:val="center"/>
          </w:tcPr>
          <w:p>
            <w:pPr>
              <w:spacing w:before="0" w:after="0" w:line="240" w:lineRule="auto"/>
            </w:pPr>
            <w:r/>
            <w:r>
              <w:rPr>
                <w:rFonts w:ascii="Arial" w:hAnsi="Arial" w:cs="Arial"/>
                <w:b w:val="0"/>
                <w:color w:val="333333"/>
                <w:sz w:val="17"/>
              </w:rPr>
              <w:t>48:  ☐ A   ☐ B   ☐ C   ☐ D</w:t>
            </w:r>
          </w:p>
        </w:tc>
      </w:tr>
      <w:tr>
        <w:tc>
          <w:tcPr>
            <w:tcW w:type="dxa" w:w="2256"/>
            <w:vAlign w:val="center"/>
          </w:tcPr>
          <w:p>
            <w:pPr>
              <w:spacing w:before="0" w:after="0" w:line="240" w:lineRule="auto"/>
            </w:pPr>
            <w:r/>
            <w:r>
              <w:rPr>
                <w:rFonts w:ascii="Arial" w:hAnsi="Arial" w:cs="Arial"/>
                <w:b w:val="0"/>
                <w:color w:val="333333"/>
                <w:sz w:val="17"/>
              </w:rPr>
              <w:t>49:  ☐ A   ☐ B   ☐ C   ☐ D</w:t>
            </w:r>
          </w:p>
        </w:tc>
        <w:tc>
          <w:tcPr>
            <w:tcW w:type="dxa" w:w="2256"/>
            <w:vAlign w:val="center"/>
          </w:tcPr>
          <w:p>
            <w:pPr>
              <w:spacing w:before="0" w:after="0" w:line="240" w:lineRule="auto"/>
            </w:pPr>
            <w:r/>
            <w:r>
              <w:rPr>
                <w:rFonts w:ascii="Arial" w:hAnsi="Arial" w:cs="Arial"/>
                <w:b w:val="0"/>
                <w:color w:val="333333"/>
                <w:sz w:val="17"/>
              </w:rPr>
              <w:t>50:  ☐ A   ☐ B   ☐ C   ☐ D</w:t>
            </w:r>
          </w:p>
        </w:tc>
        <w:tc>
          <w:tcPr>
            <w:tcW w:type="dxa" w:w="2256"/>
            <w:vAlign w:val="center"/>
          </w:tcPr>
          <w:p>
            <w:pPr>
              <w:spacing w:before="0" w:after="0" w:line="240" w:lineRule="auto"/>
            </w:pPr>
            <w:r/>
            <w:r>
              <w:rPr>
                <w:rFonts w:ascii="Arial" w:hAnsi="Arial" w:cs="Arial"/>
                <w:b w:val="0"/>
                <w:color w:val="333333"/>
                <w:sz w:val="17"/>
              </w:rPr>
              <w:t>51:  ☐ A   ☐ B   ☐ C   ☐ D</w:t>
            </w:r>
          </w:p>
        </w:tc>
        <w:tc>
          <w:tcPr>
            <w:tcW w:type="dxa" w:w="2258"/>
            <w:vAlign w:val="center"/>
          </w:tcPr>
          <w:p>
            <w:pPr>
              <w:spacing w:before="0" w:after="0" w:line="240" w:lineRule="auto"/>
            </w:pPr>
            <w:r/>
            <w:r>
              <w:rPr>
                <w:rFonts w:ascii="Arial" w:hAnsi="Arial" w:cs="Arial"/>
                <w:b w:val="0"/>
                <w:color w:val="333333"/>
                <w:sz w:val="17"/>
              </w:rPr>
              <w:t>52:  ☐ A   ☐ B   ☐ C   ☐ D</w:t>
            </w:r>
          </w:p>
        </w:tc>
      </w:tr>
      <w:tr>
        <w:tc>
          <w:tcPr>
            <w:tcW w:type="dxa" w:w="2256"/>
            <w:vAlign w:val="center"/>
          </w:tcPr>
          <w:p>
            <w:pPr>
              <w:spacing w:before="0" w:after="0" w:line="240" w:lineRule="auto"/>
            </w:pPr>
            <w:r/>
            <w:r>
              <w:rPr>
                <w:rFonts w:ascii="Arial" w:hAnsi="Arial" w:cs="Arial"/>
                <w:b w:val="0"/>
                <w:color w:val="333333"/>
                <w:sz w:val="17"/>
              </w:rPr>
              <w:t>53:  ☐ A   ☐ B   ☐ C   ☐ D</w:t>
            </w:r>
          </w:p>
        </w:tc>
        <w:tc>
          <w:tcPr>
            <w:tcW w:type="dxa" w:w="2256"/>
            <w:vAlign w:val="center"/>
          </w:tcPr>
          <w:p>
            <w:pPr>
              <w:spacing w:before="0" w:after="0" w:line="240" w:lineRule="auto"/>
            </w:pPr>
            <w:r/>
            <w:r>
              <w:rPr>
                <w:rFonts w:ascii="Arial" w:hAnsi="Arial" w:cs="Arial"/>
                <w:b w:val="0"/>
                <w:color w:val="333333"/>
                <w:sz w:val="17"/>
              </w:rPr>
              <w:t>54:  ☐ A   ☐ B   ☐ C   ☐ D</w:t>
            </w:r>
          </w:p>
        </w:tc>
        <w:tc>
          <w:tcPr>
            <w:tcW w:type="dxa" w:w="2256"/>
            <w:vAlign w:val="center"/>
          </w:tcPr>
          <w:p>
            <w:pPr>
              <w:spacing w:before="0" w:after="0" w:line="240" w:lineRule="auto"/>
            </w:pPr>
            <w:r/>
            <w:r>
              <w:rPr>
                <w:rFonts w:ascii="Arial" w:hAnsi="Arial" w:cs="Arial"/>
                <w:b w:val="0"/>
                <w:color w:val="333333"/>
                <w:sz w:val="17"/>
              </w:rPr>
              <w:t>55:  ☐ A   ☐ B   ☐ C   ☐ D</w:t>
            </w:r>
          </w:p>
        </w:tc>
        <w:tc>
          <w:tcPr>
            <w:tcW w:type="dxa" w:w="2258"/>
            <w:vAlign w:val="center"/>
          </w:tcPr>
          <w:p>
            <w:pPr>
              <w:spacing w:before="0" w:after="0" w:line="240" w:lineRule="auto"/>
            </w:pPr>
            <w:r/>
            <w:r>
              <w:rPr>
                <w:rFonts w:ascii="Arial" w:hAnsi="Arial" w:cs="Arial"/>
                <w:b w:val="0"/>
                <w:color w:val="333333"/>
                <w:sz w:val="17"/>
              </w:rPr>
              <w:t>56:  ☐ A   ☐ B   ☐ C   ☐ D</w:t>
            </w:r>
          </w:p>
        </w:tc>
      </w:tr>
      <w:tr>
        <w:tc>
          <w:tcPr>
            <w:tcW w:type="dxa" w:w="2256"/>
            <w:vAlign w:val="center"/>
          </w:tcPr>
          <w:p>
            <w:pPr>
              <w:spacing w:before="0" w:after="0" w:line="240" w:lineRule="auto"/>
            </w:pPr>
            <w:r/>
            <w:r>
              <w:rPr>
                <w:rFonts w:ascii="Arial" w:hAnsi="Arial" w:cs="Arial"/>
                <w:b w:val="0"/>
                <w:color w:val="333333"/>
                <w:sz w:val="17"/>
              </w:rPr>
              <w:t>57:  ☐ A   ☐ B   ☐ C   ☐ D</w:t>
            </w:r>
          </w:p>
        </w:tc>
        <w:tc>
          <w:tcPr>
            <w:tcW w:type="dxa" w:w="2256"/>
            <w:vAlign w:val="center"/>
          </w:tcPr>
          <w:p>
            <w:pPr>
              <w:spacing w:before="0" w:after="0" w:line="240" w:lineRule="auto"/>
            </w:pPr>
            <w:r/>
            <w:r>
              <w:rPr>
                <w:rFonts w:ascii="Arial" w:hAnsi="Arial" w:cs="Arial"/>
                <w:b w:val="0"/>
                <w:color w:val="333333"/>
                <w:sz w:val="17"/>
              </w:rPr>
              <w:t>58:  ☐ A   ☐ B   ☐ C   ☐ D</w:t>
            </w:r>
          </w:p>
        </w:tc>
        <w:tc>
          <w:tcPr>
            <w:tcW w:type="dxa" w:w="2256"/>
            <w:vAlign w:val="center"/>
          </w:tcPr>
          <w:p>
            <w:pPr>
              <w:spacing w:before="0" w:after="0" w:line="240" w:lineRule="auto"/>
            </w:pPr>
            <w:r/>
            <w:r>
              <w:rPr>
                <w:rFonts w:ascii="Arial" w:hAnsi="Arial" w:cs="Arial"/>
                <w:b w:val="0"/>
                <w:color w:val="333333"/>
                <w:sz w:val="17"/>
              </w:rPr>
              <w:t>59:  ☐ A   ☐ B   ☐ C   ☐ D</w:t>
            </w:r>
          </w:p>
        </w:tc>
        <w:tc>
          <w:tcPr>
            <w:tcW w:type="dxa" w:w="2258"/>
            <w:vAlign w:val="center"/>
          </w:tcPr>
          <w:p>
            <w:pPr>
              <w:spacing w:before="0" w:after="0" w:line="240" w:lineRule="auto"/>
            </w:pPr>
            <w:r/>
            <w:r>
              <w:rPr>
                <w:rFonts w:ascii="Arial" w:hAnsi="Arial" w:cs="Arial"/>
                <w:b w:val="0"/>
                <w:color w:val="333333"/>
                <w:sz w:val="17"/>
              </w:rPr>
              <w:t>60:  ☐ A   ☐ B   ☐ C   ☐ D</w:t>
            </w:r>
          </w:p>
        </w:tc>
      </w:tr>
      <w:tr>
        <w:tc>
          <w:tcPr>
            <w:tcW w:type="dxa" w:w="2256"/>
            <w:vAlign w:val="center"/>
          </w:tcPr>
          <w:p>
            <w:pPr>
              <w:spacing w:before="0" w:after="0" w:line="240" w:lineRule="auto"/>
            </w:pPr>
            <w:r/>
            <w:r>
              <w:rPr>
                <w:rFonts w:ascii="Arial" w:hAnsi="Arial" w:cs="Arial"/>
                <w:b w:val="0"/>
                <w:color w:val="333333"/>
                <w:sz w:val="17"/>
              </w:rPr>
              <w:t>61:  ☐ A   ☐ B   ☐ C   ☐ D</w:t>
            </w:r>
          </w:p>
        </w:tc>
        <w:tc>
          <w:tcPr>
            <w:tcW w:type="dxa" w:w="2256"/>
            <w:vAlign w:val="center"/>
          </w:tcPr>
          <w:p>
            <w:pPr>
              <w:spacing w:before="0" w:after="0" w:line="240" w:lineRule="auto"/>
            </w:pPr>
            <w:r/>
            <w:r>
              <w:rPr>
                <w:rFonts w:ascii="Arial" w:hAnsi="Arial" w:cs="Arial"/>
                <w:b w:val="0"/>
                <w:color w:val="333333"/>
                <w:sz w:val="17"/>
              </w:rPr>
              <w:t>62:  ☐ A   ☐ B   ☐ C   ☐ D</w:t>
            </w:r>
          </w:p>
        </w:tc>
        <w:tc>
          <w:tcPr>
            <w:tcW w:type="dxa" w:w="2256"/>
            <w:vAlign w:val="center"/>
          </w:tcPr>
          <w:p>
            <w:pPr>
              <w:spacing w:before="0" w:after="0" w:line="240" w:lineRule="auto"/>
            </w:pPr>
            <w:r/>
            <w:r>
              <w:rPr>
                <w:rFonts w:ascii="Arial" w:hAnsi="Arial" w:cs="Arial"/>
                <w:b w:val="0"/>
                <w:color w:val="333333"/>
                <w:sz w:val="17"/>
              </w:rPr>
              <w:t>63:  ☐ A   ☐ B   ☐ C   ☐ D</w:t>
            </w:r>
          </w:p>
        </w:tc>
        <w:tc>
          <w:tcPr>
            <w:tcW w:type="dxa" w:w="2258"/>
            <w:vAlign w:val="center"/>
          </w:tcPr>
          <w:p>
            <w:pPr>
              <w:spacing w:before="0" w:after="0" w:line="240" w:lineRule="auto"/>
            </w:pPr>
            <w:r/>
            <w:r>
              <w:rPr>
                <w:rFonts w:ascii="Arial" w:hAnsi="Arial" w:cs="Arial"/>
                <w:b w:val="0"/>
                <w:color w:val="333333"/>
                <w:sz w:val="17"/>
              </w:rPr>
              <w:t>64:  ☐ A   ☐ B   ☐ C   ☐ D</w:t>
            </w:r>
          </w:p>
        </w:tc>
      </w:tr>
      <w:tr>
        <w:tc>
          <w:tcPr>
            <w:tcW w:type="dxa" w:w="2256"/>
            <w:vAlign w:val="center"/>
          </w:tcPr>
          <w:p>
            <w:pPr>
              <w:spacing w:before="0" w:after="0" w:line="240" w:lineRule="auto"/>
            </w:pPr>
            <w:r/>
            <w:r>
              <w:rPr>
                <w:rFonts w:ascii="Arial" w:hAnsi="Arial" w:cs="Arial"/>
                <w:b w:val="0"/>
                <w:color w:val="333333"/>
                <w:sz w:val="17"/>
              </w:rPr>
              <w:t>65:  ☐ A   ☐ B   ☐ C   ☐ D</w:t>
            </w:r>
          </w:p>
        </w:tc>
        <w:tc>
          <w:tcPr>
            <w:tcW w:type="dxa" w:w="2256"/>
            <w:vAlign w:val="center"/>
          </w:tcPr>
          <w:p>
            <w:pPr>
              <w:spacing w:before="0" w:after="0" w:line="240" w:lineRule="auto"/>
            </w:pPr>
            <w:r/>
            <w:r>
              <w:rPr>
                <w:rFonts w:ascii="Arial" w:hAnsi="Arial" w:cs="Arial"/>
                <w:b w:val="0"/>
                <w:color w:val="333333"/>
                <w:sz w:val="17"/>
              </w:rPr>
              <w:t>66:  ☐ A   ☐ B   ☐ C   ☐ D</w:t>
            </w:r>
          </w:p>
        </w:tc>
        <w:tc>
          <w:tcPr>
            <w:tcW w:type="dxa" w:w="2256"/>
            <w:vAlign w:val="center"/>
          </w:tcPr>
          <w:p>
            <w:pPr>
              <w:spacing w:before="0" w:after="0" w:line="240" w:lineRule="auto"/>
            </w:pPr>
            <w:r/>
            <w:r>
              <w:rPr>
                <w:rFonts w:ascii="Arial" w:hAnsi="Arial" w:cs="Arial"/>
                <w:b w:val="0"/>
                <w:color w:val="333333"/>
                <w:sz w:val="17"/>
              </w:rPr>
              <w:t>67:  ☐ A   ☐ B   ☐ C   ☐ D</w:t>
            </w:r>
          </w:p>
        </w:tc>
        <w:tc>
          <w:tcPr>
            <w:tcW w:type="dxa" w:w="2258"/>
            <w:vAlign w:val="center"/>
          </w:tcPr>
          <w:p>
            <w:pPr>
              <w:spacing w:before="0" w:after="0" w:line="240" w:lineRule="auto"/>
            </w:pPr>
            <w:r/>
            <w:r>
              <w:rPr>
                <w:rFonts w:ascii="Arial" w:hAnsi="Arial" w:cs="Arial"/>
                <w:b w:val="0"/>
                <w:color w:val="333333"/>
                <w:sz w:val="17"/>
              </w:rPr>
              <w:t>68:  ☐ A   ☐ B   ☐ C   ☐ D</w:t>
            </w:r>
          </w:p>
        </w:tc>
      </w:tr>
      <w:tr>
        <w:tc>
          <w:tcPr>
            <w:tcW w:type="dxa" w:w="2256"/>
            <w:vAlign w:val="center"/>
          </w:tcPr>
          <w:p>
            <w:pPr>
              <w:spacing w:before="0" w:after="0" w:line="240" w:lineRule="auto"/>
            </w:pPr>
            <w:r/>
            <w:r>
              <w:rPr>
                <w:rFonts w:ascii="Arial" w:hAnsi="Arial" w:cs="Arial"/>
                <w:b w:val="0"/>
                <w:color w:val="333333"/>
                <w:sz w:val="17"/>
              </w:rPr>
              <w:t>69:  ☐ A   ☐ B   ☐ C   ☐ D</w:t>
            </w:r>
          </w:p>
        </w:tc>
        <w:tc>
          <w:tcPr>
            <w:tcW w:type="dxa" w:w="2256"/>
            <w:vAlign w:val="center"/>
          </w:tcPr>
          <w:p>
            <w:pPr>
              <w:spacing w:before="0" w:after="0" w:line="240" w:lineRule="auto"/>
            </w:pPr>
            <w:r/>
            <w:r>
              <w:rPr>
                <w:rFonts w:ascii="Arial" w:hAnsi="Arial" w:cs="Arial"/>
                <w:b w:val="0"/>
                <w:color w:val="333333"/>
                <w:sz w:val="17"/>
              </w:rPr>
              <w:t>70:  ☐ A   ☐ B   ☐ C   ☐ D</w:t>
            </w:r>
          </w:p>
        </w:tc>
        <w:tc>
          <w:tcPr>
            <w:tcW w:type="dxa" w:w="2256"/>
            <w:vAlign w:val="center"/>
          </w:tcPr>
          <w:p>
            <w:pPr>
              <w:spacing w:before="0" w:after="0" w:line="240" w:lineRule="auto"/>
            </w:pPr>
            <w:r/>
            <w:r>
              <w:rPr>
                <w:rFonts w:ascii="Arial" w:hAnsi="Arial" w:cs="Arial"/>
                <w:b w:val="0"/>
                <w:color w:val="333333"/>
                <w:sz w:val="17"/>
              </w:rPr>
              <w:t>71:  ☐ A   ☐ B   ☐ C   ☐ D</w:t>
            </w:r>
          </w:p>
        </w:tc>
        <w:tc>
          <w:tcPr>
            <w:tcW w:type="dxa" w:w="2258"/>
            <w:vAlign w:val="center"/>
          </w:tcPr>
          <w:p>
            <w:pPr>
              <w:spacing w:before="0" w:after="0" w:line="240" w:lineRule="auto"/>
            </w:pPr>
            <w:r/>
            <w:r>
              <w:rPr>
                <w:rFonts w:ascii="Arial" w:hAnsi="Arial" w:cs="Arial"/>
                <w:b w:val="0"/>
                <w:color w:val="333333"/>
                <w:sz w:val="17"/>
              </w:rPr>
              <w:t>72:  ☐ A   ☐ B   ☐ C   ☐ D</w:t>
            </w:r>
          </w:p>
        </w:tc>
      </w:tr>
      <w:tr>
        <w:tc>
          <w:tcPr>
            <w:tcW w:type="dxa" w:w="2256"/>
            <w:vAlign w:val="center"/>
          </w:tcPr>
          <w:p>
            <w:pPr>
              <w:spacing w:before="0" w:after="0" w:line="240" w:lineRule="auto"/>
            </w:pPr>
            <w:r/>
            <w:r>
              <w:rPr>
                <w:rFonts w:ascii="Arial" w:hAnsi="Arial" w:cs="Arial"/>
                <w:b w:val="0"/>
                <w:color w:val="333333"/>
                <w:sz w:val="17"/>
              </w:rPr>
              <w:t>73:  ☐ A   ☐ B   ☐ C   ☐ D</w:t>
            </w:r>
          </w:p>
        </w:tc>
        <w:tc>
          <w:tcPr>
            <w:tcW w:type="dxa" w:w="2256"/>
            <w:vAlign w:val="center"/>
          </w:tcPr>
          <w:p>
            <w:pPr>
              <w:spacing w:before="0" w:after="0" w:line="240" w:lineRule="auto"/>
            </w:pPr>
            <w:r/>
            <w:r>
              <w:rPr>
                <w:rFonts w:ascii="Arial" w:hAnsi="Arial" w:cs="Arial"/>
                <w:b w:val="0"/>
                <w:color w:val="333333"/>
                <w:sz w:val="17"/>
              </w:rPr>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pPr>
        <w:pStyle w:val="Heading2"/>
      </w:pPr>
      <w:r>
        <w:t>Segunda parte · 1 a 18</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r>
        <w:rPr>
          <w:rFonts w:ascii="Arial" w:hAnsi="Arial" w:cs="Arial"/>
          <w:sz w:val="19"/>
        </w:rPr>
        <w:t xml:space="preserve">Puntuación directa orientativa por parte: </w:t>
      </w:r>
      <w:r>
        <w:rPr>
          <w:rFonts w:ascii="Arial" w:hAnsi="Arial" w:cs="Arial"/>
          <w:b/>
          <w:sz w:val="19"/>
        </w:rPr>
        <w:t>aciertos − errores/4</w:t>
      </w:r>
      <w:r>
        <w:rPr>
          <w:rFonts w:ascii="Arial" w:hAnsi="Arial" w:cs="Arial"/>
          <w:sz w:val="19"/>
        </w:rPr>
        <w:t>. Las reservas solo sustituyen preguntas anuladas por orden correlativo. La puntuación oficial es la transformada conforme al baremo del tribunal.</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Simulacro 10 · Sin respuestas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10 - nivel oficial - sin respuestas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