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Simulacro 13 · nivel oficial</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nivel oficial</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FFF2CC"/>
      </w:pPr>
      <w:r>
        <w:rPr>
          <w:rFonts w:ascii="Arial" w:hAnsi="Arial" w:cs="Arial"/>
          <w:b/>
          <w:sz w:val="20"/>
        </w:rPr>
        <w:t>No consulte la plantilla durante la realización.</w:t>
      </w:r>
      <w:r>
        <w:rPr>
          <w:rFonts w:ascii="Arial" w:hAnsi="Arial" w:cs="Arial"/>
          <w:sz w:val="20"/>
        </w:rPr>
        <w:t xml:space="preserve"> Controle el tiempo de forma conjunta y reserve unos minutos para revisar omisiones y traslados de respuesta.</w:t>
      </w:r>
    </w:p>
    <w:p>
      <w:pPr>
        <w:pStyle w:val="Heading1"/>
      </w:pPr>
      <w:r>
        <w:t>Primera parte · cuestionario teórico</w:t>
      </w:r>
    </w:p>
    <w:p>
      <w:pPr>
        <w:pStyle w:val="Question"/>
        <w:keepNext/>
      </w:pPr>
      <w:r>
        <w:rPr>
          <w:rFonts w:ascii="Arial" w:hAnsi="Arial" w:cs="Arial"/>
          <w:sz w:val="22"/>
        </w:rPr>
        <w:t>1. A efectos de aplicar correctamente la regla examinada, la separación del servicio puede imponerse:</w:t>
      </w:r>
    </w:p>
    <w:p>
      <w:pPr>
        <w:keepNext/>
        <w:keepLines/>
        <w:spacing w:after="40"/>
        <w:ind w:left="369" w:hanging="198"/>
      </w:pPr>
      <w:r>
        <w:rPr>
          <w:rFonts w:ascii="Arial" w:hAnsi="Arial" w:cs="Arial"/>
          <w:b w:val="0"/>
          <w:sz w:val="21"/>
        </w:rPr>
        <w:t>A) A cualquier empleado por una falta leve.</w:t>
      </w:r>
    </w:p>
    <w:p>
      <w:pPr>
        <w:keepNext/>
        <w:keepLines/>
        <w:spacing w:after="40"/>
        <w:ind w:left="369" w:hanging="198"/>
      </w:pPr>
      <w:r>
        <w:rPr>
          <w:rFonts w:ascii="Arial" w:hAnsi="Arial" w:cs="Arial"/>
          <w:b w:val="0"/>
          <w:sz w:val="21"/>
        </w:rPr>
        <w:t>B) A funcionarios y solo por faltas muy graves.</w:t>
      </w:r>
    </w:p>
    <w:p>
      <w:pPr>
        <w:keepNext/>
        <w:keepLines/>
        <w:spacing w:after="40"/>
        <w:ind w:left="369" w:hanging="198"/>
      </w:pPr>
      <w:r>
        <w:rPr>
          <w:rFonts w:ascii="Arial" w:hAnsi="Arial" w:cs="Arial"/>
          <w:b w:val="0"/>
          <w:sz w:val="21"/>
        </w:rPr>
        <w:t>C) Solo a personal laboral fijo.</w:t>
      </w:r>
    </w:p>
    <w:p>
      <w:pPr>
        <w:keepNext/>
        <w:keepLines/>
        <w:spacing w:after="40"/>
        <w:ind w:left="369" w:hanging="198"/>
      </w:pPr>
      <w:r>
        <w:rPr>
          <w:rFonts w:ascii="Arial" w:hAnsi="Arial" w:cs="Arial"/>
          <w:b w:val="0"/>
          <w:sz w:val="21"/>
        </w:rPr>
        <w:t>D) A eventuales como sanción por cualquier incumplimiento.</w:t>
      </w:r>
    </w:p>
    <w:p>
      <w:pPr>
        <w:pStyle w:val="Question"/>
        <w:keepNext/>
      </w:pPr>
      <w:r>
        <w:rPr>
          <w:rFonts w:ascii="Arial" w:hAnsi="Arial" w:cs="Arial"/>
          <w:sz w:val="22"/>
        </w:rPr>
        <w:t>2. En una comprobación jurídica del expediente, si el candidato no obtiene mayoría absoluta en la primera votación, la segunda se celebra:</w:t>
      </w:r>
    </w:p>
    <w:p>
      <w:pPr>
        <w:keepNext/>
        <w:keepLines/>
        <w:spacing w:after="40"/>
        <w:ind w:left="369" w:hanging="198"/>
      </w:pPr>
      <w:r>
        <w:rPr>
          <w:rFonts w:ascii="Arial" w:hAnsi="Arial" w:cs="Arial"/>
          <w:b w:val="0"/>
          <w:sz w:val="21"/>
        </w:rPr>
        <w:t>A) Veinticuatro horas después.</w:t>
      </w:r>
    </w:p>
    <w:p>
      <w:pPr>
        <w:keepNext/>
        <w:keepLines/>
        <w:spacing w:after="40"/>
        <w:ind w:left="369" w:hanging="198"/>
      </w:pPr>
      <w:r>
        <w:rPr>
          <w:rFonts w:ascii="Arial" w:hAnsi="Arial" w:cs="Arial"/>
          <w:b w:val="0"/>
          <w:sz w:val="21"/>
        </w:rPr>
        <w:t>B) Cinco días después.</w:t>
      </w:r>
    </w:p>
    <w:p>
      <w:pPr>
        <w:keepNext/>
        <w:keepLines/>
        <w:spacing w:after="40"/>
        <w:ind w:left="369" w:hanging="198"/>
      </w:pPr>
      <w:r>
        <w:rPr>
          <w:rFonts w:ascii="Arial" w:hAnsi="Arial" w:cs="Arial"/>
          <w:b w:val="0"/>
          <w:sz w:val="21"/>
        </w:rPr>
        <w:t>C) Dos meses después.</w:t>
      </w:r>
    </w:p>
    <w:p>
      <w:pPr>
        <w:keepNext/>
        <w:keepLines/>
        <w:spacing w:after="40"/>
        <w:ind w:left="369" w:hanging="198"/>
      </w:pPr>
      <w:r>
        <w:rPr>
          <w:rFonts w:ascii="Arial" w:hAnsi="Arial" w:cs="Arial"/>
          <w:b w:val="0"/>
          <w:sz w:val="21"/>
        </w:rPr>
        <w:t>D) Cuarenta y ocho horas después.</w:t>
      </w:r>
    </w:p>
    <w:p>
      <w:pPr>
        <w:pStyle w:val="Question"/>
        <w:keepNext/>
      </w:pPr>
      <w:r>
        <w:rPr>
          <w:rFonts w:ascii="Arial" w:hAnsi="Arial" w:cs="Arial"/>
          <w:sz w:val="22"/>
        </w:rPr>
        <w:t>3. En una comprobación jurídica del expediente, el reglamento administrativo es:</w:t>
      </w:r>
    </w:p>
    <w:p>
      <w:pPr>
        <w:keepNext/>
        <w:keepLines/>
        <w:spacing w:after="40"/>
        <w:ind w:left="369" w:hanging="198"/>
      </w:pPr>
      <w:r>
        <w:rPr>
          <w:rFonts w:ascii="Arial" w:hAnsi="Arial" w:cs="Arial"/>
          <w:b w:val="0"/>
          <w:sz w:val="21"/>
        </w:rPr>
        <w:t>A) Una ley aprobada por el Gobierno.</w:t>
      </w:r>
    </w:p>
    <w:p>
      <w:pPr>
        <w:keepNext/>
        <w:keepLines/>
        <w:spacing w:after="40"/>
        <w:ind w:left="369" w:hanging="198"/>
      </w:pPr>
      <w:r>
        <w:rPr>
          <w:rFonts w:ascii="Arial" w:hAnsi="Arial" w:cs="Arial"/>
          <w:b w:val="0"/>
          <w:sz w:val="21"/>
        </w:rPr>
        <w:t>B) Una sentencia de efectos generales.</w:t>
      </w:r>
    </w:p>
    <w:p>
      <w:pPr>
        <w:keepNext/>
        <w:keepLines/>
        <w:spacing w:after="40"/>
        <w:ind w:left="369" w:hanging="198"/>
      </w:pPr>
      <w:r>
        <w:rPr>
          <w:rFonts w:ascii="Arial" w:hAnsi="Arial" w:cs="Arial"/>
          <w:b w:val="0"/>
          <w:sz w:val="21"/>
        </w:rPr>
        <w:t>C) Una norma subordinada a la ley dictada por órgano con potestad reglamentaria.</w:t>
      </w:r>
    </w:p>
    <w:p>
      <w:pPr>
        <w:keepNext/>
        <w:keepLines/>
        <w:spacing w:after="40"/>
        <w:ind w:left="369" w:hanging="198"/>
      </w:pPr>
      <w:r>
        <w:rPr>
          <w:rFonts w:ascii="Arial" w:hAnsi="Arial" w:cs="Arial"/>
          <w:b w:val="0"/>
          <w:sz w:val="21"/>
        </w:rPr>
        <w:t>D) Un acto singular que agota siempre sus efectos.</w:t>
      </w:r>
    </w:p>
    <w:p>
      <w:pPr>
        <w:pStyle w:val="Question"/>
        <w:keepNext/>
      </w:pPr>
      <w:r>
        <w:rPr>
          <w:rFonts w:ascii="Arial" w:hAnsi="Arial" w:cs="Arial"/>
          <w:sz w:val="22"/>
        </w:rPr>
        <w:t>4. A efectos de aplicar correctamente la regla examinada, una ley española posterior contradice un reglamento de la Unión válido y aplicable al litigio. El órgano nacional debe:</w:t>
      </w:r>
    </w:p>
    <w:p>
      <w:pPr>
        <w:keepNext/>
        <w:keepLines/>
        <w:spacing w:after="40"/>
        <w:ind w:left="369" w:hanging="198"/>
      </w:pPr>
      <w:r>
        <w:rPr>
          <w:rFonts w:ascii="Arial" w:hAnsi="Arial" w:cs="Arial"/>
          <w:b w:val="0"/>
          <w:sz w:val="21"/>
        </w:rPr>
        <w:t>A) Aplicar la ley por ser posterior.</w:t>
      </w:r>
    </w:p>
    <w:p>
      <w:pPr>
        <w:keepNext/>
        <w:keepLines/>
        <w:spacing w:after="40"/>
        <w:ind w:left="369" w:hanging="198"/>
      </w:pPr>
      <w:r>
        <w:rPr>
          <w:rFonts w:ascii="Arial" w:hAnsi="Arial" w:cs="Arial"/>
          <w:b w:val="0"/>
          <w:sz w:val="21"/>
        </w:rPr>
        <w:t>B) Esperar obligatoriamente a que el legislador la derogue.</w:t>
      </w:r>
    </w:p>
    <w:p>
      <w:pPr>
        <w:keepNext/>
        <w:keepLines/>
        <w:spacing w:after="40"/>
        <w:ind w:left="369" w:hanging="198"/>
      </w:pPr>
      <w:r>
        <w:rPr>
          <w:rFonts w:ascii="Arial" w:hAnsi="Arial" w:cs="Arial"/>
          <w:b w:val="0"/>
          <w:sz w:val="21"/>
        </w:rPr>
        <w:t>C) Plantear siempre cuestión de inconstitucionalidad antes de actuar.</w:t>
      </w:r>
    </w:p>
    <w:p>
      <w:pPr>
        <w:keepNext/>
        <w:keepLines/>
        <w:spacing w:after="40"/>
        <w:ind w:left="369" w:hanging="198"/>
      </w:pPr>
      <w:r>
        <w:rPr>
          <w:rFonts w:ascii="Arial" w:hAnsi="Arial" w:cs="Arial"/>
          <w:b w:val="0"/>
          <w:sz w:val="21"/>
        </w:rPr>
        <w:t>D) Aplicar el reglamento de la Unión e inaplicar la ley interna incompatible en el caso.</w:t>
      </w:r>
    </w:p>
    <w:p>
      <w:pPr>
        <w:pStyle w:val="Question"/>
        <w:keepNext/>
      </w:pPr>
      <w:r>
        <w:rPr>
          <w:rFonts w:ascii="Arial" w:hAnsi="Arial" w:cs="Arial"/>
          <w:sz w:val="22"/>
        </w:rPr>
        <w:t>5. Conforme al ordenamiento vigente a la fecha de corte, el deber de interpretación conforme:</w:t>
      </w:r>
    </w:p>
    <w:p>
      <w:pPr>
        <w:keepNext/>
        <w:keepLines/>
        <w:spacing w:after="40"/>
        <w:ind w:left="369" w:hanging="198"/>
      </w:pPr>
      <w:r>
        <w:rPr>
          <w:rFonts w:ascii="Arial" w:hAnsi="Arial" w:cs="Arial"/>
          <w:b w:val="0"/>
          <w:sz w:val="21"/>
        </w:rPr>
        <w:t>A) Solo afecta a leyes nacionales posteriores a la directiva.</w:t>
      </w:r>
    </w:p>
    <w:p>
      <w:pPr>
        <w:keepNext/>
        <w:keepLines/>
        <w:spacing w:after="40"/>
        <w:ind w:left="369" w:hanging="198"/>
      </w:pPr>
      <w:r>
        <w:rPr>
          <w:rFonts w:ascii="Arial" w:hAnsi="Arial" w:cs="Arial"/>
          <w:b w:val="0"/>
          <w:sz w:val="21"/>
        </w:rPr>
        <w:t>B) Autoriza siempre una interpretación contra legem.</w:t>
      </w:r>
    </w:p>
    <w:p>
      <w:pPr>
        <w:keepNext/>
        <w:keepLines/>
        <w:spacing w:after="40"/>
        <w:ind w:left="369" w:hanging="198"/>
      </w:pPr>
      <w:r>
        <w:rPr>
          <w:rFonts w:ascii="Arial" w:hAnsi="Arial" w:cs="Arial"/>
          <w:b w:val="0"/>
          <w:sz w:val="21"/>
        </w:rPr>
        <w:t>C) Solo opera en procesos entre Estado y particular.</w:t>
      </w:r>
    </w:p>
    <w:p>
      <w:pPr>
        <w:keepNext/>
        <w:keepLines/>
        <w:spacing w:after="40"/>
        <w:ind w:left="369" w:hanging="198"/>
      </w:pPr>
      <w:r>
        <w:rPr>
          <w:rFonts w:ascii="Arial" w:hAnsi="Arial" w:cs="Arial"/>
          <w:b w:val="0"/>
          <w:sz w:val="21"/>
        </w:rPr>
        <w:t>D) Exige interpretar, en lo posible, el Derecho interno a la luz del texto y finalidad de la directiva.</w:t>
      </w:r>
    </w:p>
    <w:p>
      <w:pPr>
        <w:pStyle w:val="Question"/>
        <w:keepNext/>
      </w:pPr>
      <w:r>
        <w:rPr>
          <w:rFonts w:ascii="Arial" w:hAnsi="Arial" w:cs="Arial"/>
          <w:sz w:val="22"/>
        </w:rPr>
        <w:t>6. Conforme al ordenamiento vigente a la fecha de corte, según el artículo 128.2 LPAC, un reglamento:</w:t>
      </w:r>
    </w:p>
    <w:p>
      <w:pPr>
        <w:keepNext/>
        <w:keepLines/>
        <w:spacing w:after="40"/>
        <w:ind w:left="369" w:hanging="198"/>
      </w:pPr>
      <w:r>
        <w:rPr>
          <w:rFonts w:ascii="Arial" w:hAnsi="Arial" w:cs="Arial"/>
          <w:b w:val="0"/>
          <w:sz w:val="21"/>
        </w:rPr>
        <w:t>A) Puede crear tributos si lo aprueba el Consejo de Ministros.</w:t>
      </w:r>
    </w:p>
    <w:p>
      <w:pPr>
        <w:keepNext/>
        <w:keepLines/>
        <w:spacing w:after="40"/>
        <w:ind w:left="369" w:hanging="198"/>
      </w:pPr>
      <w:r>
        <w:rPr>
          <w:rFonts w:ascii="Arial" w:hAnsi="Arial" w:cs="Arial"/>
          <w:b w:val="0"/>
          <w:sz w:val="21"/>
        </w:rPr>
        <w:t>B) Puede tipificar infracciones nuevas siempre que sean leves.</w:t>
      </w:r>
    </w:p>
    <w:p>
      <w:pPr>
        <w:keepNext/>
        <w:keepLines/>
        <w:spacing w:after="40"/>
        <w:ind w:left="369" w:hanging="198"/>
      </w:pPr>
      <w:r>
        <w:rPr>
          <w:rFonts w:ascii="Arial" w:hAnsi="Arial" w:cs="Arial"/>
          <w:b w:val="0"/>
          <w:sz w:val="21"/>
        </w:rPr>
        <w:t>C) Puede regular cualquier materia reservada a las Cortes.</w:t>
      </w:r>
    </w:p>
    <w:p>
      <w:pPr>
        <w:keepNext/>
        <w:keepLines/>
        <w:spacing w:after="40"/>
        <w:ind w:left="369" w:hanging="198"/>
      </w:pPr>
      <w:r>
        <w:rPr>
          <w:rFonts w:ascii="Arial" w:hAnsi="Arial" w:cs="Arial"/>
          <w:b w:val="0"/>
          <w:sz w:val="21"/>
        </w:rPr>
        <w:t>D) No puede tipificar infracciones o sanciones ni establecer tributos o prestaciones públicas, salvo la colaboración de desarrollo legal admisible.</w:t>
      </w:r>
    </w:p>
    <w:p>
      <w:pPr>
        <w:pStyle w:val="Question"/>
        <w:keepNext/>
      </w:pPr>
      <w:r>
        <w:rPr>
          <w:rFonts w:ascii="Arial" w:hAnsi="Arial" w:cs="Arial"/>
          <w:sz w:val="22"/>
        </w:rPr>
        <w:t>7. A efectos de aplicar correctamente la regla examinada, ¿Qué relación de anchura establece la Constitución para las franjas de la bandera?</w:t>
      </w:r>
    </w:p>
    <w:p>
      <w:pPr>
        <w:keepNext/>
        <w:keepLines/>
        <w:spacing w:after="40"/>
        <w:ind w:left="369" w:hanging="198"/>
      </w:pPr>
      <w:r>
        <w:rPr>
          <w:rFonts w:ascii="Arial" w:hAnsi="Arial" w:cs="Arial"/>
          <w:b w:val="0"/>
          <w:sz w:val="21"/>
        </w:rPr>
        <w:t>A) La franja amarilla tiene doble anchura que cada franja roja.</w:t>
      </w:r>
    </w:p>
    <w:p>
      <w:pPr>
        <w:keepNext/>
        <w:keepLines/>
        <w:spacing w:after="40"/>
        <w:ind w:left="369" w:hanging="198"/>
      </w:pPr>
      <w:r>
        <w:rPr>
          <w:rFonts w:ascii="Arial" w:hAnsi="Arial" w:cs="Arial"/>
          <w:b w:val="0"/>
          <w:sz w:val="21"/>
        </w:rPr>
        <w:t>B) Las tres tienen la misma anchura.</w:t>
      </w:r>
    </w:p>
    <w:p>
      <w:pPr>
        <w:keepNext/>
        <w:keepLines/>
        <w:spacing w:after="40"/>
        <w:ind w:left="369" w:hanging="198"/>
      </w:pPr>
      <w:r>
        <w:rPr>
          <w:rFonts w:ascii="Arial" w:hAnsi="Arial" w:cs="Arial"/>
          <w:b w:val="0"/>
          <w:sz w:val="21"/>
        </w:rPr>
        <w:t>C) Cada franja roja duplica la anchura de la amarilla.</w:t>
      </w:r>
    </w:p>
    <w:p>
      <w:pPr>
        <w:keepNext/>
        <w:keepLines/>
        <w:spacing w:after="40"/>
        <w:ind w:left="369" w:hanging="198"/>
      </w:pPr>
      <w:r>
        <w:rPr>
          <w:rFonts w:ascii="Arial" w:hAnsi="Arial" w:cs="Arial"/>
          <w:b w:val="0"/>
          <w:sz w:val="21"/>
        </w:rPr>
        <w:t>D) La franja amarilla tiene triple anchura que cada roja.</w:t>
      </w:r>
    </w:p>
    <w:p>
      <w:pPr>
        <w:pStyle w:val="Question"/>
        <w:keepNext/>
      </w:pPr>
      <w:r>
        <w:rPr>
          <w:rFonts w:ascii="Arial" w:hAnsi="Arial" w:cs="Arial"/>
          <w:sz w:val="22"/>
        </w:rPr>
        <w:t>8. Para resolver correctamente la cuestión planteada, ¿Qué rasgo distingue la jubilación flexible de la parcial?</w:t>
      </w:r>
    </w:p>
    <w:p>
      <w:pPr>
        <w:keepNext/>
        <w:keepLines/>
        <w:spacing w:after="40"/>
        <w:ind w:left="369" w:hanging="198"/>
      </w:pPr>
      <w:r>
        <w:rPr>
          <w:rFonts w:ascii="Arial" w:hAnsi="Arial" w:cs="Arial"/>
          <w:b w:val="0"/>
          <w:sz w:val="21"/>
        </w:rPr>
        <w:t>A) La flexible solo puede iniciarse antes de la edad ordinaria.</w:t>
      </w:r>
    </w:p>
    <w:p>
      <w:pPr>
        <w:keepNext/>
        <w:keepLines/>
        <w:spacing w:after="40"/>
        <w:ind w:left="369" w:hanging="198"/>
      </w:pPr>
      <w:r>
        <w:rPr>
          <w:rFonts w:ascii="Arial" w:hAnsi="Arial" w:cs="Arial"/>
          <w:b w:val="0"/>
          <w:sz w:val="21"/>
        </w:rPr>
        <w:t>B) La flexible exige siempre contrato de relevo.</w:t>
      </w:r>
    </w:p>
    <w:p>
      <w:pPr>
        <w:keepNext/>
        <w:keepLines/>
        <w:spacing w:after="40"/>
        <w:ind w:left="369" w:hanging="198"/>
      </w:pPr>
      <w:r>
        <w:rPr>
          <w:rFonts w:ascii="Arial" w:hAnsi="Arial" w:cs="Arial"/>
          <w:b w:val="0"/>
          <w:sz w:val="21"/>
        </w:rPr>
        <w:t>C) La flexible parte de una pensión ya causada y permite un trabajo a tiempo parcial con reducción proporcional.</w:t>
      </w:r>
    </w:p>
    <w:p>
      <w:pPr>
        <w:keepNext/>
        <w:keepLines/>
        <w:spacing w:after="40"/>
        <w:ind w:left="369" w:hanging="198"/>
      </w:pPr>
      <w:r>
        <w:rPr>
          <w:rFonts w:ascii="Arial" w:hAnsi="Arial" w:cs="Arial"/>
          <w:b w:val="0"/>
          <w:sz w:val="21"/>
        </w:rPr>
        <w:t>D) La flexible impide toda nueva cotización.</w:t>
      </w:r>
    </w:p>
    <w:p>
      <w:pPr>
        <w:pStyle w:val="Question"/>
        <w:keepNext/>
      </w:pPr>
      <w:r>
        <w:rPr>
          <w:rFonts w:ascii="Arial" w:hAnsi="Arial" w:cs="Arial"/>
          <w:sz w:val="22"/>
        </w:rPr>
        <w:t>9. A efectos de aplicar correctamente la regla examinada, en el ejercicio de sus funciones, una autoridad pública:</w:t>
      </w:r>
    </w:p>
    <w:p>
      <w:pPr>
        <w:keepNext/>
        <w:keepLines/>
        <w:spacing w:after="40"/>
        <w:ind w:left="369" w:hanging="198"/>
      </w:pPr>
      <w:r>
        <w:rPr>
          <w:rFonts w:ascii="Arial" w:hAnsi="Arial" w:cs="Arial"/>
          <w:b w:val="0"/>
          <w:sz w:val="21"/>
        </w:rPr>
        <w:t>A) Debe basarlo siempre en consentimiento.</w:t>
      </w:r>
    </w:p>
    <w:p>
      <w:pPr>
        <w:keepNext/>
        <w:keepLines/>
        <w:spacing w:after="40"/>
        <w:ind w:left="369" w:hanging="198"/>
      </w:pPr>
      <w:r>
        <w:rPr>
          <w:rFonts w:ascii="Arial" w:hAnsi="Arial" w:cs="Arial"/>
          <w:b w:val="0"/>
          <w:sz w:val="21"/>
        </w:rPr>
        <w:t>B) Carece de toda base posible.</w:t>
      </w:r>
    </w:p>
    <w:p>
      <w:pPr>
        <w:keepNext/>
        <w:keepLines/>
        <w:spacing w:after="40"/>
        <w:ind w:left="369" w:hanging="198"/>
      </w:pPr>
      <w:r>
        <w:rPr>
          <w:rFonts w:ascii="Arial" w:hAnsi="Arial" w:cs="Arial"/>
          <w:b w:val="0"/>
          <w:sz w:val="21"/>
        </w:rPr>
        <w:t>C) No puede basar el tratamiento en el interés legítimo del artículo 6.1.f.</w:t>
      </w:r>
    </w:p>
    <w:p>
      <w:pPr>
        <w:keepNext/>
        <w:keepLines/>
        <w:spacing w:after="40"/>
        <w:ind w:left="369" w:hanging="198"/>
      </w:pPr>
      <w:r>
        <w:rPr>
          <w:rFonts w:ascii="Arial" w:hAnsi="Arial" w:cs="Arial"/>
          <w:b w:val="0"/>
          <w:sz w:val="21"/>
        </w:rPr>
        <w:t>D) Puede elegir cualquier base sin norma.</w:t>
      </w:r>
    </w:p>
    <w:p>
      <w:pPr>
        <w:pStyle w:val="Question"/>
        <w:keepNext/>
      </w:pPr>
      <w:r>
        <w:rPr>
          <w:rFonts w:ascii="Arial" w:hAnsi="Arial" w:cs="Arial"/>
          <w:sz w:val="22"/>
        </w:rPr>
        <w:t>10. A efectos de aplicar correctamente la regla examinada, ¿Cómo se abona normalmente una pensión contributiva de jubilación?</w:t>
      </w:r>
    </w:p>
    <w:p>
      <w:pPr>
        <w:keepNext/>
        <w:keepLines/>
        <w:spacing w:after="40"/>
        <w:ind w:left="369" w:hanging="198"/>
      </w:pPr>
      <w:r>
        <w:rPr>
          <w:rFonts w:ascii="Arial" w:hAnsi="Arial" w:cs="Arial"/>
          <w:b w:val="0"/>
          <w:sz w:val="21"/>
        </w:rPr>
        <w:t>A) En doce pagas sin extraordinarias en todo caso.</w:t>
      </w:r>
    </w:p>
    <w:p>
      <w:pPr>
        <w:keepNext/>
        <w:keepLines/>
        <w:spacing w:after="40"/>
        <w:ind w:left="369" w:hanging="198"/>
      </w:pPr>
      <w:r>
        <w:rPr>
          <w:rFonts w:ascii="Arial" w:hAnsi="Arial" w:cs="Arial"/>
          <w:b w:val="0"/>
          <w:sz w:val="21"/>
        </w:rPr>
        <w:t>B) En catorce pagas, salvo reglas específicas de devengo de extraordinarias.</w:t>
      </w:r>
    </w:p>
    <w:p>
      <w:pPr>
        <w:keepNext/>
        <w:keepLines/>
        <w:spacing w:after="40"/>
        <w:ind w:left="369" w:hanging="198"/>
      </w:pPr>
      <w:r>
        <w:rPr>
          <w:rFonts w:ascii="Arial" w:hAnsi="Arial" w:cs="Arial"/>
          <w:b w:val="0"/>
          <w:sz w:val="21"/>
        </w:rPr>
        <w:t>C) En trece pagas, con una extraordinaria anual.</w:t>
      </w:r>
    </w:p>
    <w:p>
      <w:pPr>
        <w:keepNext/>
        <w:keepLines/>
        <w:spacing w:after="40"/>
        <w:ind w:left="369" w:hanging="198"/>
      </w:pPr>
      <w:r>
        <w:rPr>
          <w:rFonts w:ascii="Arial" w:hAnsi="Arial" w:cs="Arial"/>
          <w:b w:val="0"/>
          <w:sz w:val="21"/>
        </w:rPr>
        <w:t>D) En un pago único al inicio de cada ejercicio.</w:t>
      </w:r>
    </w:p>
    <w:p>
      <w:pPr>
        <w:pStyle w:val="Question"/>
        <w:keepNext/>
      </w:pPr>
      <w:r>
        <w:rPr>
          <w:rFonts w:ascii="Arial" w:hAnsi="Arial" w:cs="Arial"/>
          <w:sz w:val="22"/>
        </w:rPr>
        <w:t>11. A efectos de aplicar correctamente la regla examinada, la relación general entre ley orgánica y ley ordinaria se explica principalmente por:</w:t>
      </w:r>
    </w:p>
    <w:p>
      <w:pPr>
        <w:keepNext/>
        <w:keepLines/>
        <w:spacing w:after="40"/>
        <w:ind w:left="369" w:hanging="198"/>
      </w:pPr>
      <w:r>
        <w:rPr>
          <w:rFonts w:ascii="Arial" w:hAnsi="Arial" w:cs="Arial"/>
          <w:b w:val="0"/>
          <w:sz w:val="21"/>
        </w:rPr>
        <w:t>A) La reserva material y el principio de competencia, no por una superioridad orgánica universal.</w:t>
      </w:r>
    </w:p>
    <w:p>
      <w:pPr>
        <w:keepNext/>
        <w:keepLines/>
        <w:spacing w:after="40"/>
        <w:ind w:left="369" w:hanging="198"/>
      </w:pPr>
      <w:r>
        <w:rPr>
          <w:rFonts w:ascii="Arial" w:hAnsi="Arial" w:cs="Arial"/>
          <w:b w:val="0"/>
          <w:sz w:val="21"/>
        </w:rPr>
        <w:t>B) La libre elección del legislador para cualquier materia.</w:t>
      </w:r>
    </w:p>
    <w:p>
      <w:pPr>
        <w:keepNext/>
        <w:keepLines/>
        <w:spacing w:after="40"/>
        <w:ind w:left="369" w:hanging="198"/>
      </w:pPr>
      <w:r>
        <w:rPr>
          <w:rFonts w:ascii="Arial" w:hAnsi="Arial" w:cs="Arial"/>
          <w:b w:val="0"/>
          <w:sz w:val="21"/>
        </w:rPr>
        <w:t>C) La prevalencia temporal de la ley orgánica aunque sea anterior.</w:t>
      </w:r>
    </w:p>
    <w:p>
      <w:pPr>
        <w:keepNext/>
        <w:keepLines/>
        <w:spacing w:after="40"/>
        <w:ind w:left="369" w:hanging="198"/>
      </w:pPr>
      <w:r>
        <w:rPr>
          <w:rFonts w:ascii="Arial" w:hAnsi="Arial" w:cs="Arial"/>
          <w:b w:val="0"/>
          <w:sz w:val="21"/>
        </w:rPr>
        <w:t>D) La subordinación de toda ley ordinaria a cualquier precepto orgánico.</w:t>
      </w:r>
    </w:p>
    <w:p>
      <w:pPr>
        <w:pStyle w:val="Question"/>
        <w:keepNext/>
      </w:pPr>
      <w:r>
        <w:rPr>
          <w:rFonts w:ascii="Arial" w:hAnsi="Arial" w:cs="Arial"/>
          <w:sz w:val="22"/>
        </w:rPr>
        <w:t>12. Conforme al ordenamiento vigente a la fecha de corte, el candidato a presidente de la Comisión:</w:t>
      </w:r>
    </w:p>
    <w:p>
      <w:pPr>
        <w:keepNext/>
        <w:keepLines/>
        <w:spacing w:after="40"/>
        <w:ind w:left="369" w:hanging="198"/>
      </w:pPr>
      <w:r>
        <w:rPr>
          <w:rFonts w:ascii="Arial" w:hAnsi="Arial" w:cs="Arial"/>
          <w:b w:val="0"/>
          <w:sz w:val="21"/>
        </w:rPr>
        <w:t>A) Es elegido directamente por el Consejo por unanimidad.</w:t>
      </w:r>
    </w:p>
    <w:p>
      <w:pPr>
        <w:keepNext/>
        <w:keepLines/>
        <w:spacing w:after="40"/>
        <w:ind w:left="369" w:hanging="198"/>
      </w:pPr>
      <w:r>
        <w:rPr>
          <w:rFonts w:ascii="Arial" w:hAnsi="Arial" w:cs="Arial"/>
          <w:b w:val="0"/>
          <w:sz w:val="21"/>
        </w:rPr>
        <w:t>B) Es propuesto por el Parlamento y nombrado por la Comisión saliente.</w:t>
      </w:r>
    </w:p>
    <w:p>
      <w:pPr>
        <w:keepNext/>
        <w:keepLines/>
        <w:spacing w:after="40"/>
        <w:ind w:left="369" w:hanging="198"/>
      </w:pPr>
      <w:r>
        <w:rPr>
          <w:rFonts w:ascii="Arial" w:hAnsi="Arial" w:cs="Arial"/>
          <w:b w:val="0"/>
          <w:sz w:val="21"/>
        </w:rPr>
        <w:t>C) Es designado por el Tribunal de Justicia tras las elecciones.</w:t>
      </w:r>
    </w:p>
    <w:p>
      <w:pPr>
        <w:keepNext/>
        <w:keepLines/>
        <w:spacing w:after="40"/>
        <w:ind w:left="369" w:hanging="198"/>
      </w:pPr>
      <w:r>
        <w:rPr>
          <w:rFonts w:ascii="Arial" w:hAnsi="Arial" w:cs="Arial"/>
          <w:b w:val="0"/>
          <w:sz w:val="21"/>
        </w:rPr>
        <w:t>D) Es propuesto por el Consejo Europeo por mayoría cualificada y elegido por el Parlamento por mayoría de sus miembros.</w:t>
      </w:r>
    </w:p>
    <w:p>
      <w:pPr>
        <w:pStyle w:val="Question"/>
        <w:keepNext/>
      </w:pPr>
      <w:r>
        <w:rPr>
          <w:rFonts w:ascii="Arial" w:hAnsi="Arial" w:cs="Arial"/>
          <w:sz w:val="22"/>
        </w:rPr>
        <w:t>13. Conforme al ordenamiento vigente a la fecha de corte, ¿Qué artículos integran el título I de la Constitución?</w:t>
      </w:r>
    </w:p>
    <w:p>
      <w:pPr>
        <w:keepNext/>
        <w:keepLines/>
        <w:spacing w:after="40"/>
        <w:ind w:left="369" w:hanging="198"/>
      </w:pPr>
      <w:r>
        <w:rPr>
          <w:rFonts w:ascii="Arial" w:hAnsi="Arial" w:cs="Arial"/>
          <w:b w:val="0"/>
          <w:sz w:val="21"/>
        </w:rPr>
        <w:t>A) Del 9 al 55.</w:t>
      </w:r>
    </w:p>
    <w:p>
      <w:pPr>
        <w:keepNext/>
        <w:keepLines/>
        <w:spacing w:after="40"/>
        <w:ind w:left="369" w:hanging="198"/>
      </w:pPr>
      <w:r>
        <w:rPr>
          <w:rFonts w:ascii="Arial" w:hAnsi="Arial" w:cs="Arial"/>
          <w:b w:val="0"/>
          <w:sz w:val="21"/>
        </w:rPr>
        <w:t>B) Del 10 al 55.</w:t>
      </w:r>
    </w:p>
    <w:p>
      <w:pPr>
        <w:keepNext/>
        <w:keepLines/>
        <w:spacing w:after="40"/>
        <w:ind w:left="369" w:hanging="198"/>
      </w:pPr>
      <w:r>
        <w:rPr>
          <w:rFonts w:ascii="Arial" w:hAnsi="Arial" w:cs="Arial"/>
          <w:b w:val="0"/>
          <w:sz w:val="21"/>
        </w:rPr>
        <w:t>C) Del 10 al 54.</w:t>
      </w:r>
    </w:p>
    <w:p>
      <w:pPr>
        <w:keepNext/>
        <w:keepLines/>
        <w:spacing w:after="40"/>
        <w:ind w:left="369" w:hanging="198"/>
      </w:pPr>
      <w:r>
        <w:rPr>
          <w:rFonts w:ascii="Arial" w:hAnsi="Arial" w:cs="Arial"/>
          <w:b w:val="0"/>
          <w:sz w:val="21"/>
        </w:rPr>
        <w:t>D) Del 14 al 55.</w:t>
      </w:r>
    </w:p>
    <w:p>
      <w:pPr>
        <w:pStyle w:val="Question"/>
        <w:keepNext/>
      </w:pPr>
      <w:r>
        <w:rPr>
          <w:rFonts w:ascii="Arial" w:hAnsi="Arial" w:cs="Arial"/>
          <w:sz w:val="22"/>
        </w:rPr>
        <w:t>14. Conforme al ordenamiento vigente a la fecha de corte, si la gravedad o urgencia aconseja un informe extraordinario del Defensor y las Cámaras no están reunidas, ¿a quién se dirige?</w:t>
      </w:r>
    </w:p>
    <w:p>
      <w:pPr>
        <w:keepNext/>
        <w:keepLines/>
        <w:spacing w:after="40"/>
        <w:ind w:left="369" w:hanging="198"/>
      </w:pPr>
      <w:r>
        <w:rPr>
          <w:rFonts w:ascii="Arial" w:hAnsi="Arial" w:cs="Arial"/>
          <w:b w:val="0"/>
          <w:sz w:val="21"/>
        </w:rPr>
        <w:t>A) A las Diputaciones Permanentes de las Cámaras.</w:t>
      </w:r>
    </w:p>
    <w:p>
      <w:pPr>
        <w:keepNext/>
        <w:keepLines/>
        <w:spacing w:after="40"/>
        <w:ind w:left="369" w:hanging="198"/>
      </w:pPr>
      <w:r>
        <w:rPr>
          <w:rFonts w:ascii="Arial" w:hAnsi="Arial" w:cs="Arial"/>
          <w:b w:val="0"/>
          <w:sz w:val="21"/>
        </w:rPr>
        <w:t>B) Al Gobierno.</w:t>
      </w:r>
    </w:p>
    <w:p>
      <w:pPr>
        <w:keepNext/>
        <w:keepLines/>
        <w:spacing w:after="40"/>
        <w:ind w:left="369" w:hanging="198"/>
      </w:pPr>
      <w:r>
        <w:rPr>
          <w:rFonts w:ascii="Arial" w:hAnsi="Arial" w:cs="Arial"/>
          <w:b w:val="0"/>
          <w:sz w:val="21"/>
        </w:rPr>
        <w:t>C) Al Tribunal Constitucional.</w:t>
      </w:r>
    </w:p>
    <w:p>
      <w:pPr>
        <w:keepNext/>
        <w:keepLines/>
        <w:spacing w:after="40"/>
        <w:ind w:left="369" w:hanging="198"/>
      </w:pPr>
      <w:r>
        <w:rPr>
          <w:rFonts w:ascii="Arial" w:hAnsi="Arial" w:cs="Arial"/>
          <w:b w:val="0"/>
          <w:sz w:val="21"/>
        </w:rPr>
        <w:t>D) Al Fiscal General del Estado exclusivamente.</w:t>
      </w:r>
    </w:p>
    <w:p>
      <w:pPr>
        <w:pStyle w:val="Question"/>
        <w:keepNext/>
      </w:pPr>
      <w:r>
        <w:rPr>
          <w:rFonts w:ascii="Arial" w:hAnsi="Arial" w:cs="Arial"/>
          <w:sz w:val="22"/>
        </w:rPr>
        <w:t>15. A efectos de aplicar correctamente la regla examinada, en un procedimiento a solicitud del interesado, la resolución:</w:t>
      </w:r>
    </w:p>
    <w:p>
      <w:pPr>
        <w:keepNext/>
        <w:keepLines/>
        <w:spacing w:after="40"/>
        <w:ind w:left="369" w:hanging="198"/>
      </w:pPr>
      <w:r>
        <w:rPr>
          <w:rFonts w:ascii="Arial" w:hAnsi="Arial" w:cs="Arial"/>
          <w:b w:val="0"/>
          <w:sz w:val="21"/>
        </w:rPr>
        <w:t>A) Puede agravar libremente su situación si aprecia interés público.</w:t>
      </w:r>
    </w:p>
    <w:p>
      <w:pPr>
        <w:keepNext/>
        <w:keepLines/>
        <w:spacing w:after="40"/>
        <w:ind w:left="369" w:hanging="198"/>
      </w:pPr>
      <w:r>
        <w:rPr>
          <w:rFonts w:ascii="Arial" w:hAnsi="Arial" w:cs="Arial"/>
          <w:b w:val="0"/>
          <w:sz w:val="21"/>
        </w:rPr>
        <w:t>B) Debe ser congruente y no puede agravar su situación inicial, sin perjuicio de una nueva incoación de oficio.</w:t>
      </w:r>
    </w:p>
    <w:p>
      <w:pPr>
        <w:keepNext/>
        <w:keepLines/>
        <w:spacing w:after="40"/>
        <w:ind w:left="369" w:hanging="198"/>
      </w:pPr>
      <w:r>
        <w:rPr>
          <w:rFonts w:ascii="Arial" w:hAnsi="Arial" w:cs="Arial"/>
          <w:b w:val="0"/>
          <w:sz w:val="21"/>
        </w:rPr>
        <w:t>C) Solo debe resolver la petición principal y no las cuestiones derivadas.</w:t>
      </w:r>
    </w:p>
    <w:p>
      <w:pPr>
        <w:keepNext/>
        <w:keepLines/>
        <w:spacing w:after="40"/>
        <w:ind w:left="369" w:hanging="198"/>
      </w:pPr>
      <w:r>
        <w:rPr>
          <w:rFonts w:ascii="Arial" w:hAnsi="Arial" w:cs="Arial"/>
          <w:b w:val="0"/>
          <w:sz w:val="21"/>
        </w:rPr>
        <w:t>D) Puede dejar de dictarse si existe oscuridad normativa.</w:t>
      </w:r>
    </w:p>
    <w:p>
      <w:pPr>
        <w:pStyle w:val="Question"/>
        <w:keepNext/>
      </w:pPr>
      <w:r>
        <w:rPr>
          <w:rFonts w:ascii="Arial" w:hAnsi="Arial" w:cs="Arial"/>
          <w:sz w:val="22"/>
        </w:rPr>
        <w:t>16. A efectos de aplicar correctamente la regla examinada, es situación protegida por nacimiento y cuidado:</w:t>
      </w:r>
    </w:p>
    <w:p>
      <w:pPr>
        <w:keepNext/>
        <w:keepLines/>
        <w:spacing w:after="40"/>
        <w:ind w:left="369" w:hanging="198"/>
      </w:pPr>
      <w:r>
        <w:rPr>
          <w:rFonts w:ascii="Arial" w:hAnsi="Arial" w:cs="Arial"/>
          <w:b w:val="0"/>
          <w:sz w:val="21"/>
        </w:rPr>
        <w:t>A) Cualquier convivencia informal con un menor.</w:t>
      </w:r>
    </w:p>
    <w:p>
      <w:pPr>
        <w:keepNext/>
        <w:keepLines/>
        <w:spacing w:after="40"/>
        <w:ind w:left="369" w:hanging="198"/>
      </w:pPr>
      <w:r>
        <w:rPr>
          <w:rFonts w:ascii="Arial" w:hAnsi="Arial" w:cs="Arial"/>
          <w:b w:val="0"/>
          <w:sz w:val="21"/>
        </w:rPr>
        <w:t>B) Solo el parto biológico.</w:t>
      </w:r>
    </w:p>
    <w:p>
      <w:pPr>
        <w:keepNext/>
        <w:keepLines/>
        <w:spacing w:after="40"/>
        <w:ind w:left="369" w:hanging="198"/>
      </w:pPr>
      <w:r>
        <w:rPr>
          <w:rFonts w:ascii="Arial" w:hAnsi="Arial" w:cs="Arial"/>
          <w:b w:val="0"/>
          <w:sz w:val="21"/>
        </w:rPr>
        <w:t>C) La excedencia voluntaria sin causa familiar.</w:t>
      </w:r>
    </w:p>
    <w:p>
      <w:pPr>
        <w:keepNext/>
        <w:keepLines/>
        <w:spacing w:after="40"/>
        <w:ind w:left="369" w:hanging="198"/>
      </w:pPr>
      <w:r>
        <w:rPr>
          <w:rFonts w:ascii="Arial" w:hAnsi="Arial" w:cs="Arial"/>
          <w:b w:val="0"/>
          <w:sz w:val="21"/>
        </w:rPr>
        <w:t>D) La adopción constituida por resolución judicial.</w:t>
      </w:r>
    </w:p>
    <w:p>
      <w:pPr>
        <w:pStyle w:val="Question"/>
        <w:keepNext/>
      </w:pPr>
      <w:r>
        <w:rPr>
          <w:rFonts w:ascii="Arial" w:hAnsi="Arial" w:cs="Arial"/>
          <w:sz w:val="22"/>
        </w:rPr>
        <w:t>17. En una comprobación jurídica del expediente, si la deuda no se extingue antes, el periodo voluntario de recaudación termina:</w:t>
      </w:r>
    </w:p>
    <w:p>
      <w:pPr>
        <w:keepNext/>
        <w:keepLines/>
        <w:spacing w:after="40"/>
        <w:ind w:left="369" w:hanging="198"/>
      </w:pPr>
      <w:r>
        <w:rPr>
          <w:rFonts w:ascii="Arial" w:hAnsi="Arial" w:cs="Arial"/>
          <w:b w:val="0"/>
          <w:sz w:val="21"/>
        </w:rPr>
        <w:t>A) Siempre el último día del mes de devengo.</w:t>
      </w:r>
    </w:p>
    <w:p>
      <w:pPr>
        <w:keepNext/>
        <w:keepLines/>
        <w:spacing w:after="40"/>
        <w:ind w:left="369" w:hanging="198"/>
      </w:pPr>
      <w:r>
        <w:rPr>
          <w:rFonts w:ascii="Arial" w:hAnsi="Arial" w:cs="Arial"/>
          <w:b w:val="0"/>
          <w:sz w:val="21"/>
        </w:rPr>
        <w:t>B) Con la primera llamada telefónica al deudor.</w:t>
      </w:r>
    </w:p>
    <w:p>
      <w:pPr>
        <w:keepNext/>
        <w:keepLines/>
        <w:spacing w:after="40"/>
        <w:ind w:left="369" w:hanging="198"/>
      </w:pPr>
      <w:r>
        <w:rPr>
          <w:rFonts w:ascii="Arial" w:hAnsi="Arial" w:cs="Arial"/>
          <w:b w:val="0"/>
          <w:sz w:val="21"/>
        </w:rPr>
        <w:t>C) Con la emisión de la providencia de apremio, que inicia el periodo ejecutivo.</w:t>
      </w:r>
    </w:p>
    <w:p>
      <w:pPr>
        <w:keepNext/>
        <w:keepLines/>
        <w:spacing w:after="40"/>
        <w:ind w:left="369" w:hanging="198"/>
      </w:pPr>
      <w:r>
        <w:rPr>
          <w:rFonts w:ascii="Arial" w:hAnsi="Arial" w:cs="Arial"/>
          <w:b w:val="0"/>
          <w:sz w:val="21"/>
        </w:rPr>
        <w:t>D) Al presentarse los datos de liquidación.</w:t>
      </w:r>
    </w:p>
    <w:p>
      <w:pPr>
        <w:pStyle w:val="Question"/>
        <w:keepNext/>
      </w:pPr>
      <w:r>
        <w:rPr>
          <w:rFonts w:ascii="Arial" w:hAnsi="Arial" w:cs="Arial"/>
          <w:sz w:val="22"/>
        </w:rPr>
        <w:t>18. A efectos de aplicar correctamente la regla examinada, de la Secretaría de Estado de Migraciones dependen:</w:t>
      </w:r>
    </w:p>
    <w:p>
      <w:pPr>
        <w:keepNext/>
        <w:keepLines/>
        <w:spacing w:after="40"/>
        <w:ind w:left="369" w:hanging="198"/>
      </w:pPr>
      <w:r>
        <w:rPr>
          <w:rFonts w:ascii="Arial" w:hAnsi="Arial" w:cs="Arial"/>
          <w:b w:val="0"/>
          <w:sz w:val="21"/>
        </w:rPr>
        <w:t>A) Una Dirección General y dos organismos autónomos.</w:t>
      </w:r>
    </w:p>
    <w:p>
      <w:pPr>
        <w:keepNext/>
        <w:keepLines/>
        <w:spacing w:after="40"/>
        <w:ind w:left="369" w:hanging="198"/>
      </w:pPr>
      <w:r>
        <w:rPr>
          <w:rFonts w:ascii="Arial" w:hAnsi="Arial" w:cs="Arial"/>
          <w:b w:val="0"/>
          <w:sz w:val="21"/>
        </w:rPr>
        <w:t>B) Cuatro Secretarías Generales.</w:t>
      </w:r>
    </w:p>
    <w:p>
      <w:pPr>
        <w:keepNext/>
        <w:keepLines/>
        <w:spacing w:after="40"/>
        <w:ind w:left="369" w:hanging="198"/>
      </w:pPr>
      <w:r>
        <w:rPr>
          <w:rFonts w:ascii="Arial" w:hAnsi="Arial" w:cs="Arial"/>
          <w:b w:val="0"/>
          <w:sz w:val="21"/>
        </w:rPr>
        <w:t>C) Exclusivamente órganos colegiados.</w:t>
      </w:r>
    </w:p>
    <w:p>
      <w:pPr>
        <w:keepNext/>
        <w:keepLines/>
        <w:spacing w:after="40"/>
        <w:ind w:left="369" w:hanging="198"/>
      </w:pPr>
      <w:r>
        <w:rPr>
          <w:rFonts w:ascii="Arial" w:hAnsi="Arial" w:cs="Arial"/>
          <w:b w:val="0"/>
          <w:sz w:val="21"/>
        </w:rPr>
        <w:t>D) Tres Direcciones Generales.</w:t>
      </w:r>
    </w:p>
    <w:p>
      <w:pPr>
        <w:pStyle w:val="Question"/>
        <w:keepNext/>
      </w:pPr>
      <w:r>
        <w:rPr>
          <w:rFonts w:ascii="Arial" w:hAnsi="Arial" w:cs="Arial"/>
          <w:sz w:val="22"/>
        </w:rPr>
        <w:t>19. En una comprobación jurídica del expediente, una persona de 44 años causa pensión de IP por enfermedad común desde alta. Su carencia genérica es:</w:t>
      </w:r>
    </w:p>
    <w:p>
      <w:pPr>
        <w:keepNext/>
        <w:keepLines/>
        <w:spacing w:after="40"/>
        <w:ind w:left="369" w:hanging="198"/>
      </w:pPr>
      <w:r>
        <w:rPr>
          <w:rFonts w:ascii="Arial" w:hAnsi="Arial" w:cs="Arial"/>
          <w:b w:val="0"/>
          <w:sz w:val="21"/>
        </w:rPr>
        <w:t>A) La tercera parte desde los 16.</w:t>
      </w:r>
    </w:p>
    <w:p>
      <w:pPr>
        <w:keepNext/>
        <w:keepLines/>
        <w:spacing w:after="40"/>
        <w:ind w:left="369" w:hanging="198"/>
      </w:pPr>
      <w:r>
        <w:rPr>
          <w:rFonts w:ascii="Arial" w:hAnsi="Arial" w:cs="Arial"/>
          <w:b w:val="0"/>
          <w:sz w:val="21"/>
        </w:rPr>
        <w:t>B) La cuarta parte desde los 20, mínimo cinco años, con una quinta parte específica.</w:t>
      </w:r>
    </w:p>
    <w:p>
      <w:pPr>
        <w:keepNext/>
        <w:keepLines/>
        <w:spacing w:after="40"/>
        <w:ind w:left="369" w:hanging="198"/>
      </w:pPr>
      <w:r>
        <w:rPr>
          <w:rFonts w:ascii="Arial" w:hAnsi="Arial" w:cs="Arial"/>
          <w:b w:val="0"/>
          <w:sz w:val="21"/>
        </w:rPr>
        <w:t>C) Exactamente 1.800 días en diez años para cualquier grado.</w:t>
      </w:r>
    </w:p>
    <w:p>
      <w:pPr>
        <w:keepNext/>
        <w:keepLines/>
        <w:spacing w:after="40"/>
        <w:ind w:left="369" w:hanging="198"/>
      </w:pPr>
      <w:r>
        <w:rPr>
          <w:rFonts w:ascii="Arial" w:hAnsi="Arial" w:cs="Arial"/>
          <w:b w:val="0"/>
          <w:sz w:val="21"/>
        </w:rPr>
        <w:t>D) Quince años sin distribución.</w:t>
      </w:r>
    </w:p>
    <w:p>
      <w:pPr>
        <w:pStyle w:val="Question"/>
        <w:keepNext/>
      </w:pPr>
      <w:r>
        <w:rPr>
          <w:rFonts w:ascii="Arial" w:hAnsi="Arial" w:cs="Arial"/>
          <w:sz w:val="22"/>
        </w:rPr>
        <w:t>20. A efectos de aplicar correctamente la regla examinada, la reforma constitucional de 2024 modificó:</w:t>
      </w:r>
    </w:p>
    <w:p>
      <w:pPr>
        <w:keepNext/>
        <w:keepLines/>
        <w:spacing w:after="40"/>
        <w:ind w:left="369" w:hanging="198"/>
      </w:pPr>
      <w:r>
        <w:rPr>
          <w:rFonts w:ascii="Arial" w:hAnsi="Arial" w:cs="Arial"/>
          <w:b w:val="0"/>
          <w:sz w:val="21"/>
        </w:rPr>
        <w:t>A) El artículo 13.2.</w:t>
      </w:r>
    </w:p>
    <w:p>
      <w:pPr>
        <w:keepNext/>
        <w:keepLines/>
        <w:spacing w:after="40"/>
        <w:ind w:left="369" w:hanging="198"/>
      </w:pPr>
      <w:r>
        <w:rPr>
          <w:rFonts w:ascii="Arial" w:hAnsi="Arial" w:cs="Arial"/>
          <w:b w:val="0"/>
          <w:sz w:val="21"/>
        </w:rPr>
        <w:t>B) El artículo 69.3.</w:t>
      </w:r>
    </w:p>
    <w:p>
      <w:pPr>
        <w:keepNext/>
        <w:keepLines/>
        <w:spacing w:after="40"/>
        <w:ind w:left="369" w:hanging="198"/>
      </w:pPr>
      <w:r>
        <w:rPr>
          <w:rFonts w:ascii="Arial" w:hAnsi="Arial" w:cs="Arial"/>
          <w:b w:val="0"/>
          <w:sz w:val="21"/>
        </w:rPr>
        <w:t>C) El artículo 49.</w:t>
      </w:r>
    </w:p>
    <w:p>
      <w:pPr>
        <w:keepNext/>
        <w:keepLines/>
        <w:spacing w:after="40"/>
        <w:ind w:left="369" w:hanging="198"/>
      </w:pPr>
      <w:r>
        <w:rPr>
          <w:rFonts w:ascii="Arial" w:hAnsi="Arial" w:cs="Arial"/>
          <w:b w:val="0"/>
          <w:sz w:val="21"/>
        </w:rPr>
        <w:t>D) El artículo 135.</w:t>
      </w:r>
    </w:p>
    <w:p>
      <w:pPr>
        <w:pStyle w:val="Question"/>
        <w:keepNext/>
      </w:pPr>
      <w:r>
        <w:rPr>
          <w:rFonts w:ascii="Arial" w:hAnsi="Arial" w:cs="Arial"/>
          <w:sz w:val="22"/>
        </w:rPr>
        <w:t>21. En una comprobación jurídica del expediente, según el artículo 97 de la Constitución, el Gobierno:</w:t>
      </w:r>
    </w:p>
    <w:p>
      <w:pPr>
        <w:keepNext/>
        <w:keepLines/>
        <w:spacing w:after="40"/>
        <w:ind w:left="369" w:hanging="198"/>
      </w:pPr>
      <w:r>
        <w:rPr>
          <w:rFonts w:ascii="Arial" w:hAnsi="Arial" w:cs="Arial"/>
          <w:b w:val="0"/>
          <w:sz w:val="21"/>
        </w:rPr>
        <w:t>A) Ejerce en exclusiva la potestad legislativa del Estado.</w:t>
      </w:r>
    </w:p>
    <w:p>
      <w:pPr>
        <w:keepNext/>
        <w:keepLines/>
        <w:spacing w:after="40"/>
        <w:ind w:left="369" w:hanging="198"/>
      </w:pPr>
      <w:r>
        <w:rPr>
          <w:rFonts w:ascii="Arial" w:hAnsi="Arial" w:cs="Arial"/>
          <w:b w:val="0"/>
          <w:sz w:val="21"/>
        </w:rPr>
        <w:t>B) Dirige únicamente la Administración civil.</w:t>
      </w:r>
    </w:p>
    <w:p>
      <w:pPr>
        <w:keepNext/>
        <w:keepLines/>
        <w:spacing w:after="40"/>
        <w:ind w:left="369" w:hanging="198"/>
      </w:pPr>
      <w:r>
        <w:rPr>
          <w:rFonts w:ascii="Arial" w:hAnsi="Arial" w:cs="Arial"/>
          <w:b w:val="0"/>
          <w:sz w:val="21"/>
        </w:rPr>
        <w:t>C) Dirige la política interior y exterior, la Administración civil y militar y la defensa del Estado.</w:t>
      </w:r>
    </w:p>
    <w:p>
      <w:pPr>
        <w:keepNext/>
        <w:keepLines/>
        <w:spacing w:after="40"/>
        <w:ind w:left="369" w:hanging="198"/>
      </w:pPr>
      <w:r>
        <w:rPr>
          <w:rFonts w:ascii="Arial" w:hAnsi="Arial" w:cs="Arial"/>
          <w:b w:val="0"/>
          <w:sz w:val="21"/>
        </w:rPr>
        <w:t>D) Depende políticamente del Congreso y del Senado por igual.</w:t>
      </w:r>
    </w:p>
    <w:p>
      <w:pPr>
        <w:pStyle w:val="Question"/>
        <w:keepNext/>
      </w:pPr>
      <w:r>
        <w:rPr>
          <w:rFonts w:ascii="Arial" w:hAnsi="Arial" w:cs="Arial"/>
          <w:sz w:val="22"/>
        </w:rPr>
        <w:t>22. A efectos de aplicar correctamente la regla examinada, el sistema de liquidación simplificada se aplica, entre otros, a:</w:t>
      </w:r>
    </w:p>
    <w:p>
      <w:pPr>
        <w:keepNext/>
        <w:keepLines/>
        <w:spacing w:after="40"/>
        <w:ind w:left="369" w:hanging="198"/>
      </w:pPr>
      <w:r>
        <w:rPr>
          <w:rFonts w:ascii="Arial" w:hAnsi="Arial" w:cs="Arial"/>
          <w:b w:val="0"/>
          <w:sz w:val="21"/>
        </w:rPr>
        <w:t>A) Cuotas del RETA y convenios especiales en los términos legales.</w:t>
      </w:r>
    </w:p>
    <w:p>
      <w:pPr>
        <w:keepNext/>
        <w:keepLines/>
        <w:spacing w:after="40"/>
        <w:ind w:left="369" w:hanging="198"/>
      </w:pPr>
      <w:r>
        <w:rPr>
          <w:rFonts w:ascii="Arial" w:hAnsi="Arial" w:cs="Arial"/>
          <w:b w:val="0"/>
          <w:sz w:val="21"/>
        </w:rPr>
        <w:t>B) Toda empresa del Régimen General.</w:t>
      </w:r>
    </w:p>
    <w:p>
      <w:pPr>
        <w:keepNext/>
        <w:keepLines/>
        <w:spacing w:after="40"/>
        <w:ind w:left="369" w:hanging="198"/>
      </w:pPr>
      <w:r>
        <w:rPr>
          <w:rFonts w:ascii="Arial" w:hAnsi="Arial" w:cs="Arial"/>
          <w:b w:val="0"/>
          <w:sz w:val="21"/>
        </w:rPr>
        <w:t>C) Solo administraciones públicas.</w:t>
      </w:r>
    </w:p>
    <w:p>
      <w:pPr>
        <w:keepNext/>
        <w:keepLines/>
        <w:spacing w:after="40"/>
        <w:ind w:left="369" w:hanging="198"/>
      </w:pPr>
      <w:r>
        <w:rPr>
          <w:rFonts w:ascii="Arial" w:hAnsi="Arial" w:cs="Arial"/>
          <w:b w:val="0"/>
          <w:sz w:val="21"/>
        </w:rPr>
        <w:t>D) Exclusivamente accidentes de trabajo.</w:t>
      </w:r>
    </w:p>
    <w:p>
      <w:pPr>
        <w:pStyle w:val="Question"/>
        <w:keepNext/>
      </w:pPr>
      <w:r>
        <w:rPr>
          <w:rFonts w:ascii="Arial" w:hAnsi="Arial" w:cs="Arial"/>
          <w:sz w:val="22"/>
        </w:rPr>
        <w:t>23. A efectos de aplicar correctamente la regla examinada, ¿Cuál es el régimen provincial de las Comunidades Autónomas uniprovinciales?</w:t>
      </w:r>
    </w:p>
    <w:p>
      <w:pPr>
        <w:keepNext/>
        <w:keepLines/>
        <w:spacing w:after="40"/>
        <w:ind w:left="369" w:hanging="198"/>
      </w:pPr>
      <w:r>
        <w:rPr>
          <w:rFonts w:ascii="Arial" w:hAnsi="Arial" w:cs="Arial"/>
          <w:b w:val="0"/>
          <w:sz w:val="21"/>
        </w:rPr>
        <w:t>A) Mantienen necesariamente una Diputación ordinaria separada.</w:t>
      </w:r>
    </w:p>
    <w:p>
      <w:pPr>
        <w:keepNext/>
        <w:keepLines/>
        <w:spacing w:after="40"/>
        <w:ind w:left="369" w:hanging="198"/>
      </w:pPr>
      <w:r>
        <w:rPr>
          <w:rFonts w:ascii="Arial" w:hAnsi="Arial" w:cs="Arial"/>
          <w:b w:val="0"/>
          <w:sz w:val="21"/>
        </w:rPr>
        <w:t>B) Asumen competencias, medios y recursos de las Diputaciones, con la excepción balear en los términos de su Estatuto.</w:t>
      </w:r>
    </w:p>
    <w:p>
      <w:pPr>
        <w:keepNext/>
        <w:keepLines/>
        <w:spacing w:after="40"/>
        <w:ind w:left="369" w:hanging="198"/>
      </w:pPr>
      <w:r>
        <w:rPr>
          <w:rFonts w:ascii="Arial" w:hAnsi="Arial" w:cs="Arial"/>
          <w:b w:val="0"/>
          <w:sz w:val="21"/>
        </w:rPr>
        <w:t>C) Carecen de las competencias que corresponden a las Diputaciones.</w:t>
      </w:r>
    </w:p>
    <w:p>
      <w:pPr>
        <w:keepNext/>
        <w:keepLines/>
        <w:spacing w:after="40"/>
        <w:ind w:left="369" w:hanging="198"/>
      </w:pPr>
      <w:r>
        <w:rPr>
          <w:rFonts w:ascii="Arial" w:hAnsi="Arial" w:cs="Arial"/>
          <w:b w:val="0"/>
          <w:sz w:val="21"/>
        </w:rPr>
        <w:t>D) Las competencias provinciales pasan al Delegado del Gobierno.</w:t>
      </w:r>
    </w:p>
    <w:p>
      <w:pPr>
        <w:pStyle w:val="Question"/>
        <w:keepNext/>
      </w:pPr>
      <w:r>
        <w:rPr>
          <w:rFonts w:ascii="Arial" w:hAnsi="Arial" w:cs="Arial"/>
          <w:sz w:val="22"/>
        </w:rPr>
        <w:t>24. Sin añadir circunstancias distintas de las indicadas, hay pluriempleo cuando una persona:</w:t>
      </w:r>
    </w:p>
    <w:p>
      <w:pPr>
        <w:keepNext/>
        <w:keepLines/>
        <w:spacing w:after="40"/>
        <w:ind w:left="369" w:hanging="198"/>
      </w:pPr>
      <w:r>
        <w:rPr>
          <w:rFonts w:ascii="Arial" w:hAnsi="Arial" w:cs="Arial"/>
          <w:b w:val="0"/>
          <w:sz w:val="21"/>
        </w:rPr>
        <w:t>A) Realiza actividades que determinan altas en dos regímenes diferentes.</w:t>
      </w:r>
    </w:p>
    <w:p>
      <w:pPr>
        <w:keepNext/>
        <w:keepLines/>
        <w:spacing w:after="40"/>
        <w:ind w:left="369" w:hanging="198"/>
      </w:pPr>
      <w:r>
        <w:rPr>
          <w:rFonts w:ascii="Arial" w:hAnsi="Arial" w:cs="Arial"/>
          <w:b w:val="0"/>
          <w:sz w:val="21"/>
        </w:rPr>
        <w:t>B) Tiene dos categorías profesionales para un único empresario.</w:t>
      </w:r>
    </w:p>
    <w:p>
      <w:pPr>
        <w:keepNext/>
        <w:keepLines/>
        <w:spacing w:after="40"/>
        <w:ind w:left="369" w:hanging="198"/>
      </w:pPr>
      <w:r>
        <w:rPr>
          <w:rFonts w:ascii="Arial" w:hAnsi="Arial" w:cs="Arial"/>
          <w:b w:val="0"/>
          <w:sz w:val="21"/>
        </w:rPr>
        <w:t>C) Trabaja para dos o más empresarios en actividades que dan lugar a su alta en el mismo régimen de la Seguridad Social.</w:t>
      </w:r>
    </w:p>
    <w:p>
      <w:pPr>
        <w:keepNext/>
        <w:keepLines/>
        <w:spacing w:after="40"/>
        <w:ind w:left="369" w:hanging="198"/>
      </w:pPr>
      <w:r>
        <w:rPr>
          <w:rFonts w:ascii="Arial" w:hAnsi="Arial" w:cs="Arial"/>
          <w:b w:val="0"/>
          <w:sz w:val="21"/>
        </w:rPr>
        <w:t>D) Alterna periodos de empleo y desempleo.</w:t>
      </w:r>
    </w:p>
    <w:p>
      <w:pPr>
        <w:pStyle w:val="Question"/>
        <w:keepNext/>
      </w:pPr>
      <w:r>
        <w:rPr>
          <w:rFonts w:ascii="Arial" w:hAnsi="Arial" w:cs="Arial"/>
          <w:sz w:val="22"/>
        </w:rPr>
        <w:t>25. En una comprobación jurídica del expediente, el subsidio contributivo por nacimiento y cuidado equivale a:</w:t>
      </w:r>
    </w:p>
    <w:p>
      <w:pPr>
        <w:keepNext/>
        <w:keepLines/>
        <w:spacing w:after="40"/>
        <w:ind w:left="369" w:hanging="198"/>
      </w:pPr>
      <w:r>
        <w:rPr>
          <w:rFonts w:ascii="Arial" w:hAnsi="Arial" w:cs="Arial"/>
          <w:b w:val="0"/>
          <w:sz w:val="21"/>
        </w:rPr>
        <w:t>A) 60 por ciento de la base.</w:t>
      </w:r>
    </w:p>
    <w:p>
      <w:pPr>
        <w:keepNext/>
        <w:keepLines/>
        <w:spacing w:after="40"/>
        <w:ind w:left="369" w:hanging="198"/>
      </w:pPr>
      <w:r>
        <w:rPr>
          <w:rFonts w:ascii="Arial" w:hAnsi="Arial" w:cs="Arial"/>
          <w:b w:val="0"/>
          <w:sz w:val="21"/>
        </w:rPr>
        <w:t>B) 75 por ciento de la base.</w:t>
      </w:r>
    </w:p>
    <w:p>
      <w:pPr>
        <w:keepNext/>
        <w:keepLines/>
        <w:spacing w:after="40"/>
        <w:ind w:left="369" w:hanging="198"/>
      </w:pPr>
      <w:r>
        <w:rPr>
          <w:rFonts w:ascii="Arial" w:hAnsi="Arial" w:cs="Arial"/>
          <w:b w:val="0"/>
          <w:sz w:val="21"/>
        </w:rPr>
        <w:t>C) 100 por ciento de la base reguladora.</w:t>
      </w:r>
    </w:p>
    <w:p>
      <w:pPr>
        <w:keepNext/>
        <w:keepLines/>
        <w:spacing w:after="40"/>
        <w:ind w:left="369" w:hanging="198"/>
      </w:pPr>
      <w:r>
        <w:rPr>
          <w:rFonts w:ascii="Arial" w:hAnsi="Arial" w:cs="Arial"/>
          <w:b w:val="0"/>
          <w:sz w:val="21"/>
        </w:rPr>
        <w:t>D) 100 por ciento del IPREM en todo caso.</w:t>
      </w:r>
    </w:p>
    <w:p>
      <w:pPr>
        <w:pStyle w:val="Question"/>
        <w:keepNext/>
      </w:pPr>
      <w:r>
        <w:rPr>
          <w:rFonts w:ascii="Arial" w:hAnsi="Arial" w:cs="Arial"/>
          <w:sz w:val="22"/>
        </w:rPr>
        <w:t>26. Conforme al ordenamiento vigente a la fecha de corte, el plazo general para recurrir una disposición general o un acto administrativo expreso que ponga fin a la vía administrativa es de:</w:t>
      </w:r>
    </w:p>
    <w:p>
      <w:pPr>
        <w:keepNext/>
        <w:keepLines/>
        <w:spacing w:after="40"/>
        <w:ind w:left="369" w:hanging="198"/>
      </w:pPr>
      <w:r>
        <w:rPr>
          <w:rFonts w:ascii="Arial" w:hAnsi="Arial" w:cs="Arial"/>
          <w:b w:val="0"/>
          <w:sz w:val="21"/>
        </w:rPr>
        <w:t>A) Dos meses desde el día siguiente al de su publicación o notificación.</w:t>
      </w:r>
    </w:p>
    <w:p>
      <w:pPr>
        <w:keepNext/>
        <w:keepLines/>
        <w:spacing w:after="40"/>
        <w:ind w:left="369" w:hanging="198"/>
      </w:pPr>
      <w:r>
        <w:rPr>
          <w:rFonts w:ascii="Arial" w:hAnsi="Arial" w:cs="Arial"/>
          <w:b w:val="0"/>
          <w:sz w:val="21"/>
        </w:rPr>
        <w:t>B) Un mes desde su firma.</w:t>
      </w:r>
    </w:p>
    <w:p>
      <w:pPr>
        <w:keepNext/>
        <w:keepLines/>
        <w:spacing w:after="40"/>
        <w:ind w:left="369" w:hanging="198"/>
      </w:pPr>
      <w:r>
        <w:rPr>
          <w:rFonts w:ascii="Arial" w:hAnsi="Arial" w:cs="Arial"/>
          <w:b w:val="0"/>
          <w:sz w:val="21"/>
        </w:rPr>
        <w:t>C) Seis meses desde su publicación.</w:t>
      </w:r>
    </w:p>
    <w:p>
      <w:pPr>
        <w:keepNext/>
        <w:keepLines/>
        <w:spacing w:after="40"/>
        <w:ind w:left="369" w:hanging="198"/>
      </w:pPr>
      <w:r>
        <w:rPr>
          <w:rFonts w:ascii="Arial" w:hAnsi="Arial" w:cs="Arial"/>
          <w:b w:val="0"/>
          <w:sz w:val="21"/>
        </w:rPr>
        <w:t>D) Tres meses desde que el interesado conozca su contenido.</w:t>
      </w:r>
    </w:p>
    <w:p>
      <w:pPr>
        <w:pStyle w:val="Question"/>
        <w:keepNext/>
      </w:pPr>
      <w:r>
        <w:rPr>
          <w:rFonts w:ascii="Arial" w:hAnsi="Arial" w:cs="Arial"/>
          <w:sz w:val="22"/>
        </w:rPr>
        <w:t>27. En una comprobación jurídica del expediente, la duración inicial máxima del estado de alarma es:</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Veinte días.</w:t>
      </w:r>
    </w:p>
    <w:p>
      <w:pPr>
        <w:keepNext/>
        <w:keepLines/>
        <w:spacing w:after="40"/>
        <w:ind w:left="369" w:hanging="198"/>
      </w:pPr>
      <w:r>
        <w:rPr>
          <w:rFonts w:ascii="Arial" w:hAnsi="Arial" w:cs="Arial"/>
          <w:b w:val="0"/>
          <w:sz w:val="21"/>
        </w:rPr>
        <w:t>C) Quince días.</w:t>
      </w:r>
    </w:p>
    <w:p>
      <w:pPr>
        <w:keepNext/>
        <w:keepLines/>
        <w:spacing w:after="40"/>
        <w:ind w:left="369" w:hanging="198"/>
      </w:pPr>
      <w:r>
        <w:rPr>
          <w:rFonts w:ascii="Arial" w:hAnsi="Arial" w:cs="Arial"/>
          <w:b w:val="0"/>
          <w:sz w:val="21"/>
        </w:rPr>
        <w:t>D) Treinta días.</w:t>
      </w:r>
    </w:p>
    <w:p>
      <w:pPr>
        <w:pStyle w:val="Question"/>
        <w:keepNext/>
      </w:pPr>
      <w:r>
        <w:rPr>
          <w:rFonts w:ascii="Arial" w:hAnsi="Arial" w:cs="Arial"/>
          <w:sz w:val="22"/>
        </w:rPr>
        <w:t>28. A efectos de aplicar correctamente la regla examinada, la notificación debe cursarse desde que se dicta el acto dentro de:</w:t>
      </w:r>
    </w:p>
    <w:p>
      <w:pPr>
        <w:keepNext/>
        <w:keepLines/>
        <w:spacing w:after="40"/>
        <w:ind w:left="369" w:hanging="198"/>
      </w:pPr>
      <w:r>
        <w:rPr>
          <w:rFonts w:ascii="Arial" w:hAnsi="Arial" w:cs="Arial"/>
          <w:b w:val="0"/>
          <w:sz w:val="21"/>
        </w:rPr>
        <w:t>A) Tres días naturales.</w:t>
      </w:r>
    </w:p>
    <w:p>
      <w:pPr>
        <w:keepNext/>
        <w:keepLines/>
        <w:spacing w:after="40"/>
        <w:ind w:left="369" w:hanging="198"/>
      </w:pPr>
      <w:r>
        <w:rPr>
          <w:rFonts w:ascii="Arial" w:hAnsi="Arial" w:cs="Arial"/>
          <w:b w:val="0"/>
          <w:sz w:val="21"/>
        </w:rPr>
        <w:t>B) Quince días hábiles.</w:t>
      </w:r>
    </w:p>
    <w:p>
      <w:pPr>
        <w:keepNext/>
        <w:keepLines/>
        <w:spacing w:after="40"/>
        <w:ind w:left="369" w:hanging="198"/>
      </w:pPr>
      <w:r>
        <w:rPr>
          <w:rFonts w:ascii="Arial" w:hAnsi="Arial" w:cs="Arial"/>
          <w:b w:val="0"/>
          <w:sz w:val="21"/>
        </w:rPr>
        <w:t>C) Diez días.</w:t>
      </w:r>
    </w:p>
    <w:p>
      <w:pPr>
        <w:keepNext/>
        <w:keepLines/>
        <w:spacing w:after="40"/>
        <w:ind w:left="369" w:hanging="198"/>
      </w:pPr>
      <w:r>
        <w:rPr>
          <w:rFonts w:ascii="Arial" w:hAnsi="Arial" w:cs="Arial"/>
          <w:b w:val="0"/>
          <w:sz w:val="21"/>
        </w:rPr>
        <w:t>D) Un mes.</w:t>
      </w:r>
    </w:p>
    <w:p>
      <w:pPr>
        <w:pStyle w:val="Question"/>
        <w:keepNext/>
      </w:pPr>
      <w:r>
        <w:rPr>
          <w:rFonts w:ascii="Arial" w:hAnsi="Arial" w:cs="Arial"/>
          <w:sz w:val="22"/>
        </w:rPr>
        <w:t>29. A efectos de aplicar correctamente la regla examinada, en la jubilación flexible vigente el 30 de julio de 2026, si se trabaja el 40 % de la jornada comparable:</w:t>
      </w:r>
    </w:p>
    <w:p>
      <w:pPr>
        <w:keepNext/>
        <w:keepLines/>
        <w:spacing w:after="40"/>
        <w:ind w:left="369" w:hanging="198"/>
      </w:pPr>
      <w:r>
        <w:rPr>
          <w:rFonts w:ascii="Arial" w:hAnsi="Arial" w:cs="Arial"/>
          <w:b w:val="0"/>
          <w:sz w:val="21"/>
        </w:rPr>
        <w:t>A) Se suspende íntegramente la pensión.</w:t>
      </w:r>
    </w:p>
    <w:p>
      <w:pPr>
        <w:keepNext/>
        <w:keepLines/>
        <w:spacing w:after="40"/>
        <w:ind w:left="369" w:hanging="198"/>
      </w:pPr>
      <w:r>
        <w:rPr>
          <w:rFonts w:ascii="Arial" w:hAnsi="Arial" w:cs="Arial"/>
          <w:b w:val="0"/>
          <w:sz w:val="21"/>
        </w:rPr>
        <w:t>B) Se percibe, con carácter general, el 60 % de la pensión.</w:t>
      </w:r>
    </w:p>
    <w:p>
      <w:pPr>
        <w:keepNext/>
        <w:keepLines/>
        <w:spacing w:after="40"/>
        <w:ind w:left="369" w:hanging="198"/>
      </w:pPr>
      <w:r>
        <w:rPr>
          <w:rFonts w:ascii="Arial" w:hAnsi="Arial" w:cs="Arial"/>
          <w:b w:val="0"/>
          <w:sz w:val="21"/>
        </w:rPr>
        <w:t>C) Se percibe el 40 % de la pensión.</w:t>
      </w:r>
    </w:p>
    <w:p>
      <w:pPr>
        <w:keepNext/>
        <w:keepLines/>
        <w:spacing w:after="40"/>
        <w:ind w:left="369" w:hanging="198"/>
      </w:pPr>
      <w:r>
        <w:rPr>
          <w:rFonts w:ascii="Arial" w:hAnsi="Arial" w:cs="Arial"/>
          <w:b w:val="0"/>
          <w:sz w:val="21"/>
        </w:rPr>
        <w:t>D) Se mantiene el 100 % y no se cotiza.</w:t>
      </w:r>
    </w:p>
    <w:p>
      <w:pPr>
        <w:pStyle w:val="Question"/>
        <w:keepNext/>
      </w:pPr>
      <w:r>
        <w:rPr>
          <w:rFonts w:ascii="Arial" w:hAnsi="Arial" w:cs="Arial"/>
          <w:sz w:val="22"/>
        </w:rPr>
        <w:t>30. A efectos de aplicar correctamente la regla examinada, la portabilidad exige, entre otros requisitos:</w:t>
      </w:r>
    </w:p>
    <w:p>
      <w:pPr>
        <w:keepNext/>
        <w:keepLines/>
        <w:spacing w:after="40"/>
        <w:ind w:left="369" w:hanging="198"/>
      </w:pPr>
      <w:r>
        <w:rPr>
          <w:rFonts w:ascii="Arial" w:hAnsi="Arial" w:cs="Arial"/>
          <w:b w:val="0"/>
          <w:sz w:val="21"/>
        </w:rPr>
        <w:t>A) Que la base sea consentimiento o contrato y que el tratamiento sea automatizado.</w:t>
      </w:r>
    </w:p>
    <w:p>
      <w:pPr>
        <w:keepNext/>
        <w:keepLines/>
        <w:spacing w:after="40"/>
        <w:ind w:left="369" w:hanging="198"/>
      </w:pPr>
      <w:r>
        <w:rPr>
          <w:rFonts w:ascii="Arial" w:hAnsi="Arial" w:cs="Arial"/>
          <w:b w:val="0"/>
          <w:sz w:val="21"/>
        </w:rPr>
        <w:t>B) Que la base sea una obligación legal y el soporte manual.</w:t>
      </w:r>
    </w:p>
    <w:p>
      <w:pPr>
        <w:keepNext/>
        <w:keepLines/>
        <w:spacing w:after="40"/>
        <w:ind w:left="369" w:hanging="198"/>
      </w:pPr>
      <w:r>
        <w:rPr>
          <w:rFonts w:ascii="Arial" w:hAnsi="Arial" w:cs="Arial"/>
          <w:b w:val="0"/>
          <w:sz w:val="21"/>
        </w:rPr>
        <w:t>C) Que exista siempre una Administración pública.</w:t>
      </w:r>
    </w:p>
    <w:p>
      <w:pPr>
        <w:keepNext/>
        <w:keepLines/>
        <w:spacing w:after="40"/>
        <w:ind w:left="369" w:hanging="198"/>
      </w:pPr>
      <w:r>
        <w:rPr>
          <w:rFonts w:ascii="Arial" w:hAnsi="Arial" w:cs="Arial"/>
          <w:b w:val="0"/>
          <w:sz w:val="21"/>
        </w:rPr>
        <w:t>D) Que se trate únicamente de datos inferidos.</w:t>
      </w:r>
    </w:p>
    <w:p>
      <w:pPr>
        <w:pStyle w:val="Question"/>
        <w:keepNext/>
      </w:pPr>
      <w:r>
        <w:rPr>
          <w:rFonts w:ascii="Arial" w:hAnsi="Arial" w:cs="Arial"/>
          <w:sz w:val="22"/>
        </w:rPr>
        <w:t>31. Conforme al ordenamiento vigente a la fecha de corte, la redacción vigente del artículo 49 ordena a los poderes públicos:</w:t>
      </w:r>
    </w:p>
    <w:p>
      <w:pPr>
        <w:keepNext/>
        <w:keepLines/>
        <w:spacing w:after="40"/>
        <w:ind w:left="369" w:hanging="198"/>
      </w:pPr>
      <w:r>
        <w:rPr>
          <w:rFonts w:ascii="Arial" w:hAnsi="Arial" w:cs="Arial"/>
          <w:b w:val="0"/>
          <w:sz w:val="21"/>
        </w:rPr>
        <w:t>A) Atender únicamente la rehabilitación de las personas con discapacidad.</w:t>
      </w:r>
    </w:p>
    <w:p>
      <w:pPr>
        <w:keepNext/>
        <w:keepLines/>
        <w:spacing w:after="40"/>
        <w:ind w:left="369" w:hanging="198"/>
      </w:pPr>
      <w:r>
        <w:rPr>
          <w:rFonts w:ascii="Arial" w:hAnsi="Arial" w:cs="Arial"/>
          <w:b w:val="0"/>
          <w:sz w:val="21"/>
        </w:rPr>
        <w:t>B) Impulsar autonomía e inclusión en entornos universalmente accesibles.</w:t>
      </w:r>
    </w:p>
    <w:p>
      <w:pPr>
        <w:keepNext/>
        <w:keepLines/>
        <w:spacing w:after="40"/>
        <w:ind w:left="369" w:hanging="198"/>
      </w:pPr>
      <w:r>
        <w:rPr>
          <w:rFonts w:ascii="Arial" w:hAnsi="Arial" w:cs="Arial"/>
          <w:b w:val="0"/>
          <w:sz w:val="21"/>
        </w:rPr>
        <w:t>C) Sustituir la autonomía personal por un sistema de tutela general.</w:t>
      </w:r>
    </w:p>
    <w:p>
      <w:pPr>
        <w:keepNext/>
        <w:keepLines/>
        <w:spacing w:after="40"/>
        <w:ind w:left="369" w:hanging="198"/>
      </w:pPr>
      <w:r>
        <w:rPr>
          <w:rFonts w:ascii="Arial" w:hAnsi="Arial" w:cs="Arial"/>
          <w:b w:val="0"/>
          <w:sz w:val="21"/>
        </w:rPr>
        <w:t>D) Excluir la participación de organizaciones representativas.</w:t>
      </w:r>
    </w:p>
    <w:p>
      <w:pPr>
        <w:pStyle w:val="Question"/>
        <w:keepNext/>
      </w:pPr>
      <w:r>
        <w:rPr>
          <w:rFonts w:ascii="Arial" w:hAnsi="Arial" w:cs="Arial"/>
          <w:sz w:val="22"/>
        </w:rPr>
        <w:t>32. En una comprobación jurídica del expediente, es recurrible de forma autónoma un acto de trámite que:</w:t>
      </w:r>
    </w:p>
    <w:p>
      <w:pPr>
        <w:keepNext/>
        <w:keepLines/>
        <w:spacing w:after="40"/>
        <w:ind w:left="369" w:hanging="198"/>
      </w:pPr>
      <w:r>
        <w:rPr>
          <w:rFonts w:ascii="Arial" w:hAnsi="Arial" w:cs="Arial"/>
          <w:b w:val="0"/>
          <w:sz w:val="21"/>
        </w:rPr>
        <w:t>A) Decida directa o indirectamente el fondo del asunto.</w:t>
      </w:r>
    </w:p>
    <w:p>
      <w:pPr>
        <w:keepNext/>
        <w:keepLines/>
        <w:spacing w:after="40"/>
        <w:ind w:left="369" w:hanging="198"/>
      </w:pPr>
      <w:r>
        <w:rPr>
          <w:rFonts w:ascii="Arial" w:hAnsi="Arial" w:cs="Arial"/>
          <w:b w:val="0"/>
          <w:sz w:val="21"/>
        </w:rPr>
        <w:t>B) Se limite a impulsar el expediente.</w:t>
      </w:r>
    </w:p>
    <w:p>
      <w:pPr>
        <w:keepNext/>
        <w:keepLines/>
        <w:spacing w:after="40"/>
        <w:ind w:left="369" w:hanging="198"/>
      </w:pPr>
      <w:r>
        <w:rPr>
          <w:rFonts w:ascii="Arial" w:hAnsi="Arial" w:cs="Arial"/>
          <w:b w:val="0"/>
          <w:sz w:val="21"/>
        </w:rPr>
        <w:t>C) Sea una mera comunicación interna.</w:t>
      </w:r>
    </w:p>
    <w:p>
      <w:pPr>
        <w:keepNext/>
        <w:keepLines/>
        <w:spacing w:after="40"/>
        <w:ind w:left="369" w:hanging="198"/>
      </w:pPr>
      <w:r>
        <w:rPr>
          <w:rFonts w:ascii="Arial" w:hAnsi="Arial" w:cs="Arial"/>
          <w:b w:val="0"/>
          <w:sz w:val="21"/>
        </w:rPr>
        <w:t>D) Conceda un plazo ordinario para alegaciones.</w:t>
      </w:r>
    </w:p>
    <w:p>
      <w:pPr>
        <w:pStyle w:val="Question"/>
        <w:keepNext/>
      </w:pPr>
      <w:r>
        <w:rPr>
          <w:rFonts w:ascii="Arial" w:hAnsi="Arial" w:cs="Arial"/>
          <w:sz w:val="22"/>
        </w:rPr>
        <w:t>33. Conforme al ordenamiento vigente a la fecha de corte, tras el voto de aprobación del Colegio por el Parlamento, la Comisión es nombrada:</w:t>
      </w:r>
    </w:p>
    <w:p>
      <w:pPr>
        <w:keepNext/>
        <w:keepLines/>
        <w:spacing w:after="40"/>
        <w:ind w:left="369" w:hanging="198"/>
      </w:pPr>
      <w:r>
        <w:rPr>
          <w:rFonts w:ascii="Arial" w:hAnsi="Arial" w:cs="Arial"/>
          <w:b w:val="0"/>
          <w:sz w:val="21"/>
        </w:rPr>
        <w:t>A) Por el Consejo por mayoría simple.</w:t>
      </w:r>
    </w:p>
    <w:p>
      <w:pPr>
        <w:keepNext/>
        <w:keepLines/>
        <w:spacing w:after="40"/>
        <w:ind w:left="369" w:hanging="198"/>
      </w:pPr>
      <w:r>
        <w:rPr>
          <w:rFonts w:ascii="Arial" w:hAnsi="Arial" w:cs="Arial"/>
          <w:b w:val="0"/>
          <w:sz w:val="21"/>
        </w:rPr>
        <w:t>B) Por el Consejo Europeo, por mayoría cualificada.</w:t>
      </w:r>
    </w:p>
    <w:p>
      <w:pPr>
        <w:keepNext/>
        <w:keepLines/>
        <w:spacing w:after="40"/>
        <w:ind w:left="369" w:hanging="198"/>
      </w:pPr>
      <w:r>
        <w:rPr>
          <w:rFonts w:ascii="Arial" w:hAnsi="Arial" w:cs="Arial"/>
          <w:b w:val="0"/>
          <w:sz w:val="21"/>
        </w:rPr>
        <w:t>C) Por el Parlamento en una segunda votación.</w:t>
      </w:r>
    </w:p>
    <w:p>
      <w:pPr>
        <w:keepNext/>
        <w:keepLines/>
        <w:spacing w:after="40"/>
        <w:ind w:left="369" w:hanging="198"/>
      </w:pPr>
      <w:r>
        <w:rPr>
          <w:rFonts w:ascii="Arial" w:hAnsi="Arial" w:cs="Arial"/>
          <w:b w:val="0"/>
          <w:sz w:val="21"/>
        </w:rPr>
        <w:t>D) Por los Gobiernos de común acuerdo.</w:t>
      </w:r>
    </w:p>
    <w:p>
      <w:pPr>
        <w:pStyle w:val="Question"/>
        <w:keepNext/>
      </w:pPr>
      <w:r>
        <w:rPr>
          <w:rFonts w:ascii="Arial" w:hAnsi="Arial" w:cs="Arial"/>
          <w:sz w:val="22"/>
        </w:rPr>
        <w:t>34. Sin añadir circunstancias distintas de las indicadas, el plazo máximo para resolver una solicitud de cesión es de 90 días y el silencio:</w:t>
      </w:r>
    </w:p>
    <w:p>
      <w:pPr>
        <w:keepNext/>
        <w:keepLines/>
        <w:spacing w:after="40"/>
        <w:ind w:left="369" w:hanging="198"/>
      </w:pPr>
      <w:r>
        <w:rPr>
          <w:rFonts w:ascii="Arial" w:hAnsi="Arial" w:cs="Arial"/>
          <w:b w:val="0"/>
          <w:sz w:val="21"/>
        </w:rPr>
        <w:t>A) Es estimatorio.</w:t>
      </w:r>
    </w:p>
    <w:p>
      <w:pPr>
        <w:keepNext/>
        <w:keepLines/>
        <w:spacing w:after="40"/>
        <w:ind w:left="369" w:hanging="198"/>
      </w:pPr>
      <w:r>
        <w:rPr>
          <w:rFonts w:ascii="Arial" w:hAnsi="Arial" w:cs="Arial"/>
          <w:b w:val="0"/>
          <w:sz w:val="21"/>
        </w:rPr>
        <w:t>B) Produce una cesión provisional.</w:t>
      </w:r>
    </w:p>
    <w:p>
      <w:pPr>
        <w:keepNext/>
        <w:keepLines/>
        <w:spacing w:after="40"/>
        <w:ind w:left="369" w:hanging="198"/>
      </w:pPr>
      <w:r>
        <w:rPr>
          <w:rFonts w:ascii="Arial" w:hAnsi="Arial" w:cs="Arial"/>
          <w:b w:val="0"/>
          <w:sz w:val="21"/>
        </w:rPr>
        <w:t>C) Transfiere la propiedad al solicitante.</w:t>
      </w:r>
    </w:p>
    <w:p>
      <w:pPr>
        <w:keepNext/>
        <w:keepLines/>
        <w:spacing w:after="40"/>
        <w:ind w:left="369" w:hanging="198"/>
      </w:pPr>
      <w:r>
        <w:rPr>
          <w:rFonts w:ascii="Arial" w:hAnsi="Arial" w:cs="Arial"/>
          <w:b w:val="0"/>
          <w:sz w:val="21"/>
        </w:rPr>
        <w:t>D) Es desestimatorio.</w:t>
      </w:r>
    </w:p>
    <w:p>
      <w:pPr>
        <w:pStyle w:val="Question"/>
        <w:keepNext/>
      </w:pPr>
      <w:r>
        <w:rPr>
          <w:rFonts w:ascii="Arial" w:hAnsi="Arial" w:cs="Arial"/>
          <w:sz w:val="22"/>
        </w:rPr>
        <w:t>35. A efectos de aplicar correctamente la regla examinada, en los procedimientos iniciados a solicitud, el plazo máximo comienza:</w:t>
      </w:r>
    </w:p>
    <w:p>
      <w:pPr>
        <w:keepNext/>
        <w:keepLines/>
        <w:spacing w:after="40"/>
        <w:ind w:left="369" w:hanging="198"/>
      </w:pPr>
      <w:r>
        <w:rPr>
          <w:rFonts w:ascii="Arial" w:hAnsi="Arial" w:cs="Arial"/>
          <w:b w:val="0"/>
          <w:sz w:val="21"/>
        </w:rPr>
        <w:t>A) Cuando entra en el registro electrónico de la Administración u organismo competente para su tramitación.</w:t>
      </w:r>
    </w:p>
    <w:p>
      <w:pPr>
        <w:keepNext/>
        <w:keepLines/>
        <w:spacing w:after="40"/>
        <w:ind w:left="369" w:hanging="198"/>
      </w:pPr>
      <w:r>
        <w:rPr>
          <w:rFonts w:ascii="Arial" w:hAnsi="Arial" w:cs="Arial"/>
          <w:b w:val="0"/>
          <w:sz w:val="21"/>
        </w:rPr>
        <w:t>B) Al redactarse la solicitud.</w:t>
      </w:r>
    </w:p>
    <w:p>
      <w:pPr>
        <w:keepNext/>
        <w:keepLines/>
        <w:spacing w:after="40"/>
        <w:ind w:left="369" w:hanging="198"/>
      </w:pPr>
      <w:r>
        <w:rPr>
          <w:rFonts w:ascii="Arial" w:hAnsi="Arial" w:cs="Arial"/>
          <w:b w:val="0"/>
          <w:sz w:val="21"/>
        </w:rPr>
        <w:t>C) Cuando el instructor abre materialmente el expediente.</w:t>
      </w:r>
    </w:p>
    <w:p>
      <w:pPr>
        <w:keepNext/>
        <w:keepLines/>
        <w:spacing w:after="40"/>
        <w:ind w:left="369" w:hanging="198"/>
      </w:pPr>
      <w:r>
        <w:rPr>
          <w:rFonts w:ascii="Arial" w:hAnsi="Arial" w:cs="Arial"/>
          <w:b w:val="0"/>
          <w:sz w:val="21"/>
        </w:rPr>
        <w:t>D) Diez días después de presentarla.</w:t>
      </w:r>
    </w:p>
    <w:p>
      <w:pPr>
        <w:pStyle w:val="Question"/>
        <w:keepNext/>
      </w:pPr>
      <w:r>
        <w:rPr>
          <w:rFonts w:ascii="Arial" w:hAnsi="Arial" w:cs="Arial"/>
          <w:sz w:val="22"/>
        </w:rPr>
        <w:t>36. A efectos de aplicar correctamente la regla examinada, la providencia de apremio para deudas de Seguridad Social la expide:</w:t>
      </w:r>
    </w:p>
    <w:p>
      <w:pPr>
        <w:keepNext/>
        <w:keepLines/>
        <w:spacing w:after="40"/>
        <w:ind w:left="369" w:hanging="198"/>
      </w:pPr>
      <w:r>
        <w:rPr>
          <w:rFonts w:ascii="Arial" w:hAnsi="Arial" w:cs="Arial"/>
          <w:b w:val="0"/>
          <w:sz w:val="21"/>
        </w:rPr>
        <w:t>A) El Instituto Nacional de la Seguridad Social.</w:t>
      </w:r>
    </w:p>
    <w:p>
      <w:pPr>
        <w:keepNext/>
        <w:keepLines/>
        <w:spacing w:after="40"/>
        <w:ind w:left="369" w:hanging="198"/>
      </w:pPr>
      <w:r>
        <w:rPr>
          <w:rFonts w:ascii="Arial" w:hAnsi="Arial" w:cs="Arial"/>
          <w:b w:val="0"/>
          <w:sz w:val="21"/>
        </w:rPr>
        <w:t>B) La Tesorería General de la Seguridad Social.</w:t>
      </w:r>
    </w:p>
    <w:p>
      <w:pPr>
        <w:keepNext/>
        <w:keepLines/>
        <w:spacing w:after="40"/>
        <w:ind w:left="369" w:hanging="198"/>
      </w:pPr>
      <w:r>
        <w:rPr>
          <w:rFonts w:ascii="Arial" w:hAnsi="Arial" w:cs="Arial"/>
          <w:b w:val="0"/>
          <w:sz w:val="21"/>
        </w:rPr>
        <w:t>C) El juzgado de lo social.</w:t>
      </w:r>
    </w:p>
    <w:p>
      <w:pPr>
        <w:keepNext/>
        <w:keepLines/>
        <w:spacing w:after="40"/>
        <w:ind w:left="369" w:hanging="198"/>
      </w:pPr>
      <w:r>
        <w:rPr>
          <w:rFonts w:ascii="Arial" w:hAnsi="Arial" w:cs="Arial"/>
          <w:b w:val="0"/>
          <w:sz w:val="21"/>
        </w:rPr>
        <w:t>D) La entidad bancaria colaboradora.</w:t>
      </w:r>
    </w:p>
    <w:p>
      <w:pPr>
        <w:pStyle w:val="Question"/>
        <w:keepNext/>
      </w:pPr>
      <w:r>
        <w:rPr>
          <w:rFonts w:ascii="Arial" w:hAnsi="Arial" w:cs="Arial"/>
          <w:sz w:val="22"/>
        </w:rPr>
        <w:t>37. Conforme al ordenamiento vigente a la fecha de corte, constitucionalmente, la provincia es:</w:t>
      </w:r>
    </w:p>
    <w:p>
      <w:pPr>
        <w:keepNext/>
        <w:keepLines/>
        <w:spacing w:after="40"/>
        <w:ind w:left="369" w:hanging="198"/>
      </w:pPr>
      <w:r>
        <w:rPr>
          <w:rFonts w:ascii="Arial" w:hAnsi="Arial" w:cs="Arial"/>
          <w:b w:val="0"/>
          <w:sz w:val="21"/>
        </w:rPr>
        <w:t>A) Únicamente una circunscripción electoral sin personalidad.</w:t>
      </w:r>
    </w:p>
    <w:p>
      <w:pPr>
        <w:keepNext/>
        <w:keepLines/>
        <w:spacing w:after="40"/>
        <w:ind w:left="369" w:hanging="198"/>
      </w:pPr>
      <w:r>
        <w:rPr>
          <w:rFonts w:ascii="Arial" w:hAnsi="Arial" w:cs="Arial"/>
          <w:b w:val="0"/>
          <w:sz w:val="21"/>
        </w:rPr>
        <w:t>B) Una entidad autonómica con potestad legislativa.</w:t>
      </w:r>
    </w:p>
    <w:p>
      <w:pPr>
        <w:keepNext/>
        <w:keepLines/>
        <w:spacing w:after="40"/>
        <w:ind w:left="369" w:hanging="198"/>
      </w:pPr>
      <w:r>
        <w:rPr>
          <w:rFonts w:ascii="Arial" w:hAnsi="Arial" w:cs="Arial"/>
          <w:b w:val="0"/>
          <w:sz w:val="21"/>
        </w:rPr>
        <w:t>C) Una agrupación voluntaria que puede disolverse por ordenanza.</w:t>
      </w:r>
    </w:p>
    <w:p>
      <w:pPr>
        <w:keepNext/>
        <w:keepLines/>
        <w:spacing w:after="40"/>
        <w:ind w:left="369" w:hanging="198"/>
      </w:pPr>
      <w:r>
        <w:rPr>
          <w:rFonts w:ascii="Arial" w:hAnsi="Arial" w:cs="Arial"/>
          <w:b w:val="0"/>
          <w:sz w:val="21"/>
        </w:rPr>
        <w:t>D) Entidad local con personalidad propia, agrupación de municipios y división territorial para actividades del Estado.</w:t>
      </w:r>
    </w:p>
    <w:p>
      <w:pPr>
        <w:pStyle w:val="Question"/>
        <w:keepNext/>
      </w:pPr>
      <w:r>
        <w:rPr>
          <w:rFonts w:ascii="Arial" w:hAnsi="Arial" w:cs="Arial"/>
          <w:sz w:val="22"/>
        </w:rPr>
        <w:t>38. A efectos de aplicar correctamente la regla examinada, para ejercer una actividad privada profesional sometida a la Ley 53/1984 se exige, como regla:</w:t>
      </w:r>
    </w:p>
    <w:p>
      <w:pPr>
        <w:keepNext/>
        <w:keepLines/>
        <w:spacing w:after="40"/>
        <w:ind w:left="369" w:hanging="198"/>
      </w:pPr>
      <w:r>
        <w:rPr>
          <w:rFonts w:ascii="Arial" w:hAnsi="Arial" w:cs="Arial"/>
          <w:b w:val="0"/>
          <w:sz w:val="21"/>
        </w:rPr>
        <w:t>A) Autorización judicial.</w:t>
      </w:r>
    </w:p>
    <w:p>
      <w:pPr>
        <w:keepNext/>
        <w:keepLines/>
        <w:spacing w:after="40"/>
        <w:ind w:left="369" w:hanging="198"/>
      </w:pPr>
      <w:r>
        <w:rPr>
          <w:rFonts w:ascii="Arial" w:hAnsi="Arial" w:cs="Arial"/>
          <w:b w:val="0"/>
          <w:sz w:val="21"/>
        </w:rPr>
        <w:t>B) Simple inscripción posterior.</w:t>
      </w:r>
    </w:p>
    <w:p>
      <w:pPr>
        <w:keepNext/>
        <w:keepLines/>
        <w:spacing w:after="40"/>
        <w:ind w:left="369" w:hanging="198"/>
      </w:pPr>
      <w:r>
        <w:rPr>
          <w:rFonts w:ascii="Arial" w:hAnsi="Arial" w:cs="Arial"/>
          <w:b w:val="0"/>
          <w:sz w:val="21"/>
        </w:rPr>
        <w:t>C) Reconocimiento previo de compatibilidad.</w:t>
      </w:r>
    </w:p>
    <w:p>
      <w:pPr>
        <w:keepNext/>
        <w:keepLines/>
        <w:spacing w:after="40"/>
        <w:ind w:left="369" w:hanging="198"/>
      </w:pPr>
      <w:r>
        <w:rPr>
          <w:rFonts w:ascii="Arial" w:hAnsi="Arial" w:cs="Arial"/>
          <w:b w:val="0"/>
          <w:sz w:val="21"/>
        </w:rPr>
        <w:t>D) Declaración responsable sin resolución.</w:t>
      </w:r>
    </w:p>
    <w:p>
      <w:pPr>
        <w:pStyle w:val="Question"/>
        <w:keepNext/>
      </w:pPr>
      <w:r>
        <w:rPr>
          <w:rFonts w:ascii="Arial" w:hAnsi="Arial" w:cs="Arial"/>
          <w:sz w:val="22"/>
        </w:rPr>
        <w:t>39. Conforme al ordenamiento vigente a la fecha de corte, en materia de compatibilidad del SAAD:</w:t>
      </w:r>
    </w:p>
    <w:p>
      <w:pPr>
        <w:keepNext/>
        <w:keepLines/>
        <w:spacing w:after="40"/>
        <w:ind w:left="369" w:hanging="198"/>
      </w:pPr>
      <w:r>
        <w:rPr>
          <w:rFonts w:ascii="Arial" w:hAnsi="Arial" w:cs="Arial"/>
          <w:b w:val="0"/>
          <w:sz w:val="21"/>
        </w:rPr>
        <w:t>A) Todas las prestaciones económicas son acumulables.</w:t>
      </w:r>
    </w:p>
    <w:p>
      <w:pPr>
        <w:keepNext/>
        <w:keepLines/>
        <w:spacing w:after="40"/>
        <w:ind w:left="369" w:hanging="198"/>
      </w:pPr>
      <w:r>
        <w:rPr>
          <w:rFonts w:ascii="Arial" w:hAnsi="Arial" w:cs="Arial"/>
          <w:b w:val="0"/>
          <w:sz w:val="21"/>
        </w:rPr>
        <w:t>B) Teleasistencia es incompatible con cualquier otro servicio.</w:t>
      </w:r>
    </w:p>
    <w:p>
      <w:pPr>
        <w:keepNext/>
        <w:keepLines/>
        <w:spacing w:after="40"/>
        <w:ind w:left="369" w:hanging="198"/>
      </w:pPr>
      <w:r>
        <w:rPr>
          <w:rFonts w:ascii="Arial" w:hAnsi="Arial" w:cs="Arial"/>
          <w:b w:val="0"/>
          <w:sz w:val="21"/>
        </w:rPr>
        <w:t>C) Teleasistencia puede ser compatible con prevención, ayuda a domicilio y centro de día o noche.</w:t>
      </w:r>
    </w:p>
    <w:p>
      <w:pPr>
        <w:keepNext/>
        <w:keepLines/>
        <w:spacing w:after="40"/>
        <w:ind w:left="369" w:hanging="198"/>
      </w:pPr>
      <w:r>
        <w:rPr>
          <w:rFonts w:ascii="Arial" w:hAnsi="Arial" w:cs="Arial"/>
          <w:b w:val="0"/>
          <w:sz w:val="21"/>
        </w:rPr>
        <w:t>D) La ley no establece ninguna regla.</w:t>
      </w:r>
    </w:p>
    <w:p>
      <w:pPr>
        <w:pStyle w:val="Question"/>
        <w:keepNext/>
      </w:pPr>
      <w:r>
        <w:rPr>
          <w:rFonts w:ascii="Arial" w:hAnsi="Arial" w:cs="Arial"/>
          <w:sz w:val="22"/>
        </w:rPr>
        <w:t>40. A efectos de aplicar correctamente la regla examinada, ¿Qué Salas integran la Audiencia Nacional?</w:t>
      </w:r>
    </w:p>
    <w:p>
      <w:pPr>
        <w:keepNext/>
        <w:keepLines/>
        <w:spacing w:after="40"/>
        <w:ind w:left="369" w:hanging="198"/>
      </w:pPr>
      <w:r>
        <w:rPr>
          <w:rFonts w:ascii="Arial" w:hAnsi="Arial" w:cs="Arial"/>
          <w:b w:val="0"/>
          <w:sz w:val="21"/>
        </w:rPr>
        <w:t>A) Civil, Penal, Contencioso-Administrativo y Social.</w:t>
      </w:r>
    </w:p>
    <w:p>
      <w:pPr>
        <w:keepNext/>
        <w:keepLines/>
        <w:spacing w:after="40"/>
        <w:ind w:left="369" w:hanging="198"/>
      </w:pPr>
      <w:r>
        <w:rPr>
          <w:rFonts w:ascii="Arial" w:hAnsi="Arial" w:cs="Arial"/>
          <w:b w:val="0"/>
          <w:sz w:val="21"/>
        </w:rPr>
        <w:t>B) Instrucción, Penal, Menores y Vigilancia Penitenciaria.</w:t>
      </w:r>
    </w:p>
    <w:p>
      <w:pPr>
        <w:keepNext/>
        <w:keepLines/>
        <w:spacing w:after="40"/>
        <w:ind w:left="369" w:hanging="198"/>
      </w:pPr>
      <w:r>
        <w:rPr>
          <w:rFonts w:ascii="Arial" w:hAnsi="Arial" w:cs="Arial"/>
          <w:b w:val="0"/>
          <w:sz w:val="21"/>
        </w:rPr>
        <w:t>C) Apelación, Penal, Contencioso-Administrativo y Social.</w:t>
      </w:r>
    </w:p>
    <w:p>
      <w:pPr>
        <w:keepNext/>
        <w:keepLines/>
        <w:spacing w:after="40"/>
        <w:ind w:left="369" w:hanging="198"/>
      </w:pPr>
      <w:r>
        <w:rPr>
          <w:rFonts w:ascii="Arial" w:hAnsi="Arial" w:cs="Arial"/>
          <w:b w:val="0"/>
          <w:sz w:val="21"/>
        </w:rPr>
        <w:t>D) Civil y Penal, Contencioso-Administrativo y Social.</w:t>
      </w:r>
    </w:p>
    <w:p>
      <w:pPr>
        <w:pStyle w:val="Question"/>
        <w:keepNext/>
      </w:pPr>
      <w:r>
        <w:rPr>
          <w:rFonts w:ascii="Arial" w:hAnsi="Arial" w:cs="Arial"/>
          <w:sz w:val="22"/>
        </w:rPr>
        <w:t>41. En una comprobación jurídica del expediente, todos los municipios deben prestar:</w:t>
      </w:r>
    </w:p>
    <w:p>
      <w:pPr>
        <w:keepNext/>
        <w:keepLines/>
        <w:spacing w:after="40"/>
        <w:ind w:left="369" w:hanging="198"/>
      </w:pPr>
      <w:r>
        <w:rPr>
          <w:rFonts w:ascii="Arial" w:hAnsi="Arial" w:cs="Arial"/>
          <w:b w:val="0"/>
          <w:sz w:val="21"/>
        </w:rPr>
        <w:t>A) Biblioteca, parque, transporte urbano y bomberos.</w:t>
      </w:r>
    </w:p>
    <w:p>
      <w:pPr>
        <w:keepNext/>
        <w:keepLines/>
        <w:spacing w:after="40"/>
        <w:ind w:left="369" w:hanging="198"/>
      </w:pPr>
      <w:r>
        <w:rPr>
          <w:rFonts w:ascii="Arial" w:hAnsi="Arial" w:cs="Arial"/>
          <w:b w:val="0"/>
          <w:sz w:val="21"/>
        </w:rPr>
        <w:t>B) Tratamiento de residuos, protección civil y polideportivo.</w:t>
      </w:r>
    </w:p>
    <w:p>
      <w:pPr>
        <w:keepNext/>
        <w:keepLines/>
        <w:spacing w:after="40"/>
        <w:ind w:left="369" w:hanging="198"/>
      </w:pPr>
      <w:r>
        <w:rPr>
          <w:rFonts w:ascii="Arial" w:hAnsi="Arial" w:cs="Arial"/>
          <w:b w:val="0"/>
          <w:sz w:val="21"/>
        </w:rPr>
        <w:t>C) Medio ambiente urbano, biblioteca y transporte colectivo.</w:t>
      </w:r>
    </w:p>
    <w:p>
      <w:pPr>
        <w:keepNext/>
        <w:keepLines/>
        <w:spacing w:after="40"/>
        <w:ind w:left="369" w:hanging="198"/>
      </w:pPr>
      <w:r>
        <w:rPr>
          <w:rFonts w:ascii="Arial" w:hAnsi="Arial" w:cs="Arial"/>
          <w:b w:val="0"/>
          <w:sz w:val="21"/>
        </w:rPr>
        <w:t>D) Alumbrado público, cementerio, recogida de residuos, limpieza viaria, agua, alcantarillado, acceso a núcleos y pavimentación.</w:t>
      </w:r>
    </w:p>
    <w:p>
      <w:pPr>
        <w:pStyle w:val="Question"/>
        <w:keepNext/>
      </w:pPr>
      <w:r>
        <w:rPr>
          <w:rFonts w:ascii="Arial" w:hAnsi="Arial" w:cs="Arial"/>
          <w:sz w:val="22"/>
        </w:rPr>
        <w:t>42. En una comprobación jurídica del expediente, el plazo máximo reglamentario para resolver una solicitud de aplazamiento es de:</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Tres meses.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val="0"/>
          <w:sz w:val="21"/>
        </w:rPr>
        <w:t>D) Seis meses.</w:t>
      </w:r>
    </w:p>
    <w:p>
      <w:pPr>
        <w:pStyle w:val="Question"/>
        <w:keepNext/>
      </w:pPr>
      <w:r>
        <w:rPr>
          <w:rFonts w:ascii="Arial" w:hAnsi="Arial" w:cs="Arial"/>
          <w:sz w:val="22"/>
        </w:rPr>
        <w:t>43. Conforme al ordenamiento vigente a la fecha de corte, para un plazo del interesado fijado en días hábiles, un documento presentado en registro electrónico un día inhábil:</w:t>
      </w:r>
    </w:p>
    <w:p>
      <w:pPr>
        <w:keepNext/>
        <w:keepLines/>
        <w:spacing w:after="40"/>
        <w:ind w:left="369" w:hanging="198"/>
      </w:pPr>
      <w:r>
        <w:rPr>
          <w:rFonts w:ascii="Arial" w:hAnsi="Arial" w:cs="Arial"/>
          <w:b w:val="0"/>
          <w:sz w:val="21"/>
        </w:rPr>
        <w:t>A) Se entiende presentado en la primera hora del primer día hábil siguiente, salvo previsión normativa distinta.</w:t>
      </w:r>
    </w:p>
    <w:p>
      <w:pPr>
        <w:keepNext/>
        <w:keepLines/>
        <w:spacing w:after="40"/>
        <w:ind w:left="369" w:hanging="198"/>
      </w:pPr>
      <w:r>
        <w:rPr>
          <w:rFonts w:ascii="Arial" w:hAnsi="Arial" w:cs="Arial"/>
          <w:b w:val="0"/>
          <w:sz w:val="21"/>
        </w:rPr>
        <w:t>B) Se tiene por no presentado.</w:t>
      </w:r>
    </w:p>
    <w:p>
      <w:pPr>
        <w:keepNext/>
        <w:keepLines/>
        <w:spacing w:after="40"/>
        <w:ind w:left="369" w:hanging="198"/>
      </w:pPr>
      <w:r>
        <w:rPr>
          <w:rFonts w:ascii="Arial" w:hAnsi="Arial" w:cs="Arial"/>
          <w:b w:val="0"/>
          <w:sz w:val="21"/>
        </w:rPr>
        <w:t>C) Se considera presentado a la última hora del día hábil anterior.</w:t>
      </w:r>
    </w:p>
    <w:p>
      <w:pPr>
        <w:keepNext/>
        <w:keepLines/>
        <w:spacing w:after="40"/>
        <w:ind w:left="369" w:hanging="198"/>
      </w:pPr>
      <w:r>
        <w:rPr>
          <w:rFonts w:ascii="Arial" w:hAnsi="Arial" w:cs="Arial"/>
          <w:b w:val="0"/>
          <w:sz w:val="21"/>
        </w:rPr>
        <w:t>D) Se registra sin fecha.</w:t>
      </w:r>
    </w:p>
    <w:p>
      <w:pPr>
        <w:pStyle w:val="Question"/>
        <w:keepNext/>
      </w:pPr>
      <w:r>
        <w:rPr>
          <w:rFonts w:ascii="Arial" w:hAnsi="Arial" w:cs="Arial"/>
          <w:sz w:val="22"/>
        </w:rPr>
        <w:t>44. En una comprobación jurídica del expediente, un beneficiario recibió indebidamente cantidades por error exclusivo de la entidad y actuó de buena fe:</w:t>
      </w:r>
    </w:p>
    <w:p>
      <w:pPr>
        <w:keepNext/>
        <w:keepLines/>
        <w:spacing w:after="40"/>
        <w:ind w:left="369" w:hanging="198"/>
      </w:pPr>
      <w:r>
        <w:rPr>
          <w:rFonts w:ascii="Arial" w:hAnsi="Arial" w:cs="Arial"/>
          <w:b w:val="0"/>
          <w:sz w:val="21"/>
        </w:rPr>
        <w:t>A) Nunca debe devolverlas.</w:t>
      </w:r>
    </w:p>
    <w:p>
      <w:pPr>
        <w:keepNext/>
        <w:keepLines/>
        <w:spacing w:after="40"/>
        <w:ind w:left="369" w:hanging="198"/>
      </w:pPr>
      <w:r>
        <w:rPr>
          <w:rFonts w:ascii="Arial" w:hAnsi="Arial" w:cs="Arial"/>
          <w:b w:val="0"/>
          <w:sz w:val="21"/>
        </w:rPr>
        <w:t>B) Debe reintegrarlas, dentro del plazo de cuatro años y por el cauce procedente.</w:t>
      </w:r>
    </w:p>
    <w:p>
      <w:pPr>
        <w:keepNext/>
        <w:keepLines/>
        <w:spacing w:after="40"/>
        <w:ind w:left="369" w:hanging="198"/>
      </w:pPr>
      <w:r>
        <w:rPr>
          <w:rFonts w:ascii="Arial" w:hAnsi="Arial" w:cs="Arial"/>
          <w:b w:val="0"/>
          <w:sz w:val="21"/>
        </w:rPr>
        <w:t>C) Solo devuelve si hubo delito.</w:t>
      </w:r>
    </w:p>
    <w:p>
      <w:pPr>
        <w:keepNext/>
        <w:keepLines/>
        <w:spacing w:after="40"/>
        <w:ind w:left="369" w:hanging="198"/>
      </w:pPr>
      <w:r>
        <w:rPr>
          <w:rFonts w:ascii="Arial" w:hAnsi="Arial" w:cs="Arial"/>
          <w:b w:val="0"/>
          <w:sz w:val="21"/>
        </w:rPr>
        <w:t>D) El plazo de reintegro es de cinco años.</w:t>
      </w:r>
    </w:p>
    <w:p>
      <w:pPr>
        <w:pStyle w:val="Question"/>
        <w:keepNext/>
      </w:pPr>
      <w:r>
        <w:rPr>
          <w:rFonts w:ascii="Arial" w:hAnsi="Arial" w:cs="Arial"/>
          <w:sz w:val="22"/>
        </w:rPr>
        <w:t>45. A efectos de aplicar correctamente la regla examinada, ¿Cómo define la Constitución al Senado?</w:t>
      </w:r>
    </w:p>
    <w:p>
      <w:pPr>
        <w:keepNext/>
        <w:keepLines/>
        <w:spacing w:after="40"/>
        <w:ind w:left="369" w:hanging="198"/>
      </w:pPr>
      <w:r>
        <w:rPr>
          <w:rFonts w:ascii="Arial" w:hAnsi="Arial" w:cs="Arial"/>
          <w:b w:val="0"/>
          <w:sz w:val="21"/>
        </w:rPr>
        <w:t>A) Como la Cámara de control presupuestario.</w:t>
      </w:r>
    </w:p>
    <w:p>
      <w:pPr>
        <w:keepNext/>
        <w:keepLines/>
        <w:spacing w:after="40"/>
        <w:ind w:left="369" w:hanging="198"/>
      </w:pPr>
      <w:r>
        <w:rPr>
          <w:rFonts w:ascii="Arial" w:hAnsi="Arial" w:cs="Arial"/>
          <w:b w:val="0"/>
          <w:sz w:val="21"/>
        </w:rPr>
        <w:t>B) Como la Cámara de representación territorial.</w:t>
      </w:r>
    </w:p>
    <w:p>
      <w:pPr>
        <w:keepNext/>
        <w:keepLines/>
        <w:spacing w:after="40"/>
        <w:ind w:left="369" w:hanging="198"/>
      </w:pPr>
      <w:r>
        <w:rPr>
          <w:rFonts w:ascii="Arial" w:hAnsi="Arial" w:cs="Arial"/>
          <w:b w:val="0"/>
          <w:sz w:val="21"/>
        </w:rPr>
        <w:t>C) Como la Cámara de representación popular directa exclusiva.</w:t>
      </w:r>
    </w:p>
    <w:p>
      <w:pPr>
        <w:keepNext/>
        <w:keepLines/>
        <w:spacing w:after="40"/>
        <w:ind w:left="369" w:hanging="198"/>
      </w:pPr>
      <w:r>
        <w:rPr>
          <w:rFonts w:ascii="Arial" w:hAnsi="Arial" w:cs="Arial"/>
          <w:b w:val="0"/>
          <w:sz w:val="21"/>
        </w:rPr>
        <w:t>D) Como el órgano consultivo de las Comunidades Autónomas.</w:t>
      </w:r>
    </w:p>
    <w:p>
      <w:pPr>
        <w:pStyle w:val="Question"/>
        <w:keepNext/>
      </w:pPr>
      <w:r>
        <w:rPr>
          <w:rFonts w:ascii="Arial" w:hAnsi="Arial" w:cs="Arial"/>
          <w:sz w:val="22"/>
        </w:rPr>
        <w:t>46. En una comprobación jurídica del expediente, si coinciden dos pensiones incompatibles del Régimen General, la entidad:</w:t>
      </w:r>
    </w:p>
    <w:p>
      <w:pPr>
        <w:keepNext/>
        <w:keepLines/>
        <w:spacing w:after="40"/>
        <w:ind w:left="369" w:hanging="198"/>
      </w:pPr>
      <w:r>
        <w:rPr>
          <w:rFonts w:ascii="Arial" w:hAnsi="Arial" w:cs="Arial"/>
          <w:b w:val="0"/>
          <w:sz w:val="21"/>
        </w:rPr>
        <w:t>A) Extingue siempre ambas.</w:t>
      </w:r>
    </w:p>
    <w:p>
      <w:pPr>
        <w:keepNext/>
        <w:keepLines/>
        <w:spacing w:after="40"/>
        <w:ind w:left="369" w:hanging="198"/>
      </w:pPr>
      <w:r>
        <w:rPr>
          <w:rFonts w:ascii="Arial" w:hAnsi="Arial" w:cs="Arial"/>
          <w:b w:val="0"/>
          <w:sz w:val="21"/>
        </w:rPr>
        <w:t>B) Abona automáticamente la más antigua.</w:t>
      </w:r>
    </w:p>
    <w:p>
      <w:pPr>
        <w:keepNext/>
        <w:keepLines/>
        <w:spacing w:after="40"/>
        <w:ind w:left="369" w:hanging="198"/>
      </w:pPr>
      <w:r>
        <w:rPr>
          <w:rFonts w:ascii="Arial" w:hAnsi="Arial" w:cs="Arial"/>
          <w:b w:val="0"/>
          <w:sz w:val="21"/>
        </w:rPr>
        <w:t>C) Divide ambas por mitad.</w:t>
      </w:r>
    </w:p>
    <w:p>
      <w:pPr>
        <w:keepNext/>
        <w:keepLines/>
        <w:spacing w:after="40"/>
        <w:ind w:left="369" w:hanging="198"/>
      </w:pPr>
      <w:r>
        <w:rPr>
          <w:rFonts w:ascii="Arial" w:hAnsi="Arial" w:cs="Arial"/>
          <w:b w:val="0"/>
          <w:sz w:val="21"/>
        </w:rPr>
        <w:t>D) Abona por defecto la de mayor cuantía anual y suspende la otra.</w:t>
      </w:r>
    </w:p>
    <w:p>
      <w:pPr>
        <w:pStyle w:val="Question"/>
        <w:keepNext/>
      </w:pPr>
      <w:r>
        <w:rPr>
          <w:rFonts w:ascii="Arial" w:hAnsi="Arial" w:cs="Arial"/>
          <w:sz w:val="22"/>
        </w:rPr>
        <w:t>47. Sin añadir circunstancias distintas de las indicadas, de la Subsecretaría depende directamente, con rango de Dirección General:</w:t>
      </w:r>
    </w:p>
    <w:p>
      <w:pPr>
        <w:keepNext/>
        <w:keepLines/>
        <w:spacing w:after="40"/>
        <w:ind w:left="369" w:hanging="198"/>
      </w:pPr>
      <w:r>
        <w:rPr>
          <w:rFonts w:ascii="Arial" w:hAnsi="Arial" w:cs="Arial"/>
          <w:b w:val="0"/>
          <w:sz w:val="21"/>
        </w:rPr>
        <w:t>A) La Secretaría General Técnica.</w:t>
      </w:r>
    </w:p>
    <w:p>
      <w:pPr>
        <w:keepNext/>
        <w:keepLines/>
        <w:spacing w:after="40"/>
        <w:ind w:left="369" w:hanging="198"/>
      </w:pPr>
      <w:r>
        <w:rPr>
          <w:rFonts w:ascii="Arial" w:hAnsi="Arial" w:cs="Arial"/>
          <w:b w:val="0"/>
          <w:sz w:val="21"/>
        </w:rPr>
        <w:t>B) La Secretaría de Estado de Migraciones.</w:t>
      </w:r>
    </w:p>
    <w:p>
      <w:pPr>
        <w:keepNext/>
        <w:keepLines/>
        <w:spacing w:after="40"/>
        <w:ind w:left="369" w:hanging="198"/>
      </w:pPr>
      <w:r>
        <w:rPr>
          <w:rFonts w:ascii="Arial" w:hAnsi="Arial" w:cs="Arial"/>
          <w:b w:val="0"/>
          <w:sz w:val="21"/>
        </w:rPr>
        <w:t>C) La TGSS.</w:t>
      </w:r>
    </w:p>
    <w:p>
      <w:pPr>
        <w:keepNext/>
        <w:keepLines/>
        <w:spacing w:after="40"/>
        <w:ind w:left="369" w:hanging="198"/>
      </w:pPr>
      <w:r>
        <w:rPr>
          <w:rFonts w:ascii="Arial" w:hAnsi="Arial" w:cs="Arial"/>
          <w:b w:val="0"/>
          <w:sz w:val="21"/>
        </w:rPr>
        <w:t>D) La Secretaría General de Inclusión.</w:t>
      </w:r>
    </w:p>
    <w:p>
      <w:pPr>
        <w:pStyle w:val="Question"/>
        <w:keepNext/>
      </w:pPr>
      <w:r>
        <w:rPr>
          <w:rFonts w:ascii="Arial" w:hAnsi="Arial" w:cs="Arial"/>
          <w:sz w:val="22"/>
        </w:rPr>
        <w:t>48. Conforme al ordenamiento vigente a la fecha de corte, como regla general, un alta solicitada después de iniciada la prestación de servicios produce efectos administrativos:</w:t>
      </w:r>
    </w:p>
    <w:p>
      <w:pPr>
        <w:keepNext/>
        <w:keepLines/>
        <w:spacing w:after="40"/>
        <w:ind w:left="369" w:hanging="198"/>
      </w:pPr>
      <w:r>
        <w:rPr>
          <w:rFonts w:ascii="Arial" w:hAnsi="Arial" w:cs="Arial"/>
          <w:b w:val="0"/>
          <w:sz w:val="21"/>
        </w:rPr>
        <w:t>A) Siempre desde sesenta días antes de la solicitud.</w:t>
      </w:r>
    </w:p>
    <w:p>
      <w:pPr>
        <w:keepNext/>
        <w:keepLines/>
        <w:spacing w:after="40"/>
        <w:ind w:left="369" w:hanging="198"/>
      </w:pPr>
      <w:r>
        <w:rPr>
          <w:rFonts w:ascii="Arial" w:hAnsi="Arial" w:cs="Arial"/>
          <w:b w:val="0"/>
          <w:sz w:val="21"/>
        </w:rPr>
        <w:t>B) Desde el primer día del año en que comenzó el trabajo.</w:t>
      </w:r>
    </w:p>
    <w:p>
      <w:pPr>
        <w:keepNext/>
        <w:keepLines/>
        <w:spacing w:after="40"/>
        <w:ind w:left="369" w:hanging="198"/>
      </w:pPr>
      <w:r>
        <w:rPr>
          <w:rFonts w:ascii="Arial" w:hAnsi="Arial" w:cs="Arial"/>
          <w:b w:val="0"/>
          <w:sz w:val="21"/>
        </w:rPr>
        <w:t>C) Únicamente desde que termina el contrato.</w:t>
      </w:r>
    </w:p>
    <w:p>
      <w:pPr>
        <w:keepNext/>
        <w:keepLines/>
        <w:spacing w:after="40"/>
        <w:ind w:left="369" w:hanging="198"/>
      </w:pPr>
      <w:r>
        <w:rPr>
          <w:rFonts w:ascii="Arial" w:hAnsi="Arial" w:cs="Arial"/>
          <w:b w:val="0"/>
          <w:sz w:val="21"/>
        </w:rPr>
        <w:t>D) Desde el día en que se formula la solicitud, sin perjuicio de cotizar desde el comienzo real y de las demás responsabilidades.</w:t>
      </w:r>
    </w:p>
    <w:p>
      <w:pPr>
        <w:pStyle w:val="Question"/>
        <w:keepNext/>
      </w:pPr>
      <w:r>
        <w:rPr>
          <w:rFonts w:ascii="Arial" w:hAnsi="Arial" w:cs="Arial"/>
          <w:sz w:val="22"/>
        </w:rPr>
        <w:t>49. Conforme al ordenamiento vigente a la fecha de corte, respecto de una ley aprobada por las Cortes Generales, ¿qué actuación corresponde al Rey?</w:t>
      </w:r>
    </w:p>
    <w:p>
      <w:pPr>
        <w:keepNext/>
        <w:keepLines/>
        <w:spacing w:after="40"/>
        <w:ind w:left="369" w:hanging="198"/>
      </w:pPr>
      <w:r>
        <w:rPr>
          <w:rFonts w:ascii="Arial" w:hAnsi="Arial" w:cs="Arial"/>
          <w:b w:val="0"/>
          <w:sz w:val="21"/>
        </w:rPr>
        <w:t>A) Debe sancionarla en quince días, promulgarla y ordenar su inmediata publicación.</w:t>
      </w:r>
    </w:p>
    <w:p>
      <w:pPr>
        <w:keepNext/>
        <w:keepLines/>
        <w:spacing w:after="40"/>
        <w:ind w:left="369" w:hanging="198"/>
      </w:pPr>
      <w:r>
        <w:rPr>
          <w:rFonts w:ascii="Arial" w:hAnsi="Arial" w:cs="Arial"/>
          <w:b w:val="0"/>
          <w:sz w:val="21"/>
        </w:rPr>
        <w:t>B) Puede vetarla y devolverla motivadamente al Congreso.</w:t>
      </w:r>
    </w:p>
    <w:p>
      <w:pPr>
        <w:keepNext/>
        <w:keepLines/>
        <w:spacing w:after="40"/>
        <w:ind w:left="369" w:hanging="198"/>
      </w:pPr>
      <w:r>
        <w:rPr>
          <w:rFonts w:ascii="Arial" w:hAnsi="Arial" w:cs="Arial"/>
          <w:b w:val="0"/>
          <w:sz w:val="21"/>
        </w:rPr>
        <w:t>C) Puede suspender su sanción hasta el final de la legislatura.</w:t>
      </w:r>
    </w:p>
    <w:p>
      <w:pPr>
        <w:keepNext/>
        <w:keepLines/>
        <w:spacing w:after="40"/>
        <w:ind w:left="369" w:hanging="198"/>
      </w:pPr>
      <w:r>
        <w:rPr>
          <w:rFonts w:ascii="Arial" w:hAnsi="Arial" w:cs="Arial"/>
          <w:b w:val="0"/>
          <w:sz w:val="21"/>
        </w:rPr>
        <w:t>D) Solo la promulga si obtuvo mayoría absoluta en ambas Cámaras.</w:t>
      </w:r>
    </w:p>
    <w:p>
      <w:pPr>
        <w:pStyle w:val="Question"/>
        <w:keepNext/>
      </w:pPr>
      <w:r>
        <w:rPr>
          <w:rFonts w:ascii="Arial" w:hAnsi="Arial" w:cs="Arial"/>
          <w:sz w:val="22"/>
        </w:rPr>
        <w:t>50. Conforme al ordenamiento vigente a la fecha de corte, ¿Cuándo culminó, con carácter general, la transformación de los restantes juzgados en Secciones de Tribunales de Instancia y la constitución del Tribunal Central?</w:t>
      </w:r>
    </w:p>
    <w:p>
      <w:pPr>
        <w:keepNext/>
        <w:keepLines/>
        <w:spacing w:after="40"/>
        <w:ind w:left="369" w:hanging="198"/>
      </w:pPr>
      <w:r>
        <w:rPr>
          <w:rFonts w:ascii="Arial" w:hAnsi="Arial" w:cs="Arial"/>
          <w:b w:val="0"/>
          <w:sz w:val="21"/>
        </w:rPr>
        <w:t>A) El 1 de julio de 2025.</w:t>
      </w:r>
    </w:p>
    <w:p>
      <w:pPr>
        <w:keepNext/>
        <w:keepLines/>
        <w:spacing w:after="40"/>
        <w:ind w:left="369" w:hanging="198"/>
      </w:pPr>
      <w:r>
        <w:rPr>
          <w:rFonts w:ascii="Arial" w:hAnsi="Arial" w:cs="Arial"/>
          <w:b w:val="0"/>
          <w:sz w:val="21"/>
        </w:rPr>
        <w:t>B) El 1 de octubre de 2025.</w:t>
      </w:r>
    </w:p>
    <w:p>
      <w:pPr>
        <w:keepNext/>
        <w:keepLines/>
        <w:spacing w:after="40"/>
        <w:ind w:left="369" w:hanging="198"/>
      </w:pPr>
      <w:r>
        <w:rPr>
          <w:rFonts w:ascii="Arial" w:hAnsi="Arial" w:cs="Arial"/>
          <w:b w:val="0"/>
          <w:sz w:val="21"/>
        </w:rPr>
        <w:t>C) El 3 de abril de 2026.</w:t>
      </w:r>
    </w:p>
    <w:p>
      <w:pPr>
        <w:keepNext/>
        <w:keepLines/>
        <w:spacing w:after="40"/>
        <w:ind w:left="369" w:hanging="198"/>
      </w:pPr>
      <w:r>
        <w:rPr>
          <w:rFonts w:ascii="Arial" w:hAnsi="Arial" w:cs="Arial"/>
          <w:b w:val="0"/>
          <w:sz w:val="21"/>
        </w:rPr>
        <w:t>D) El 31 de diciembre de 2025.</w:t>
      </w:r>
    </w:p>
    <w:p>
      <w:pPr>
        <w:pStyle w:val="Question"/>
        <w:keepNext/>
      </w:pPr>
      <w:r>
        <w:rPr>
          <w:rFonts w:ascii="Arial" w:hAnsi="Arial" w:cs="Arial"/>
          <w:sz w:val="22"/>
        </w:rPr>
        <w:t>51. Conforme al ordenamiento vigente a la fecha de corte, los dictámenes del Consejo de Estado:</w:t>
      </w:r>
    </w:p>
    <w:p>
      <w:pPr>
        <w:keepNext/>
        <w:keepLines/>
        <w:spacing w:after="40"/>
        <w:ind w:left="369" w:hanging="198"/>
      </w:pPr>
      <w:r>
        <w:rPr>
          <w:rFonts w:ascii="Arial" w:hAnsi="Arial" w:cs="Arial"/>
          <w:b w:val="0"/>
          <w:sz w:val="21"/>
        </w:rPr>
        <w:t>A) No son vinculantes salvo que la ley disponga lo contrario, aunque la consulta puede ser preceptiva.</w:t>
      </w:r>
    </w:p>
    <w:p>
      <w:pPr>
        <w:keepNext/>
        <w:keepLines/>
        <w:spacing w:after="40"/>
        <w:ind w:left="369" w:hanging="198"/>
      </w:pPr>
      <w:r>
        <w:rPr>
          <w:rFonts w:ascii="Arial" w:hAnsi="Arial" w:cs="Arial"/>
          <w:b w:val="0"/>
          <w:sz w:val="21"/>
        </w:rPr>
        <w:t>B) Son siempre vinculantes, aunque la consulta sea facultativa.</w:t>
      </w:r>
    </w:p>
    <w:p>
      <w:pPr>
        <w:keepNext/>
        <w:keepLines/>
        <w:spacing w:after="40"/>
        <w:ind w:left="369" w:hanging="198"/>
      </w:pPr>
      <w:r>
        <w:rPr>
          <w:rFonts w:ascii="Arial" w:hAnsi="Arial" w:cs="Arial"/>
          <w:b w:val="0"/>
          <w:sz w:val="21"/>
        </w:rPr>
        <w:t>C) Solo pueden solicitarse cuando una ley impone la consulta.</w:t>
      </w:r>
    </w:p>
    <w:p>
      <w:pPr>
        <w:keepNext/>
        <w:keepLines/>
        <w:spacing w:after="40"/>
        <w:ind w:left="369" w:hanging="198"/>
      </w:pPr>
      <w:r>
        <w:rPr>
          <w:rFonts w:ascii="Arial" w:hAnsi="Arial" w:cs="Arial"/>
          <w:b w:val="0"/>
          <w:sz w:val="21"/>
        </w:rPr>
        <w:t>D) Son siempre facultativos y no vinculantes.</w:t>
      </w:r>
    </w:p>
    <w:p>
      <w:pPr>
        <w:pStyle w:val="Question"/>
        <w:keepNext/>
      </w:pPr>
      <w:r>
        <w:rPr>
          <w:rFonts w:ascii="Arial" w:hAnsi="Arial" w:cs="Arial"/>
          <w:sz w:val="22"/>
        </w:rPr>
        <w:t>52. Conforme al ordenamiento vigente a la fecha de corte, una acusación por traición contra un ministro, por hechos cometidos en el ejercicio de sus funciones:</w:t>
      </w:r>
    </w:p>
    <w:p>
      <w:pPr>
        <w:keepNext/>
        <w:keepLines/>
        <w:spacing w:after="40"/>
        <w:ind w:left="369" w:hanging="198"/>
      </w:pPr>
      <w:r>
        <w:rPr>
          <w:rFonts w:ascii="Arial" w:hAnsi="Arial" w:cs="Arial"/>
          <w:b w:val="0"/>
          <w:sz w:val="21"/>
        </w:rPr>
        <w:t>A) Requiere iniciativa de una cuarta parte del Congreso y aprobación por mayoría absoluta.</w:t>
      </w:r>
    </w:p>
    <w:p>
      <w:pPr>
        <w:keepNext/>
        <w:keepLines/>
        <w:spacing w:after="40"/>
        <w:ind w:left="369" w:hanging="198"/>
      </w:pPr>
      <w:r>
        <w:rPr>
          <w:rFonts w:ascii="Arial" w:hAnsi="Arial" w:cs="Arial"/>
          <w:b w:val="0"/>
          <w:sz w:val="21"/>
        </w:rPr>
        <w:t>B) Requiere iniciativa del Senado y aprobación por tres quintos.</w:t>
      </w:r>
    </w:p>
    <w:p>
      <w:pPr>
        <w:keepNext/>
        <w:keepLines/>
        <w:spacing w:after="40"/>
        <w:ind w:left="369" w:hanging="198"/>
      </w:pPr>
      <w:r>
        <w:rPr>
          <w:rFonts w:ascii="Arial" w:hAnsi="Arial" w:cs="Arial"/>
          <w:b w:val="0"/>
          <w:sz w:val="21"/>
        </w:rPr>
        <w:t>C) Solo puede ser planteada por el Ministerio Fiscal.</w:t>
      </w:r>
    </w:p>
    <w:p>
      <w:pPr>
        <w:keepNext/>
        <w:keepLines/>
        <w:spacing w:after="40"/>
        <w:ind w:left="369" w:hanging="198"/>
      </w:pPr>
      <w:r>
        <w:rPr>
          <w:rFonts w:ascii="Arial" w:hAnsi="Arial" w:cs="Arial"/>
          <w:b w:val="0"/>
          <w:sz w:val="21"/>
        </w:rPr>
        <w:t>D) Se tramita directamente ante el Tribunal Constitucional.</w:t>
      </w:r>
    </w:p>
    <w:p>
      <w:pPr>
        <w:pStyle w:val="Question"/>
        <w:keepNext/>
      </w:pPr>
      <w:r>
        <w:rPr>
          <w:rFonts w:ascii="Arial" w:hAnsi="Arial" w:cs="Arial"/>
          <w:sz w:val="22"/>
        </w:rPr>
        <w:t>53. En una comprobación jurídica del expediente, la Intervención General de la Seguridad Social depende funcionalmente de:</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Instituto Nacional de la Seguridad Social.</w:t>
      </w:r>
    </w:p>
    <w:p>
      <w:pPr>
        <w:keepNext/>
        <w:keepLines/>
        <w:spacing w:after="40"/>
        <w:ind w:left="369" w:hanging="198"/>
      </w:pPr>
      <w:r>
        <w:rPr>
          <w:rFonts w:ascii="Arial" w:hAnsi="Arial" w:cs="Arial"/>
          <w:b w:val="0"/>
          <w:sz w:val="21"/>
        </w:rPr>
        <w:t>C) La Secretaría General de Inclusión.</w:t>
      </w:r>
    </w:p>
    <w:p>
      <w:pPr>
        <w:keepNext/>
        <w:keepLines/>
        <w:spacing w:after="40"/>
        <w:ind w:left="369" w:hanging="198"/>
      </w:pPr>
      <w:r>
        <w:rPr>
          <w:rFonts w:ascii="Arial" w:hAnsi="Arial" w:cs="Arial"/>
          <w:b w:val="0"/>
          <w:sz w:val="21"/>
        </w:rPr>
        <w:t>D) La Intervención General de la Administración del Estado.</w:t>
      </w:r>
    </w:p>
    <w:p>
      <w:pPr>
        <w:pStyle w:val="Question"/>
        <w:keepNext/>
      </w:pPr>
      <w:r>
        <w:rPr>
          <w:rFonts w:ascii="Arial" w:hAnsi="Arial" w:cs="Arial"/>
          <w:sz w:val="22"/>
        </w:rPr>
        <w:t>54. Conforme al ordenamiento vigente a la fecha de corte, el beneficio contributivo por parto del artículo 235 TRLGSS reconoce, con carácter general:</w:t>
      </w:r>
    </w:p>
    <w:p>
      <w:pPr>
        <w:keepNext/>
        <w:keepLines/>
        <w:spacing w:after="40"/>
        <w:ind w:left="369" w:hanging="198"/>
      </w:pPr>
      <w:r>
        <w:rPr>
          <w:rFonts w:ascii="Arial" w:hAnsi="Arial" w:cs="Arial"/>
          <w:b w:val="0"/>
          <w:sz w:val="21"/>
        </w:rPr>
        <w:t>A) 270 días por cada parto.</w:t>
      </w:r>
    </w:p>
    <w:p>
      <w:pPr>
        <w:keepNext/>
        <w:keepLines/>
        <w:spacing w:after="40"/>
        <w:ind w:left="369" w:hanging="198"/>
      </w:pPr>
      <w:r>
        <w:rPr>
          <w:rFonts w:ascii="Arial" w:hAnsi="Arial" w:cs="Arial"/>
          <w:b w:val="0"/>
          <w:sz w:val="21"/>
        </w:rPr>
        <w:t>B) Tres años por cada hijo.</w:t>
      </w:r>
    </w:p>
    <w:p>
      <w:pPr>
        <w:keepNext/>
        <w:keepLines/>
        <w:spacing w:after="40"/>
        <w:ind w:left="369" w:hanging="198"/>
      </w:pPr>
      <w:r>
        <w:rPr>
          <w:rFonts w:ascii="Arial" w:hAnsi="Arial" w:cs="Arial"/>
          <w:b w:val="0"/>
          <w:sz w:val="21"/>
        </w:rPr>
        <w:t>C) 112 días por cada parto de un hijo, más 14 por cada hijo desde el segundo en parto múltiple.</w:t>
      </w:r>
    </w:p>
    <w:p>
      <w:pPr>
        <w:keepNext/>
        <w:keepLines/>
        <w:spacing w:after="40"/>
        <w:ind w:left="369" w:hanging="198"/>
      </w:pPr>
      <w:r>
        <w:rPr>
          <w:rFonts w:ascii="Arial" w:hAnsi="Arial" w:cs="Arial"/>
          <w:b w:val="0"/>
          <w:sz w:val="21"/>
        </w:rPr>
        <w:t>D) 16 semanas incluso si ya fueron íntegramente cotizadas.</w:t>
      </w:r>
    </w:p>
    <w:p>
      <w:pPr>
        <w:pStyle w:val="Question"/>
        <w:keepNext/>
      </w:pPr>
      <w:r>
        <w:rPr>
          <w:rFonts w:ascii="Arial" w:hAnsi="Arial" w:cs="Arial"/>
          <w:sz w:val="22"/>
        </w:rPr>
        <w:t>55. A efectos de aplicar correctamente la regla examinada, la reforma del artículo 49 se tramitó por el artículo 167 porque:</w:t>
      </w:r>
    </w:p>
    <w:p>
      <w:pPr>
        <w:keepNext/>
        <w:keepLines/>
        <w:spacing w:after="40"/>
        <w:ind w:left="369" w:hanging="198"/>
      </w:pPr>
      <w:r>
        <w:rPr>
          <w:rFonts w:ascii="Arial" w:hAnsi="Arial" w:cs="Arial"/>
          <w:b w:val="0"/>
          <w:sz w:val="21"/>
        </w:rPr>
        <w:t>A) Todas las reformas parciales deben seguir siempre el artículo 167.</w:t>
      </w:r>
    </w:p>
    <w:p>
      <w:pPr>
        <w:keepNext/>
        <w:keepLines/>
        <w:spacing w:after="40"/>
        <w:ind w:left="369" w:hanging="198"/>
      </w:pPr>
      <w:r>
        <w:rPr>
          <w:rFonts w:ascii="Arial" w:hAnsi="Arial" w:cs="Arial"/>
          <w:b w:val="0"/>
          <w:sz w:val="21"/>
        </w:rPr>
        <w:t>B) El artículo 49 pertenece al capítulo III del título I y no a la sección 1.ª del capítulo II.</w:t>
      </w:r>
    </w:p>
    <w:p>
      <w:pPr>
        <w:keepNext/>
        <w:keepLines/>
        <w:spacing w:after="40"/>
        <w:ind w:left="369" w:hanging="198"/>
      </w:pPr>
      <w:r>
        <w:rPr>
          <w:rFonts w:ascii="Arial" w:hAnsi="Arial" w:cs="Arial"/>
          <w:b w:val="0"/>
          <w:sz w:val="21"/>
        </w:rPr>
        <w:t>C) El artículo 168 solo se aplica a la reforma total.</w:t>
      </w:r>
    </w:p>
    <w:p>
      <w:pPr>
        <w:keepNext/>
        <w:keepLines/>
        <w:spacing w:after="40"/>
        <w:ind w:left="369" w:hanging="198"/>
      </w:pPr>
      <w:r>
        <w:rPr>
          <w:rFonts w:ascii="Arial" w:hAnsi="Arial" w:cs="Arial"/>
          <w:b w:val="0"/>
          <w:sz w:val="21"/>
        </w:rPr>
        <w:t>D) Los principios rectores no forman parte de la Constitución.</w:t>
      </w:r>
    </w:p>
    <w:p>
      <w:pPr>
        <w:pStyle w:val="Question"/>
        <w:keepNext/>
      </w:pPr>
      <w:r>
        <w:rPr>
          <w:rFonts w:ascii="Arial" w:hAnsi="Arial" w:cs="Arial"/>
          <w:sz w:val="22"/>
        </w:rPr>
        <w:t>56. Conforme al ordenamiento vigente a la fecha de corte, en el Sistema Especial para Empleados de Hogar, la obligación de solicitar alta y baja y de ingresar las cuotas corresponde, como regla general:</w:t>
      </w:r>
    </w:p>
    <w:p>
      <w:pPr>
        <w:keepNext/>
        <w:keepLines/>
        <w:spacing w:after="40"/>
        <w:ind w:left="369" w:hanging="198"/>
      </w:pPr>
      <w:r>
        <w:rPr>
          <w:rFonts w:ascii="Arial" w:hAnsi="Arial" w:cs="Arial"/>
          <w:b w:val="0"/>
          <w:sz w:val="21"/>
        </w:rPr>
        <w:t>A) Siempre y exclusivamente al trabajador.</w:t>
      </w:r>
    </w:p>
    <w:p>
      <w:pPr>
        <w:keepNext/>
        <w:keepLines/>
        <w:spacing w:after="40"/>
        <w:ind w:left="369" w:hanging="198"/>
      </w:pPr>
      <w:r>
        <w:rPr>
          <w:rFonts w:ascii="Arial" w:hAnsi="Arial" w:cs="Arial"/>
          <w:b w:val="0"/>
          <w:sz w:val="21"/>
        </w:rPr>
        <w:t>B) Al ayuntamiento del domicilio familiar.</w:t>
      </w:r>
    </w:p>
    <w:p>
      <w:pPr>
        <w:keepNext/>
        <w:keepLines/>
        <w:spacing w:after="40"/>
        <w:ind w:left="369" w:hanging="198"/>
      </w:pPr>
      <w:r>
        <w:rPr>
          <w:rFonts w:ascii="Arial" w:hAnsi="Arial" w:cs="Arial"/>
          <w:b w:val="0"/>
          <w:sz w:val="21"/>
        </w:rPr>
        <w:t>C) Al Servicio Público de Empleo Estatal.</w:t>
      </w:r>
    </w:p>
    <w:p>
      <w:pPr>
        <w:keepNext/>
        <w:keepLines/>
        <w:spacing w:after="40"/>
        <w:ind w:left="369" w:hanging="198"/>
      </w:pPr>
      <w:r>
        <w:rPr>
          <w:rFonts w:ascii="Arial" w:hAnsi="Arial" w:cs="Arial"/>
          <w:b w:val="0"/>
          <w:sz w:val="21"/>
        </w:rPr>
        <w:t>D) Al empleador, sin perjuicio de las reglas especiales aplicables.</w:t>
      </w:r>
    </w:p>
    <w:p>
      <w:pPr>
        <w:pStyle w:val="Question"/>
        <w:keepNext/>
      </w:pPr>
      <w:r>
        <w:rPr>
          <w:rFonts w:ascii="Arial" w:hAnsi="Arial" w:cs="Arial"/>
          <w:sz w:val="22"/>
        </w:rPr>
        <w:t>57. Conforme al ordenamiento vigente a la fecha de corte, un reglamento de la Unión Europea, conforme al artículo 288 TFUE:</w:t>
      </w:r>
    </w:p>
    <w:p>
      <w:pPr>
        <w:keepNext/>
        <w:keepLines/>
        <w:spacing w:after="40"/>
        <w:ind w:left="369" w:hanging="198"/>
      </w:pPr>
      <w:r>
        <w:rPr>
          <w:rFonts w:ascii="Arial" w:hAnsi="Arial" w:cs="Arial"/>
          <w:b w:val="0"/>
          <w:sz w:val="21"/>
        </w:rPr>
        <w:t>A) Solo vincula al Estado destinatario en cuanto al resultado.</w:t>
      </w:r>
    </w:p>
    <w:p>
      <w:pPr>
        <w:keepNext/>
        <w:keepLines/>
        <w:spacing w:after="40"/>
        <w:ind w:left="369" w:hanging="198"/>
      </w:pPr>
      <w:r>
        <w:rPr>
          <w:rFonts w:ascii="Arial" w:hAnsi="Arial" w:cs="Arial"/>
          <w:b w:val="0"/>
          <w:sz w:val="21"/>
        </w:rPr>
        <w:t>B) Requiere siempre una ley nacional de transposición.</w:t>
      </w:r>
    </w:p>
    <w:p>
      <w:pPr>
        <w:keepNext/>
        <w:keepLines/>
        <w:spacing w:after="40"/>
        <w:ind w:left="369" w:hanging="198"/>
      </w:pPr>
      <w:r>
        <w:rPr>
          <w:rFonts w:ascii="Arial" w:hAnsi="Arial" w:cs="Arial"/>
          <w:b w:val="0"/>
          <w:sz w:val="21"/>
        </w:rPr>
        <w:t>C) Es una recomendación sin fuerza vinculante.</w:t>
      </w:r>
    </w:p>
    <w:p>
      <w:pPr>
        <w:keepNext/>
        <w:keepLines/>
        <w:spacing w:after="40"/>
        <w:ind w:left="369" w:hanging="198"/>
      </w:pPr>
      <w:r>
        <w:rPr>
          <w:rFonts w:ascii="Arial" w:hAnsi="Arial" w:cs="Arial"/>
          <w:b w:val="0"/>
          <w:sz w:val="21"/>
        </w:rPr>
        <w:t>D) Es obligatorio en todos sus elementos y directamente aplicable en cada Estado miembro.</w:t>
      </w:r>
    </w:p>
    <w:p>
      <w:pPr>
        <w:pStyle w:val="Question"/>
        <w:keepNext/>
      </w:pPr>
      <w:r>
        <w:rPr>
          <w:rFonts w:ascii="Arial" w:hAnsi="Arial" w:cs="Arial"/>
          <w:sz w:val="22"/>
        </w:rPr>
        <w:t>58. De acuerdo con la regulación aplicable, ¿Cuál es el plazo ordinario para interponer el recurso de inconstitucionalidad desde la publicación de la norma?</w:t>
      </w:r>
    </w:p>
    <w:p>
      <w:pPr>
        <w:keepNext/>
        <w:keepLines/>
        <w:spacing w:after="40"/>
        <w:ind w:left="369" w:hanging="198"/>
      </w:pPr>
      <w:r>
        <w:rPr>
          <w:rFonts w:ascii="Arial" w:hAnsi="Arial" w:cs="Arial"/>
          <w:b w:val="0"/>
          <w:sz w:val="21"/>
        </w:rPr>
        <w:t>A) Tres meses.</w:t>
      </w:r>
    </w:p>
    <w:p>
      <w:pPr>
        <w:keepNext/>
        <w:keepLines/>
        <w:spacing w:after="40"/>
        <w:ind w:left="369" w:hanging="198"/>
      </w:pPr>
      <w:r>
        <w:rPr>
          <w:rFonts w:ascii="Arial" w:hAnsi="Arial" w:cs="Arial"/>
          <w:b w:val="0"/>
          <w:sz w:val="21"/>
        </w:rPr>
        <w:t>B) Quince días.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val="0"/>
          <w:sz w:val="21"/>
        </w:rPr>
        <w:t>D) Dos meses.</w:t>
      </w:r>
    </w:p>
    <w:p>
      <w:pPr>
        <w:pStyle w:val="Question"/>
        <w:keepNext/>
      </w:pPr>
      <w:r>
        <w:rPr>
          <w:rFonts w:ascii="Arial" w:hAnsi="Arial" w:cs="Arial"/>
          <w:sz w:val="22"/>
        </w:rPr>
        <w:t>59. A efectos de aplicar correctamente la regla examinada, la realización de actuaciones administrativas fuera del tiempo establecido implica anulabilidad:</w:t>
      </w:r>
    </w:p>
    <w:p>
      <w:pPr>
        <w:keepNext/>
        <w:keepLines/>
        <w:spacing w:after="40"/>
        <w:ind w:left="369" w:hanging="198"/>
      </w:pPr>
      <w:r>
        <w:rPr>
          <w:rFonts w:ascii="Arial" w:hAnsi="Arial" w:cs="Arial"/>
          <w:b w:val="0"/>
          <w:sz w:val="21"/>
        </w:rPr>
        <w:t>A) En todos los casos, sin atender a su naturaleza.</w:t>
      </w:r>
    </w:p>
    <w:p>
      <w:pPr>
        <w:keepNext/>
        <w:keepLines/>
        <w:spacing w:after="40"/>
        <w:ind w:left="369" w:hanging="198"/>
      </w:pPr>
      <w:r>
        <w:rPr>
          <w:rFonts w:ascii="Arial" w:hAnsi="Arial" w:cs="Arial"/>
          <w:b w:val="0"/>
          <w:sz w:val="21"/>
        </w:rPr>
        <w:t>B) Nunca, aunque el plazo sea esencial.</w:t>
      </w:r>
    </w:p>
    <w:p>
      <w:pPr>
        <w:keepNext/>
        <w:keepLines/>
        <w:spacing w:after="40"/>
        <w:ind w:left="369" w:hanging="198"/>
      </w:pPr>
      <w:r>
        <w:rPr>
          <w:rFonts w:ascii="Arial" w:hAnsi="Arial" w:cs="Arial"/>
          <w:b w:val="0"/>
          <w:sz w:val="21"/>
        </w:rPr>
        <w:t>C) Solo cuando lo imponga la naturaleza del término o plazo.</w:t>
      </w:r>
    </w:p>
    <w:p>
      <w:pPr>
        <w:keepNext/>
        <w:keepLines/>
        <w:spacing w:after="40"/>
        <w:ind w:left="369" w:hanging="198"/>
      </w:pPr>
      <w:r>
        <w:rPr>
          <w:rFonts w:ascii="Arial" w:hAnsi="Arial" w:cs="Arial"/>
          <w:b w:val="0"/>
          <w:sz w:val="21"/>
        </w:rPr>
        <w:t>D) Únicamente si existe silencio positivo.</w:t>
      </w:r>
    </w:p>
    <w:p>
      <w:pPr>
        <w:pStyle w:val="Question"/>
        <w:keepNext/>
      </w:pPr>
      <w:r>
        <w:rPr>
          <w:rFonts w:ascii="Arial" w:hAnsi="Arial" w:cs="Arial"/>
          <w:sz w:val="22"/>
        </w:rPr>
        <w:t>60. A efectos de aplicar correctamente la regla examinada, el Gobierno responde solidariamente de su gestión política:</w:t>
      </w:r>
    </w:p>
    <w:p>
      <w:pPr>
        <w:keepNext/>
        <w:keepLines/>
        <w:spacing w:after="40"/>
        <w:ind w:left="369" w:hanging="198"/>
      </w:pPr>
      <w:r>
        <w:rPr>
          <w:rFonts w:ascii="Arial" w:hAnsi="Arial" w:cs="Arial"/>
          <w:b w:val="0"/>
          <w:sz w:val="21"/>
        </w:rPr>
        <w:t>A) Ante el Congreso de los Diputados.</w:t>
      </w:r>
    </w:p>
    <w:p>
      <w:pPr>
        <w:keepNext/>
        <w:keepLines/>
        <w:spacing w:after="40"/>
        <w:ind w:left="369" w:hanging="198"/>
      </w:pPr>
      <w:r>
        <w:rPr>
          <w:rFonts w:ascii="Arial" w:hAnsi="Arial" w:cs="Arial"/>
          <w:b w:val="0"/>
          <w:sz w:val="21"/>
        </w:rPr>
        <w:t>B) Ante el Rey.</w:t>
      </w:r>
    </w:p>
    <w:p>
      <w:pPr>
        <w:keepNext/>
        <w:keepLines/>
        <w:spacing w:after="40"/>
        <w:ind w:left="369" w:hanging="198"/>
      </w:pPr>
      <w:r>
        <w:rPr>
          <w:rFonts w:ascii="Arial" w:hAnsi="Arial" w:cs="Arial"/>
          <w:b w:val="0"/>
          <w:sz w:val="21"/>
        </w:rPr>
        <w:t>C) Ante el Senado.</w:t>
      </w:r>
    </w:p>
    <w:p>
      <w:pPr>
        <w:keepNext/>
        <w:keepLines/>
        <w:spacing w:after="40"/>
        <w:ind w:left="369" w:hanging="198"/>
      </w:pPr>
      <w:r>
        <w:rPr>
          <w:rFonts w:ascii="Arial" w:hAnsi="Arial" w:cs="Arial"/>
          <w:b w:val="0"/>
          <w:sz w:val="21"/>
        </w:rPr>
        <w:t>D) Ante el Tribunal Constitucional.</w:t>
      </w:r>
    </w:p>
    <w:p>
      <w:pPr>
        <w:pStyle w:val="Question"/>
        <w:keepNext/>
      </w:pPr>
      <w:r>
        <w:rPr>
          <w:rFonts w:ascii="Arial" w:hAnsi="Arial" w:cs="Arial"/>
          <w:sz w:val="22"/>
        </w:rPr>
        <w:t>61. A efectos de aplicar correctamente la regla examinada, las unidades que no tienen la consideración de órgano se crean, modifican y suprimen:</w:t>
      </w:r>
    </w:p>
    <w:p>
      <w:pPr>
        <w:keepNext/>
        <w:keepLines/>
        <w:spacing w:after="40"/>
        <w:ind w:left="369" w:hanging="198"/>
      </w:pPr>
      <w:r>
        <w:rPr>
          <w:rFonts w:ascii="Arial" w:hAnsi="Arial" w:cs="Arial"/>
          <w:b w:val="0"/>
          <w:sz w:val="21"/>
        </w:rPr>
        <w:t>A) A través de las relaciones de puestos de trabajo.</w:t>
      </w:r>
    </w:p>
    <w:p>
      <w:pPr>
        <w:keepNext/>
        <w:keepLines/>
        <w:spacing w:after="40"/>
        <w:ind w:left="369" w:hanging="198"/>
      </w:pPr>
      <w:r>
        <w:rPr>
          <w:rFonts w:ascii="Arial" w:hAnsi="Arial" w:cs="Arial"/>
          <w:b w:val="0"/>
          <w:sz w:val="21"/>
        </w:rPr>
        <w:t>B) Por real decreto del presidente.</w:t>
      </w:r>
    </w:p>
    <w:p>
      <w:pPr>
        <w:keepNext/>
        <w:keepLines/>
        <w:spacing w:after="40"/>
        <w:ind w:left="369" w:hanging="198"/>
      </w:pPr>
      <w:r>
        <w:rPr>
          <w:rFonts w:ascii="Arial" w:hAnsi="Arial" w:cs="Arial"/>
          <w:b w:val="0"/>
          <w:sz w:val="21"/>
        </w:rPr>
        <w:t>C) Por acuerdo del Consejo de Ministros.</w:t>
      </w:r>
    </w:p>
    <w:p>
      <w:pPr>
        <w:keepNext/>
        <w:keepLines/>
        <w:spacing w:after="40"/>
        <w:ind w:left="369" w:hanging="198"/>
      </w:pPr>
      <w:r>
        <w:rPr>
          <w:rFonts w:ascii="Arial" w:hAnsi="Arial" w:cs="Arial"/>
          <w:b w:val="0"/>
          <w:sz w:val="21"/>
        </w:rPr>
        <w:t>D) Por orden ministerial sin más trámite.</w:t>
      </w:r>
    </w:p>
    <w:p>
      <w:pPr>
        <w:pStyle w:val="Question"/>
        <w:keepNext/>
      </w:pPr>
      <w:r>
        <w:rPr>
          <w:rFonts w:ascii="Arial" w:hAnsi="Arial" w:cs="Arial"/>
          <w:sz w:val="22"/>
        </w:rPr>
        <w:t>62. Conforme al ordenamiento vigente a la fecha de corte, ¿Qué enumeración reproduce correctamente los grupos que el artículo 10.2 TRLGSS contempla para regímenes especiales?</w:t>
      </w:r>
    </w:p>
    <w:p>
      <w:pPr>
        <w:keepNext/>
        <w:keepLines/>
        <w:spacing w:after="40"/>
        <w:ind w:left="369" w:hanging="198"/>
      </w:pPr>
      <w:r>
        <w:rPr>
          <w:rFonts w:ascii="Arial" w:hAnsi="Arial" w:cs="Arial"/>
          <w:b w:val="0"/>
          <w:sz w:val="21"/>
        </w:rPr>
        <w:t>A) Autónomos; trabajadores del mar; funcionarios públicos, civiles y militares; estudiantes; y los demás grupos que determine el ministerio competente por resultar necesario.</w:t>
      </w:r>
    </w:p>
    <w:p>
      <w:pPr>
        <w:keepNext/>
        <w:keepLines/>
        <w:spacing w:after="40"/>
        <w:ind w:left="369" w:hanging="198"/>
      </w:pPr>
      <w:r>
        <w:rPr>
          <w:rFonts w:ascii="Arial" w:hAnsi="Arial" w:cs="Arial"/>
          <w:b w:val="0"/>
          <w:sz w:val="21"/>
        </w:rPr>
        <w:t>B) Autónomos, empleados de hogar, funcionarios locales y desempleados.</w:t>
      </w:r>
    </w:p>
    <w:p>
      <w:pPr>
        <w:keepNext/>
        <w:keepLines/>
        <w:spacing w:after="40"/>
        <w:ind w:left="369" w:hanging="198"/>
      </w:pPr>
      <w:r>
        <w:rPr>
          <w:rFonts w:ascii="Arial" w:hAnsi="Arial" w:cs="Arial"/>
          <w:b w:val="0"/>
          <w:sz w:val="21"/>
        </w:rPr>
        <w:t>C) Trabajadores del mar, personal sanitario, pensionistas y estudiantes.</w:t>
      </w:r>
    </w:p>
    <w:p>
      <w:pPr>
        <w:keepNext/>
        <w:keepLines/>
        <w:spacing w:after="40"/>
        <w:ind w:left="369" w:hanging="198"/>
      </w:pPr>
      <w:r>
        <w:rPr>
          <w:rFonts w:ascii="Arial" w:hAnsi="Arial" w:cs="Arial"/>
          <w:b w:val="0"/>
          <w:sz w:val="21"/>
        </w:rPr>
        <w:t>D) Autónomos, trabajadores agrarios por cuenta ajena, empleados de hogar y minería del carbón.</w:t>
      </w:r>
    </w:p>
    <w:p>
      <w:pPr>
        <w:pStyle w:val="Question"/>
        <w:keepNext/>
      </w:pPr>
      <w:r>
        <w:rPr>
          <w:rFonts w:ascii="Arial" w:hAnsi="Arial" w:cs="Arial"/>
          <w:sz w:val="22"/>
        </w:rPr>
        <w:t>63. Conforme al ordenamiento vigente a la fecha de corte, en el despacho de asuntos de naturaleza homogénea:</w:t>
      </w:r>
    </w:p>
    <w:p>
      <w:pPr>
        <w:keepNext/>
        <w:keepLines/>
        <w:spacing w:after="40"/>
        <w:ind w:left="369" w:hanging="198"/>
      </w:pPr>
      <w:r>
        <w:rPr>
          <w:rFonts w:ascii="Arial" w:hAnsi="Arial" w:cs="Arial"/>
          <w:b w:val="0"/>
          <w:sz w:val="21"/>
        </w:rPr>
        <w:t>A) El instructor puede alterar libremente el orden.</w:t>
      </w:r>
    </w:p>
    <w:p>
      <w:pPr>
        <w:keepNext/>
        <w:keepLines/>
        <w:spacing w:after="40"/>
        <w:ind w:left="369" w:hanging="198"/>
      </w:pPr>
      <w:r>
        <w:rPr>
          <w:rFonts w:ascii="Arial" w:hAnsi="Arial" w:cs="Arial"/>
          <w:b w:val="0"/>
          <w:sz w:val="21"/>
        </w:rPr>
        <w:t>B) Se resolverán primero los iniciados a solicitud.</w:t>
      </w:r>
    </w:p>
    <w:p>
      <w:pPr>
        <w:keepNext/>
        <w:keepLines/>
        <w:spacing w:after="40"/>
        <w:ind w:left="369" w:hanging="198"/>
      </w:pPr>
      <w:r>
        <w:rPr>
          <w:rFonts w:ascii="Arial" w:hAnsi="Arial" w:cs="Arial"/>
          <w:b w:val="0"/>
          <w:sz w:val="21"/>
        </w:rPr>
        <w:t>C) Se guardará el orden riguroso de incoación, salvo orden motivada del titular de la unidad.</w:t>
      </w:r>
    </w:p>
    <w:p>
      <w:pPr>
        <w:keepNext/>
        <w:keepLines/>
        <w:spacing w:after="40"/>
        <w:ind w:left="369" w:hanging="198"/>
      </w:pPr>
      <w:r>
        <w:rPr>
          <w:rFonts w:ascii="Arial" w:hAnsi="Arial" w:cs="Arial"/>
          <w:b w:val="0"/>
          <w:sz w:val="21"/>
        </w:rPr>
        <w:t>D) Se aplicará siempre el orden alfabético de los interesados.</w:t>
      </w:r>
    </w:p>
    <w:p>
      <w:pPr>
        <w:pStyle w:val="Question"/>
        <w:keepNext/>
      </w:pPr>
      <w:r>
        <w:rPr>
          <w:rFonts w:ascii="Arial" w:hAnsi="Arial" w:cs="Arial"/>
          <w:sz w:val="22"/>
        </w:rPr>
        <w:t>64. A efectos de aplicar correctamente la regla examinada, el IMSERSO gestiona, según el artículo 66:</w:t>
      </w:r>
    </w:p>
    <w:p>
      <w:pPr>
        <w:keepNext/>
        <w:keepLines/>
        <w:spacing w:after="40"/>
        <w:ind w:left="369" w:hanging="198"/>
      </w:pPr>
      <w:r>
        <w:rPr>
          <w:rFonts w:ascii="Arial" w:hAnsi="Arial" w:cs="Arial"/>
          <w:b w:val="0"/>
          <w:sz w:val="21"/>
        </w:rPr>
        <w:t>A) La recaudación ejecutiva.</w:t>
      </w:r>
    </w:p>
    <w:p>
      <w:pPr>
        <w:keepNext/>
        <w:keepLines/>
        <w:spacing w:after="40"/>
        <w:ind w:left="369" w:hanging="198"/>
      </w:pPr>
      <w:r>
        <w:rPr>
          <w:rFonts w:ascii="Arial" w:hAnsi="Arial" w:cs="Arial"/>
          <w:b w:val="0"/>
          <w:sz w:val="21"/>
        </w:rPr>
        <w:t>B) Exclusivamente prestaciones por desempleo.</w:t>
      </w:r>
    </w:p>
    <w:p>
      <w:pPr>
        <w:keepNext/>
        <w:keepLines/>
        <w:spacing w:after="40"/>
        <w:ind w:left="369" w:hanging="198"/>
      </w:pPr>
      <w:r>
        <w:rPr>
          <w:rFonts w:ascii="Arial" w:hAnsi="Arial" w:cs="Arial"/>
          <w:b w:val="0"/>
          <w:sz w:val="21"/>
        </w:rPr>
        <w:t>C) Pensiones no contributivas de incapacidad y jubilación y servicios complementarios.</w:t>
      </w:r>
    </w:p>
    <w:p>
      <w:pPr>
        <w:keepNext/>
        <w:keepLines/>
        <w:spacing w:after="40"/>
        <w:ind w:left="369" w:hanging="198"/>
      </w:pPr>
      <w:r>
        <w:rPr>
          <w:rFonts w:ascii="Arial" w:hAnsi="Arial" w:cs="Arial"/>
          <w:b w:val="0"/>
          <w:sz w:val="21"/>
        </w:rPr>
        <w:t>D) Afiliación y altas del Régimen General.</w:t>
      </w:r>
    </w:p>
    <w:p>
      <w:pPr>
        <w:pStyle w:val="Question"/>
        <w:keepNext/>
      </w:pPr>
      <w:r>
        <w:rPr>
          <w:rFonts w:ascii="Arial" w:hAnsi="Arial" w:cs="Arial"/>
          <w:sz w:val="22"/>
        </w:rPr>
        <w:t>65. Sin añadir circunstancias distintas de las indicadas, los activos del Fondo de Reserva se materializan:</w:t>
      </w:r>
    </w:p>
    <w:p>
      <w:pPr>
        <w:keepNext/>
        <w:keepLines/>
        <w:spacing w:after="40"/>
        <w:ind w:left="369" w:hanging="198"/>
      </w:pPr>
      <w:r>
        <w:rPr>
          <w:rFonts w:ascii="Arial" w:hAnsi="Arial" w:cs="Arial"/>
          <w:b w:val="0"/>
          <w:sz w:val="21"/>
        </w:rPr>
        <w:t>A) Exclusivamente en acciones de sociedades privadas.</w:t>
      </w:r>
    </w:p>
    <w:p>
      <w:pPr>
        <w:keepNext/>
        <w:keepLines/>
        <w:spacing w:after="40"/>
        <w:ind w:left="369" w:hanging="198"/>
      </w:pPr>
      <w:r>
        <w:rPr>
          <w:rFonts w:ascii="Arial" w:hAnsi="Arial" w:cs="Arial"/>
          <w:b w:val="0"/>
          <w:sz w:val="21"/>
        </w:rPr>
        <w:t>B) Solo en inmuebles adscritos al INSS.</w:t>
      </w:r>
    </w:p>
    <w:p>
      <w:pPr>
        <w:keepNext/>
        <w:keepLines/>
        <w:spacing w:after="40"/>
        <w:ind w:left="369" w:hanging="198"/>
      </w:pPr>
      <w:r>
        <w:rPr>
          <w:rFonts w:ascii="Arial" w:hAnsi="Arial" w:cs="Arial"/>
          <w:b w:val="0"/>
          <w:sz w:val="21"/>
        </w:rPr>
        <w:t>C) En títulos emitidos por personas jurídicas públicas, conforme a los criterios legales y reglamentarios.</w:t>
      </w:r>
    </w:p>
    <w:p>
      <w:pPr>
        <w:keepNext/>
        <w:keepLines/>
        <w:spacing w:after="40"/>
        <w:ind w:left="369" w:hanging="198"/>
      </w:pPr>
      <w:r>
        <w:rPr>
          <w:rFonts w:ascii="Arial" w:hAnsi="Arial" w:cs="Arial"/>
          <w:b w:val="0"/>
          <w:sz w:val="21"/>
        </w:rPr>
        <w:t>D) En préstamos personales a pensionistas.</w:t>
      </w:r>
    </w:p>
    <w:p>
      <w:pPr>
        <w:pStyle w:val="Question"/>
        <w:keepNext/>
      </w:pPr>
      <w:r>
        <w:rPr>
          <w:rFonts w:ascii="Arial" w:hAnsi="Arial" w:cs="Arial"/>
          <w:sz w:val="22"/>
        </w:rPr>
        <w:t>66. Conforme al ordenamiento vigente a la fecha de corte, el plazo máximo para notificar la reclamación de deuda por derivación de responsabilidad, contado desde el día siguiente al acuerdo de iniciación, es de:</w:t>
      </w:r>
    </w:p>
    <w:p>
      <w:pPr>
        <w:keepNext/>
        <w:keepLines/>
        <w:spacing w:after="40"/>
        <w:ind w:left="369" w:hanging="198"/>
      </w:pPr>
      <w:r>
        <w:rPr>
          <w:rFonts w:ascii="Arial" w:hAnsi="Arial" w:cs="Arial"/>
          <w:b w:val="0"/>
          <w:sz w:val="21"/>
        </w:rPr>
        <w:t>A) Un mes.</w:t>
      </w:r>
    </w:p>
    <w:p>
      <w:pPr>
        <w:keepNext/>
        <w:keepLines/>
        <w:spacing w:after="40"/>
        <w:ind w:left="369" w:hanging="198"/>
      </w:pPr>
      <w:r>
        <w:rPr>
          <w:rFonts w:ascii="Arial" w:hAnsi="Arial" w:cs="Arial"/>
          <w:b w:val="0"/>
          <w:sz w:val="21"/>
        </w:rPr>
        <w:t>B) Seis meses.</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Cuatro años.</w:t>
      </w:r>
    </w:p>
    <w:p>
      <w:pPr>
        <w:pStyle w:val="Question"/>
        <w:keepNext/>
      </w:pPr>
      <w:r>
        <w:rPr>
          <w:rFonts w:ascii="Arial" w:hAnsi="Arial" w:cs="Arial"/>
          <w:sz w:val="22"/>
        </w:rPr>
        <w:t>67. En una comprobación jurídica del expediente, si se extinguen todas las líneas llamadas en Derecho, ¿quién provee a la sucesión?</w:t>
      </w:r>
    </w:p>
    <w:p>
      <w:pPr>
        <w:keepNext/>
        <w:keepLines/>
        <w:spacing w:after="40"/>
        <w:ind w:left="369" w:hanging="198"/>
      </w:pPr>
      <w:r>
        <w:rPr>
          <w:rFonts w:ascii="Arial" w:hAnsi="Arial" w:cs="Arial"/>
          <w:b w:val="0"/>
          <w:sz w:val="21"/>
        </w:rPr>
        <w:t>A) Las Cortes Generales, en la forma que más convenga a los intereses de España.</w:t>
      </w:r>
    </w:p>
    <w:p>
      <w:pPr>
        <w:keepNext/>
        <w:keepLines/>
        <w:spacing w:after="40"/>
        <w:ind w:left="369" w:hanging="198"/>
      </w:pPr>
      <w:r>
        <w:rPr>
          <w:rFonts w:ascii="Arial" w:hAnsi="Arial" w:cs="Arial"/>
          <w:b w:val="0"/>
          <w:sz w:val="21"/>
        </w:rPr>
        <w:t>B) El Gobierno.</w:t>
      </w:r>
    </w:p>
    <w:p>
      <w:pPr>
        <w:keepNext/>
        <w:keepLines/>
        <w:spacing w:after="40"/>
        <w:ind w:left="369" w:hanging="198"/>
      </w:pPr>
      <w:r>
        <w:rPr>
          <w:rFonts w:ascii="Arial" w:hAnsi="Arial" w:cs="Arial"/>
          <w:b w:val="0"/>
          <w:sz w:val="21"/>
        </w:rPr>
        <w:t>C) El Tribunal Constitucional.</w:t>
      </w:r>
    </w:p>
    <w:p>
      <w:pPr>
        <w:keepNext/>
        <w:keepLines/>
        <w:spacing w:after="40"/>
        <w:ind w:left="369" w:hanging="198"/>
      </w:pPr>
      <w:r>
        <w:rPr>
          <w:rFonts w:ascii="Arial" w:hAnsi="Arial" w:cs="Arial"/>
          <w:b w:val="0"/>
          <w:sz w:val="21"/>
        </w:rPr>
        <w:t>D) El Consejo de Estado.</w:t>
      </w:r>
    </w:p>
    <w:p>
      <w:pPr>
        <w:pStyle w:val="Question"/>
        <w:keepNext/>
      </w:pPr>
      <w:r>
        <w:rPr>
          <w:rFonts w:ascii="Arial" w:hAnsi="Arial" w:cs="Arial"/>
          <w:sz w:val="22"/>
        </w:rPr>
        <w:t>68. Conforme al ordenamiento vigente a la fecha de corte, con un Parlamento de 720 escaños, la elección del presidente de la Comisión requiere:</w:t>
      </w:r>
    </w:p>
    <w:p>
      <w:pPr>
        <w:keepNext/>
        <w:keepLines/>
        <w:spacing w:after="40"/>
        <w:ind w:left="369" w:hanging="198"/>
      </w:pPr>
      <w:r>
        <w:rPr>
          <w:rFonts w:ascii="Arial" w:hAnsi="Arial" w:cs="Arial"/>
          <w:b w:val="0"/>
          <w:sz w:val="21"/>
        </w:rPr>
        <w:t>A) La mayoría de votos emitidos, cualquiera que sea la asistencia.</w:t>
      </w:r>
    </w:p>
    <w:p>
      <w:pPr>
        <w:keepNext/>
        <w:keepLines/>
        <w:spacing w:after="40"/>
        <w:ind w:left="369" w:hanging="198"/>
      </w:pPr>
      <w:r>
        <w:rPr>
          <w:rFonts w:ascii="Arial" w:hAnsi="Arial" w:cs="Arial"/>
          <w:b w:val="0"/>
          <w:sz w:val="21"/>
        </w:rPr>
        <w:t>B) La mayoría de los miembros que lo componen, es decir, 361 votos.</w:t>
      </w:r>
    </w:p>
    <w:p>
      <w:pPr>
        <w:keepNext/>
        <w:keepLines/>
        <w:spacing w:after="40"/>
        <w:ind w:left="369" w:hanging="198"/>
      </w:pPr>
      <w:r>
        <w:rPr>
          <w:rFonts w:ascii="Arial" w:hAnsi="Arial" w:cs="Arial"/>
          <w:b w:val="0"/>
          <w:sz w:val="21"/>
        </w:rPr>
        <w:t>C) Dos tercios de votos emitidos y 65 % de población.</w:t>
      </w:r>
    </w:p>
    <w:p>
      <w:pPr>
        <w:keepNext/>
        <w:keepLines/>
        <w:spacing w:after="40"/>
        <w:ind w:left="369" w:hanging="198"/>
      </w:pPr>
      <w:r>
        <w:rPr>
          <w:rFonts w:ascii="Arial" w:hAnsi="Arial" w:cs="Arial"/>
          <w:b w:val="0"/>
          <w:sz w:val="21"/>
        </w:rPr>
        <w:t>D) Unanimidad de los grupos políticos.</w:t>
      </w:r>
    </w:p>
    <w:p>
      <w:pPr>
        <w:pStyle w:val="Question"/>
        <w:keepNext/>
      </w:pPr>
      <w:r>
        <w:rPr>
          <w:rFonts w:ascii="Arial" w:hAnsi="Arial" w:cs="Arial"/>
          <w:sz w:val="22"/>
        </w:rPr>
        <w:t>69. Conforme al ordenamiento vigente a la fecha de corte, la insuficiente acreditación de la representación:</w:t>
      </w:r>
    </w:p>
    <w:p>
      <w:pPr>
        <w:keepNext/>
        <w:keepLines/>
        <w:spacing w:after="40"/>
        <w:ind w:left="369" w:hanging="198"/>
      </w:pPr>
      <w:r>
        <w:rPr>
          <w:rFonts w:ascii="Arial" w:hAnsi="Arial" w:cs="Arial"/>
          <w:b w:val="0"/>
          <w:sz w:val="21"/>
        </w:rPr>
        <w:t>A) Invalida irremediablemente el acto desde su presentación.</w:t>
      </w:r>
    </w:p>
    <w:p>
      <w:pPr>
        <w:keepNext/>
        <w:keepLines/>
        <w:spacing w:after="40"/>
        <w:ind w:left="369" w:hanging="198"/>
      </w:pPr>
      <w:r>
        <w:rPr>
          <w:rFonts w:ascii="Arial" w:hAnsi="Arial" w:cs="Arial"/>
          <w:b w:val="0"/>
          <w:sz w:val="21"/>
        </w:rPr>
        <w:t>B) Solo puede subsanarse en tres días naturales.</w:t>
      </w:r>
    </w:p>
    <w:p>
      <w:pPr>
        <w:keepNext/>
        <w:keepLines/>
        <w:spacing w:after="40"/>
        <w:ind w:left="369" w:hanging="198"/>
      </w:pPr>
      <w:r>
        <w:rPr>
          <w:rFonts w:ascii="Arial" w:hAnsi="Arial" w:cs="Arial"/>
          <w:b w:val="0"/>
          <w:sz w:val="21"/>
        </w:rPr>
        <w:t>C) Se presume corregida al finalizar el procedimiento.</w:t>
      </w:r>
    </w:p>
    <w:p>
      <w:pPr>
        <w:keepNext/>
        <w:keepLines/>
        <w:spacing w:after="40"/>
        <w:ind w:left="369" w:hanging="198"/>
      </w:pPr>
      <w:r>
        <w:rPr>
          <w:rFonts w:ascii="Arial" w:hAnsi="Arial" w:cs="Arial"/>
          <w:b w:val="0"/>
          <w:sz w:val="21"/>
        </w:rPr>
        <w:t>D) Puede subsanarse en diez días o en un plazo superior concedido por las circunstancias.</w:t>
      </w:r>
    </w:p>
    <w:p>
      <w:pPr>
        <w:pStyle w:val="Question"/>
        <w:keepNext/>
      </w:pPr>
      <w:r>
        <w:rPr>
          <w:rFonts w:ascii="Arial" w:hAnsi="Arial" w:cs="Arial"/>
          <w:sz w:val="22"/>
        </w:rPr>
        <w:t>70. Conforme al ordenamiento vigente a la fecha de corte, con carácter general, las pensiones de muerte y supervivencia:</w:t>
      </w:r>
    </w:p>
    <w:p>
      <w:pPr>
        <w:keepNext/>
        <w:keepLines/>
        <w:spacing w:after="40"/>
        <w:ind w:left="369" w:hanging="198"/>
      </w:pPr>
      <w:r>
        <w:rPr>
          <w:rFonts w:ascii="Arial" w:hAnsi="Arial" w:cs="Arial"/>
          <w:b w:val="0"/>
          <w:sz w:val="21"/>
        </w:rPr>
        <w:t>A) Son imprescriptibles, aunque los efectos de una solicitud tardía se retrotraen como máximo tres meses; el auxilio es excepción.</w:t>
      </w:r>
    </w:p>
    <w:p>
      <w:pPr>
        <w:keepNext/>
        <w:keepLines/>
        <w:spacing w:after="40"/>
        <w:ind w:left="369" w:hanging="198"/>
      </w:pPr>
      <w:r>
        <w:rPr>
          <w:rFonts w:ascii="Arial" w:hAnsi="Arial" w:cs="Arial"/>
          <w:b w:val="0"/>
          <w:sz w:val="21"/>
        </w:rPr>
        <w:t>B) Prescriben al año desde el fallecimiento.</w:t>
      </w:r>
    </w:p>
    <w:p>
      <w:pPr>
        <w:keepNext/>
        <w:keepLines/>
        <w:spacing w:after="40"/>
        <w:ind w:left="369" w:hanging="198"/>
      </w:pPr>
      <w:r>
        <w:rPr>
          <w:rFonts w:ascii="Arial" w:hAnsi="Arial" w:cs="Arial"/>
          <w:b w:val="0"/>
          <w:sz w:val="21"/>
        </w:rPr>
        <w:t>C) Solo producen efectos desde la sentencia judicial.</w:t>
      </w:r>
    </w:p>
    <w:p>
      <w:pPr>
        <w:keepNext/>
        <w:keepLines/>
        <w:spacing w:after="40"/>
        <w:ind w:left="369" w:hanging="198"/>
      </w:pPr>
      <w:r>
        <w:rPr>
          <w:rFonts w:ascii="Arial" w:hAnsi="Arial" w:cs="Arial"/>
          <w:b w:val="0"/>
          <w:sz w:val="21"/>
        </w:rPr>
        <w:t>D) Retrotraen siempre todos sus efectos a la fecha de muerte sin límite.</w:t>
      </w:r>
    </w:p>
    <w:p>
      <w:pPr>
        <w:pStyle w:val="Heading2"/>
      </w:pPr>
      <w:r>
        <w:t>Preguntas de reserva de la primera parte</w:t>
      </w:r>
    </w:p>
    <w:p>
      <w:pPr>
        <w:pStyle w:val="Question"/>
        <w:keepNext/>
      </w:pPr>
      <w:r>
        <w:rPr>
          <w:rFonts w:ascii="Arial" w:hAnsi="Arial" w:cs="Arial"/>
          <w:sz w:val="22"/>
        </w:rPr>
        <w:t>71. A efectos de aplicar correctamente la regla examinada, las Comisiones Delegadas del Gobierno se crean, modifican o suprimen:</w:t>
      </w:r>
    </w:p>
    <w:p>
      <w:pPr>
        <w:keepNext/>
        <w:keepLines/>
        <w:spacing w:after="40"/>
        <w:ind w:left="369" w:hanging="198"/>
      </w:pPr>
      <w:r>
        <w:rPr>
          <w:rFonts w:ascii="Arial" w:hAnsi="Arial" w:cs="Arial"/>
          <w:b w:val="0"/>
          <w:sz w:val="21"/>
        </w:rPr>
        <w:t>A) Por orden del ministro de la Presidencia.</w:t>
      </w:r>
    </w:p>
    <w:p>
      <w:pPr>
        <w:keepNext/>
        <w:keepLines/>
        <w:spacing w:after="40"/>
        <w:ind w:left="369" w:hanging="198"/>
      </w:pPr>
      <w:r>
        <w:rPr>
          <w:rFonts w:ascii="Arial" w:hAnsi="Arial" w:cs="Arial"/>
          <w:b w:val="0"/>
          <w:sz w:val="21"/>
        </w:rPr>
        <w:t>B) Por real decreto acordado por el Consejo de Ministros, a propuesta del presidente.</w:t>
      </w:r>
    </w:p>
    <w:p>
      <w:pPr>
        <w:keepNext/>
        <w:keepLines/>
        <w:spacing w:after="40"/>
        <w:ind w:left="369" w:hanging="198"/>
      </w:pPr>
      <w:r>
        <w:rPr>
          <w:rFonts w:ascii="Arial" w:hAnsi="Arial" w:cs="Arial"/>
          <w:b w:val="0"/>
          <w:sz w:val="21"/>
        </w:rPr>
        <w:t>C) Por ley ordinaria a propuesta del Gobierno.</w:t>
      </w:r>
    </w:p>
    <w:p>
      <w:pPr>
        <w:keepNext/>
        <w:keepLines/>
        <w:spacing w:after="40"/>
        <w:ind w:left="369" w:hanging="198"/>
      </w:pPr>
      <w:r>
        <w:rPr>
          <w:rFonts w:ascii="Arial" w:hAnsi="Arial" w:cs="Arial"/>
          <w:b w:val="0"/>
          <w:sz w:val="21"/>
        </w:rPr>
        <w:t>D) Por real decreto del presidente sin intervención del Consejo.</w:t>
      </w:r>
    </w:p>
    <w:p>
      <w:pPr>
        <w:pStyle w:val="Question"/>
        <w:keepNext/>
      </w:pPr>
      <w:r>
        <w:rPr>
          <w:rFonts w:ascii="Arial" w:hAnsi="Arial" w:cs="Arial"/>
          <w:sz w:val="22"/>
        </w:rPr>
        <w:t>72. Conforme al ordenamiento vigente a la fecha de corte, puede revisarse por la vía del artículo 106.1:</w:t>
      </w:r>
    </w:p>
    <w:p>
      <w:pPr>
        <w:keepNext/>
        <w:keepLines/>
        <w:spacing w:after="40"/>
        <w:ind w:left="369" w:hanging="198"/>
      </w:pPr>
      <w:r>
        <w:rPr>
          <w:rFonts w:ascii="Arial" w:hAnsi="Arial" w:cs="Arial"/>
          <w:b w:val="0"/>
          <w:sz w:val="21"/>
        </w:rPr>
        <w:t>A) Cualquier acto anulable recurrido en plazo.</w:t>
      </w:r>
    </w:p>
    <w:p>
      <w:pPr>
        <w:keepNext/>
        <w:keepLines/>
        <w:spacing w:after="40"/>
        <w:ind w:left="369" w:hanging="198"/>
      </w:pPr>
      <w:r>
        <w:rPr>
          <w:rFonts w:ascii="Arial" w:hAnsi="Arial" w:cs="Arial"/>
          <w:b w:val="0"/>
          <w:sz w:val="21"/>
        </w:rPr>
        <w:t>B) Un acto que puso fin a la vía administrativa o no fue recurrido en plazo y está incurso en una causa del artículo 47.1.</w:t>
      </w:r>
    </w:p>
    <w:p>
      <w:pPr>
        <w:keepNext/>
        <w:keepLines/>
        <w:spacing w:after="40"/>
        <w:ind w:left="369" w:hanging="198"/>
      </w:pPr>
      <w:r>
        <w:rPr>
          <w:rFonts w:ascii="Arial" w:hAnsi="Arial" w:cs="Arial"/>
          <w:b w:val="0"/>
          <w:sz w:val="21"/>
        </w:rPr>
        <w:t>C) Únicamente una disposición reglamentaria.</w:t>
      </w:r>
    </w:p>
    <w:p>
      <w:pPr>
        <w:keepNext/>
        <w:keepLines/>
        <w:spacing w:after="40"/>
        <w:ind w:left="369" w:hanging="198"/>
      </w:pPr>
      <w:r>
        <w:rPr>
          <w:rFonts w:ascii="Arial" w:hAnsi="Arial" w:cs="Arial"/>
          <w:b w:val="0"/>
          <w:sz w:val="21"/>
        </w:rPr>
        <w:t>D) Todo acto desfavorable, aunque sea válido.</w:t>
      </w:r>
    </w:p>
    <w:p>
      <w:pPr>
        <w:pStyle w:val="Question"/>
        <w:keepNext/>
      </w:pPr>
      <w:r>
        <w:rPr>
          <w:rFonts w:ascii="Arial" w:hAnsi="Arial" w:cs="Arial"/>
          <w:sz w:val="22"/>
        </w:rPr>
        <w:t>73. En una comprobación jurídica del expediente, un ajuste razonable es:</w:t>
      </w:r>
    </w:p>
    <w:p>
      <w:pPr>
        <w:keepNext/>
        <w:keepLines/>
        <w:spacing w:after="40"/>
        <w:ind w:left="369" w:hanging="198"/>
      </w:pPr>
      <w:r>
        <w:rPr>
          <w:rFonts w:ascii="Arial" w:hAnsi="Arial" w:cs="Arial"/>
          <w:b w:val="0"/>
          <w:sz w:val="21"/>
        </w:rPr>
        <w:t>A) Una adaptación general que siempre debe existir desde el diseño inicial.</w:t>
      </w:r>
    </w:p>
    <w:p>
      <w:pPr>
        <w:keepNext/>
        <w:keepLines/>
        <w:spacing w:after="40"/>
        <w:ind w:left="369" w:hanging="198"/>
      </w:pPr>
      <w:r>
        <w:rPr>
          <w:rFonts w:ascii="Arial" w:hAnsi="Arial" w:cs="Arial"/>
          <w:b w:val="0"/>
          <w:sz w:val="21"/>
        </w:rPr>
        <w:t>B) Una ayuda voluntaria que puede rechazarse sin motivo.</w:t>
      </w:r>
    </w:p>
    <w:p>
      <w:pPr>
        <w:keepNext/>
        <w:keepLines/>
        <w:spacing w:after="40"/>
        <w:ind w:left="369" w:hanging="198"/>
      </w:pPr>
      <w:r>
        <w:rPr>
          <w:rFonts w:ascii="Arial" w:hAnsi="Arial" w:cs="Arial"/>
          <w:b w:val="0"/>
          <w:sz w:val="21"/>
        </w:rPr>
        <w:t>C) Cualquier medida, aunque imponga carga indebida.</w:t>
      </w:r>
    </w:p>
    <w:p>
      <w:pPr>
        <w:keepNext/>
        <w:keepLines/>
        <w:spacing w:after="40"/>
        <w:ind w:left="369" w:hanging="198"/>
      </w:pPr>
      <w:r>
        <w:rPr>
          <w:rFonts w:ascii="Arial" w:hAnsi="Arial" w:cs="Arial"/>
          <w:b w:val="0"/>
          <w:sz w:val="21"/>
        </w:rPr>
        <w:t>D) Una modificación necesaria y adecuada para un caso particular que no imponga carga desproporcionada o indebida.</w:t>
      </w:r>
    </w:p>
    <w:p>
      <w:r>
        <w:br w:type="page"/>
      </w:r>
    </w:p>
    <w:p>
      <w:pPr>
        <w:pStyle w:val="Heading1"/>
      </w:pPr>
      <w:r>
        <w:t>Segunda parte · supuesto práctico</w:t>
      </w:r>
    </w:p>
    <w:p>
      <w:pPr>
        <w:shd w:fill="EAF2F8"/>
      </w:pPr>
      <w:r>
        <w:t>La Centro de atención e información del INSS revisa inscripciones, altas, liquidaciones, deudas y posibles prestaciones.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En la tramitación del expediente de Seguridad Social, en el RETA, el sistema ordinario de cotización vigente toma como referencia:</w:t>
      </w:r>
    </w:p>
    <w:p>
      <w:pPr>
        <w:keepNext/>
        <w:keepLines/>
        <w:spacing w:after="40"/>
        <w:ind w:left="369" w:hanging="198"/>
      </w:pPr>
      <w:r>
        <w:rPr>
          <w:rFonts w:ascii="Arial" w:hAnsi="Arial" w:cs="Arial"/>
          <w:b w:val="0"/>
          <w:sz w:val="21"/>
        </w:rPr>
        <w:t>A) Únicamente la edad del autónomo al inicio del año.</w:t>
      </w:r>
    </w:p>
    <w:p>
      <w:pPr>
        <w:keepNext/>
        <w:keepLines/>
        <w:spacing w:after="40"/>
        <w:ind w:left="369" w:hanging="198"/>
      </w:pPr>
      <w:r>
        <w:rPr>
          <w:rFonts w:ascii="Arial" w:hAnsi="Arial" w:cs="Arial"/>
          <w:b w:val="0"/>
          <w:sz w:val="21"/>
        </w:rPr>
        <w:t>B) El salario del convenio colectivo del sector.</w:t>
      </w:r>
    </w:p>
    <w:p>
      <w:pPr>
        <w:keepNext/>
        <w:keepLines/>
        <w:spacing w:after="40"/>
        <w:ind w:left="369" w:hanging="198"/>
      </w:pPr>
      <w:r>
        <w:rPr>
          <w:rFonts w:ascii="Arial" w:hAnsi="Arial" w:cs="Arial"/>
          <w:b w:val="0"/>
          <w:sz w:val="21"/>
        </w:rPr>
        <w:t>C) Una base idéntica e invariable para todos los autónomos.</w:t>
      </w:r>
    </w:p>
    <w:p>
      <w:pPr>
        <w:keepNext/>
        <w:keepLines/>
        <w:spacing w:after="40"/>
        <w:ind w:left="369" w:hanging="198"/>
      </w:pPr>
      <w:r>
        <w:rPr>
          <w:rFonts w:ascii="Arial" w:hAnsi="Arial" w:cs="Arial"/>
          <w:b w:val="0"/>
          <w:sz w:val="21"/>
        </w:rPr>
        <w:t>D) Los rendimientos netos anuales de todas sus actividades económicas o profesionales, con base provisional y posterior regularización.</w:t>
      </w:r>
    </w:p>
    <w:p>
      <w:pPr>
        <w:pStyle w:val="Question"/>
        <w:keepNext/>
      </w:pPr>
      <w:r>
        <w:rPr>
          <w:rFonts w:ascii="Arial" w:hAnsi="Arial" w:cs="Arial"/>
          <w:sz w:val="22"/>
        </w:rPr>
        <w:t>2. La unidad competente debe resolver la siguiente cuestión: El plazo máximo general para resolver y notificar procedimientos de afiliación, altas, bajas y variaciones es de:</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Tres meses exactos.</w:t>
      </w:r>
    </w:p>
    <w:p>
      <w:pPr>
        <w:keepNext/>
        <w:keepLines/>
        <w:spacing w:after="40"/>
        <w:ind w:left="369" w:hanging="198"/>
      </w:pPr>
      <w:r>
        <w:rPr>
          <w:rFonts w:ascii="Arial" w:hAnsi="Arial" w:cs="Arial"/>
          <w:b w:val="0"/>
          <w:sz w:val="21"/>
        </w:rPr>
        <w:t>C) Seis meses.</w:t>
      </w:r>
    </w:p>
    <w:p>
      <w:pPr>
        <w:keepNext/>
        <w:keepLines/>
        <w:spacing w:after="40"/>
        <w:ind w:left="369" w:hanging="198"/>
      </w:pPr>
      <w:r>
        <w:rPr>
          <w:rFonts w:ascii="Arial" w:hAnsi="Arial" w:cs="Arial"/>
          <w:b w:val="0"/>
          <w:sz w:val="21"/>
        </w:rPr>
        <w:t>D) Cuarenta y cinco días.</w:t>
      </w:r>
    </w:p>
    <w:p>
      <w:pPr>
        <w:pStyle w:val="Question"/>
        <w:keepNext/>
      </w:pPr>
      <w:r>
        <w:rPr>
          <w:rFonts w:ascii="Arial" w:hAnsi="Arial" w:cs="Arial"/>
          <w:sz w:val="22"/>
        </w:rPr>
        <w:t>3. La unidad competente debe resolver la siguiente cuestión: El derecho de la Administración a determinar una deuda por cuotas prescribe, con carácter general, a los:</w:t>
      </w:r>
    </w:p>
    <w:p>
      <w:pPr>
        <w:keepNext/>
        <w:keepLines/>
        <w:spacing w:after="40"/>
        <w:ind w:left="369" w:hanging="198"/>
      </w:pPr>
      <w:r>
        <w:rPr>
          <w:rFonts w:ascii="Arial" w:hAnsi="Arial" w:cs="Arial"/>
          <w:b w:val="0"/>
          <w:sz w:val="21"/>
        </w:rPr>
        <w:t>A) Dos años.</w:t>
      </w:r>
    </w:p>
    <w:p>
      <w:pPr>
        <w:keepNext/>
        <w:keepLines/>
        <w:spacing w:after="40"/>
        <w:ind w:left="369" w:hanging="198"/>
      </w:pPr>
      <w:r>
        <w:rPr>
          <w:rFonts w:ascii="Arial" w:hAnsi="Arial" w:cs="Arial"/>
          <w:b w:val="0"/>
          <w:sz w:val="21"/>
        </w:rPr>
        <w:t>B) Cuatro años.</w:t>
      </w:r>
    </w:p>
    <w:p>
      <w:pPr>
        <w:keepNext/>
        <w:keepLines/>
        <w:spacing w:after="40"/>
        <w:ind w:left="369" w:hanging="198"/>
      </w:pPr>
      <w:r>
        <w:rPr>
          <w:rFonts w:ascii="Arial" w:hAnsi="Arial" w:cs="Arial"/>
          <w:b w:val="0"/>
          <w:sz w:val="21"/>
        </w:rPr>
        <w:t>C) Cinco años.</w:t>
      </w:r>
    </w:p>
    <w:p>
      <w:pPr>
        <w:keepNext/>
        <w:keepLines/>
        <w:spacing w:after="40"/>
        <w:ind w:left="369" w:hanging="198"/>
      </w:pPr>
      <w:r>
        <w:rPr>
          <w:rFonts w:ascii="Arial" w:hAnsi="Arial" w:cs="Arial"/>
          <w:b w:val="0"/>
          <w:sz w:val="21"/>
        </w:rPr>
        <w:t>D) Diez años.</w:t>
      </w:r>
    </w:p>
    <w:p>
      <w:pPr>
        <w:pStyle w:val="Question"/>
        <w:keepNext/>
      </w:pPr>
      <w:r>
        <w:rPr>
          <w:rFonts w:ascii="Arial" w:hAnsi="Arial" w:cs="Arial"/>
          <w:sz w:val="22"/>
        </w:rPr>
        <w:t>4. En el subexpediente descrito y con los únicos datos facilitados, las deudas con la Seguridad Social que no tengan la naturaleza de cuotas, cuando se ingresan fuera de plazo, se incrementan con carácter general con un recargo del:</w:t>
      </w:r>
    </w:p>
    <w:p>
      <w:pPr>
        <w:keepNext/>
        <w:keepLines/>
        <w:spacing w:after="40"/>
        <w:ind w:left="369" w:hanging="198"/>
      </w:pPr>
      <w:r>
        <w:rPr>
          <w:rFonts w:ascii="Arial" w:hAnsi="Arial" w:cs="Arial"/>
          <w:b w:val="0"/>
          <w:sz w:val="21"/>
        </w:rPr>
        <w:t>A) 5 %.</w:t>
      </w:r>
    </w:p>
    <w:p>
      <w:pPr>
        <w:keepNext/>
        <w:keepLines/>
        <w:spacing w:after="40"/>
        <w:ind w:left="369" w:hanging="198"/>
      </w:pPr>
      <w:r>
        <w:rPr>
          <w:rFonts w:ascii="Arial" w:hAnsi="Arial" w:cs="Arial"/>
          <w:b w:val="0"/>
          <w:sz w:val="21"/>
        </w:rPr>
        <w:t>B) 10 %.</w:t>
      </w:r>
    </w:p>
    <w:p>
      <w:pPr>
        <w:keepNext/>
        <w:keepLines/>
        <w:spacing w:after="40"/>
        <w:ind w:left="369" w:hanging="198"/>
      </w:pPr>
      <w:r>
        <w:rPr>
          <w:rFonts w:ascii="Arial" w:hAnsi="Arial" w:cs="Arial"/>
          <w:b w:val="0"/>
          <w:sz w:val="21"/>
        </w:rPr>
        <w:t>C) 20 %.</w:t>
      </w:r>
    </w:p>
    <w:p>
      <w:pPr>
        <w:keepNext/>
        <w:keepLines/>
        <w:spacing w:after="40"/>
        <w:ind w:left="369" w:hanging="198"/>
      </w:pPr>
      <w:r>
        <w:rPr>
          <w:rFonts w:ascii="Arial" w:hAnsi="Arial" w:cs="Arial"/>
          <w:b w:val="0"/>
          <w:sz w:val="21"/>
        </w:rPr>
        <w:t>D) 15 %.</w:t>
      </w:r>
    </w:p>
    <w:p>
      <w:pPr>
        <w:pStyle w:val="Question"/>
        <w:keepNext/>
      </w:pPr>
      <w:r>
        <w:rPr>
          <w:rFonts w:ascii="Arial" w:hAnsi="Arial" w:cs="Arial"/>
          <w:sz w:val="22"/>
        </w:rPr>
        <w:t>5. La unidad competente debe resolver la siguiente cuestión: La incapacidad no contributiva exige residencia legal en España durante:</w:t>
      </w:r>
    </w:p>
    <w:p>
      <w:pPr>
        <w:keepNext/>
        <w:keepLines/>
        <w:spacing w:after="40"/>
        <w:ind w:left="369" w:hanging="198"/>
      </w:pPr>
      <w:r>
        <w:rPr>
          <w:rFonts w:ascii="Arial" w:hAnsi="Arial" w:cs="Arial"/>
          <w:b w:val="0"/>
          <w:sz w:val="21"/>
        </w:rPr>
        <w:t>A) Cinco años, dos de ellos inmediatamente anteriores a la solicitud.</w:t>
      </w:r>
    </w:p>
    <w:p>
      <w:pPr>
        <w:keepNext/>
        <w:keepLines/>
        <w:spacing w:after="40"/>
        <w:ind w:left="369" w:hanging="198"/>
      </w:pPr>
      <w:r>
        <w:rPr>
          <w:rFonts w:ascii="Arial" w:hAnsi="Arial" w:cs="Arial"/>
          <w:b w:val="0"/>
          <w:sz w:val="21"/>
        </w:rPr>
        <w:t>B) Diez años, cinco inmediatamente anteriores.</w:t>
      </w:r>
    </w:p>
    <w:p>
      <w:pPr>
        <w:keepNext/>
        <w:keepLines/>
        <w:spacing w:after="40"/>
        <w:ind w:left="369" w:hanging="198"/>
      </w:pPr>
      <w:r>
        <w:rPr>
          <w:rFonts w:ascii="Arial" w:hAnsi="Arial" w:cs="Arial"/>
          <w:b w:val="0"/>
          <w:sz w:val="21"/>
        </w:rPr>
        <w:t>C) Un año sin continuidad.</w:t>
      </w:r>
    </w:p>
    <w:p>
      <w:pPr>
        <w:keepNext/>
        <w:keepLines/>
        <w:spacing w:after="40"/>
        <w:ind w:left="369" w:hanging="198"/>
      </w:pPr>
      <w:r>
        <w:rPr>
          <w:rFonts w:ascii="Arial" w:hAnsi="Arial" w:cs="Arial"/>
          <w:b w:val="0"/>
          <w:sz w:val="21"/>
        </w:rPr>
        <w:t>D) Quince años de residencia y cotización.</w:t>
      </w:r>
    </w:p>
    <w:p>
      <w:pPr>
        <w:pStyle w:val="Question"/>
        <w:keepNext/>
      </w:pPr>
      <w:r>
        <w:rPr>
          <w:rFonts w:ascii="Arial" w:hAnsi="Arial" w:cs="Arial"/>
          <w:sz w:val="22"/>
        </w:rPr>
        <w:t>6. La unidad competente debe resolver la siguiente cuestión: Las prestaciones en favor de familiares se caracterizan por:</w:t>
      </w:r>
    </w:p>
    <w:p>
      <w:pPr>
        <w:keepNext/>
        <w:keepLines/>
        <w:spacing w:after="40"/>
        <w:ind w:left="369" w:hanging="198"/>
      </w:pPr>
      <w:r>
        <w:rPr>
          <w:rFonts w:ascii="Arial" w:hAnsi="Arial" w:cs="Arial"/>
          <w:b w:val="0"/>
          <w:sz w:val="21"/>
        </w:rPr>
        <w:t>A) Prescindir siempre de la convivencia.</w:t>
      </w:r>
    </w:p>
    <w:p>
      <w:pPr>
        <w:keepNext/>
        <w:keepLines/>
        <w:spacing w:after="40"/>
        <w:ind w:left="369" w:hanging="198"/>
      </w:pPr>
      <w:r>
        <w:rPr>
          <w:rFonts w:ascii="Arial" w:hAnsi="Arial" w:cs="Arial"/>
          <w:b w:val="0"/>
          <w:sz w:val="21"/>
        </w:rPr>
        <w:t>B) Exigir pertenecer a una categoría protegida y acreditar, según el caso, convivencia y dependencia económica.</w:t>
      </w:r>
    </w:p>
    <w:p>
      <w:pPr>
        <w:keepNext/>
        <w:keepLines/>
        <w:spacing w:after="40"/>
        <w:ind w:left="369" w:hanging="198"/>
      </w:pPr>
      <w:r>
        <w:rPr>
          <w:rFonts w:ascii="Arial" w:hAnsi="Arial" w:cs="Arial"/>
          <w:b w:val="0"/>
          <w:sz w:val="21"/>
        </w:rPr>
        <w:t>C) Tener prioridad absoluta sobre la orfandad.</w:t>
      </w:r>
    </w:p>
    <w:p>
      <w:pPr>
        <w:keepNext/>
        <w:keepLines/>
        <w:spacing w:after="40"/>
        <w:ind w:left="369" w:hanging="198"/>
      </w:pPr>
      <w:r>
        <w:rPr>
          <w:rFonts w:ascii="Arial" w:hAnsi="Arial" w:cs="Arial"/>
          <w:b w:val="0"/>
          <w:sz w:val="21"/>
        </w:rPr>
        <w:t>D) Corresponder a cualquier pariente hasta cuarto grado.</w:t>
      </w:r>
    </w:p>
    <w:p>
      <w:pPr>
        <w:pStyle w:val="Question"/>
        <w:keepNext/>
      </w:pPr>
      <w:r>
        <w:rPr>
          <w:rFonts w:ascii="Arial" w:hAnsi="Arial" w:cs="Arial"/>
          <w:sz w:val="22"/>
        </w:rPr>
        <w:t>7. En el subexpediente descrito y con los únicos datos facilitados, cuando un mismo trabajo ya determina la inclusión obligatoria en un régimen del sistema:</w:t>
      </w:r>
    </w:p>
    <w:p>
      <w:pPr>
        <w:keepNext/>
        <w:keepLines/>
        <w:spacing w:after="40"/>
        <w:ind w:left="369" w:hanging="198"/>
      </w:pPr>
      <w:r>
        <w:rPr>
          <w:rFonts w:ascii="Arial" w:hAnsi="Arial" w:cs="Arial"/>
          <w:b w:val="0"/>
          <w:sz w:val="21"/>
        </w:rPr>
        <w:t>A) Debe generar simultáneamente alta en el Régimen General y en el RETA.</w:t>
      </w:r>
    </w:p>
    <w:p>
      <w:pPr>
        <w:keepNext/>
        <w:keepLines/>
        <w:spacing w:after="40"/>
        <w:ind w:left="369" w:hanging="198"/>
      </w:pPr>
      <w:r>
        <w:rPr>
          <w:rFonts w:ascii="Arial" w:hAnsi="Arial" w:cs="Arial"/>
          <w:b w:val="0"/>
          <w:sz w:val="21"/>
        </w:rPr>
        <w:t>B) La persona interesada elige libremente el régimen que prefiera.</w:t>
      </w:r>
    </w:p>
    <w:p>
      <w:pPr>
        <w:keepNext/>
        <w:keepLines/>
        <w:spacing w:after="40"/>
        <w:ind w:left="369" w:hanging="198"/>
      </w:pPr>
      <w:r>
        <w:rPr>
          <w:rFonts w:ascii="Arial" w:hAnsi="Arial" w:cs="Arial"/>
          <w:b w:val="0"/>
          <w:sz w:val="21"/>
        </w:rPr>
        <w:t>C) No puede producir otra inclusión obligatoria en un régimen de previsión distinto por ese mismo trabajo.</w:t>
      </w:r>
    </w:p>
    <w:p>
      <w:pPr>
        <w:keepNext/>
        <w:keepLines/>
        <w:spacing w:after="40"/>
        <w:ind w:left="369" w:hanging="198"/>
      </w:pPr>
      <w:r>
        <w:rPr>
          <w:rFonts w:ascii="Arial" w:hAnsi="Arial" w:cs="Arial"/>
          <w:b w:val="0"/>
          <w:sz w:val="21"/>
        </w:rPr>
        <w:t>D) Se extingue cualquier protección complementaria voluntaria.</w:t>
      </w:r>
    </w:p>
    <w:p>
      <w:pPr>
        <w:pStyle w:val="Question"/>
        <w:keepNext/>
      </w:pPr>
      <w:r>
        <w:rPr>
          <w:rFonts w:ascii="Arial" w:hAnsi="Arial" w:cs="Arial"/>
          <w:sz w:val="22"/>
        </w:rPr>
        <w:t>8. La unidad competente debe resolver la siguiente cuestión: Para causar una prestación del Régimen General se exige, como regla:</w:t>
      </w:r>
    </w:p>
    <w:p>
      <w:pPr>
        <w:keepNext/>
        <w:keepLines/>
        <w:spacing w:after="40"/>
        <w:ind w:left="369" w:hanging="198"/>
      </w:pPr>
      <w:r>
        <w:rPr>
          <w:rFonts w:ascii="Arial" w:hAnsi="Arial" w:cs="Arial"/>
          <w:b w:val="0"/>
          <w:sz w:val="21"/>
        </w:rPr>
        <w:t>A) Afiliación y alta o situación asimilada al sobrevenir la contingencia.</w:t>
      </w:r>
    </w:p>
    <w:p>
      <w:pPr>
        <w:keepNext/>
        <w:keepLines/>
        <w:spacing w:after="40"/>
        <w:ind w:left="369" w:hanging="198"/>
      </w:pPr>
      <w:r>
        <w:rPr>
          <w:rFonts w:ascii="Arial" w:hAnsi="Arial" w:cs="Arial"/>
          <w:b w:val="0"/>
          <w:sz w:val="21"/>
        </w:rPr>
        <w:t>B) Residencia de diez años.</w:t>
      </w:r>
    </w:p>
    <w:p>
      <w:pPr>
        <w:keepNext/>
        <w:keepLines/>
        <w:spacing w:after="40"/>
        <w:ind w:left="369" w:hanging="198"/>
      </w:pPr>
      <w:r>
        <w:rPr>
          <w:rFonts w:ascii="Arial" w:hAnsi="Arial" w:cs="Arial"/>
          <w:b w:val="0"/>
          <w:sz w:val="21"/>
        </w:rPr>
        <w:t>C) Tener 21 años.</w:t>
      </w:r>
    </w:p>
    <w:p>
      <w:pPr>
        <w:keepNext/>
        <w:keepLines/>
        <w:spacing w:after="40"/>
        <w:ind w:left="369" w:hanging="198"/>
      </w:pPr>
      <w:r>
        <w:rPr>
          <w:rFonts w:ascii="Arial" w:hAnsi="Arial" w:cs="Arial"/>
          <w:b w:val="0"/>
          <w:sz w:val="21"/>
        </w:rPr>
        <w:t>D) Un mínimo universal de 180 días cotizados.</w:t>
      </w:r>
    </w:p>
    <w:p>
      <w:pPr>
        <w:pStyle w:val="Question"/>
        <w:keepNext/>
      </w:pPr>
      <w:r>
        <w:rPr>
          <w:rFonts w:ascii="Arial" w:hAnsi="Arial" w:cs="Arial"/>
          <w:sz w:val="22"/>
        </w:rPr>
        <w:t>9. La unidad competente debe resolver la siguiente cuestión: La prestación de incapacidad permanente absoluta consiste en:</w:t>
      </w:r>
    </w:p>
    <w:p>
      <w:pPr>
        <w:keepNext/>
        <w:keepLines/>
        <w:spacing w:after="40"/>
        <w:ind w:left="369" w:hanging="198"/>
      </w:pPr>
      <w:r>
        <w:rPr>
          <w:rFonts w:ascii="Arial" w:hAnsi="Arial" w:cs="Arial"/>
          <w:b w:val="0"/>
          <w:sz w:val="21"/>
        </w:rPr>
        <w:t>A) 55 por ciento de la base reguladora.</w:t>
      </w:r>
    </w:p>
    <w:p>
      <w:pPr>
        <w:keepNext/>
        <w:keepLines/>
        <w:spacing w:after="40"/>
        <w:ind w:left="369" w:hanging="198"/>
      </w:pPr>
      <w:r>
        <w:rPr>
          <w:rFonts w:ascii="Arial" w:hAnsi="Arial" w:cs="Arial"/>
          <w:b w:val="0"/>
          <w:sz w:val="21"/>
        </w:rPr>
        <w:t>B) Indemnización a tanto alzado.</w:t>
      </w:r>
    </w:p>
    <w:p>
      <w:pPr>
        <w:keepNext/>
        <w:keepLines/>
        <w:spacing w:after="40"/>
        <w:ind w:left="369" w:hanging="198"/>
      </w:pPr>
      <w:r>
        <w:rPr>
          <w:rFonts w:ascii="Arial" w:hAnsi="Arial" w:cs="Arial"/>
          <w:b w:val="0"/>
          <w:sz w:val="21"/>
        </w:rPr>
        <w:t>C) Complemento sin pensión.</w:t>
      </w:r>
    </w:p>
    <w:p>
      <w:pPr>
        <w:keepNext/>
        <w:keepLines/>
        <w:spacing w:after="40"/>
        <w:ind w:left="369" w:hanging="198"/>
      </w:pPr>
      <w:r>
        <w:rPr>
          <w:rFonts w:ascii="Arial" w:hAnsi="Arial" w:cs="Arial"/>
          <w:b w:val="0"/>
          <w:sz w:val="21"/>
        </w:rPr>
        <w:t>D) Pensión vitalicia del 100 por ciento de la base reguladora.</w:t>
      </w:r>
    </w:p>
    <w:p>
      <w:pPr>
        <w:pStyle w:val="Question"/>
        <w:keepNext/>
      </w:pPr>
      <w:r>
        <w:rPr>
          <w:rFonts w:ascii="Arial" w:hAnsi="Arial" w:cs="Arial"/>
          <w:sz w:val="22"/>
        </w:rPr>
        <w:t>10. En el subexpediente descrito y con los únicos datos facilitados, el inicio de un trabajo incompatible con la jubilación, sin acogerse a una modalidad legal de compatibilidad:</w:t>
      </w:r>
    </w:p>
    <w:p>
      <w:pPr>
        <w:keepNext/>
        <w:keepLines/>
        <w:spacing w:after="40"/>
        <w:ind w:left="369" w:hanging="198"/>
      </w:pPr>
      <w:r>
        <w:rPr>
          <w:rFonts w:ascii="Arial" w:hAnsi="Arial" w:cs="Arial"/>
          <w:b w:val="0"/>
          <w:sz w:val="21"/>
        </w:rPr>
        <w:t>A) Convierte la pensión en una indemnización.</w:t>
      </w:r>
    </w:p>
    <w:p>
      <w:pPr>
        <w:keepNext/>
        <w:keepLines/>
        <w:spacing w:after="40"/>
        <w:ind w:left="369" w:hanging="198"/>
      </w:pPr>
      <w:r>
        <w:rPr>
          <w:rFonts w:ascii="Arial" w:hAnsi="Arial" w:cs="Arial"/>
          <w:b w:val="0"/>
          <w:sz w:val="21"/>
        </w:rPr>
        <w:t>B) Suspende el abono durante la actividad y puede originar reintegro de lo indebidamente percibido.</w:t>
      </w:r>
    </w:p>
    <w:p>
      <w:pPr>
        <w:keepNext/>
        <w:keepLines/>
        <w:spacing w:after="40"/>
        <w:ind w:left="369" w:hanging="198"/>
      </w:pPr>
      <w:r>
        <w:rPr>
          <w:rFonts w:ascii="Arial" w:hAnsi="Arial" w:cs="Arial"/>
          <w:b w:val="0"/>
          <w:sz w:val="21"/>
        </w:rPr>
        <w:t>C) Aumenta el porcentaje por demora mientras se cobra.</w:t>
      </w:r>
    </w:p>
    <w:p>
      <w:pPr>
        <w:keepNext/>
        <w:keepLines/>
        <w:spacing w:after="40"/>
        <w:ind w:left="369" w:hanging="198"/>
      </w:pPr>
      <w:r>
        <w:rPr>
          <w:rFonts w:ascii="Arial" w:hAnsi="Arial" w:cs="Arial"/>
          <w:b w:val="0"/>
          <w:sz w:val="21"/>
        </w:rPr>
        <w:t>D) Extingue irrevocablemente el derecho desde el primer día.</w:t>
      </w:r>
    </w:p>
    <w:p>
      <w:pPr>
        <w:pStyle w:val="Question"/>
        <w:keepNext/>
      </w:pPr>
      <w:r>
        <w:rPr>
          <w:rFonts w:ascii="Arial" w:hAnsi="Arial" w:cs="Arial"/>
          <w:sz w:val="22"/>
        </w:rPr>
        <w:t>11. La unidad competente debe resolver la siguiente cuestión: ¿Cuánto puede anticiparse, como máximo, la jubilación por causa no imputable al trabajador?</w:t>
      </w:r>
    </w:p>
    <w:p>
      <w:pPr>
        <w:keepNext/>
        <w:keepLines/>
        <w:spacing w:after="40"/>
        <w:ind w:left="369" w:hanging="198"/>
      </w:pPr>
      <w:r>
        <w:rPr>
          <w:rFonts w:ascii="Arial" w:hAnsi="Arial" w:cs="Arial"/>
          <w:b w:val="0"/>
          <w:sz w:val="21"/>
        </w:rPr>
        <w:t>A) Un año.</w:t>
      </w:r>
    </w:p>
    <w:p>
      <w:pPr>
        <w:keepNext/>
        <w:keepLines/>
        <w:spacing w:after="40"/>
        <w:ind w:left="369" w:hanging="198"/>
      </w:pPr>
      <w:r>
        <w:rPr>
          <w:rFonts w:ascii="Arial" w:hAnsi="Arial" w:cs="Arial"/>
          <w:b w:val="0"/>
          <w:sz w:val="21"/>
        </w:rPr>
        <w:t>B) Dos años.</w:t>
      </w:r>
    </w:p>
    <w:p>
      <w:pPr>
        <w:keepNext/>
        <w:keepLines/>
        <w:spacing w:after="40"/>
        <w:ind w:left="369" w:hanging="198"/>
      </w:pPr>
      <w:r>
        <w:rPr>
          <w:rFonts w:ascii="Arial" w:hAnsi="Arial" w:cs="Arial"/>
          <w:b w:val="0"/>
          <w:sz w:val="21"/>
        </w:rPr>
        <w:t>C) Cuatro años respecto de la edad ordinaria aplicable.</w:t>
      </w:r>
    </w:p>
    <w:p>
      <w:pPr>
        <w:keepNext/>
        <w:keepLines/>
        <w:spacing w:after="40"/>
        <w:ind w:left="369" w:hanging="198"/>
      </w:pPr>
      <w:r>
        <w:rPr>
          <w:rFonts w:ascii="Arial" w:hAnsi="Arial" w:cs="Arial"/>
          <w:b w:val="0"/>
          <w:sz w:val="21"/>
        </w:rPr>
        <w:t>D) Tres años.</w:t>
      </w:r>
    </w:p>
    <w:p>
      <w:pPr>
        <w:pStyle w:val="Question"/>
        <w:keepNext/>
      </w:pPr>
      <w:r>
        <w:rPr>
          <w:rFonts w:ascii="Arial" w:hAnsi="Arial" w:cs="Arial"/>
          <w:sz w:val="22"/>
        </w:rPr>
        <w:t>12. En la tramitación del expediente de Seguridad Social, el subsidio por cuidado de menor con enfermedad grave lo gestiona:</w:t>
      </w:r>
    </w:p>
    <w:p>
      <w:pPr>
        <w:keepNext/>
        <w:keepLines/>
        <w:spacing w:after="40"/>
        <w:ind w:left="369" w:hanging="198"/>
      </w:pPr>
      <w:r>
        <w:rPr>
          <w:rFonts w:ascii="Arial" w:hAnsi="Arial" w:cs="Arial"/>
          <w:b w:val="0"/>
          <w:sz w:val="21"/>
        </w:rPr>
        <w:t>A) Exclusivamente el servicio público de salud.</w:t>
      </w:r>
    </w:p>
    <w:p>
      <w:pPr>
        <w:keepNext/>
        <w:keepLines/>
        <w:spacing w:after="40"/>
        <w:ind w:left="369" w:hanging="198"/>
      </w:pPr>
      <w:r>
        <w:rPr>
          <w:rFonts w:ascii="Arial" w:hAnsi="Arial" w:cs="Arial"/>
          <w:b w:val="0"/>
          <w:sz w:val="21"/>
        </w:rPr>
        <w:t>B) La empresa mediante pago delegado.</w:t>
      </w:r>
    </w:p>
    <w:p>
      <w:pPr>
        <w:keepNext/>
        <w:keepLines/>
        <w:spacing w:after="40"/>
        <w:ind w:left="369" w:hanging="198"/>
      </w:pPr>
      <w:r>
        <w:rPr>
          <w:rFonts w:ascii="Arial" w:hAnsi="Arial" w:cs="Arial"/>
          <w:b w:val="0"/>
          <w:sz w:val="21"/>
        </w:rPr>
        <w:t>C) La Agencia Tributaria.</w:t>
      </w:r>
    </w:p>
    <w:p>
      <w:pPr>
        <w:keepNext/>
        <w:keepLines/>
        <w:spacing w:after="40"/>
        <w:ind w:left="369" w:hanging="198"/>
      </w:pPr>
      <w:r>
        <w:rPr>
          <w:rFonts w:ascii="Arial" w:hAnsi="Arial" w:cs="Arial"/>
          <w:b w:val="0"/>
          <w:sz w:val="21"/>
        </w:rPr>
        <w:t>D) La mutua o entidad con la que se cubren los riesgos profesionales.</w:t>
      </w:r>
    </w:p>
    <w:p>
      <w:pPr>
        <w:pStyle w:val="Question"/>
        <w:keepNext/>
      </w:pPr>
      <w:r>
        <w:rPr>
          <w:rFonts w:ascii="Arial" w:hAnsi="Arial" w:cs="Arial"/>
          <w:sz w:val="22"/>
        </w:rPr>
        <w:t>13. Al comprobar el encuadramiento y sus efectos, en una tercería de mejor derecho:</w:t>
      </w:r>
    </w:p>
    <w:p>
      <w:pPr>
        <w:keepNext/>
        <w:keepLines/>
        <w:spacing w:after="40"/>
        <w:ind w:left="369" w:hanging="198"/>
      </w:pPr>
      <w:r>
        <w:rPr>
          <w:rFonts w:ascii="Arial" w:hAnsi="Arial" w:cs="Arial"/>
          <w:b w:val="0"/>
          <w:sz w:val="21"/>
        </w:rPr>
        <w:t>A) La ejecución continúa hasta la realización del bien y el producto queda sujeto a la decisión sobre la preferencia.</w:t>
      </w:r>
    </w:p>
    <w:p>
      <w:pPr>
        <w:keepNext/>
        <w:keepLines/>
        <w:spacing w:after="40"/>
        <w:ind w:left="369" w:hanging="198"/>
      </w:pPr>
      <w:r>
        <w:rPr>
          <w:rFonts w:ascii="Arial" w:hAnsi="Arial" w:cs="Arial"/>
          <w:b w:val="0"/>
          <w:sz w:val="21"/>
        </w:rPr>
        <w:t>B) Debe devolverse inmediatamente el bien al tercerista.</w:t>
      </w:r>
    </w:p>
    <w:p>
      <w:pPr>
        <w:keepNext/>
        <w:keepLines/>
        <w:spacing w:after="40"/>
        <w:ind w:left="369" w:hanging="198"/>
      </w:pPr>
      <w:r>
        <w:rPr>
          <w:rFonts w:ascii="Arial" w:hAnsi="Arial" w:cs="Arial"/>
          <w:b w:val="0"/>
          <w:sz w:val="21"/>
        </w:rPr>
        <w:t>C) Se extinguen todos los créditos concurrentes.</w:t>
      </w:r>
    </w:p>
    <w:p>
      <w:pPr>
        <w:keepNext/>
        <w:keepLines/>
        <w:spacing w:after="40"/>
        <w:ind w:left="369" w:hanging="198"/>
      </w:pPr>
      <w:r>
        <w:rPr>
          <w:rFonts w:ascii="Arial" w:hAnsi="Arial" w:cs="Arial"/>
          <w:b w:val="0"/>
          <w:sz w:val="21"/>
        </w:rPr>
        <w:t>D) La TGSS no puede recibir alegaciones del apremiado.</w:t>
      </w:r>
    </w:p>
    <w:p>
      <w:pPr>
        <w:pStyle w:val="Question"/>
        <w:keepNext/>
      </w:pPr>
      <w:r>
        <w:rPr>
          <w:rFonts w:ascii="Arial" w:hAnsi="Arial" w:cs="Arial"/>
          <w:sz w:val="22"/>
        </w:rPr>
        <w:t>14. La unidad competente debe resolver la siguiente cuestión: El Fondo de Reserva de la Seguridad Social se constituye:</w:t>
      </w:r>
    </w:p>
    <w:p>
      <w:pPr>
        <w:keepNext/>
        <w:keepLines/>
        <w:spacing w:after="40"/>
        <w:ind w:left="369" w:hanging="198"/>
      </w:pPr>
      <w:r>
        <w:rPr>
          <w:rFonts w:ascii="Arial" w:hAnsi="Arial" w:cs="Arial"/>
          <w:b w:val="0"/>
          <w:sz w:val="21"/>
        </w:rPr>
        <w:t>A) En el INSS para financiar cualquier gasto social.</w:t>
      </w:r>
    </w:p>
    <w:p>
      <w:pPr>
        <w:keepNext/>
        <w:keepLines/>
        <w:spacing w:after="40"/>
        <w:ind w:left="369" w:hanging="198"/>
      </w:pPr>
      <w:r>
        <w:rPr>
          <w:rFonts w:ascii="Arial" w:hAnsi="Arial" w:cs="Arial"/>
          <w:b w:val="0"/>
          <w:sz w:val="21"/>
        </w:rPr>
        <w:t>B) En la TGSS para atender necesidades financieras en materia de prestaciones contributivas.</w:t>
      </w:r>
    </w:p>
    <w:p>
      <w:pPr>
        <w:keepNext/>
        <w:keepLines/>
        <w:spacing w:after="40"/>
        <w:ind w:left="369" w:hanging="198"/>
      </w:pPr>
      <w:r>
        <w:rPr>
          <w:rFonts w:ascii="Arial" w:hAnsi="Arial" w:cs="Arial"/>
          <w:b w:val="0"/>
          <w:sz w:val="21"/>
        </w:rPr>
        <w:t>C) En el Banco de España como fondo privado.</w:t>
      </w:r>
    </w:p>
    <w:p>
      <w:pPr>
        <w:keepNext/>
        <w:keepLines/>
        <w:spacing w:after="40"/>
        <w:ind w:left="369" w:hanging="198"/>
      </w:pPr>
      <w:r>
        <w:rPr>
          <w:rFonts w:ascii="Arial" w:hAnsi="Arial" w:cs="Arial"/>
          <w:b w:val="0"/>
          <w:sz w:val="21"/>
        </w:rPr>
        <w:t>D) En cada mutua de forma separada.</w:t>
      </w:r>
    </w:p>
    <w:p>
      <w:pPr>
        <w:pStyle w:val="Question"/>
        <w:keepNext/>
      </w:pPr>
      <w:r>
        <w:rPr>
          <w:rFonts w:ascii="Arial" w:hAnsi="Arial" w:cs="Arial"/>
          <w:sz w:val="22"/>
        </w:rPr>
        <w:t>15. En el subexpediente descrito y con los únicos datos facilitados, tras el Real Decreto 616/2026, el Servicio Jurídico de la Administración de la Seguridad Social es:</w:t>
      </w:r>
    </w:p>
    <w:p>
      <w:pPr>
        <w:keepNext/>
        <w:keepLines/>
        <w:spacing w:after="40"/>
        <w:ind w:left="369" w:hanging="198"/>
      </w:pPr>
      <w:r>
        <w:rPr>
          <w:rFonts w:ascii="Arial" w:hAnsi="Arial" w:cs="Arial"/>
          <w:b w:val="0"/>
          <w:sz w:val="21"/>
        </w:rPr>
        <w:t>A) Servicio común sin personalidad jurídica y con nivel orgánico de dirección general.</w:t>
      </w:r>
    </w:p>
    <w:p>
      <w:pPr>
        <w:keepNext/>
        <w:keepLines/>
        <w:spacing w:after="40"/>
        <w:ind w:left="369" w:hanging="198"/>
      </w:pPr>
      <w:r>
        <w:rPr>
          <w:rFonts w:ascii="Arial" w:hAnsi="Arial" w:cs="Arial"/>
          <w:b w:val="0"/>
          <w:sz w:val="21"/>
        </w:rPr>
        <w:t>B) Entidad gestora con personalidad jurídica.</w:t>
      </w:r>
    </w:p>
    <w:p>
      <w:pPr>
        <w:keepNext/>
        <w:keepLines/>
        <w:spacing w:after="40"/>
        <w:ind w:left="369" w:hanging="198"/>
      </w:pPr>
      <w:r>
        <w:rPr>
          <w:rFonts w:ascii="Arial" w:hAnsi="Arial" w:cs="Arial"/>
          <w:b w:val="0"/>
          <w:sz w:val="21"/>
        </w:rPr>
        <w:t>C) Servicio común con personalidad y rango de subdirección general.</w:t>
      </w:r>
    </w:p>
    <w:p>
      <w:pPr>
        <w:keepNext/>
        <w:keepLines/>
        <w:spacing w:after="40"/>
        <w:ind w:left="369" w:hanging="198"/>
      </w:pPr>
      <w:r>
        <w:rPr>
          <w:rFonts w:ascii="Arial" w:hAnsi="Arial" w:cs="Arial"/>
          <w:b w:val="0"/>
          <w:sz w:val="21"/>
        </w:rPr>
        <w:t>D) Órgano de control dependiente funcionalmente de IGAE.</w:t>
      </w:r>
    </w:p>
    <w:p>
      <w:pPr>
        <w:pStyle w:val="Heading2"/>
      </w:pPr>
      <w:r>
        <w:t>Preguntas de reserva de la segunda parte</w:t>
      </w:r>
    </w:p>
    <w:p>
      <w:pPr>
        <w:pStyle w:val="Question"/>
        <w:keepNext/>
      </w:pPr>
      <w:r>
        <w:rPr>
          <w:rFonts w:ascii="Arial" w:hAnsi="Arial" w:cs="Arial"/>
          <w:sz w:val="22"/>
        </w:rPr>
        <w:t>16. La unidad competente debe resolver la siguiente cuestión: Un autónomo accedió a una pensión estando al corriente por aplazamiento y después incumple sus condiciones:</w:t>
      </w:r>
    </w:p>
    <w:p>
      <w:pPr>
        <w:keepNext/>
        <w:keepLines/>
        <w:spacing w:after="40"/>
        <w:ind w:left="369" w:hanging="198"/>
      </w:pPr>
      <w:r>
        <w:rPr>
          <w:rFonts w:ascii="Arial" w:hAnsi="Arial" w:cs="Arial"/>
          <w:b w:val="0"/>
          <w:sz w:val="21"/>
        </w:rPr>
        <w:t>A) La prestación se suspende hasta saldar totalmente la deuda.</w:t>
      </w:r>
    </w:p>
    <w:p>
      <w:pPr>
        <w:keepNext/>
        <w:keepLines/>
        <w:spacing w:after="40"/>
        <w:ind w:left="369" w:hanging="198"/>
      </w:pPr>
      <w:r>
        <w:rPr>
          <w:rFonts w:ascii="Arial" w:hAnsi="Arial" w:cs="Arial"/>
          <w:b w:val="0"/>
          <w:sz w:val="21"/>
        </w:rPr>
        <w:t>B) La deuda se condona.</w:t>
      </w:r>
    </w:p>
    <w:p>
      <w:pPr>
        <w:keepNext/>
        <w:keepLines/>
        <w:spacing w:after="40"/>
        <w:ind w:left="369" w:hanging="198"/>
      </w:pPr>
      <w:r>
        <w:rPr>
          <w:rFonts w:ascii="Arial" w:hAnsi="Arial" w:cs="Arial"/>
          <w:b w:val="0"/>
          <w:sz w:val="21"/>
        </w:rPr>
        <w:t>C) La pensión se mantiene sin revisión.</w:t>
      </w:r>
    </w:p>
    <w:p>
      <w:pPr>
        <w:keepNext/>
        <w:keepLines/>
        <w:spacing w:after="40"/>
        <w:ind w:left="369" w:hanging="198"/>
      </w:pPr>
      <w:r>
        <w:rPr>
          <w:rFonts w:ascii="Arial" w:hAnsi="Arial" w:cs="Arial"/>
          <w:b w:val="0"/>
          <w:sz w:val="21"/>
        </w:rPr>
        <w:t>D) Solo pierde una mensualidad.</w:t>
      </w:r>
    </w:p>
    <w:p>
      <w:pPr>
        <w:pStyle w:val="Question"/>
        <w:keepNext/>
      </w:pPr>
      <w:r>
        <w:rPr>
          <w:rFonts w:ascii="Arial" w:hAnsi="Arial" w:cs="Arial"/>
          <w:sz w:val="22"/>
        </w:rPr>
        <w:t>17. Al comprobar el encuadramiento y sus efectos, presentados en plazo los datos necesarios para liquidar, si las cuotas se pagan dentro del primer mes natural siguiente al vencimiento, el recargo es del:</w:t>
      </w:r>
    </w:p>
    <w:p>
      <w:pPr>
        <w:keepNext/>
        <w:keepLines/>
        <w:spacing w:after="40"/>
        <w:ind w:left="369" w:hanging="198"/>
      </w:pPr>
      <w:r>
        <w:rPr>
          <w:rFonts w:ascii="Arial" w:hAnsi="Arial" w:cs="Arial"/>
          <w:b w:val="0"/>
          <w:sz w:val="21"/>
        </w:rPr>
        <w:t>A) 5 %.</w:t>
      </w:r>
    </w:p>
    <w:p>
      <w:pPr>
        <w:keepNext/>
        <w:keepLines/>
        <w:spacing w:after="40"/>
        <w:ind w:left="369" w:hanging="198"/>
      </w:pPr>
      <w:r>
        <w:rPr>
          <w:rFonts w:ascii="Arial" w:hAnsi="Arial" w:cs="Arial"/>
          <w:b w:val="0"/>
          <w:sz w:val="21"/>
        </w:rPr>
        <w:t>B) 15 %.</w:t>
      </w:r>
    </w:p>
    <w:p>
      <w:pPr>
        <w:keepNext/>
        <w:keepLines/>
        <w:spacing w:after="40"/>
        <w:ind w:left="369" w:hanging="198"/>
      </w:pPr>
      <w:r>
        <w:rPr>
          <w:rFonts w:ascii="Arial" w:hAnsi="Arial" w:cs="Arial"/>
          <w:b w:val="0"/>
          <w:sz w:val="21"/>
        </w:rPr>
        <w:t>C) 10 %.</w:t>
      </w:r>
    </w:p>
    <w:p>
      <w:pPr>
        <w:keepNext/>
        <w:keepLines/>
        <w:spacing w:after="40"/>
        <w:ind w:left="369" w:hanging="198"/>
      </w:pPr>
      <w:r>
        <w:rPr>
          <w:rFonts w:ascii="Arial" w:hAnsi="Arial" w:cs="Arial"/>
          <w:b w:val="0"/>
          <w:sz w:val="21"/>
        </w:rPr>
        <w:t>D) 20 %.</w:t>
      </w:r>
    </w:p>
    <w:p>
      <w:pPr>
        <w:pStyle w:val="Question"/>
        <w:keepNext/>
      </w:pPr>
      <w:r>
        <w:rPr>
          <w:rFonts w:ascii="Arial" w:hAnsi="Arial" w:cs="Arial"/>
          <w:sz w:val="22"/>
        </w:rPr>
        <w:t>18. En el subexpediente descrito y con los únicos datos facilitados, una nueva baja por la misma enfermedad aparece durante vacaciones privadas, sin nexo laboral ni cuadro profesional. La contingencia es:</w:t>
      </w:r>
    </w:p>
    <w:p>
      <w:pPr>
        <w:keepNext/>
        <w:keepLines/>
        <w:spacing w:after="40"/>
        <w:ind w:left="369" w:hanging="198"/>
      </w:pPr>
      <w:r>
        <w:rPr>
          <w:rFonts w:ascii="Arial" w:hAnsi="Arial" w:cs="Arial"/>
          <w:b w:val="0"/>
          <w:sz w:val="21"/>
        </w:rPr>
        <w:t>A) Accidente de trabajo por presunción.</w:t>
      </w:r>
    </w:p>
    <w:p>
      <w:pPr>
        <w:keepNext/>
        <w:keepLines/>
        <w:spacing w:after="40"/>
        <w:ind w:left="369" w:hanging="198"/>
      </w:pPr>
      <w:r>
        <w:rPr>
          <w:rFonts w:ascii="Arial" w:hAnsi="Arial" w:cs="Arial"/>
          <w:b w:val="0"/>
          <w:sz w:val="21"/>
        </w:rPr>
        <w:t>B) Enfermedad común.</w:t>
      </w:r>
    </w:p>
    <w:p>
      <w:pPr>
        <w:keepNext/>
        <w:keepLines/>
        <w:spacing w:after="40"/>
        <w:ind w:left="369" w:hanging="198"/>
      </w:pPr>
      <w:r>
        <w:rPr>
          <w:rFonts w:ascii="Arial" w:hAnsi="Arial" w:cs="Arial"/>
          <w:b w:val="0"/>
          <w:sz w:val="21"/>
        </w:rPr>
        <w:t>C) Enfermedad profesional.</w:t>
      </w:r>
    </w:p>
    <w:p>
      <w:pPr>
        <w:keepNext/>
        <w:keepLines/>
        <w:spacing w:after="40"/>
        <w:ind w:left="369" w:hanging="198"/>
      </w:pPr>
      <w:r>
        <w:rPr>
          <w:rFonts w:ascii="Arial" w:hAnsi="Arial" w:cs="Arial"/>
          <w:b w:val="0"/>
          <w:sz w:val="21"/>
        </w:rPr>
        <w:t>D) Riesgo durante el trabajo.</w:t>
      </w:r>
    </w:p>
    <w:p>
      <w:r>
        <w:br w:type="page"/>
      </w:r>
    </w:p>
    <w:p>
      <w:pPr>
        <w:pStyle w:val="Heading1"/>
      </w:pPr>
      <w:r>
        <w:t>Hoja final de respuestas</w:t>
      </w:r>
    </w:p>
    <w:p>
      <w:pPr>
        <w:pStyle w:val="Heading2"/>
      </w:pPr>
      <w:r>
        <w:t>Primera parte · 1 a 73</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t>19:  ☐ A   ☐ B   ☐ C   ☐ D</w:t>
            </w:r>
          </w:p>
        </w:tc>
        <w:tc>
          <w:tcPr>
            <w:tcW w:type="dxa" w:w="2258"/>
            <w:vAlign w:val="center"/>
          </w:tcPr>
          <w:p>
            <w:pPr>
              <w:spacing w:before="0" w:after="0" w:line="240" w:lineRule="auto"/>
            </w:pPr>
            <w:r/>
            <w:r>
              <w:rPr>
                <w:rFonts w:ascii="Arial" w:hAnsi="Arial" w:cs="Arial"/>
                <w:b w:val="0"/>
                <w:color w:val="333333"/>
                <w:sz w:val="17"/>
              </w:rPr>
              <w:t>20:  ☐ A   ☐ B   ☐ C   ☐ D</w:t>
            </w:r>
          </w:p>
        </w:tc>
      </w:tr>
      <w:tr>
        <w:tc>
          <w:tcPr>
            <w:tcW w:type="dxa" w:w="2256"/>
            <w:vAlign w:val="center"/>
          </w:tcPr>
          <w:p>
            <w:pPr>
              <w:spacing w:before="0" w:after="0" w:line="240" w:lineRule="auto"/>
            </w:pPr>
            <w:r/>
            <w:r>
              <w:rPr>
                <w:rFonts w:ascii="Arial" w:hAnsi="Arial" w:cs="Arial"/>
                <w:b w:val="0"/>
                <w:color w:val="333333"/>
                <w:sz w:val="17"/>
              </w:rPr>
              <w:t>21:  ☐ A   ☐ B   ☐ C   ☐ D</w:t>
            </w:r>
          </w:p>
        </w:tc>
        <w:tc>
          <w:tcPr>
            <w:tcW w:type="dxa" w:w="2256"/>
            <w:vAlign w:val="center"/>
          </w:tcPr>
          <w:p>
            <w:pPr>
              <w:spacing w:before="0" w:after="0" w:line="240" w:lineRule="auto"/>
            </w:pPr>
            <w:r/>
            <w:r>
              <w:rPr>
                <w:rFonts w:ascii="Arial" w:hAnsi="Arial" w:cs="Arial"/>
                <w:b w:val="0"/>
                <w:color w:val="333333"/>
                <w:sz w:val="17"/>
              </w:rPr>
              <w:t>22:  ☐ A   ☐ B   ☐ C   ☐ D</w:t>
            </w:r>
          </w:p>
        </w:tc>
        <w:tc>
          <w:tcPr>
            <w:tcW w:type="dxa" w:w="2256"/>
            <w:vAlign w:val="center"/>
          </w:tcPr>
          <w:p>
            <w:pPr>
              <w:spacing w:before="0" w:after="0" w:line="240" w:lineRule="auto"/>
            </w:pPr>
            <w:r/>
            <w:r>
              <w:rPr>
                <w:rFonts w:ascii="Arial" w:hAnsi="Arial" w:cs="Arial"/>
                <w:b w:val="0"/>
                <w:color w:val="333333"/>
                <w:sz w:val="17"/>
              </w:rPr>
              <w:t>23:  ☐ A   ☐ B   ☐ C   ☐ D</w:t>
            </w:r>
          </w:p>
        </w:tc>
        <w:tc>
          <w:tcPr>
            <w:tcW w:type="dxa" w:w="2258"/>
            <w:vAlign w:val="center"/>
          </w:tcPr>
          <w:p>
            <w:pPr>
              <w:spacing w:before="0" w:after="0" w:line="240" w:lineRule="auto"/>
            </w:pPr>
            <w:r/>
            <w:r>
              <w:rPr>
                <w:rFonts w:ascii="Arial" w:hAnsi="Arial" w:cs="Arial"/>
                <w:b w:val="0"/>
                <w:color w:val="333333"/>
                <w:sz w:val="17"/>
              </w:rPr>
              <w:t>24:  ☐ A   ☐ B   ☐ C   ☐ D</w:t>
            </w:r>
          </w:p>
        </w:tc>
      </w:tr>
      <w:tr>
        <w:tc>
          <w:tcPr>
            <w:tcW w:type="dxa" w:w="2256"/>
            <w:vAlign w:val="center"/>
          </w:tcPr>
          <w:p>
            <w:pPr>
              <w:spacing w:before="0" w:after="0" w:line="240" w:lineRule="auto"/>
            </w:pPr>
            <w:r/>
            <w:r>
              <w:rPr>
                <w:rFonts w:ascii="Arial" w:hAnsi="Arial" w:cs="Arial"/>
                <w:b w:val="0"/>
                <w:color w:val="333333"/>
                <w:sz w:val="17"/>
              </w:rPr>
              <w:t>25:  ☐ A   ☐ B   ☐ C   ☐ D</w:t>
            </w:r>
          </w:p>
        </w:tc>
        <w:tc>
          <w:tcPr>
            <w:tcW w:type="dxa" w:w="2256"/>
            <w:vAlign w:val="center"/>
          </w:tcPr>
          <w:p>
            <w:pPr>
              <w:spacing w:before="0" w:after="0" w:line="240" w:lineRule="auto"/>
            </w:pPr>
            <w:r/>
            <w:r>
              <w:rPr>
                <w:rFonts w:ascii="Arial" w:hAnsi="Arial" w:cs="Arial"/>
                <w:b w:val="0"/>
                <w:color w:val="333333"/>
                <w:sz w:val="17"/>
              </w:rPr>
              <w:t>26:  ☐ A   ☐ B   ☐ C   ☐ D</w:t>
            </w:r>
          </w:p>
        </w:tc>
        <w:tc>
          <w:tcPr>
            <w:tcW w:type="dxa" w:w="2256"/>
            <w:vAlign w:val="center"/>
          </w:tcPr>
          <w:p>
            <w:pPr>
              <w:spacing w:before="0" w:after="0" w:line="240" w:lineRule="auto"/>
            </w:pPr>
            <w:r/>
            <w:r>
              <w:rPr>
                <w:rFonts w:ascii="Arial" w:hAnsi="Arial" w:cs="Arial"/>
                <w:b w:val="0"/>
                <w:color w:val="333333"/>
                <w:sz w:val="17"/>
              </w:rPr>
              <w:t>27:  ☐ A   ☐ B   ☐ C   ☐ D</w:t>
            </w:r>
          </w:p>
        </w:tc>
        <w:tc>
          <w:tcPr>
            <w:tcW w:type="dxa" w:w="2258"/>
            <w:vAlign w:val="center"/>
          </w:tcPr>
          <w:p>
            <w:pPr>
              <w:spacing w:before="0" w:after="0" w:line="240" w:lineRule="auto"/>
            </w:pPr>
            <w:r/>
            <w:r>
              <w:rPr>
                <w:rFonts w:ascii="Arial" w:hAnsi="Arial" w:cs="Arial"/>
                <w:b w:val="0"/>
                <w:color w:val="333333"/>
                <w:sz w:val="17"/>
              </w:rPr>
              <w:t>28:  ☐ A   ☐ B   ☐ C   ☐ D</w:t>
            </w:r>
          </w:p>
        </w:tc>
      </w:tr>
      <w:tr>
        <w:tc>
          <w:tcPr>
            <w:tcW w:type="dxa" w:w="2256"/>
            <w:vAlign w:val="center"/>
          </w:tcPr>
          <w:p>
            <w:pPr>
              <w:spacing w:before="0" w:after="0" w:line="240" w:lineRule="auto"/>
            </w:pPr>
            <w:r/>
            <w:r>
              <w:rPr>
                <w:rFonts w:ascii="Arial" w:hAnsi="Arial" w:cs="Arial"/>
                <w:b w:val="0"/>
                <w:color w:val="333333"/>
                <w:sz w:val="17"/>
              </w:rPr>
              <w:t>29:  ☐ A   ☐ B   ☐ C   ☐ D</w:t>
            </w:r>
          </w:p>
        </w:tc>
        <w:tc>
          <w:tcPr>
            <w:tcW w:type="dxa" w:w="2256"/>
            <w:vAlign w:val="center"/>
          </w:tcPr>
          <w:p>
            <w:pPr>
              <w:spacing w:before="0" w:after="0" w:line="240" w:lineRule="auto"/>
            </w:pPr>
            <w:r/>
            <w:r>
              <w:rPr>
                <w:rFonts w:ascii="Arial" w:hAnsi="Arial" w:cs="Arial"/>
                <w:b w:val="0"/>
                <w:color w:val="333333"/>
                <w:sz w:val="17"/>
              </w:rPr>
              <w:t>30:  ☐ A   ☐ B   ☐ C   ☐ D</w:t>
            </w:r>
          </w:p>
        </w:tc>
        <w:tc>
          <w:tcPr>
            <w:tcW w:type="dxa" w:w="2256"/>
            <w:vAlign w:val="center"/>
          </w:tcPr>
          <w:p>
            <w:pPr>
              <w:spacing w:before="0" w:after="0" w:line="240" w:lineRule="auto"/>
            </w:pPr>
            <w:r/>
            <w:r>
              <w:rPr>
                <w:rFonts w:ascii="Arial" w:hAnsi="Arial" w:cs="Arial"/>
                <w:b w:val="0"/>
                <w:color w:val="333333"/>
                <w:sz w:val="17"/>
              </w:rPr>
              <w:t>31:  ☐ A   ☐ B   ☐ C   ☐ D</w:t>
            </w:r>
          </w:p>
        </w:tc>
        <w:tc>
          <w:tcPr>
            <w:tcW w:type="dxa" w:w="2258"/>
            <w:vAlign w:val="center"/>
          </w:tcPr>
          <w:p>
            <w:pPr>
              <w:spacing w:before="0" w:after="0" w:line="240" w:lineRule="auto"/>
            </w:pPr>
            <w:r/>
            <w:r>
              <w:rPr>
                <w:rFonts w:ascii="Arial" w:hAnsi="Arial" w:cs="Arial"/>
                <w:b w:val="0"/>
                <w:color w:val="333333"/>
                <w:sz w:val="17"/>
              </w:rPr>
              <w:t>32:  ☐ A   ☐ B   ☐ C   ☐ D</w:t>
            </w:r>
          </w:p>
        </w:tc>
      </w:tr>
      <w:tr>
        <w:tc>
          <w:tcPr>
            <w:tcW w:type="dxa" w:w="2256"/>
            <w:vAlign w:val="center"/>
          </w:tcPr>
          <w:p>
            <w:pPr>
              <w:spacing w:before="0" w:after="0" w:line="240" w:lineRule="auto"/>
            </w:pPr>
            <w:r/>
            <w:r>
              <w:rPr>
                <w:rFonts w:ascii="Arial" w:hAnsi="Arial" w:cs="Arial"/>
                <w:b w:val="0"/>
                <w:color w:val="333333"/>
                <w:sz w:val="17"/>
              </w:rPr>
              <w:t>33:  ☐ A   ☐ B   ☐ C   ☐ D</w:t>
            </w:r>
          </w:p>
        </w:tc>
        <w:tc>
          <w:tcPr>
            <w:tcW w:type="dxa" w:w="2256"/>
            <w:vAlign w:val="center"/>
          </w:tcPr>
          <w:p>
            <w:pPr>
              <w:spacing w:before="0" w:after="0" w:line="240" w:lineRule="auto"/>
            </w:pPr>
            <w:r/>
            <w:r>
              <w:rPr>
                <w:rFonts w:ascii="Arial" w:hAnsi="Arial" w:cs="Arial"/>
                <w:b w:val="0"/>
                <w:color w:val="333333"/>
                <w:sz w:val="17"/>
              </w:rPr>
              <w:t>34:  ☐ A   ☐ B   ☐ C   ☐ D</w:t>
            </w:r>
          </w:p>
        </w:tc>
        <w:tc>
          <w:tcPr>
            <w:tcW w:type="dxa" w:w="2256"/>
            <w:vAlign w:val="center"/>
          </w:tcPr>
          <w:p>
            <w:pPr>
              <w:spacing w:before="0" w:after="0" w:line="240" w:lineRule="auto"/>
            </w:pPr>
            <w:r/>
            <w:r>
              <w:rPr>
                <w:rFonts w:ascii="Arial" w:hAnsi="Arial" w:cs="Arial"/>
                <w:b w:val="0"/>
                <w:color w:val="333333"/>
                <w:sz w:val="17"/>
              </w:rPr>
              <w:t>35:  ☐ A   ☐ B   ☐ C   ☐ D</w:t>
            </w:r>
          </w:p>
        </w:tc>
        <w:tc>
          <w:tcPr>
            <w:tcW w:type="dxa" w:w="2258"/>
            <w:vAlign w:val="center"/>
          </w:tcPr>
          <w:p>
            <w:pPr>
              <w:spacing w:before="0" w:after="0" w:line="240" w:lineRule="auto"/>
            </w:pPr>
            <w:r/>
            <w:r>
              <w:rPr>
                <w:rFonts w:ascii="Arial" w:hAnsi="Arial" w:cs="Arial"/>
                <w:b w:val="0"/>
                <w:color w:val="333333"/>
                <w:sz w:val="17"/>
              </w:rPr>
              <w:t>36:  ☐ A   ☐ B   ☐ C   ☐ D</w:t>
            </w:r>
          </w:p>
        </w:tc>
      </w:tr>
      <w:tr>
        <w:tc>
          <w:tcPr>
            <w:tcW w:type="dxa" w:w="2256"/>
            <w:vAlign w:val="center"/>
          </w:tcPr>
          <w:p>
            <w:pPr>
              <w:spacing w:before="0" w:after="0" w:line="240" w:lineRule="auto"/>
            </w:pPr>
            <w:r/>
            <w:r>
              <w:rPr>
                <w:rFonts w:ascii="Arial" w:hAnsi="Arial" w:cs="Arial"/>
                <w:b w:val="0"/>
                <w:color w:val="333333"/>
                <w:sz w:val="17"/>
              </w:rPr>
              <w:t>37:  ☐ A   ☐ B   ☐ C   ☐ D</w:t>
            </w:r>
          </w:p>
        </w:tc>
        <w:tc>
          <w:tcPr>
            <w:tcW w:type="dxa" w:w="2256"/>
            <w:vAlign w:val="center"/>
          </w:tcPr>
          <w:p>
            <w:pPr>
              <w:spacing w:before="0" w:after="0" w:line="240" w:lineRule="auto"/>
            </w:pPr>
            <w:r/>
            <w:r>
              <w:rPr>
                <w:rFonts w:ascii="Arial" w:hAnsi="Arial" w:cs="Arial"/>
                <w:b w:val="0"/>
                <w:color w:val="333333"/>
                <w:sz w:val="17"/>
              </w:rPr>
              <w:t>38:  ☐ A   ☐ B   ☐ C   ☐ D</w:t>
            </w:r>
          </w:p>
        </w:tc>
        <w:tc>
          <w:tcPr>
            <w:tcW w:type="dxa" w:w="2256"/>
            <w:vAlign w:val="center"/>
          </w:tcPr>
          <w:p>
            <w:pPr>
              <w:spacing w:before="0" w:after="0" w:line="240" w:lineRule="auto"/>
            </w:pPr>
            <w:r/>
            <w:r>
              <w:rPr>
                <w:rFonts w:ascii="Arial" w:hAnsi="Arial" w:cs="Arial"/>
                <w:b w:val="0"/>
                <w:color w:val="333333"/>
                <w:sz w:val="17"/>
              </w:rPr>
              <w:t>39:  ☐ A   ☐ B   ☐ C   ☐ D</w:t>
            </w:r>
          </w:p>
        </w:tc>
        <w:tc>
          <w:tcPr>
            <w:tcW w:type="dxa" w:w="2258"/>
            <w:vAlign w:val="center"/>
          </w:tcPr>
          <w:p>
            <w:pPr>
              <w:spacing w:before="0" w:after="0" w:line="240" w:lineRule="auto"/>
            </w:pPr>
            <w:r/>
            <w:r>
              <w:rPr>
                <w:rFonts w:ascii="Arial" w:hAnsi="Arial" w:cs="Arial"/>
                <w:b w:val="0"/>
                <w:color w:val="333333"/>
                <w:sz w:val="17"/>
              </w:rPr>
              <w:t>40:  ☐ A   ☐ B   ☐ C   ☐ D</w:t>
            </w:r>
          </w:p>
        </w:tc>
      </w:tr>
      <w:tr>
        <w:tc>
          <w:tcPr>
            <w:tcW w:type="dxa" w:w="2256"/>
            <w:vAlign w:val="center"/>
          </w:tcPr>
          <w:p>
            <w:pPr>
              <w:spacing w:before="0" w:after="0" w:line="240" w:lineRule="auto"/>
            </w:pPr>
            <w:r/>
            <w:r>
              <w:rPr>
                <w:rFonts w:ascii="Arial" w:hAnsi="Arial" w:cs="Arial"/>
                <w:b w:val="0"/>
                <w:color w:val="333333"/>
                <w:sz w:val="17"/>
              </w:rPr>
              <w:t>41:  ☐ A   ☐ B   ☐ C   ☐ D</w:t>
            </w:r>
          </w:p>
        </w:tc>
        <w:tc>
          <w:tcPr>
            <w:tcW w:type="dxa" w:w="2256"/>
            <w:vAlign w:val="center"/>
          </w:tcPr>
          <w:p>
            <w:pPr>
              <w:spacing w:before="0" w:after="0" w:line="240" w:lineRule="auto"/>
            </w:pPr>
            <w:r/>
            <w:r>
              <w:rPr>
                <w:rFonts w:ascii="Arial" w:hAnsi="Arial" w:cs="Arial"/>
                <w:b w:val="0"/>
                <w:color w:val="333333"/>
                <w:sz w:val="17"/>
              </w:rPr>
              <w:t>42:  ☐ A   ☐ B   ☐ C   ☐ D</w:t>
            </w:r>
          </w:p>
        </w:tc>
        <w:tc>
          <w:tcPr>
            <w:tcW w:type="dxa" w:w="2256"/>
            <w:vAlign w:val="center"/>
          </w:tcPr>
          <w:p>
            <w:pPr>
              <w:spacing w:before="0" w:after="0" w:line="240" w:lineRule="auto"/>
            </w:pPr>
            <w:r/>
            <w:r>
              <w:rPr>
                <w:rFonts w:ascii="Arial" w:hAnsi="Arial" w:cs="Arial"/>
                <w:b w:val="0"/>
                <w:color w:val="333333"/>
                <w:sz w:val="17"/>
              </w:rPr>
              <w:t>43:  ☐ A   ☐ B   ☐ C   ☐ D</w:t>
            </w:r>
          </w:p>
        </w:tc>
        <w:tc>
          <w:tcPr>
            <w:tcW w:type="dxa" w:w="2258"/>
            <w:vAlign w:val="center"/>
          </w:tcPr>
          <w:p>
            <w:pPr>
              <w:spacing w:before="0" w:after="0" w:line="240" w:lineRule="auto"/>
            </w:pPr>
            <w:r/>
            <w:r>
              <w:rPr>
                <w:rFonts w:ascii="Arial" w:hAnsi="Arial" w:cs="Arial"/>
                <w:b w:val="0"/>
                <w:color w:val="333333"/>
                <w:sz w:val="17"/>
              </w:rPr>
              <w:t>44:  ☐ A   ☐ B   ☐ C   ☐ D</w:t>
            </w:r>
          </w:p>
        </w:tc>
      </w:tr>
      <w:tr>
        <w:tc>
          <w:tcPr>
            <w:tcW w:type="dxa" w:w="2256"/>
            <w:vAlign w:val="center"/>
          </w:tcPr>
          <w:p>
            <w:pPr>
              <w:spacing w:before="0" w:after="0" w:line="240" w:lineRule="auto"/>
            </w:pPr>
            <w:r/>
            <w:r>
              <w:rPr>
                <w:rFonts w:ascii="Arial" w:hAnsi="Arial" w:cs="Arial"/>
                <w:b w:val="0"/>
                <w:color w:val="333333"/>
                <w:sz w:val="17"/>
              </w:rPr>
              <w:t>45:  ☐ A   ☐ B   ☐ C   ☐ D</w:t>
            </w:r>
          </w:p>
        </w:tc>
        <w:tc>
          <w:tcPr>
            <w:tcW w:type="dxa" w:w="2256"/>
            <w:vAlign w:val="center"/>
          </w:tcPr>
          <w:p>
            <w:pPr>
              <w:spacing w:before="0" w:after="0" w:line="240" w:lineRule="auto"/>
            </w:pPr>
            <w:r/>
            <w:r>
              <w:rPr>
                <w:rFonts w:ascii="Arial" w:hAnsi="Arial" w:cs="Arial"/>
                <w:b w:val="0"/>
                <w:color w:val="333333"/>
                <w:sz w:val="17"/>
              </w:rPr>
              <w:t>46:  ☐ A   ☐ B   ☐ C   ☐ D</w:t>
            </w:r>
          </w:p>
        </w:tc>
        <w:tc>
          <w:tcPr>
            <w:tcW w:type="dxa" w:w="2256"/>
            <w:vAlign w:val="center"/>
          </w:tcPr>
          <w:p>
            <w:pPr>
              <w:spacing w:before="0" w:after="0" w:line="240" w:lineRule="auto"/>
            </w:pPr>
            <w:r/>
            <w:r>
              <w:rPr>
                <w:rFonts w:ascii="Arial" w:hAnsi="Arial" w:cs="Arial"/>
                <w:b w:val="0"/>
                <w:color w:val="333333"/>
                <w:sz w:val="17"/>
              </w:rPr>
              <w:t>47:  ☐ A   ☐ B   ☐ C   ☐ D</w:t>
            </w:r>
          </w:p>
        </w:tc>
        <w:tc>
          <w:tcPr>
            <w:tcW w:type="dxa" w:w="2258"/>
            <w:vAlign w:val="center"/>
          </w:tcPr>
          <w:p>
            <w:pPr>
              <w:spacing w:before="0" w:after="0" w:line="240" w:lineRule="auto"/>
            </w:pPr>
            <w:r/>
            <w:r>
              <w:rPr>
                <w:rFonts w:ascii="Arial" w:hAnsi="Arial" w:cs="Arial"/>
                <w:b w:val="0"/>
                <w:color w:val="333333"/>
                <w:sz w:val="17"/>
              </w:rPr>
              <w:t>48:  ☐ A   ☐ B   ☐ C   ☐ D</w:t>
            </w:r>
          </w:p>
        </w:tc>
      </w:tr>
      <w:tr>
        <w:tc>
          <w:tcPr>
            <w:tcW w:type="dxa" w:w="2256"/>
            <w:vAlign w:val="center"/>
          </w:tcPr>
          <w:p>
            <w:pPr>
              <w:spacing w:before="0" w:after="0" w:line="240" w:lineRule="auto"/>
            </w:pPr>
            <w:r/>
            <w:r>
              <w:rPr>
                <w:rFonts w:ascii="Arial" w:hAnsi="Arial" w:cs="Arial"/>
                <w:b w:val="0"/>
                <w:color w:val="333333"/>
                <w:sz w:val="17"/>
              </w:rPr>
              <w:t>49:  ☐ A   ☐ B   ☐ C   ☐ D</w:t>
            </w:r>
          </w:p>
        </w:tc>
        <w:tc>
          <w:tcPr>
            <w:tcW w:type="dxa" w:w="2256"/>
            <w:vAlign w:val="center"/>
          </w:tcPr>
          <w:p>
            <w:pPr>
              <w:spacing w:before="0" w:after="0" w:line="240" w:lineRule="auto"/>
            </w:pPr>
            <w:r/>
            <w:r>
              <w:rPr>
                <w:rFonts w:ascii="Arial" w:hAnsi="Arial" w:cs="Arial"/>
                <w:b w:val="0"/>
                <w:color w:val="333333"/>
                <w:sz w:val="17"/>
              </w:rPr>
              <w:t>50:  ☐ A   ☐ B   ☐ C   ☐ D</w:t>
            </w:r>
          </w:p>
        </w:tc>
        <w:tc>
          <w:tcPr>
            <w:tcW w:type="dxa" w:w="2256"/>
            <w:vAlign w:val="center"/>
          </w:tcPr>
          <w:p>
            <w:pPr>
              <w:spacing w:before="0" w:after="0" w:line="240" w:lineRule="auto"/>
            </w:pPr>
            <w:r/>
            <w:r>
              <w:rPr>
                <w:rFonts w:ascii="Arial" w:hAnsi="Arial" w:cs="Arial"/>
                <w:b w:val="0"/>
                <w:color w:val="333333"/>
                <w:sz w:val="17"/>
              </w:rPr>
              <w:t>51:  ☐ A   ☐ B   ☐ C   ☐ D</w:t>
            </w:r>
          </w:p>
        </w:tc>
        <w:tc>
          <w:tcPr>
            <w:tcW w:type="dxa" w:w="2258"/>
            <w:vAlign w:val="center"/>
          </w:tcPr>
          <w:p>
            <w:pPr>
              <w:spacing w:before="0" w:after="0" w:line="240" w:lineRule="auto"/>
            </w:pPr>
            <w:r/>
            <w:r>
              <w:rPr>
                <w:rFonts w:ascii="Arial" w:hAnsi="Arial" w:cs="Arial"/>
                <w:b w:val="0"/>
                <w:color w:val="333333"/>
                <w:sz w:val="17"/>
              </w:rPr>
              <w:t>52:  ☐ A   ☐ B   ☐ C   ☐ D</w:t>
            </w:r>
          </w:p>
        </w:tc>
      </w:tr>
      <w:tr>
        <w:tc>
          <w:tcPr>
            <w:tcW w:type="dxa" w:w="2256"/>
            <w:vAlign w:val="center"/>
          </w:tcPr>
          <w:p>
            <w:pPr>
              <w:spacing w:before="0" w:after="0" w:line="240" w:lineRule="auto"/>
            </w:pPr>
            <w:r/>
            <w:r>
              <w:rPr>
                <w:rFonts w:ascii="Arial" w:hAnsi="Arial" w:cs="Arial"/>
                <w:b w:val="0"/>
                <w:color w:val="333333"/>
                <w:sz w:val="17"/>
              </w:rPr>
              <w:t>53:  ☐ A   ☐ B   ☐ C   ☐ D</w:t>
            </w:r>
          </w:p>
        </w:tc>
        <w:tc>
          <w:tcPr>
            <w:tcW w:type="dxa" w:w="2256"/>
            <w:vAlign w:val="center"/>
          </w:tcPr>
          <w:p>
            <w:pPr>
              <w:spacing w:before="0" w:after="0" w:line="240" w:lineRule="auto"/>
            </w:pPr>
            <w:r/>
            <w:r>
              <w:rPr>
                <w:rFonts w:ascii="Arial" w:hAnsi="Arial" w:cs="Arial"/>
                <w:b w:val="0"/>
                <w:color w:val="333333"/>
                <w:sz w:val="17"/>
              </w:rPr>
              <w:t>54:  ☐ A   ☐ B   ☐ C   ☐ D</w:t>
            </w:r>
          </w:p>
        </w:tc>
        <w:tc>
          <w:tcPr>
            <w:tcW w:type="dxa" w:w="2256"/>
            <w:vAlign w:val="center"/>
          </w:tcPr>
          <w:p>
            <w:pPr>
              <w:spacing w:before="0" w:after="0" w:line="240" w:lineRule="auto"/>
            </w:pPr>
            <w:r/>
            <w:r>
              <w:rPr>
                <w:rFonts w:ascii="Arial" w:hAnsi="Arial" w:cs="Arial"/>
                <w:b w:val="0"/>
                <w:color w:val="333333"/>
                <w:sz w:val="17"/>
              </w:rPr>
              <w:t>55:  ☐ A   ☐ B   ☐ C   ☐ D</w:t>
            </w:r>
          </w:p>
        </w:tc>
        <w:tc>
          <w:tcPr>
            <w:tcW w:type="dxa" w:w="2258"/>
            <w:vAlign w:val="center"/>
          </w:tcPr>
          <w:p>
            <w:pPr>
              <w:spacing w:before="0" w:after="0" w:line="240" w:lineRule="auto"/>
            </w:pPr>
            <w:r/>
            <w:r>
              <w:rPr>
                <w:rFonts w:ascii="Arial" w:hAnsi="Arial" w:cs="Arial"/>
                <w:b w:val="0"/>
                <w:color w:val="333333"/>
                <w:sz w:val="17"/>
              </w:rPr>
              <w:t>56:  ☐ A   ☐ B   ☐ C   ☐ D</w:t>
            </w:r>
          </w:p>
        </w:tc>
      </w:tr>
      <w:tr>
        <w:tc>
          <w:tcPr>
            <w:tcW w:type="dxa" w:w="2256"/>
            <w:vAlign w:val="center"/>
          </w:tcPr>
          <w:p>
            <w:pPr>
              <w:spacing w:before="0" w:after="0" w:line="240" w:lineRule="auto"/>
            </w:pPr>
            <w:r/>
            <w:r>
              <w:rPr>
                <w:rFonts w:ascii="Arial" w:hAnsi="Arial" w:cs="Arial"/>
                <w:b w:val="0"/>
                <w:color w:val="333333"/>
                <w:sz w:val="17"/>
              </w:rPr>
              <w:t>57:  ☐ A   ☐ B   ☐ C   ☐ D</w:t>
            </w:r>
          </w:p>
        </w:tc>
        <w:tc>
          <w:tcPr>
            <w:tcW w:type="dxa" w:w="2256"/>
            <w:vAlign w:val="center"/>
          </w:tcPr>
          <w:p>
            <w:pPr>
              <w:spacing w:before="0" w:after="0" w:line="240" w:lineRule="auto"/>
            </w:pPr>
            <w:r/>
            <w:r>
              <w:rPr>
                <w:rFonts w:ascii="Arial" w:hAnsi="Arial" w:cs="Arial"/>
                <w:b w:val="0"/>
                <w:color w:val="333333"/>
                <w:sz w:val="17"/>
              </w:rPr>
              <w:t>58:  ☐ A   ☐ B   ☐ C   ☐ D</w:t>
            </w:r>
          </w:p>
        </w:tc>
        <w:tc>
          <w:tcPr>
            <w:tcW w:type="dxa" w:w="2256"/>
            <w:vAlign w:val="center"/>
          </w:tcPr>
          <w:p>
            <w:pPr>
              <w:spacing w:before="0" w:after="0" w:line="240" w:lineRule="auto"/>
            </w:pPr>
            <w:r/>
            <w:r>
              <w:rPr>
                <w:rFonts w:ascii="Arial" w:hAnsi="Arial" w:cs="Arial"/>
                <w:b w:val="0"/>
                <w:color w:val="333333"/>
                <w:sz w:val="17"/>
              </w:rPr>
              <w:t>59:  ☐ A   ☐ B   ☐ C   ☐ D</w:t>
            </w:r>
          </w:p>
        </w:tc>
        <w:tc>
          <w:tcPr>
            <w:tcW w:type="dxa" w:w="2258"/>
            <w:vAlign w:val="center"/>
          </w:tcPr>
          <w:p>
            <w:pPr>
              <w:spacing w:before="0" w:after="0" w:line="240" w:lineRule="auto"/>
            </w:pPr>
            <w:r/>
            <w:r>
              <w:rPr>
                <w:rFonts w:ascii="Arial" w:hAnsi="Arial" w:cs="Arial"/>
                <w:b w:val="0"/>
                <w:color w:val="333333"/>
                <w:sz w:val="17"/>
              </w:rPr>
              <w:t>60:  ☐ A   ☐ B   ☐ C   ☐ D</w:t>
            </w:r>
          </w:p>
        </w:tc>
      </w:tr>
      <w:tr>
        <w:tc>
          <w:tcPr>
            <w:tcW w:type="dxa" w:w="2256"/>
            <w:vAlign w:val="center"/>
          </w:tcPr>
          <w:p>
            <w:pPr>
              <w:spacing w:before="0" w:after="0" w:line="240" w:lineRule="auto"/>
            </w:pPr>
            <w:r/>
            <w:r>
              <w:rPr>
                <w:rFonts w:ascii="Arial" w:hAnsi="Arial" w:cs="Arial"/>
                <w:b w:val="0"/>
                <w:color w:val="333333"/>
                <w:sz w:val="17"/>
              </w:rPr>
              <w:t>61:  ☐ A   ☐ B   ☐ C   ☐ D</w:t>
            </w:r>
          </w:p>
        </w:tc>
        <w:tc>
          <w:tcPr>
            <w:tcW w:type="dxa" w:w="2256"/>
            <w:vAlign w:val="center"/>
          </w:tcPr>
          <w:p>
            <w:pPr>
              <w:spacing w:before="0" w:after="0" w:line="240" w:lineRule="auto"/>
            </w:pPr>
            <w:r/>
            <w:r>
              <w:rPr>
                <w:rFonts w:ascii="Arial" w:hAnsi="Arial" w:cs="Arial"/>
                <w:b w:val="0"/>
                <w:color w:val="333333"/>
                <w:sz w:val="17"/>
              </w:rPr>
              <w:t>62:  ☐ A   ☐ B   ☐ C   ☐ D</w:t>
            </w:r>
          </w:p>
        </w:tc>
        <w:tc>
          <w:tcPr>
            <w:tcW w:type="dxa" w:w="2256"/>
            <w:vAlign w:val="center"/>
          </w:tcPr>
          <w:p>
            <w:pPr>
              <w:spacing w:before="0" w:after="0" w:line="240" w:lineRule="auto"/>
            </w:pPr>
            <w:r/>
            <w:r>
              <w:rPr>
                <w:rFonts w:ascii="Arial" w:hAnsi="Arial" w:cs="Arial"/>
                <w:b w:val="0"/>
                <w:color w:val="333333"/>
                <w:sz w:val="17"/>
              </w:rPr>
              <w:t>63:  ☐ A   ☐ B   ☐ C   ☐ D</w:t>
            </w:r>
          </w:p>
        </w:tc>
        <w:tc>
          <w:tcPr>
            <w:tcW w:type="dxa" w:w="2258"/>
            <w:vAlign w:val="center"/>
          </w:tcPr>
          <w:p>
            <w:pPr>
              <w:spacing w:before="0" w:after="0" w:line="240" w:lineRule="auto"/>
            </w:pPr>
            <w:r/>
            <w:r>
              <w:rPr>
                <w:rFonts w:ascii="Arial" w:hAnsi="Arial" w:cs="Arial"/>
                <w:b w:val="0"/>
                <w:color w:val="333333"/>
                <w:sz w:val="17"/>
              </w:rPr>
              <w:t>64:  ☐ A   ☐ B   ☐ C   ☐ D</w:t>
            </w:r>
          </w:p>
        </w:tc>
      </w:tr>
      <w:tr>
        <w:tc>
          <w:tcPr>
            <w:tcW w:type="dxa" w:w="2256"/>
            <w:vAlign w:val="center"/>
          </w:tcPr>
          <w:p>
            <w:pPr>
              <w:spacing w:before="0" w:after="0" w:line="240" w:lineRule="auto"/>
            </w:pPr>
            <w:r/>
            <w:r>
              <w:rPr>
                <w:rFonts w:ascii="Arial" w:hAnsi="Arial" w:cs="Arial"/>
                <w:b w:val="0"/>
                <w:color w:val="333333"/>
                <w:sz w:val="17"/>
              </w:rPr>
              <w:t>65:  ☐ A   ☐ B   ☐ C   ☐ D</w:t>
            </w:r>
          </w:p>
        </w:tc>
        <w:tc>
          <w:tcPr>
            <w:tcW w:type="dxa" w:w="2256"/>
            <w:vAlign w:val="center"/>
          </w:tcPr>
          <w:p>
            <w:pPr>
              <w:spacing w:before="0" w:after="0" w:line="240" w:lineRule="auto"/>
            </w:pPr>
            <w:r/>
            <w:r>
              <w:rPr>
                <w:rFonts w:ascii="Arial" w:hAnsi="Arial" w:cs="Arial"/>
                <w:b w:val="0"/>
                <w:color w:val="333333"/>
                <w:sz w:val="17"/>
              </w:rPr>
              <w:t>66:  ☐ A   ☐ B   ☐ C   ☐ D</w:t>
            </w:r>
          </w:p>
        </w:tc>
        <w:tc>
          <w:tcPr>
            <w:tcW w:type="dxa" w:w="2256"/>
            <w:vAlign w:val="center"/>
          </w:tcPr>
          <w:p>
            <w:pPr>
              <w:spacing w:before="0" w:after="0" w:line="240" w:lineRule="auto"/>
            </w:pPr>
            <w:r/>
            <w:r>
              <w:rPr>
                <w:rFonts w:ascii="Arial" w:hAnsi="Arial" w:cs="Arial"/>
                <w:b w:val="0"/>
                <w:color w:val="333333"/>
                <w:sz w:val="17"/>
              </w:rPr>
              <w:t>67:  ☐ A   ☐ B   ☐ C   ☐ D</w:t>
            </w:r>
          </w:p>
        </w:tc>
        <w:tc>
          <w:tcPr>
            <w:tcW w:type="dxa" w:w="2258"/>
            <w:vAlign w:val="center"/>
          </w:tcPr>
          <w:p>
            <w:pPr>
              <w:spacing w:before="0" w:after="0" w:line="240" w:lineRule="auto"/>
            </w:pPr>
            <w:r/>
            <w:r>
              <w:rPr>
                <w:rFonts w:ascii="Arial" w:hAnsi="Arial" w:cs="Arial"/>
                <w:b w:val="0"/>
                <w:color w:val="333333"/>
                <w:sz w:val="17"/>
              </w:rPr>
              <w:t>68:  ☐ A   ☐ B   ☐ C   ☐ D</w:t>
            </w:r>
          </w:p>
        </w:tc>
      </w:tr>
      <w:tr>
        <w:tc>
          <w:tcPr>
            <w:tcW w:type="dxa" w:w="2256"/>
            <w:vAlign w:val="center"/>
          </w:tcPr>
          <w:p>
            <w:pPr>
              <w:spacing w:before="0" w:after="0" w:line="240" w:lineRule="auto"/>
            </w:pPr>
            <w:r/>
            <w:r>
              <w:rPr>
                <w:rFonts w:ascii="Arial" w:hAnsi="Arial" w:cs="Arial"/>
                <w:b w:val="0"/>
                <w:color w:val="333333"/>
                <w:sz w:val="17"/>
              </w:rPr>
              <w:t>69:  ☐ A   ☐ B   ☐ C   ☐ D</w:t>
            </w:r>
          </w:p>
        </w:tc>
        <w:tc>
          <w:tcPr>
            <w:tcW w:type="dxa" w:w="2256"/>
            <w:vAlign w:val="center"/>
          </w:tcPr>
          <w:p>
            <w:pPr>
              <w:spacing w:before="0" w:after="0" w:line="240" w:lineRule="auto"/>
            </w:pPr>
            <w:r/>
            <w:r>
              <w:rPr>
                <w:rFonts w:ascii="Arial" w:hAnsi="Arial" w:cs="Arial"/>
                <w:b w:val="0"/>
                <w:color w:val="333333"/>
                <w:sz w:val="17"/>
              </w:rPr>
              <w:t>70:  ☐ A   ☐ B   ☐ C   ☐ D</w:t>
            </w:r>
          </w:p>
        </w:tc>
        <w:tc>
          <w:tcPr>
            <w:tcW w:type="dxa" w:w="2256"/>
            <w:vAlign w:val="center"/>
          </w:tcPr>
          <w:p>
            <w:pPr>
              <w:spacing w:before="0" w:after="0" w:line="240" w:lineRule="auto"/>
            </w:pPr>
            <w:r/>
            <w:r>
              <w:rPr>
                <w:rFonts w:ascii="Arial" w:hAnsi="Arial" w:cs="Arial"/>
                <w:b w:val="0"/>
                <w:color w:val="333333"/>
                <w:sz w:val="17"/>
              </w:rPr>
              <w:t>71:  ☐ A   ☐ B   ☐ C   ☐ D</w:t>
            </w:r>
          </w:p>
        </w:tc>
        <w:tc>
          <w:tcPr>
            <w:tcW w:type="dxa" w:w="2258"/>
            <w:vAlign w:val="center"/>
          </w:tcPr>
          <w:p>
            <w:pPr>
              <w:spacing w:before="0" w:after="0" w:line="240" w:lineRule="auto"/>
            </w:pPr>
            <w:r/>
            <w:r>
              <w:rPr>
                <w:rFonts w:ascii="Arial" w:hAnsi="Arial" w:cs="Arial"/>
                <w:b w:val="0"/>
                <w:color w:val="333333"/>
                <w:sz w:val="17"/>
              </w:rPr>
              <w:t>72:  ☐ A   ☐ B   ☐ C   ☐ D</w:t>
            </w:r>
          </w:p>
        </w:tc>
      </w:tr>
      <w:tr>
        <w:tc>
          <w:tcPr>
            <w:tcW w:type="dxa" w:w="2256"/>
            <w:vAlign w:val="center"/>
          </w:tcPr>
          <w:p>
            <w:pPr>
              <w:spacing w:before="0" w:after="0" w:line="240" w:lineRule="auto"/>
            </w:pPr>
            <w:r/>
            <w:r>
              <w:rPr>
                <w:rFonts w:ascii="Arial" w:hAnsi="Arial" w:cs="Arial"/>
                <w:b w:val="0"/>
                <w:color w:val="333333"/>
                <w:sz w:val="17"/>
              </w:rPr>
              <w:t>73:  ☐ A   ☐ B   ☐ C   ☐ D</w:t>
            </w:r>
          </w:p>
        </w:tc>
        <w:tc>
          <w:tcPr>
            <w:tcW w:type="dxa" w:w="2256"/>
            <w:vAlign w:val="center"/>
          </w:tcPr>
          <w:p>
            <w:pPr>
              <w:spacing w:before="0" w:after="0" w:line="240" w:lineRule="auto"/>
            </w:pPr>
            <w:r/>
            <w:r>
              <w:rPr>
                <w:rFonts w:ascii="Arial" w:hAnsi="Arial" w:cs="Arial"/>
                <w:b w:val="0"/>
                <w:color w:val="333333"/>
                <w:sz w:val="17"/>
              </w:rPr>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pPr>
        <w:pStyle w:val="Heading2"/>
      </w:pPr>
      <w:r>
        <w:t>Segunda parte · 1 a 18</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r>
        <w:rPr>
          <w:rFonts w:ascii="Arial" w:hAnsi="Arial" w:cs="Arial"/>
          <w:sz w:val="19"/>
        </w:rPr>
        <w:t xml:space="preserve">Puntuación directa orientativa por parte: </w:t>
      </w:r>
      <w:r>
        <w:rPr>
          <w:rFonts w:ascii="Arial" w:hAnsi="Arial" w:cs="Arial"/>
          <w:b/>
          <w:sz w:val="19"/>
        </w:rPr>
        <w:t>aciertos − errores/4</w:t>
      </w:r>
      <w:r>
        <w:rPr>
          <w:rFonts w:ascii="Arial" w:hAnsi="Arial" w:cs="Arial"/>
          <w:sz w:val="19"/>
        </w:rPr>
        <w:t>. Las reservas solo sustituyen preguntas anuladas por orden correlativo. La puntuación oficial es la transformada conforme al baremo del tribunal.</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Simulacro 13 · Sin respuestas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13 - nivel oficial - sin respuestas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