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19 · alta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alta</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A efectos de aplicar correctamente la regla examinada, ¿Qué mayoría exige la aprobación, modificación o derogación de una ley orgánica?</w:t>
      </w:r>
    </w:p>
    <w:p>
      <w:pPr>
        <w:keepNext/>
        <w:keepLines/>
        <w:spacing w:after="40"/>
        <w:ind w:left="369" w:hanging="198"/>
      </w:pPr>
      <w:r>
        <w:rPr>
          <w:rFonts w:ascii="Arial" w:hAnsi="Arial" w:cs="Arial"/>
          <w:b w:val="0"/>
          <w:sz w:val="21"/>
        </w:rPr>
        <w:t>A) Mayoría absoluta del Senado en primera votación.</w:t>
      </w:r>
    </w:p>
    <w:p>
      <w:pPr>
        <w:keepNext/>
        <w:keepLines/>
        <w:spacing w:after="40"/>
        <w:ind w:left="369" w:hanging="198"/>
      </w:pPr>
      <w:r>
        <w:rPr>
          <w:rFonts w:ascii="Arial" w:hAnsi="Arial" w:cs="Arial"/>
          <w:b w:val="0"/>
          <w:sz w:val="21"/>
        </w:rPr>
        <w:t>B) Tres quintos de cada Cámara.</w:t>
      </w:r>
    </w:p>
    <w:p>
      <w:pPr>
        <w:keepNext/>
        <w:keepLines/>
        <w:spacing w:after="40"/>
        <w:ind w:left="369" w:hanging="198"/>
      </w:pPr>
      <w:r>
        <w:rPr>
          <w:rFonts w:ascii="Arial" w:hAnsi="Arial" w:cs="Arial"/>
          <w:b w:val="0"/>
          <w:sz w:val="21"/>
        </w:rPr>
        <w:t>C) Mayoría absoluta del Congreso en una votación final sobre el conjunto.</w:t>
      </w:r>
    </w:p>
    <w:p>
      <w:pPr>
        <w:keepNext/>
        <w:keepLines/>
        <w:spacing w:after="40"/>
        <w:ind w:left="369" w:hanging="198"/>
      </w:pPr>
      <w:r>
        <w:rPr>
          <w:rFonts w:ascii="Arial" w:hAnsi="Arial" w:cs="Arial"/>
          <w:b w:val="0"/>
          <w:sz w:val="21"/>
        </w:rPr>
        <w:t>D) Mayoría simple del Congreso y del Senado en sesión conjunta.</w:t>
      </w:r>
    </w:p>
    <w:p>
      <w:pPr>
        <w:pStyle w:val="Question"/>
        <w:keepNext/>
      </w:pPr>
      <w:r>
        <w:rPr>
          <w:rFonts w:ascii="Arial" w:hAnsi="Arial" w:cs="Arial"/>
          <w:sz w:val="22"/>
        </w:rPr>
        <w:t>2. A efectos de aplicar correctamente la regla examinada, ¿En qué demarcación existe, como regla, un Tribunal de Instancia?</w:t>
      </w:r>
    </w:p>
    <w:p>
      <w:pPr>
        <w:keepNext/>
        <w:keepLines/>
        <w:spacing w:after="40"/>
        <w:ind w:left="369" w:hanging="198"/>
      </w:pPr>
      <w:r>
        <w:rPr>
          <w:rFonts w:ascii="Arial" w:hAnsi="Arial" w:cs="Arial"/>
          <w:b w:val="0"/>
          <w:sz w:val="21"/>
        </w:rPr>
        <w:t>A) En cada municipio.</w:t>
      </w:r>
    </w:p>
    <w:p>
      <w:pPr>
        <w:keepNext/>
        <w:keepLines/>
        <w:spacing w:after="40"/>
        <w:ind w:left="369" w:hanging="198"/>
      </w:pPr>
      <w:r>
        <w:rPr>
          <w:rFonts w:ascii="Arial" w:hAnsi="Arial" w:cs="Arial"/>
          <w:b w:val="0"/>
          <w:sz w:val="21"/>
        </w:rPr>
        <w:t>B) En cada partido judicial.</w:t>
      </w:r>
    </w:p>
    <w:p>
      <w:pPr>
        <w:keepNext/>
        <w:keepLines/>
        <w:spacing w:after="40"/>
        <w:ind w:left="369" w:hanging="198"/>
      </w:pPr>
      <w:r>
        <w:rPr>
          <w:rFonts w:ascii="Arial" w:hAnsi="Arial" w:cs="Arial"/>
          <w:b w:val="0"/>
          <w:sz w:val="21"/>
        </w:rPr>
        <w:t>C) En cada provincia exclusivamente.</w:t>
      </w:r>
    </w:p>
    <w:p>
      <w:pPr>
        <w:keepNext/>
        <w:keepLines/>
        <w:spacing w:after="40"/>
        <w:ind w:left="369" w:hanging="198"/>
      </w:pPr>
      <w:r>
        <w:rPr>
          <w:rFonts w:ascii="Arial" w:hAnsi="Arial" w:cs="Arial"/>
          <w:b w:val="0"/>
          <w:sz w:val="21"/>
        </w:rPr>
        <w:t>D) En cada Comunidad Autónoma.</w:t>
      </w:r>
    </w:p>
    <w:p>
      <w:pPr>
        <w:pStyle w:val="Question"/>
        <w:keepNext/>
      </w:pPr>
      <w:r>
        <w:rPr>
          <w:rFonts w:ascii="Arial" w:hAnsi="Arial" w:cs="Arial"/>
          <w:sz w:val="22"/>
        </w:rPr>
        <w:t>3. En una comprobación jurídica del expediente, ¿Cuál de las siguientes afirmaciones distingue correctamente al Tribunal Central de Instancia de la Audiencia Nacional?</w:t>
      </w:r>
    </w:p>
    <w:p>
      <w:pPr>
        <w:keepNext/>
        <w:keepLines/>
        <w:spacing w:after="40"/>
        <w:ind w:left="369" w:hanging="198"/>
      </w:pPr>
      <w:r>
        <w:rPr>
          <w:rFonts w:ascii="Arial" w:hAnsi="Arial" w:cs="Arial"/>
          <w:b w:val="0"/>
          <w:sz w:val="21"/>
        </w:rPr>
        <w:t>A) El Tribunal Central tiene Sala de lo Social y la Audiencia Nacional no.</w:t>
      </w:r>
    </w:p>
    <w:p>
      <w:pPr>
        <w:keepNext/>
        <w:keepLines/>
        <w:spacing w:after="40"/>
        <w:ind w:left="369" w:hanging="198"/>
      </w:pPr>
      <w:r>
        <w:rPr>
          <w:rFonts w:ascii="Arial" w:hAnsi="Arial" w:cs="Arial"/>
          <w:b w:val="0"/>
          <w:sz w:val="21"/>
        </w:rPr>
        <w:t>B) Ambos son exactamente el mismo órgano desde 2025.</w:t>
      </w:r>
    </w:p>
    <w:p>
      <w:pPr>
        <w:keepNext/>
        <w:keepLines/>
        <w:spacing w:after="40"/>
        <w:ind w:left="369" w:hanging="198"/>
      </w:pPr>
      <w:r>
        <w:rPr>
          <w:rFonts w:ascii="Arial" w:hAnsi="Arial" w:cs="Arial"/>
          <w:b w:val="0"/>
          <w:sz w:val="21"/>
        </w:rPr>
        <w:t>C) El Tribunal Central integra Secciones procedentes de los antiguos Juzgados Centrales, mientras la Audiencia Nacional conserva sus Salas colegiadas.</w:t>
      </w:r>
    </w:p>
    <w:p>
      <w:pPr>
        <w:keepNext/>
        <w:keepLines/>
        <w:spacing w:after="40"/>
        <w:ind w:left="369" w:hanging="198"/>
      </w:pPr>
      <w:r>
        <w:rPr>
          <w:rFonts w:ascii="Arial" w:hAnsi="Arial" w:cs="Arial"/>
          <w:b w:val="0"/>
          <w:sz w:val="21"/>
        </w:rPr>
        <w:t>D) La Audiencia Nacional se transformó íntegramente en Tribunal Central.</w:t>
      </w:r>
    </w:p>
    <w:p>
      <w:pPr>
        <w:pStyle w:val="Question"/>
        <w:keepNext/>
      </w:pPr>
      <w:r>
        <w:rPr>
          <w:rFonts w:ascii="Arial" w:hAnsi="Arial" w:cs="Arial"/>
          <w:sz w:val="22"/>
        </w:rPr>
        <w:t>4. A efectos de aplicar correctamente la regla examinada, para iniciar una misma actividad o ejercer un mismo derecho, la Administración:</w:t>
      </w:r>
    </w:p>
    <w:p>
      <w:pPr>
        <w:keepNext/>
        <w:keepLines/>
        <w:spacing w:after="40"/>
        <w:ind w:left="369" w:hanging="198"/>
      </w:pPr>
      <w:r>
        <w:rPr>
          <w:rFonts w:ascii="Arial" w:hAnsi="Arial" w:cs="Arial"/>
          <w:b w:val="0"/>
          <w:sz w:val="21"/>
        </w:rPr>
        <w:t>A) Solo puede exigir declaración responsable o comunicación, sin acumular ambas.</w:t>
      </w:r>
    </w:p>
    <w:p>
      <w:pPr>
        <w:keepNext/>
        <w:keepLines/>
        <w:spacing w:after="40"/>
        <w:ind w:left="369" w:hanging="198"/>
      </w:pPr>
      <w:r>
        <w:rPr>
          <w:rFonts w:ascii="Arial" w:hAnsi="Arial" w:cs="Arial"/>
          <w:b w:val="0"/>
          <w:sz w:val="21"/>
        </w:rPr>
        <w:t>B) Debe exigir siempre declaración responsable y comunicación.</w:t>
      </w:r>
    </w:p>
    <w:p>
      <w:pPr>
        <w:keepNext/>
        <w:keepLines/>
        <w:spacing w:after="40"/>
        <w:ind w:left="369" w:hanging="198"/>
      </w:pPr>
      <w:r>
        <w:rPr>
          <w:rFonts w:ascii="Arial" w:hAnsi="Arial" w:cs="Arial"/>
          <w:b w:val="0"/>
          <w:sz w:val="21"/>
        </w:rPr>
        <w:t>C) Puede exigir ambas si lo decide el instructor.</w:t>
      </w:r>
    </w:p>
    <w:p>
      <w:pPr>
        <w:keepNext/>
        <w:keepLines/>
        <w:spacing w:after="40"/>
        <w:ind w:left="369" w:hanging="198"/>
      </w:pPr>
      <w:r>
        <w:rPr>
          <w:rFonts w:ascii="Arial" w:hAnsi="Arial" w:cs="Arial"/>
          <w:b w:val="0"/>
          <w:sz w:val="21"/>
        </w:rPr>
        <w:t>D) Debe exigir licencia previa en todos los casos.</w:t>
      </w:r>
    </w:p>
    <w:p>
      <w:pPr>
        <w:pStyle w:val="Question"/>
        <w:keepNext/>
      </w:pPr>
      <w:r>
        <w:rPr>
          <w:rFonts w:ascii="Arial" w:hAnsi="Arial" w:cs="Arial"/>
          <w:sz w:val="22"/>
        </w:rPr>
        <w:t>5. En una comprobación jurídica del expediente, ¿Qué afirmación describe correctamente el artículo 148 de la Constitución?</w:t>
      </w:r>
    </w:p>
    <w:p>
      <w:pPr>
        <w:keepNext/>
        <w:keepLines/>
        <w:spacing w:after="40"/>
        <w:ind w:left="369" w:hanging="198"/>
      </w:pPr>
      <w:r>
        <w:rPr>
          <w:rFonts w:ascii="Arial" w:hAnsi="Arial" w:cs="Arial"/>
          <w:b w:val="0"/>
          <w:sz w:val="21"/>
        </w:rPr>
        <w:t>A) Atribuye automáticamente todas sus materias a cada Comunidad.</w:t>
      </w:r>
    </w:p>
    <w:p>
      <w:pPr>
        <w:keepNext/>
        <w:keepLines/>
        <w:spacing w:after="40"/>
        <w:ind w:left="369" w:hanging="198"/>
      </w:pPr>
      <w:r>
        <w:rPr>
          <w:rFonts w:ascii="Arial" w:hAnsi="Arial" w:cs="Arial"/>
          <w:b w:val="0"/>
          <w:sz w:val="21"/>
        </w:rPr>
        <w:t>B) Enumera materias que las Comunidades podían asumir, pero la asunción efectiva depende del Estatuto.</w:t>
      </w:r>
    </w:p>
    <w:p>
      <w:pPr>
        <w:keepNext/>
        <w:keepLines/>
        <w:spacing w:after="40"/>
        <w:ind w:left="369" w:hanging="198"/>
      </w:pPr>
      <w:r>
        <w:rPr>
          <w:rFonts w:ascii="Arial" w:hAnsi="Arial" w:cs="Arial"/>
          <w:b w:val="0"/>
          <w:sz w:val="21"/>
        </w:rPr>
        <w:t>C) Contiene únicamente competencias exclusivas e indelegables del Estado.</w:t>
      </w:r>
    </w:p>
    <w:p>
      <w:pPr>
        <w:keepNext/>
        <w:keepLines/>
        <w:spacing w:after="40"/>
        <w:ind w:left="369" w:hanging="198"/>
      </w:pPr>
      <w:r>
        <w:rPr>
          <w:rFonts w:ascii="Arial" w:hAnsi="Arial" w:cs="Arial"/>
          <w:b w:val="0"/>
          <w:sz w:val="21"/>
        </w:rPr>
        <w:t>D) Regula los controles económico-presupuestarios sobre las Comunidades.</w:t>
      </w:r>
    </w:p>
    <w:p>
      <w:pPr>
        <w:pStyle w:val="Question"/>
        <w:keepNext/>
      </w:pPr>
      <w:r>
        <w:rPr>
          <w:rFonts w:ascii="Arial" w:hAnsi="Arial" w:cs="Arial"/>
          <w:sz w:val="22"/>
        </w:rPr>
        <w:t>6. Para resolver correctamente la cuestión planteada, si el empresario incumple su obligación de solicitar el alta, el trabajador por cuenta ajena:</w:t>
      </w:r>
    </w:p>
    <w:p>
      <w:pPr>
        <w:keepNext/>
        <w:keepLines/>
        <w:spacing w:after="40"/>
        <w:ind w:left="369" w:hanging="198"/>
      </w:pPr>
      <w:r>
        <w:rPr>
          <w:rFonts w:ascii="Arial" w:hAnsi="Arial" w:cs="Arial"/>
          <w:b w:val="0"/>
          <w:sz w:val="21"/>
        </w:rPr>
        <w:t>A) Debe esperar necesariamente a una actuación inspectora.</w:t>
      </w:r>
    </w:p>
    <w:p>
      <w:pPr>
        <w:keepNext/>
        <w:keepLines/>
        <w:spacing w:after="40"/>
        <w:ind w:left="369" w:hanging="198"/>
      </w:pPr>
      <w:r>
        <w:rPr>
          <w:rFonts w:ascii="Arial" w:hAnsi="Arial" w:cs="Arial"/>
          <w:b w:val="0"/>
          <w:sz w:val="21"/>
        </w:rPr>
        <w:t>B) Puede instar directamente su alta ante la TGSS, sin perjuicio de las responsabilidades empresariales.</w:t>
      </w:r>
    </w:p>
    <w:p>
      <w:pPr>
        <w:keepNext/>
        <w:keepLines/>
        <w:spacing w:after="40"/>
        <w:ind w:left="369" w:hanging="198"/>
      </w:pPr>
      <w:r>
        <w:rPr>
          <w:rFonts w:ascii="Arial" w:hAnsi="Arial" w:cs="Arial"/>
          <w:b w:val="0"/>
          <w:sz w:val="21"/>
        </w:rPr>
        <w:t>C) Pierde de forma definitiva toda posibilidad de alta.</w:t>
      </w:r>
    </w:p>
    <w:p>
      <w:pPr>
        <w:keepNext/>
        <w:keepLines/>
        <w:spacing w:after="40"/>
        <w:ind w:left="369" w:hanging="198"/>
      </w:pPr>
      <w:r>
        <w:rPr>
          <w:rFonts w:ascii="Arial" w:hAnsi="Arial" w:cs="Arial"/>
          <w:b w:val="0"/>
          <w:sz w:val="21"/>
        </w:rPr>
        <w:t>D) Solo puede demandar al INSS para obtener un nuevo número.</w:t>
      </w:r>
    </w:p>
    <w:p>
      <w:pPr>
        <w:pStyle w:val="Question"/>
        <w:keepNext/>
      </w:pPr>
      <w:r>
        <w:rPr>
          <w:rFonts w:ascii="Arial" w:hAnsi="Arial" w:cs="Arial"/>
          <w:sz w:val="22"/>
        </w:rPr>
        <w:t>7. Sin añadir circunstancias distintas de las indicadas, ¿Cuál es el régimen provincial de las Comunidades Autónomas uniprovinciales?</w:t>
      </w:r>
    </w:p>
    <w:p>
      <w:pPr>
        <w:keepNext/>
        <w:keepLines/>
        <w:spacing w:after="40"/>
        <w:ind w:left="369" w:hanging="198"/>
      </w:pPr>
      <w:r>
        <w:rPr>
          <w:rFonts w:ascii="Arial" w:hAnsi="Arial" w:cs="Arial"/>
          <w:b w:val="0"/>
          <w:sz w:val="21"/>
        </w:rPr>
        <w:t>A) Asumen competencias, medios y recursos de las Diputaciones, con la excepción balear en los términos de su Estatuto.</w:t>
      </w:r>
    </w:p>
    <w:p>
      <w:pPr>
        <w:keepNext/>
        <w:keepLines/>
        <w:spacing w:after="40"/>
        <w:ind w:left="369" w:hanging="198"/>
      </w:pPr>
      <w:r>
        <w:rPr>
          <w:rFonts w:ascii="Arial" w:hAnsi="Arial" w:cs="Arial"/>
          <w:b w:val="0"/>
          <w:sz w:val="21"/>
        </w:rPr>
        <w:t>B) Mantienen necesariamente una Diputación ordinaria separada.</w:t>
      </w:r>
    </w:p>
    <w:p>
      <w:pPr>
        <w:keepNext/>
        <w:keepLines/>
        <w:spacing w:after="40"/>
        <w:ind w:left="369" w:hanging="198"/>
      </w:pPr>
      <w:r>
        <w:rPr>
          <w:rFonts w:ascii="Arial" w:hAnsi="Arial" w:cs="Arial"/>
          <w:b w:val="0"/>
          <w:sz w:val="21"/>
        </w:rPr>
        <w:t>C) Carecen de las competencias que corresponden a las Diputaciones.</w:t>
      </w:r>
    </w:p>
    <w:p>
      <w:pPr>
        <w:keepNext/>
        <w:keepLines/>
        <w:spacing w:after="40"/>
        <w:ind w:left="369" w:hanging="198"/>
      </w:pPr>
      <w:r>
        <w:rPr>
          <w:rFonts w:ascii="Arial" w:hAnsi="Arial" w:cs="Arial"/>
          <w:b w:val="0"/>
          <w:sz w:val="21"/>
        </w:rPr>
        <w:t>D) Las competencias provinciales pasan al Delegado del Gobierno.</w:t>
      </w:r>
    </w:p>
    <w:p>
      <w:pPr>
        <w:pStyle w:val="Question"/>
        <w:keepNext/>
      </w:pPr>
      <w:r>
        <w:rPr>
          <w:rFonts w:ascii="Arial" w:hAnsi="Arial" w:cs="Arial"/>
          <w:sz w:val="22"/>
        </w:rPr>
        <w:t>8. En una comprobación jurídica del expediente, el recurso de alzada será resuelto:</w:t>
      </w:r>
    </w:p>
    <w:p>
      <w:pPr>
        <w:keepNext/>
        <w:keepLines/>
        <w:spacing w:after="40"/>
        <w:ind w:left="369" w:hanging="198"/>
      </w:pPr>
      <w:r>
        <w:rPr>
          <w:rFonts w:ascii="Arial" w:hAnsi="Arial" w:cs="Arial"/>
          <w:b w:val="0"/>
          <w:sz w:val="21"/>
        </w:rPr>
        <w:t>A) Siempre por el mismo órgano que dictó el acto.</w:t>
      </w:r>
    </w:p>
    <w:p>
      <w:pPr>
        <w:keepNext/>
        <w:keepLines/>
        <w:spacing w:after="40"/>
        <w:ind w:left="369" w:hanging="198"/>
      </w:pPr>
      <w:r>
        <w:rPr>
          <w:rFonts w:ascii="Arial" w:hAnsi="Arial" w:cs="Arial"/>
          <w:b w:val="0"/>
          <w:sz w:val="21"/>
        </w:rPr>
        <w:t>B) Por el órgano consultivo correspondiente.</w:t>
      </w:r>
    </w:p>
    <w:p>
      <w:pPr>
        <w:keepNext/>
        <w:keepLines/>
        <w:spacing w:after="40"/>
        <w:ind w:left="369" w:hanging="198"/>
      </w:pPr>
      <w:r>
        <w:rPr>
          <w:rFonts w:ascii="Arial" w:hAnsi="Arial" w:cs="Arial"/>
          <w:b w:val="0"/>
          <w:sz w:val="21"/>
        </w:rPr>
        <w:t>C) Por el órgano superior jerárquico del que dictó el acto recurrido.</w:t>
      </w:r>
    </w:p>
    <w:p>
      <w:pPr>
        <w:keepNext/>
        <w:keepLines/>
        <w:spacing w:after="40"/>
        <w:ind w:left="369" w:hanging="198"/>
      </w:pPr>
      <w:r>
        <w:rPr>
          <w:rFonts w:ascii="Arial" w:hAnsi="Arial" w:cs="Arial"/>
          <w:b w:val="0"/>
          <w:sz w:val="21"/>
        </w:rPr>
        <w:t>D) Por el juzgado contencioso-administrativo.</w:t>
      </w:r>
    </w:p>
    <w:p>
      <w:pPr>
        <w:pStyle w:val="Question"/>
        <w:keepNext/>
      </w:pPr>
      <w:r>
        <w:rPr>
          <w:rFonts w:ascii="Arial" w:hAnsi="Arial" w:cs="Arial"/>
          <w:sz w:val="22"/>
        </w:rPr>
        <w:t>9. En una comprobación jurídica del expediente, en una comunidad autónoma uniprovincial sin subdelegado, la suplencia del delegado por ausencia, vacante o enfermedad corresponde:</w:t>
      </w:r>
    </w:p>
    <w:p>
      <w:pPr>
        <w:keepNext/>
        <w:keepLines/>
        <w:spacing w:after="40"/>
        <w:ind w:left="369" w:hanging="198"/>
      </w:pPr>
      <w:r>
        <w:rPr>
          <w:rFonts w:ascii="Arial" w:hAnsi="Arial" w:cs="Arial"/>
          <w:b w:val="0"/>
          <w:sz w:val="21"/>
        </w:rPr>
        <w:t>A) Al director insular.</w:t>
      </w:r>
    </w:p>
    <w:p>
      <w:pPr>
        <w:keepNext/>
        <w:keepLines/>
        <w:spacing w:after="40"/>
        <w:ind w:left="369" w:hanging="198"/>
      </w:pPr>
      <w:r>
        <w:rPr>
          <w:rFonts w:ascii="Arial" w:hAnsi="Arial" w:cs="Arial"/>
          <w:b w:val="0"/>
          <w:sz w:val="21"/>
        </w:rPr>
        <w:t>B) Al subsecretario de Política Territorial.</w:t>
      </w:r>
    </w:p>
    <w:p>
      <w:pPr>
        <w:keepNext/>
        <w:keepLines/>
        <w:spacing w:after="40"/>
        <w:ind w:left="369" w:hanging="198"/>
      </w:pPr>
      <w:r>
        <w:rPr>
          <w:rFonts w:ascii="Arial" w:hAnsi="Arial" w:cs="Arial"/>
          <w:b w:val="0"/>
          <w:sz w:val="21"/>
        </w:rPr>
        <w:t>C) Al presidente autonómico.</w:t>
      </w:r>
    </w:p>
    <w:p>
      <w:pPr>
        <w:keepNext/>
        <w:keepLines/>
        <w:spacing w:after="40"/>
        <w:ind w:left="369" w:hanging="198"/>
      </w:pPr>
      <w:r>
        <w:rPr>
          <w:rFonts w:ascii="Arial" w:hAnsi="Arial" w:cs="Arial"/>
          <w:b w:val="0"/>
          <w:sz w:val="21"/>
        </w:rPr>
        <w:t>D) Al secretario general de la Delegación.</w:t>
      </w:r>
    </w:p>
    <w:p>
      <w:pPr>
        <w:pStyle w:val="Question"/>
        <w:keepNext/>
      </w:pPr>
      <w:r>
        <w:rPr>
          <w:rFonts w:ascii="Arial" w:hAnsi="Arial" w:cs="Arial"/>
          <w:sz w:val="22"/>
        </w:rPr>
        <w:t>10. A efectos de aplicar correctamente la regla examinada, interpuesto un recurso potestativo de reposición:</w:t>
      </w:r>
    </w:p>
    <w:p>
      <w:pPr>
        <w:keepNext/>
        <w:keepLines/>
        <w:spacing w:after="40"/>
        <w:ind w:left="369" w:hanging="198"/>
      </w:pPr>
      <w:r>
        <w:rPr>
          <w:rFonts w:ascii="Arial" w:hAnsi="Arial" w:cs="Arial"/>
          <w:b w:val="0"/>
          <w:sz w:val="21"/>
        </w:rPr>
        <w:t>A) No podrá acudirse a la vía contenciosa hasta que la reposición sea resuelta expresamente o se produzca su desestimación presunta.</w:t>
      </w:r>
    </w:p>
    <w:p>
      <w:pPr>
        <w:keepNext/>
        <w:keepLines/>
        <w:spacing w:after="40"/>
        <w:ind w:left="369" w:hanging="198"/>
      </w:pPr>
      <w:r>
        <w:rPr>
          <w:rFonts w:ascii="Arial" w:hAnsi="Arial" w:cs="Arial"/>
          <w:b w:val="0"/>
          <w:sz w:val="21"/>
        </w:rPr>
        <w:t>B) Puede interponerse simultáneamente el recurso contencioso contra el mismo acto.</w:t>
      </w:r>
    </w:p>
    <w:p>
      <w:pPr>
        <w:keepNext/>
        <w:keepLines/>
        <w:spacing w:after="40"/>
        <w:ind w:left="369" w:hanging="198"/>
      </w:pPr>
      <w:r>
        <w:rPr>
          <w:rFonts w:ascii="Arial" w:hAnsi="Arial" w:cs="Arial"/>
          <w:b w:val="0"/>
          <w:sz w:val="21"/>
        </w:rPr>
        <w:t>C) Se abre un nuevo plazo para formular alzada.</w:t>
      </w:r>
    </w:p>
    <w:p>
      <w:pPr>
        <w:keepNext/>
        <w:keepLines/>
        <w:spacing w:after="40"/>
        <w:ind w:left="369" w:hanging="198"/>
      </w:pPr>
      <w:r>
        <w:rPr>
          <w:rFonts w:ascii="Arial" w:hAnsi="Arial" w:cs="Arial"/>
          <w:b w:val="0"/>
          <w:sz w:val="21"/>
        </w:rPr>
        <w:t>D) El acto impugnado queda automáticamente suspendido.</w:t>
      </w:r>
    </w:p>
    <w:p>
      <w:pPr>
        <w:pStyle w:val="Question"/>
        <w:keepNext/>
      </w:pPr>
      <w:r>
        <w:rPr>
          <w:rFonts w:ascii="Arial" w:hAnsi="Arial" w:cs="Arial"/>
          <w:sz w:val="22"/>
        </w:rPr>
        <w:t>11. Conforme al ordenamiento vigente a la fecha de corte, respecto del embargo de salarios, sueldos y pensiones:</w:t>
      </w:r>
    </w:p>
    <w:p>
      <w:pPr>
        <w:keepNext/>
        <w:keepLines/>
        <w:spacing w:after="40"/>
        <w:ind w:left="369" w:hanging="198"/>
      </w:pPr>
      <w:r>
        <w:rPr>
          <w:rFonts w:ascii="Arial" w:hAnsi="Arial" w:cs="Arial"/>
          <w:b w:val="0"/>
          <w:sz w:val="21"/>
        </w:rPr>
        <w:t>A) Todo el salario es siempre embargable.</w:t>
      </w:r>
    </w:p>
    <w:p>
      <w:pPr>
        <w:keepNext/>
        <w:keepLines/>
        <w:spacing w:after="40"/>
        <w:ind w:left="369" w:hanging="198"/>
      </w:pPr>
      <w:r>
        <w:rPr>
          <w:rFonts w:ascii="Arial" w:hAnsi="Arial" w:cs="Arial"/>
          <w:b w:val="0"/>
          <w:sz w:val="21"/>
        </w:rPr>
        <w:t>B) Ninguna pensión puede embargarse, cualquiera que sea su cuantía.</w:t>
      </w:r>
    </w:p>
    <w:p>
      <w:pPr>
        <w:keepNext/>
        <w:keepLines/>
        <w:spacing w:after="40"/>
        <w:ind w:left="369" w:hanging="198"/>
      </w:pPr>
      <w:r>
        <w:rPr>
          <w:rFonts w:ascii="Arial" w:hAnsi="Arial" w:cs="Arial"/>
          <w:b w:val="0"/>
          <w:sz w:val="21"/>
        </w:rPr>
        <w:t>C) La cuantía equivalente al salario mínimo interprofesional es inembargable, salvo las excepciones legales.</w:t>
      </w:r>
    </w:p>
    <w:p>
      <w:pPr>
        <w:keepNext/>
        <w:keepLines/>
        <w:spacing w:after="40"/>
        <w:ind w:left="369" w:hanging="198"/>
      </w:pPr>
      <w:r>
        <w:rPr>
          <w:rFonts w:ascii="Arial" w:hAnsi="Arial" w:cs="Arial"/>
          <w:b w:val="0"/>
          <w:sz w:val="21"/>
        </w:rPr>
        <w:t>D) La primera unidad de SMI se embarga al 30 %.</w:t>
      </w:r>
    </w:p>
    <w:p>
      <w:pPr>
        <w:pStyle w:val="Question"/>
        <w:keepNext/>
      </w:pPr>
      <w:r>
        <w:rPr>
          <w:rFonts w:ascii="Arial" w:hAnsi="Arial" w:cs="Arial"/>
          <w:sz w:val="22"/>
        </w:rPr>
        <w:t>12. A efectos de aplicar correctamente la regla examinada, tras una reclamación de deuda firme, el responsable recurre la providencia alegando únicamente que discrepa jurídicamente de la base de cotización ya decidida. ¿Qué procede?</w:t>
      </w:r>
    </w:p>
    <w:p>
      <w:pPr>
        <w:keepNext/>
        <w:keepLines/>
        <w:spacing w:after="40"/>
        <w:ind w:left="369" w:hanging="198"/>
      </w:pPr>
      <w:r>
        <w:rPr>
          <w:rFonts w:ascii="Arial" w:hAnsi="Arial" w:cs="Arial"/>
          <w:b w:val="0"/>
          <w:sz w:val="21"/>
        </w:rPr>
        <w:t>A) Suspender y revisar todo el fondo porque los motivos son abiertos.</w:t>
      </w:r>
    </w:p>
    <w:p>
      <w:pPr>
        <w:keepNext/>
        <w:keepLines/>
        <w:spacing w:after="40"/>
        <w:ind w:left="369" w:hanging="198"/>
      </w:pPr>
      <w:r>
        <w:rPr>
          <w:rFonts w:ascii="Arial" w:hAnsi="Arial" w:cs="Arial"/>
          <w:b w:val="0"/>
          <w:sz w:val="21"/>
        </w:rPr>
        <w:t>B) Calificar automáticamente el crédito de incobrable.</w:t>
      </w:r>
    </w:p>
    <w:p>
      <w:pPr>
        <w:keepNext/>
        <w:keepLines/>
        <w:spacing w:after="40"/>
        <w:ind w:left="369" w:hanging="198"/>
      </w:pPr>
      <w:r>
        <w:rPr>
          <w:rFonts w:ascii="Arial" w:hAnsi="Arial" w:cs="Arial"/>
          <w:b w:val="0"/>
          <w:sz w:val="21"/>
        </w:rPr>
        <w:t>C) Convertir el recurso en tercería de dominio.</w:t>
      </w:r>
    </w:p>
    <w:p>
      <w:pPr>
        <w:keepNext/>
        <w:keepLines/>
        <w:spacing w:after="40"/>
        <w:ind w:left="369" w:hanging="198"/>
      </w:pPr>
      <w:r>
        <w:rPr>
          <w:rFonts w:ascii="Arial" w:hAnsi="Arial" w:cs="Arial"/>
          <w:b w:val="0"/>
          <w:sz w:val="21"/>
        </w:rPr>
        <w:t>D) Rechazar esa alegación como motivo de oposición a la providencia, pues no es pago, prescripción, error material, condonación, aplazamiento, suspensión ni falta de notificación exigible.</w:t>
      </w:r>
    </w:p>
    <w:p>
      <w:pPr>
        <w:pStyle w:val="Question"/>
        <w:keepNext/>
      </w:pPr>
      <w:r>
        <w:rPr>
          <w:rFonts w:ascii="Arial" w:hAnsi="Arial" w:cs="Arial"/>
          <w:sz w:val="22"/>
        </w:rPr>
        <w:t>13. De acuerdo con la regulación aplicable, puede dictarse providencia sin reclamación de deuda ni acta previa cuando:</w:t>
      </w:r>
    </w:p>
    <w:p>
      <w:pPr>
        <w:keepNext/>
        <w:keepLines/>
        <w:spacing w:after="40"/>
        <w:ind w:left="369" w:hanging="198"/>
      </w:pPr>
      <w:r>
        <w:rPr>
          <w:rFonts w:ascii="Arial" w:hAnsi="Arial" w:cs="Arial"/>
          <w:b w:val="0"/>
          <w:sz w:val="21"/>
        </w:rPr>
        <w:t>A) La deuda depende de hechos no comprobados y nunca fue liquidada.</w:t>
      </w:r>
    </w:p>
    <w:p>
      <w:pPr>
        <w:keepNext/>
        <w:keepLines/>
        <w:spacing w:after="40"/>
        <w:ind w:left="369" w:hanging="198"/>
      </w:pPr>
      <w:r>
        <w:rPr>
          <w:rFonts w:ascii="Arial" w:hAnsi="Arial" w:cs="Arial"/>
          <w:b w:val="0"/>
          <w:sz w:val="21"/>
        </w:rPr>
        <w:t>B) Se dejaron de ingresar cuotas de trabajadores en alta correctamente liquidadas mediante los sistemas o documentos presentados en plazo.</w:t>
      </w:r>
    </w:p>
    <w:p>
      <w:pPr>
        <w:keepNext/>
        <w:keepLines/>
        <w:spacing w:after="40"/>
        <w:ind w:left="369" w:hanging="198"/>
      </w:pPr>
      <w:r>
        <w:rPr>
          <w:rFonts w:ascii="Arial" w:hAnsi="Arial" w:cs="Arial"/>
          <w:b w:val="0"/>
          <w:sz w:val="21"/>
        </w:rPr>
        <w:t>C) Falta toda identificación del responsable.</w:t>
      </w:r>
    </w:p>
    <w:p>
      <w:pPr>
        <w:keepNext/>
        <w:keepLines/>
        <w:spacing w:after="40"/>
        <w:ind w:left="369" w:hanging="198"/>
      </w:pPr>
      <w:r>
        <w:rPr>
          <w:rFonts w:ascii="Arial" w:hAnsi="Arial" w:cs="Arial"/>
          <w:b w:val="0"/>
          <w:sz w:val="21"/>
        </w:rPr>
        <w:t>D) Existe un aplazamiento vigente y cumplido.</w:t>
      </w:r>
    </w:p>
    <w:p>
      <w:pPr>
        <w:pStyle w:val="Question"/>
        <w:keepNext/>
      </w:pPr>
      <w:r>
        <w:rPr>
          <w:rFonts w:ascii="Arial" w:hAnsi="Arial" w:cs="Arial"/>
          <w:sz w:val="22"/>
        </w:rPr>
        <w:t>14. A efectos de aplicar correctamente la regla examinada, antes de plantear una cuestión de inconstitucionalidad, ¿qué plazo común e improrrogable tienen las partes y el Ministerio Fiscal para alegar?</w:t>
      </w:r>
    </w:p>
    <w:p>
      <w:pPr>
        <w:keepNext/>
        <w:keepLines/>
        <w:spacing w:after="40"/>
        <w:ind w:left="369" w:hanging="198"/>
      </w:pPr>
      <w:r>
        <w:rPr>
          <w:rFonts w:ascii="Arial" w:hAnsi="Arial" w:cs="Arial"/>
          <w:b w:val="0"/>
          <w:sz w:val="21"/>
        </w:rPr>
        <w:t>A) Cinco días.</w:t>
      </w:r>
    </w:p>
    <w:p>
      <w:pPr>
        <w:keepNext/>
        <w:keepLines/>
        <w:spacing w:after="40"/>
        <w:ind w:left="369" w:hanging="198"/>
      </w:pPr>
      <w:r>
        <w:rPr>
          <w:rFonts w:ascii="Arial" w:hAnsi="Arial" w:cs="Arial"/>
          <w:b w:val="0"/>
          <w:sz w:val="21"/>
        </w:rPr>
        <w:t>B) Diez días.</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Veinte días.</w:t>
      </w:r>
    </w:p>
    <w:p>
      <w:pPr>
        <w:pStyle w:val="Question"/>
        <w:keepNext/>
      </w:pPr>
      <w:r>
        <w:rPr>
          <w:rFonts w:ascii="Arial" w:hAnsi="Arial" w:cs="Arial"/>
          <w:sz w:val="22"/>
        </w:rPr>
        <w:t>15. Conforme al ordenamiento vigente a la fecha de corte, ¿Cuál de estas disposiciones es nula de pleno derecho conforme al artículo 47.2 LPAC?</w:t>
      </w:r>
    </w:p>
    <w:p>
      <w:pPr>
        <w:keepNext/>
        <w:keepLines/>
        <w:spacing w:after="40"/>
        <w:ind w:left="369" w:hanging="198"/>
      </w:pPr>
      <w:r>
        <w:rPr>
          <w:rFonts w:ascii="Arial" w:hAnsi="Arial" w:cs="Arial"/>
          <w:b w:val="0"/>
          <w:sz w:val="21"/>
        </w:rPr>
        <w:t>A) La que invade una materia reservada a ley.</w:t>
      </w:r>
    </w:p>
    <w:p>
      <w:pPr>
        <w:keepNext/>
        <w:keepLines/>
        <w:spacing w:after="40"/>
        <w:ind w:left="369" w:hanging="198"/>
      </w:pPr>
      <w:r>
        <w:rPr>
          <w:rFonts w:ascii="Arial" w:hAnsi="Arial" w:cs="Arial"/>
          <w:b w:val="0"/>
          <w:sz w:val="21"/>
        </w:rPr>
        <w:t>B) La que contiene una errata no sustantiva corregible.</w:t>
      </w:r>
    </w:p>
    <w:p>
      <w:pPr>
        <w:keepNext/>
        <w:keepLines/>
        <w:spacing w:after="40"/>
        <w:ind w:left="369" w:hanging="198"/>
      </w:pPr>
      <w:r>
        <w:rPr>
          <w:rFonts w:ascii="Arial" w:hAnsi="Arial" w:cs="Arial"/>
          <w:b w:val="0"/>
          <w:sz w:val="21"/>
        </w:rPr>
        <w:t>C) La que fija una vacatio legis de veinte días.</w:t>
      </w:r>
    </w:p>
    <w:p>
      <w:pPr>
        <w:keepNext/>
        <w:keepLines/>
        <w:spacing w:after="40"/>
        <w:ind w:left="369" w:hanging="198"/>
      </w:pPr>
      <w:r>
        <w:rPr>
          <w:rFonts w:ascii="Arial" w:hAnsi="Arial" w:cs="Arial"/>
          <w:b w:val="0"/>
          <w:sz w:val="21"/>
        </w:rPr>
        <w:t>D) La que reproduce literalmente una ley válida.</w:t>
      </w:r>
    </w:p>
    <w:p>
      <w:pPr>
        <w:pStyle w:val="Question"/>
        <w:keepNext/>
      </w:pPr>
      <w:r>
        <w:rPr>
          <w:rFonts w:ascii="Arial" w:hAnsi="Arial" w:cs="Arial"/>
          <w:sz w:val="22"/>
        </w:rPr>
        <w:t>16. De acuerdo con la regulación aplicable, una persona demora un año el acceso después de reunir edad ordinaria y carencia y comienza una actividad compatible en jubilación activa. Con carácter general, el porcentaje inicial compatible es:</w:t>
      </w:r>
    </w:p>
    <w:p>
      <w:pPr>
        <w:keepNext/>
        <w:keepLines/>
        <w:spacing w:after="40"/>
        <w:ind w:left="369" w:hanging="198"/>
      </w:pPr>
      <w:r>
        <w:rPr>
          <w:rFonts w:ascii="Arial" w:hAnsi="Arial" w:cs="Arial"/>
          <w:b w:val="0"/>
          <w:sz w:val="21"/>
        </w:rPr>
        <w:t>A) El 45 % de la pensión, sin complemento a mínimos durante la compatibilidad.</w:t>
      </w:r>
    </w:p>
    <w:p>
      <w:pPr>
        <w:keepNext/>
        <w:keepLines/>
        <w:spacing w:after="40"/>
        <w:ind w:left="369" w:hanging="198"/>
      </w:pPr>
      <w:r>
        <w:rPr>
          <w:rFonts w:ascii="Arial" w:hAnsi="Arial" w:cs="Arial"/>
          <w:b w:val="0"/>
          <w:sz w:val="21"/>
        </w:rPr>
        <w:t>B) El 25 % de la pensión, incluido siempre el complemento a mínimos.</w:t>
      </w:r>
    </w:p>
    <w:p>
      <w:pPr>
        <w:keepNext/>
        <w:keepLines/>
        <w:spacing w:after="40"/>
        <w:ind w:left="369" w:hanging="198"/>
      </w:pPr>
      <w:r>
        <w:rPr>
          <w:rFonts w:ascii="Arial" w:hAnsi="Arial" w:cs="Arial"/>
          <w:b w:val="0"/>
          <w:sz w:val="21"/>
        </w:rPr>
        <w:t>C) El 50 % invariable cualquiera que sea la demora.</w:t>
      </w:r>
    </w:p>
    <w:p>
      <w:pPr>
        <w:keepNext/>
        <w:keepLines/>
        <w:spacing w:after="40"/>
        <w:ind w:left="369" w:hanging="198"/>
      </w:pPr>
      <w:r>
        <w:rPr>
          <w:rFonts w:ascii="Arial" w:hAnsi="Arial" w:cs="Arial"/>
          <w:b w:val="0"/>
          <w:sz w:val="21"/>
        </w:rPr>
        <w:t>D) El 100 % desde el primer año en todos los casos.</w:t>
      </w:r>
    </w:p>
    <w:p>
      <w:pPr>
        <w:pStyle w:val="Question"/>
        <w:keepNext/>
      </w:pPr>
      <w:r>
        <w:rPr>
          <w:rFonts w:ascii="Arial" w:hAnsi="Arial" w:cs="Arial"/>
          <w:sz w:val="22"/>
        </w:rPr>
        <w:t>17. En una comprobación jurídica del expediente, si ningún candidato obtiene la confianza del Congreso, ¿cuándo y con qué alcance actúa la disolución del artículo 99.5?</w:t>
      </w:r>
    </w:p>
    <w:p>
      <w:pPr>
        <w:keepNext/>
        <w:keepLines/>
        <w:spacing w:after="40"/>
        <w:ind w:left="369" w:hanging="198"/>
      </w:pPr>
      <w:r>
        <w:rPr>
          <w:rFonts w:ascii="Arial" w:hAnsi="Arial" w:cs="Arial"/>
          <w:b w:val="0"/>
          <w:sz w:val="21"/>
        </w:rPr>
        <w:t>A) A los dos meses desde la primera votación de investidura, y se disuelven ambas Cámaras.</w:t>
      </w:r>
    </w:p>
    <w:p>
      <w:pPr>
        <w:keepNext/>
        <w:keepLines/>
        <w:spacing w:after="40"/>
        <w:ind w:left="369" w:hanging="198"/>
      </w:pPr>
      <w:r>
        <w:rPr>
          <w:rFonts w:ascii="Arial" w:hAnsi="Arial" w:cs="Arial"/>
          <w:b w:val="0"/>
          <w:sz w:val="21"/>
        </w:rPr>
        <w:t>B) Al mes de la primera propuesta, y afecta solo al Congreso.</w:t>
      </w:r>
    </w:p>
    <w:p>
      <w:pPr>
        <w:keepNext/>
        <w:keepLines/>
        <w:spacing w:after="40"/>
        <w:ind w:left="369" w:hanging="198"/>
      </w:pPr>
      <w:r>
        <w:rPr>
          <w:rFonts w:ascii="Arial" w:hAnsi="Arial" w:cs="Arial"/>
          <w:b w:val="0"/>
          <w:sz w:val="21"/>
        </w:rPr>
        <w:t>C) A los tres meses de la primera consulta, y afecta solo al Senado.</w:t>
      </w:r>
    </w:p>
    <w:p>
      <w:pPr>
        <w:keepNext/>
        <w:keepLines/>
        <w:spacing w:after="40"/>
        <w:ind w:left="369" w:hanging="198"/>
      </w:pPr>
      <w:r>
        <w:rPr>
          <w:rFonts w:ascii="Arial" w:hAnsi="Arial" w:cs="Arial"/>
          <w:b w:val="0"/>
          <w:sz w:val="21"/>
        </w:rPr>
        <w:t>D) A los dos meses de la última votación, y puede afectar a una sola Cámara.</w:t>
      </w:r>
    </w:p>
    <w:p>
      <w:pPr>
        <w:pStyle w:val="Question"/>
        <w:keepNext/>
      </w:pPr>
      <w:r>
        <w:rPr>
          <w:rFonts w:ascii="Arial" w:hAnsi="Arial" w:cs="Arial"/>
          <w:sz w:val="22"/>
        </w:rPr>
        <w:t>18. A efectos de aplicar correctamente la regla examinada, un huérfano de 22 años comienza a trabajar y sus ingresos anuales superan el SMI. ¿Cuál es el efecto ordinario?</w:t>
      </w:r>
    </w:p>
    <w:p>
      <w:pPr>
        <w:keepNext/>
        <w:keepLines/>
        <w:spacing w:after="40"/>
        <w:ind w:left="369" w:hanging="198"/>
      </w:pPr>
      <w:r>
        <w:rPr>
          <w:rFonts w:ascii="Arial" w:hAnsi="Arial" w:cs="Arial"/>
          <w:b w:val="0"/>
          <w:sz w:val="21"/>
        </w:rPr>
        <w:t>A) La pensión se incrementa por actividad.</w:t>
      </w:r>
    </w:p>
    <w:p>
      <w:pPr>
        <w:keepNext/>
        <w:keepLines/>
        <w:spacing w:after="40"/>
        <w:ind w:left="369" w:hanging="198"/>
      </w:pPr>
      <w:r>
        <w:rPr>
          <w:rFonts w:ascii="Arial" w:hAnsi="Arial" w:cs="Arial"/>
          <w:b w:val="0"/>
          <w:sz w:val="21"/>
        </w:rPr>
        <w:t>B) No se produce ningún efecto hasta los 25 años.</w:t>
      </w:r>
    </w:p>
    <w:p>
      <w:pPr>
        <w:keepNext/>
        <w:keepLines/>
        <w:spacing w:after="40"/>
        <w:ind w:left="369" w:hanging="198"/>
      </w:pPr>
      <w:r>
        <w:rPr>
          <w:rFonts w:ascii="Arial" w:hAnsi="Arial" w:cs="Arial"/>
          <w:b w:val="0"/>
          <w:sz w:val="21"/>
        </w:rPr>
        <w:t>C) Se transforma en prestación en favor de familiares.</w:t>
      </w:r>
    </w:p>
    <w:p>
      <w:pPr>
        <w:keepNext/>
        <w:keepLines/>
        <w:spacing w:after="40"/>
        <w:ind w:left="369" w:hanging="198"/>
      </w:pPr>
      <w:r>
        <w:rPr>
          <w:rFonts w:ascii="Arial" w:hAnsi="Arial" w:cs="Arial"/>
          <w:b w:val="0"/>
          <w:sz w:val="21"/>
        </w:rPr>
        <w:t>D) El abono se suspende en los términos reglamentarios mientras subsista la incompatibilidad por ingresos.</w:t>
      </w:r>
    </w:p>
    <w:p>
      <w:pPr>
        <w:pStyle w:val="Question"/>
        <w:keepNext/>
      </w:pPr>
      <w:r>
        <w:rPr>
          <w:rFonts w:ascii="Arial" w:hAnsi="Arial" w:cs="Arial"/>
          <w:sz w:val="22"/>
        </w:rPr>
        <w:t>19. En una comprobación jurídica del expediente, ¿Cuál es el plazo de amparo frente a vulneraciones procedentes del Gobierno o de autoridades administrativas, tras la resolución del proceso judicial previo?</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Quince días.</w:t>
      </w:r>
    </w:p>
    <w:p>
      <w:pPr>
        <w:keepNext/>
        <w:keepLines/>
        <w:spacing w:after="40"/>
        <w:ind w:left="369" w:hanging="198"/>
      </w:pPr>
      <w:r>
        <w:rPr>
          <w:rFonts w:ascii="Arial" w:hAnsi="Arial" w:cs="Arial"/>
          <w:b w:val="0"/>
          <w:sz w:val="21"/>
        </w:rPr>
        <w:t>C) Treinta días.</w:t>
      </w:r>
    </w:p>
    <w:p>
      <w:pPr>
        <w:keepNext/>
        <w:keepLines/>
        <w:spacing w:after="40"/>
        <w:ind w:left="369" w:hanging="198"/>
      </w:pPr>
      <w:r>
        <w:rPr>
          <w:rFonts w:ascii="Arial" w:hAnsi="Arial" w:cs="Arial"/>
          <w:b w:val="0"/>
          <w:sz w:val="21"/>
        </w:rPr>
        <w:t>D) Veinte días.</w:t>
      </w:r>
    </w:p>
    <w:p>
      <w:pPr>
        <w:pStyle w:val="Question"/>
        <w:keepNext/>
      </w:pPr>
      <w:r>
        <w:rPr>
          <w:rFonts w:ascii="Arial" w:hAnsi="Arial" w:cs="Arial"/>
          <w:sz w:val="22"/>
        </w:rPr>
        <w:t>20. A efectos de aplicar correctamente la regla examinada, el período ordinario de prueba tendrá una duración:</w:t>
      </w:r>
    </w:p>
    <w:p>
      <w:pPr>
        <w:keepNext/>
        <w:keepLines/>
        <w:spacing w:after="40"/>
        <w:ind w:left="369" w:hanging="198"/>
      </w:pPr>
      <w:r>
        <w:rPr>
          <w:rFonts w:ascii="Arial" w:hAnsi="Arial" w:cs="Arial"/>
          <w:b w:val="0"/>
          <w:sz w:val="21"/>
        </w:rPr>
        <w:t>A) Exacta de veinte días.</w:t>
      </w:r>
    </w:p>
    <w:p>
      <w:pPr>
        <w:keepNext/>
        <w:keepLines/>
        <w:spacing w:after="40"/>
        <w:ind w:left="369" w:hanging="198"/>
      </w:pPr>
      <w:r>
        <w:rPr>
          <w:rFonts w:ascii="Arial" w:hAnsi="Arial" w:cs="Arial"/>
          <w:b w:val="0"/>
          <w:sz w:val="21"/>
        </w:rPr>
        <w:t>B) No inferior a diez ni superior a treinta días.</w:t>
      </w:r>
    </w:p>
    <w:p>
      <w:pPr>
        <w:keepNext/>
        <w:keepLines/>
        <w:spacing w:after="40"/>
        <w:ind w:left="369" w:hanging="198"/>
      </w:pPr>
      <w:r>
        <w:rPr>
          <w:rFonts w:ascii="Arial" w:hAnsi="Arial" w:cs="Arial"/>
          <w:b w:val="0"/>
          <w:sz w:val="21"/>
        </w:rPr>
        <w:t>C) No inferior a cinco ni superior a veinte días.</w:t>
      </w:r>
    </w:p>
    <w:p>
      <w:pPr>
        <w:keepNext/>
        <w:keepLines/>
        <w:spacing w:after="40"/>
        <w:ind w:left="369" w:hanging="198"/>
      </w:pPr>
      <w:r>
        <w:rPr>
          <w:rFonts w:ascii="Arial" w:hAnsi="Arial" w:cs="Arial"/>
          <w:b w:val="0"/>
          <w:sz w:val="21"/>
        </w:rPr>
        <w:t>D) No superior a tres meses.</w:t>
      </w:r>
    </w:p>
    <w:p>
      <w:pPr>
        <w:pStyle w:val="Question"/>
        <w:keepNext/>
      </w:pPr>
      <w:r>
        <w:rPr>
          <w:rFonts w:ascii="Arial" w:hAnsi="Arial" w:cs="Arial"/>
          <w:sz w:val="22"/>
        </w:rPr>
        <w:t>21. Conforme al ordenamiento vigente a la fecha de corte, el reglamento administrativo se caracteriza por ser:</w:t>
      </w:r>
    </w:p>
    <w:p>
      <w:pPr>
        <w:keepNext/>
        <w:keepLines/>
        <w:spacing w:after="40"/>
        <w:ind w:left="369" w:hanging="198"/>
      </w:pPr>
      <w:r>
        <w:rPr>
          <w:rFonts w:ascii="Arial" w:hAnsi="Arial" w:cs="Arial"/>
          <w:b w:val="0"/>
          <w:sz w:val="21"/>
        </w:rPr>
        <w:t>A) Una norma escrita subordinada a la ley dictada por quien posee potestad reglamentaria.</w:t>
      </w:r>
    </w:p>
    <w:p>
      <w:pPr>
        <w:keepNext/>
        <w:keepLines/>
        <w:spacing w:after="40"/>
        <w:ind w:left="369" w:hanging="198"/>
      </w:pPr>
      <w:r>
        <w:rPr>
          <w:rFonts w:ascii="Arial" w:hAnsi="Arial" w:cs="Arial"/>
          <w:b w:val="0"/>
          <w:sz w:val="21"/>
        </w:rPr>
        <w:t>B) Un acto singular con fuerza de ley.</w:t>
      </w:r>
    </w:p>
    <w:p>
      <w:pPr>
        <w:keepNext/>
        <w:keepLines/>
        <w:spacing w:after="40"/>
        <w:ind w:left="369" w:hanging="198"/>
      </w:pPr>
      <w:r>
        <w:rPr>
          <w:rFonts w:ascii="Arial" w:hAnsi="Arial" w:cs="Arial"/>
          <w:b w:val="0"/>
          <w:sz w:val="21"/>
        </w:rPr>
        <w:t>C) Una costumbre interna de cumplimiento voluntario.</w:t>
      </w:r>
    </w:p>
    <w:p>
      <w:pPr>
        <w:keepNext/>
        <w:keepLines/>
        <w:spacing w:after="40"/>
        <w:ind w:left="369" w:hanging="198"/>
      </w:pPr>
      <w:r>
        <w:rPr>
          <w:rFonts w:ascii="Arial" w:hAnsi="Arial" w:cs="Arial"/>
          <w:b w:val="0"/>
          <w:sz w:val="21"/>
        </w:rPr>
        <w:t>D) Una resolución judicial de alcance general.</w:t>
      </w:r>
    </w:p>
    <w:p>
      <w:pPr>
        <w:pStyle w:val="Question"/>
        <w:keepNext/>
      </w:pPr>
      <w:r>
        <w:rPr>
          <w:rFonts w:ascii="Arial" w:hAnsi="Arial" w:cs="Arial"/>
          <w:sz w:val="22"/>
        </w:rPr>
        <w:t>22. Sin añadir circunstancias distintas de las indicadas, desde la reforma vigente en 2026, la cuantía del IMV se actualiza:</w:t>
      </w:r>
    </w:p>
    <w:p>
      <w:pPr>
        <w:keepNext/>
        <w:keepLines/>
        <w:spacing w:after="40"/>
        <w:ind w:left="369" w:hanging="198"/>
      </w:pPr>
      <w:r>
        <w:rPr>
          <w:rFonts w:ascii="Arial" w:hAnsi="Arial" w:cs="Arial"/>
          <w:b w:val="0"/>
          <w:sz w:val="21"/>
        </w:rPr>
        <w:t>A) Una vez cada cuatro años.</w:t>
      </w:r>
    </w:p>
    <w:p>
      <w:pPr>
        <w:keepNext/>
        <w:keepLines/>
        <w:spacing w:after="40"/>
        <w:ind w:left="369" w:hanging="198"/>
      </w:pPr>
      <w:r>
        <w:rPr>
          <w:rFonts w:ascii="Arial" w:hAnsi="Arial" w:cs="Arial"/>
          <w:b w:val="0"/>
          <w:sz w:val="21"/>
        </w:rPr>
        <w:t>B) Solo cuando lo pide el titular.</w:t>
      </w:r>
    </w:p>
    <w:p>
      <w:pPr>
        <w:keepNext/>
        <w:keepLines/>
        <w:spacing w:after="40"/>
        <w:ind w:left="369" w:hanging="198"/>
      </w:pPr>
      <w:r>
        <w:rPr>
          <w:rFonts w:ascii="Arial" w:hAnsi="Arial" w:cs="Arial"/>
          <w:b w:val="0"/>
          <w:sz w:val="21"/>
        </w:rPr>
        <w:t>C) Dos veces por ejercicio, mediante actualización provisional y definitiva.</w:t>
      </w:r>
    </w:p>
    <w:p>
      <w:pPr>
        <w:keepNext/>
        <w:keepLines/>
        <w:spacing w:after="40"/>
        <w:ind w:left="369" w:hanging="198"/>
      </w:pPr>
      <w:r>
        <w:rPr>
          <w:rFonts w:ascii="Arial" w:hAnsi="Arial" w:cs="Arial"/>
          <w:b w:val="0"/>
          <w:sz w:val="21"/>
        </w:rPr>
        <w:t>D) Mensualmente con carácter definitivo.</w:t>
      </w:r>
    </w:p>
    <w:p>
      <w:pPr>
        <w:pStyle w:val="Question"/>
        <w:keepNext/>
      </w:pPr>
      <w:r>
        <w:rPr>
          <w:rFonts w:ascii="Arial" w:hAnsi="Arial" w:cs="Arial"/>
          <w:sz w:val="22"/>
        </w:rPr>
        <w:t>23. A efectos de aplicar correctamente la regla examinada, los abogados generales:</w:t>
      </w:r>
    </w:p>
    <w:p>
      <w:pPr>
        <w:keepNext/>
        <w:keepLines/>
        <w:spacing w:after="40"/>
        <w:ind w:left="369" w:hanging="198"/>
      </w:pPr>
      <w:r>
        <w:rPr>
          <w:rFonts w:ascii="Arial" w:hAnsi="Arial" w:cs="Arial"/>
          <w:b w:val="0"/>
          <w:sz w:val="21"/>
        </w:rPr>
        <w:t>A) Representan a los Estados en todos los litigios.</w:t>
      </w:r>
    </w:p>
    <w:p>
      <w:pPr>
        <w:keepNext/>
        <w:keepLines/>
        <w:spacing w:after="40"/>
        <w:ind w:left="369" w:hanging="198"/>
      </w:pPr>
      <w:r>
        <w:rPr>
          <w:rFonts w:ascii="Arial" w:hAnsi="Arial" w:cs="Arial"/>
          <w:b w:val="0"/>
          <w:sz w:val="21"/>
        </w:rPr>
        <w:t>B) Forman una fiscalía jerárquicamente dependiente de la Comisión.</w:t>
      </w:r>
    </w:p>
    <w:p>
      <w:pPr>
        <w:keepNext/>
        <w:keepLines/>
        <w:spacing w:after="40"/>
        <w:ind w:left="369" w:hanging="198"/>
      </w:pPr>
      <w:r>
        <w:rPr>
          <w:rFonts w:ascii="Arial" w:hAnsi="Arial" w:cs="Arial"/>
          <w:b w:val="0"/>
          <w:sz w:val="21"/>
        </w:rPr>
        <w:t>C) Votan siempre junto a los jueces para dictar sentencia.</w:t>
      </w:r>
    </w:p>
    <w:p>
      <w:pPr>
        <w:keepNext/>
        <w:keepLines/>
        <w:spacing w:after="40"/>
        <w:ind w:left="369" w:hanging="198"/>
      </w:pPr>
      <w:r>
        <w:rPr>
          <w:rFonts w:ascii="Arial" w:hAnsi="Arial" w:cs="Arial"/>
          <w:b w:val="0"/>
          <w:sz w:val="21"/>
        </w:rPr>
        <w:t>D) Presentan con imparcialidad e independencia conclusiones motivadas en los asuntos que lo requieren, sin vincular a los jueces.</w:t>
      </w:r>
    </w:p>
    <w:p>
      <w:pPr>
        <w:pStyle w:val="Question"/>
        <w:keepNext/>
      </w:pPr>
      <w:r>
        <w:rPr>
          <w:rFonts w:ascii="Arial" w:hAnsi="Arial" w:cs="Arial"/>
          <w:sz w:val="22"/>
        </w:rPr>
        <w:t>24. Conforme al ordenamiento vigente a la fecha de corte, ¿Cuál es la afirmación correcta sobre rango y naturaleza?</w:t>
      </w:r>
    </w:p>
    <w:p>
      <w:pPr>
        <w:keepNext/>
        <w:keepLines/>
        <w:spacing w:after="40"/>
        <w:ind w:left="369" w:hanging="198"/>
      </w:pPr>
      <w:r>
        <w:rPr>
          <w:rFonts w:ascii="Arial" w:hAnsi="Arial" w:cs="Arial"/>
          <w:b w:val="0"/>
          <w:sz w:val="21"/>
        </w:rPr>
        <w:t>A) Todo órgano con rango de dirección general es entidad gestora.</w:t>
      </w:r>
    </w:p>
    <w:p>
      <w:pPr>
        <w:keepNext/>
        <w:keepLines/>
        <w:spacing w:after="40"/>
        <w:ind w:left="369" w:hanging="198"/>
      </w:pPr>
      <w:r>
        <w:rPr>
          <w:rFonts w:ascii="Arial" w:hAnsi="Arial" w:cs="Arial"/>
          <w:b w:val="0"/>
          <w:sz w:val="21"/>
        </w:rPr>
        <w:t>B) Todo servicio común carece de personalidad jurídica.</w:t>
      </w:r>
    </w:p>
    <w:p>
      <w:pPr>
        <w:keepNext/>
        <w:keepLines/>
        <w:spacing w:after="40"/>
        <w:ind w:left="369" w:hanging="198"/>
      </w:pPr>
      <w:r>
        <w:rPr>
          <w:rFonts w:ascii="Arial" w:hAnsi="Arial" w:cs="Arial"/>
          <w:b w:val="0"/>
          <w:sz w:val="21"/>
        </w:rPr>
        <w:t>C) Una mutua pasa a ser servicio común por estar tutelada.</w:t>
      </w:r>
    </w:p>
    <w:p>
      <w:pPr>
        <w:keepNext/>
        <w:keepLines/>
        <w:spacing w:after="40"/>
        <w:ind w:left="369" w:hanging="198"/>
      </w:pPr>
      <w:r>
        <w:rPr>
          <w:rFonts w:ascii="Arial" w:hAnsi="Arial" w:cs="Arial"/>
          <w:b w:val="0"/>
          <w:sz w:val="21"/>
        </w:rPr>
        <w:t>D) El rango orgánico no determina por sí solo si se trata de entidad gestora, servicio común u órgano de control.</w:t>
      </w:r>
    </w:p>
    <w:p>
      <w:pPr>
        <w:pStyle w:val="Question"/>
        <w:keepNext/>
      </w:pPr>
      <w:r>
        <w:rPr>
          <w:rFonts w:ascii="Arial" w:hAnsi="Arial" w:cs="Arial"/>
          <w:sz w:val="22"/>
        </w:rPr>
        <w:t>25. De acuerdo con la regulación aplicable, una persona con IPT para conducción comienza un trabajo administrativo:</w:t>
      </w:r>
    </w:p>
    <w:p>
      <w:pPr>
        <w:keepNext/>
        <w:keepLines/>
        <w:spacing w:after="40"/>
        <w:ind w:left="369" w:hanging="198"/>
      </w:pPr>
      <w:r>
        <w:rPr>
          <w:rFonts w:ascii="Arial" w:hAnsi="Arial" w:cs="Arial"/>
          <w:b w:val="0"/>
          <w:sz w:val="21"/>
        </w:rPr>
        <w:t>A) La pensión se extingue en todo caso.</w:t>
      </w:r>
    </w:p>
    <w:p>
      <w:pPr>
        <w:keepNext/>
        <w:keepLines/>
        <w:spacing w:after="40"/>
        <w:ind w:left="369" w:hanging="198"/>
      </w:pPr>
      <w:r>
        <w:rPr>
          <w:rFonts w:ascii="Arial" w:hAnsi="Arial" w:cs="Arial"/>
          <w:b w:val="0"/>
          <w:sz w:val="21"/>
        </w:rPr>
        <w:t>B) Solo puede trabajar en otra empresa.</w:t>
      </w:r>
    </w:p>
    <w:p>
      <w:pPr>
        <w:keepNext/>
        <w:keepLines/>
        <w:spacing w:after="40"/>
        <w:ind w:left="369" w:hanging="198"/>
      </w:pPr>
      <w:r>
        <w:rPr>
          <w:rFonts w:ascii="Arial" w:hAnsi="Arial" w:cs="Arial"/>
          <w:b w:val="0"/>
          <w:sz w:val="21"/>
        </w:rPr>
        <w:t>C) La pensión puede ser compatible si las funciones no coinciden con las incapacitantes.</w:t>
      </w:r>
    </w:p>
    <w:p>
      <w:pPr>
        <w:keepNext/>
        <w:keepLines/>
        <w:spacing w:after="40"/>
        <w:ind w:left="369" w:hanging="198"/>
      </w:pPr>
      <w:r>
        <w:rPr>
          <w:rFonts w:ascii="Arial" w:hAnsi="Arial" w:cs="Arial"/>
          <w:b w:val="0"/>
          <w:sz w:val="21"/>
        </w:rPr>
        <w:t>D) Debe renunciar definitivamente a la pensión.</w:t>
      </w:r>
    </w:p>
    <w:p>
      <w:pPr>
        <w:pStyle w:val="Question"/>
        <w:keepNext/>
      </w:pPr>
      <w:r>
        <w:rPr>
          <w:rFonts w:ascii="Arial" w:hAnsi="Arial" w:cs="Arial"/>
          <w:sz w:val="22"/>
        </w:rPr>
        <w:t>26. En una comprobación jurídica del expediente, el presupuesto monetario de la TGSS:</w:t>
      </w:r>
    </w:p>
    <w:p>
      <w:pPr>
        <w:keepNext/>
        <w:keepLines/>
        <w:spacing w:after="40"/>
        <w:ind w:left="369" w:hanging="198"/>
      </w:pPr>
      <w:r>
        <w:rPr>
          <w:rFonts w:ascii="Arial" w:hAnsi="Arial" w:cs="Arial"/>
          <w:b w:val="0"/>
          <w:sz w:val="21"/>
        </w:rPr>
        <w:t>A) Sustituye al presupuesto anual aprobado por ley.</w:t>
      </w:r>
    </w:p>
    <w:p>
      <w:pPr>
        <w:keepNext/>
        <w:keepLines/>
        <w:spacing w:after="40"/>
        <w:ind w:left="369" w:hanging="198"/>
      </w:pPr>
      <w:r>
        <w:rPr>
          <w:rFonts w:ascii="Arial" w:hAnsi="Arial" w:cs="Arial"/>
          <w:b w:val="0"/>
          <w:sz w:val="21"/>
        </w:rPr>
        <w:t>B) Se aprueba una vez cada cuatro años.</w:t>
      </w:r>
    </w:p>
    <w:p>
      <w:pPr>
        <w:keepNext/>
        <w:keepLines/>
        <w:spacing w:after="40"/>
        <w:ind w:left="369" w:hanging="198"/>
      </w:pPr>
      <w:r>
        <w:rPr>
          <w:rFonts w:ascii="Arial" w:hAnsi="Arial" w:cs="Arial"/>
          <w:b w:val="0"/>
          <w:sz w:val="21"/>
        </w:rPr>
        <w:t>C) Se elabora mensualmente con previsiones del mes siguiente para ordenar la liquidez.</w:t>
      </w:r>
    </w:p>
    <w:p>
      <w:pPr>
        <w:keepNext/>
        <w:keepLines/>
        <w:spacing w:after="40"/>
        <w:ind w:left="369" w:hanging="198"/>
      </w:pPr>
      <w:r>
        <w:rPr>
          <w:rFonts w:ascii="Arial" w:hAnsi="Arial" w:cs="Arial"/>
          <w:b w:val="0"/>
          <w:sz w:val="21"/>
        </w:rPr>
        <w:t>D) Reconoce por sí mismo el derecho a cada pensión.</w:t>
      </w:r>
    </w:p>
    <w:p>
      <w:pPr>
        <w:pStyle w:val="Question"/>
        <w:keepNext/>
      </w:pPr>
      <w:r>
        <w:rPr>
          <w:rFonts w:ascii="Arial" w:hAnsi="Arial" w:cs="Arial"/>
          <w:sz w:val="22"/>
        </w:rPr>
        <w:t>27. En una comprobación jurídica del expediente, la reforma constitucional de 19 de mayo de 2026:</w:t>
      </w:r>
    </w:p>
    <w:p>
      <w:pPr>
        <w:keepNext/>
        <w:keepLines/>
        <w:spacing w:after="40"/>
        <w:ind w:left="369" w:hanging="198"/>
      </w:pPr>
      <w:r>
        <w:rPr>
          <w:rFonts w:ascii="Arial" w:hAnsi="Arial" w:cs="Arial"/>
          <w:b w:val="0"/>
          <w:sz w:val="21"/>
        </w:rPr>
        <w:t>A) Transformó Formentera en una nueva provincia y Comunidad Autónoma.</w:t>
      </w:r>
    </w:p>
    <w:p>
      <w:pPr>
        <w:keepNext/>
        <w:keepLines/>
        <w:spacing w:after="40"/>
        <w:ind w:left="369" w:hanging="198"/>
      </w:pPr>
      <w:r>
        <w:rPr>
          <w:rFonts w:ascii="Arial" w:hAnsi="Arial" w:cs="Arial"/>
          <w:b w:val="0"/>
          <w:sz w:val="21"/>
        </w:rPr>
        <w:t>B) Suprimió el Consejo Insular de Formentera.</w:t>
      </w:r>
    </w:p>
    <w:p>
      <w:pPr>
        <w:keepNext/>
        <w:keepLines/>
        <w:spacing w:after="40"/>
        <w:ind w:left="369" w:hanging="198"/>
      </w:pPr>
      <w:r>
        <w:rPr>
          <w:rFonts w:ascii="Arial" w:hAnsi="Arial" w:cs="Arial"/>
          <w:b w:val="0"/>
          <w:sz w:val="21"/>
        </w:rPr>
        <w:t>C) Dio a Formentera una circunscripción senatorial propia, sin convertirla en provincia ni modificar el título VIII.</w:t>
      </w:r>
    </w:p>
    <w:p>
      <w:pPr>
        <w:keepNext/>
        <w:keepLines/>
        <w:spacing w:after="40"/>
        <w:ind w:left="369" w:hanging="198"/>
      </w:pPr>
      <w:r>
        <w:rPr>
          <w:rFonts w:ascii="Arial" w:hAnsi="Arial" w:cs="Arial"/>
          <w:b w:val="0"/>
          <w:sz w:val="21"/>
        </w:rPr>
        <w:t>D) Modificó el reparto de competencias de los artículos 148 y 149.</w:t>
      </w:r>
    </w:p>
    <w:p>
      <w:pPr>
        <w:pStyle w:val="Question"/>
        <w:keepNext/>
      </w:pPr>
      <w:r>
        <w:rPr>
          <w:rFonts w:ascii="Arial" w:hAnsi="Arial" w:cs="Arial"/>
          <w:sz w:val="22"/>
        </w:rPr>
        <w:t>28. En una comprobación jurídica del expediente, una nueva baja por la misma enfermedad aparece durante vacaciones privadas, sin nexo laboral ni cuadro profesional. La contingencia es:</w:t>
      </w:r>
    </w:p>
    <w:p>
      <w:pPr>
        <w:keepNext/>
        <w:keepLines/>
        <w:spacing w:after="40"/>
        <w:ind w:left="369" w:hanging="198"/>
      </w:pPr>
      <w:r>
        <w:rPr>
          <w:rFonts w:ascii="Arial" w:hAnsi="Arial" w:cs="Arial"/>
          <w:b w:val="0"/>
          <w:sz w:val="21"/>
        </w:rPr>
        <w:t>A) Accidente de trabajo por presunción.</w:t>
      </w:r>
    </w:p>
    <w:p>
      <w:pPr>
        <w:keepNext/>
        <w:keepLines/>
        <w:spacing w:after="40"/>
        <w:ind w:left="369" w:hanging="198"/>
      </w:pPr>
      <w:r>
        <w:rPr>
          <w:rFonts w:ascii="Arial" w:hAnsi="Arial" w:cs="Arial"/>
          <w:b w:val="0"/>
          <w:sz w:val="21"/>
        </w:rPr>
        <w:t>B) Enfermedad común.</w:t>
      </w:r>
    </w:p>
    <w:p>
      <w:pPr>
        <w:keepNext/>
        <w:keepLines/>
        <w:spacing w:after="40"/>
        <w:ind w:left="369" w:hanging="198"/>
      </w:pPr>
      <w:r>
        <w:rPr>
          <w:rFonts w:ascii="Arial" w:hAnsi="Arial" w:cs="Arial"/>
          <w:b w:val="0"/>
          <w:sz w:val="21"/>
        </w:rPr>
        <w:t>C) Enfermedad profesional.</w:t>
      </w:r>
    </w:p>
    <w:p>
      <w:pPr>
        <w:keepNext/>
        <w:keepLines/>
        <w:spacing w:after="40"/>
        <w:ind w:left="369" w:hanging="198"/>
      </w:pPr>
      <w:r>
        <w:rPr>
          <w:rFonts w:ascii="Arial" w:hAnsi="Arial" w:cs="Arial"/>
          <w:b w:val="0"/>
          <w:sz w:val="21"/>
        </w:rPr>
        <w:t>D) Riesgo durante el trabajo.</w:t>
      </w:r>
    </w:p>
    <w:p>
      <w:pPr>
        <w:pStyle w:val="Question"/>
        <w:keepNext/>
      </w:pPr>
      <w:r>
        <w:rPr>
          <w:rFonts w:ascii="Arial" w:hAnsi="Arial" w:cs="Arial"/>
          <w:sz w:val="22"/>
        </w:rPr>
        <w:t>29. En una comprobación jurídica del expediente, ¿Cuál es una prohibición privada absoluta del artículo 12 de la Ley 53/1984?</w:t>
      </w:r>
    </w:p>
    <w:p>
      <w:pPr>
        <w:keepNext/>
        <w:keepLines/>
        <w:spacing w:after="40"/>
        <w:ind w:left="369" w:hanging="198"/>
      </w:pPr>
      <w:r>
        <w:rPr>
          <w:rFonts w:ascii="Arial" w:hAnsi="Arial" w:cs="Arial"/>
          <w:b w:val="0"/>
          <w:sz w:val="21"/>
        </w:rPr>
        <w:t>A) Escribir una obra científica por iniciativa propia.</w:t>
      </w:r>
    </w:p>
    <w:p>
      <w:pPr>
        <w:keepNext/>
        <w:keepLines/>
        <w:spacing w:after="40"/>
        <w:ind w:left="369" w:hanging="198"/>
      </w:pPr>
      <w:r>
        <w:rPr>
          <w:rFonts w:ascii="Arial" w:hAnsi="Arial" w:cs="Arial"/>
          <w:b w:val="0"/>
          <w:sz w:val="21"/>
        </w:rPr>
        <w:t>B) Asistir ocasionalmente a un congreso.</w:t>
      </w:r>
    </w:p>
    <w:p>
      <w:pPr>
        <w:keepNext/>
        <w:keepLines/>
        <w:spacing w:after="40"/>
        <w:ind w:left="369" w:hanging="198"/>
      </w:pPr>
      <w:r>
        <w:rPr>
          <w:rFonts w:ascii="Arial" w:hAnsi="Arial" w:cs="Arial"/>
          <w:b w:val="0"/>
          <w:sz w:val="21"/>
        </w:rPr>
        <w:t>C) Administrar el patrimonio familiar sin entrar en actividades prohibidas.</w:t>
      </w:r>
    </w:p>
    <w:p>
      <w:pPr>
        <w:keepNext/>
        <w:keepLines/>
        <w:spacing w:after="40"/>
        <w:ind w:left="369" w:hanging="198"/>
      </w:pPr>
      <w:r>
        <w:rPr>
          <w:rFonts w:ascii="Arial" w:hAnsi="Arial" w:cs="Arial"/>
          <w:b w:val="0"/>
          <w:sz w:val="21"/>
        </w:rPr>
        <w:t>D) Intervenir privadamente en un asunto en el que el empleado intervino por su puesto público durante los dos últimos años.</w:t>
      </w:r>
    </w:p>
    <w:p>
      <w:pPr>
        <w:pStyle w:val="Question"/>
        <w:keepNext/>
      </w:pPr>
      <w:r>
        <w:rPr>
          <w:rFonts w:ascii="Arial" w:hAnsi="Arial" w:cs="Arial"/>
          <w:sz w:val="22"/>
        </w:rPr>
        <w:t>30. En una comprobación jurídica del expediente, entre 21 y menos de 26 años se exigen:</w:t>
      </w:r>
    </w:p>
    <w:p>
      <w:pPr>
        <w:keepNext/>
        <w:keepLines/>
        <w:spacing w:after="40"/>
        <w:ind w:left="369" w:hanging="198"/>
      </w:pPr>
      <w:r>
        <w:rPr>
          <w:rFonts w:ascii="Arial" w:hAnsi="Arial" w:cs="Arial"/>
          <w:b w:val="0"/>
          <w:sz w:val="21"/>
        </w:rPr>
        <w:t>A) 180 días en cinco años.</w:t>
      </w:r>
    </w:p>
    <w:p>
      <w:pPr>
        <w:keepNext/>
        <w:keepLines/>
        <w:spacing w:after="40"/>
        <w:ind w:left="369" w:hanging="198"/>
      </w:pPr>
      <w:r>
        <w:rPr>
          <w:rFonts w:ascii="Arial" w:hAnsi="Arial" w:cs="Arial"/>
          <w:b w:val="0"/>
          <w:sz w:val="21"/>
        </w:rPr>
        <w:t>B) 180 días en siete años o 360 totales.</w:t>
      </w:r>
    </w:p>
    <w:p>
      <w:pPr>
        <w:keepNext/>
        <w:keepLines/>
        <w:spacing w:after="40"/>
        <w:ind w:left="369" w:hanging="198"/>
      </w:pPr>
      <w:r>
        <w:rPr>
          <w:rFonts w:ascii="Arial" w:hAnsi="Arial" w:cs="Arial"/>
          <w:b w:val="0"/>
          <w:sz w:val="21"/>
        </w:rPr>
        <w:t>C) 90 días en siete años o 180 en toda la vida laboral.</w:t>
      </w:r>
    </w:p>
    <w:p>
      <w:pPr>
        <w:keepNext/>
        <w:keepLines/>
        <w:spacing w:after="40"/>
        <w:ind w:left="369" w:hanging="198"/>
      </w:pPr>
      <w:r>
        <w:rPr>
          <w:rFonts w:ascii="Arial" w:hAnsi="Arial" w:cs="Arial"/>
          <w:b w:val="0"/>
          <w:sz w:val="21"/>
        </w:rPr>
        <w:t>D) Ninguna carencia.</w:t>
      </w:r>
    </w:p>
    <w:p>
      <w:pPr>
        <w:pStyle w:val="Question"/>
        <w:keepNext/>
      </w:pPr>
      <w:r>
        <w:rPr>
          <w:rFonts w:ascii="Arial" w:hAnsi="Arial" w:cs="Arial"/>
          <w:sz w:val="22"/>
        </w:rPr>
        <w:t>31. Conforme al ordenamiento vigente a la fecha de corte, la inscripción de un extranjero en el padrón municipal:</w:t>
      </w:r>
    </w:p>
    <w:p>
      <w:pPr>
        <w:keepNext/>
        <w:keepLines/>
        <w:spacing w:after="40"/>
        <w:ind w:left="369" w:hanging="198"/>
      </w:pPr>
      <w:r>
        <w:rPr>
          <w:rFonts w:ascii="Arial" w:hAnsi="Arial" w:cs="Arial"/>
          <w:b w:val="0"/>
          <w:sz w:val="21"/>
        </w:rPr>
        <w:t>A) No prueba su residencia legal ni le confiere derechos no reconocidos por la legislación vigente.</w:t>
      </w:r>
    </w:p>
    <w:p>
      <w:pPr>
        <w:keepNext/>
        <w:keepLines/>
        <w:spacing w:after="40"/>
        <w:ind w:left="369" w:hanging="198"/>
      </w:pPr>
      <w:r>
        <w:rPr>
          <w:rFonts w:ascii="Arial" w:hAnsi="Arial" w:cs="Arial"/>
          <w:b w:val="0"/>
          <w:sz w:val="21"/>
        </w:rPr>
        <w:t>B) Acredita por sí sola su residencia legal.</w:t>
      </w:r>
    </w:p>
    <w:p>
      <w:pPr>
        <w:keepNext/>
        <w:keepLines/>
        <w:spacing w:after="40"/>
        <w:ind w:left="369" w:hanging="198"/>
      </w:pPr>
      <w:r>
        <w:rPr>
          <w:rFonts w:ascii="Arial" w:hAnsi="Arial" w:cs="Arial"/>
          <w:b w:val="0"/>
          <w:sz w:val="21"/>
        </w:rPr>
        <w:t>C) Le atribuye automáticamente nacionalidad española.</w:t>
      </w:r>
    </w:p>
    <w:p>
      <w:pPr>
        <w:keepNext/>
        <w:keepLines/>
        <w:spacing w:after="40"/>
        <w:ind w:left="369" w:hanging="198"/>
      </w:pPr>
      <w:r>
        <w:rPr>
          <w:rFonts w:ascii="Arial" w:hAnsi="Arial" w:cs="Arial"/>
          <w:b w:val="0"/>
          <w:sz w:val="21"/>
        </w:rPr>
        <w:t>D) Solo es posible con autorización previa de la Delegación del Gobierno.</w:t>
      </w:r>
    </w:p>
    <w:p>
      <w:pPr>
        <w:pStyle w:val="Question"/>
        <w:keepNext/>
      </w:pPr>
      <w:r>
        <w:rPr>
          <w:rFonts w:ascii="Arial" w:hAnsi="Arial" w:cs="Arial"/>
          <w:sz w:val="22"/>
        </w:rPr>
        <w:t>32. En una comprobación jurídica del expediente, admitida una cuestión de inconstitucionalidad y publicada su admisión en el BOE, ¿qué régimen se aplica a las partes del proceso judicial de origen?</w:t>
      </w:r>
    </w:p>
    <w:p>
      <w:pPr>
        <w:keepNext/>
        <w:keepLines/>
        <w:spacing w:after="40"/>
        <w:ind w:left="369" w:hanging="198"/>
      </w:pPr>
      <w:r>
        <w:rPr>
          <w:rFonts w:ascii="Arial" w:hAnsi="Arial" w:cs="Arial"/>
          <w:b w:val="0"/>
          <w:sz w:val="21"/>
        </w:rPr>
        <w:t>A) Disponen de diez días para personarse y alegar en un único escrito.</w:t>
      </w:r>
    </w:p>
    <w:p>
      <w:pPr>
        <w:keepNext/>
        <w:keepLines/>
        <w:spacing w:after="40"/>
        <w:ind w:left="369" w:hanging="198"/>
      </w:pPr>
      <w:r>
        <w:rPr>
          <w:rFonts w:ascii="Arial" w:hAnsi="Arial" w:cs="Arial"/>
          <w:b w:val="0"/>
          <w:sz w:val="21"/>
        </w:rPr>
        <w:t>B) Solo pueden intervenir si las llama el Fiscal General del Estado.</w:t>
      </w:r>
    </w:p>
    <w:p>
      <w:pPr>
        <w:keepNext/>
        <w:keepLines/>
        <w:spacing w:after="40"/>
        <w:ind w:left="369" w:hanging="198"/>
      </w:pPr>
      <w:r>
        <w:rPr>
          <w:rFonts w:ascii="Arial" w:hAnsi="Arial" w:cs="Arial"/>
          <w:b w:val="0"/>
          <w:sz w:val="21"/>
        </w:rPr>
        <w:t>C) Disponen de treinta días para personarse, sin trámite de alegaciones.</w:t>
      </w:r>
    </w:p>
    <w:p>
      <w:pPr>
        <w:keepNext/>
        <w:keepLines/>
        <w:spacing w:after="40"/>
        <w:ind w:left="369" w:hanging="198"/>
      </w:pPr>
      <w:r>
        <w:rPr>
          <w:rFonts w:ascii="Arial" w:hAnsi="Arial" w:cs="Arial"/>
          <w:b w:val="0"/>
          <w:sz w:val="21"/>
        </w:rPr>
        <w:t>D) Pueden personarse en quince días y formular alegaciones en otros quince.</w:t>
      </w:r>
    </w:p>
    <w:p>
      <w:pPr>
        <w:pStyle w:val="Question"/>
        <w:keepNext/>
      </w:pPr>
      <w:r>
        <w:rPr>
          <w:rFonts w:ascii="Arial" w:hAnsi="Arial" w:cs="Arial"/>
          <w:sz w:val="22"/>
        </w:rPr>
        <w:t>33. A efectos de aplicar correctamente la regla examinada, los originales presentados en papel ante una oficina de asistencia, tras digitalizarlos:</w:t>
      </w:r>
    </w:p>
    <w:p>
      <w:pPr>
        <w:keepNext/>
        <w:keepLines/>
        <w:spacing w:after="40"/>
        <w:ind w:left="369" w:hanging="198"/>
      </w:pPr>
      <w:r>
        <w:rPr>
          <w:rFonts w:ascii="Arial" w:hAnsi="Arial" w:cs="Arial"/>
          <w:b w:val="0"/>
          <w:sz w:val="21"/>
        </w:rPr>
        <w:t>A) Se devuelven, salvo custodia legal o imposibilidad por su naturaleza.</w:t>
      </w:r>
    </w:p>
    <w:p>
      <w:pPr>
        <w:keepNext/>
        <w:keepLines/>
        <w:spacing w:after="40"/>
        <w:ind w:left="369" w:hanging="198"/>
      </w:pPr>
      <w:r>
        <w:rPr>
          <w:rFonts w:ascii="Arial" w:hAnsi="Arial" w:cs="Arial"/>
          <w:b w:val="0"/>
          <w:sz w:val="21"/>
        </w:rPr>
        <w:t>B) Se destruyen siempre de inmediato.</w:t>
      </w:r>
    </w:p>
    <w:p>
      <w:pPr>
        <w:keepNext/>
        <w:keepLines/>
        <w:spacing w:after="40"/>
        <w:ind w:left="369" w:hanging="198"/>
      </w:pPr>
      <w:r>
        <w:rPr>
          <w:rFonts w:ascii="Arial" w:hAnsi="Arial" w:cs="Arial"/>
          <w:b w:val="0"/>
          <w:sz w:val="21"/>
        </w:rPr>
        <w:t>C) Se envían necesariamente al archivo histórico.</w:t>
      </w:r>
    </w:p>
    <w:p>
      <w:pPr>
        <w:keepNext/>
        <w:keepLines/>
        <w:spacing w:after="40"/>
        <w:ind w:left="369" w:hanging="198"/>
      </w:pPr>
      <w:r>
        <w:rPr>
          <w:rFonts w:ascii="Arial" w:hAnsi="Arial" w:cs="Arial"/>
          <w:b w:val="0"/>
          <w:sz w:val="21"/>
        </w:rPr>
        <w:t>D) Nunca se incorporan al expediente.</w:t>
      </w:r>
    </w:p>
    <w:p>
      <w:pPr>
        <w:pStyle w:val="Question"/>
        <w:keepNext/>
      </w:pPr>
      <w:r>
        <w:rPr>
          <w:rFonts w:ascii="Arial" w:hAnsi="Arial" w:cs="Arial"/>
          <w:sz w:val="22"/>
        </w:rPr>
        <w:t>34. A efectos de aplicar correctamente la regla examinada, cuando se requieren condiciones uniformes de ejecución de un acto vinculante, las competencias de ejecución se confieren normalmente:</w:t>
      </w:r>
    </w:p>
    <w:p>
      <w:pPr>
        <w:keepNext/>
        <w:keepLines/>
        <w:spacing w:after="40"/>
        <w:ind w:left="369" w:hanging="198"/>
      </w:pPr>
      <w:r>
        <w:rPr>
          <w:rFonts w:ascii="Arial" w:hAnsi="Arial" w:cs="Arial"/>
          <w:b w:val="0"/>
          <w:sz w:val="21"/>
        </w:rPr>
        <w:t>A) Al Parlamento Europeo.</w:t>
      </w:r>
    </w:p>
    <w:p>
      <w:pPr>
        <w:keepNext/>
        <w:keepLines/>
        <w:spacing w:after="40"/>
        <w:ind w:left="369" w:hanging="198"/>
      </w:pPr>
      <w:r>
        <w:rPr>
          <w:rFonts w:ascii="Arial" w:hAnsi="Arial" w:cs="Arial"/>
          <w:b w:val="0"/>
          <w:sz w:val="21"/>
        </w:rPr>
        <w:t>B) Al Tribunal de Cuentas.</w:t>
      </w:r>
    </w:p>
    <w:p>
      <w:pPr>
        <w:keepNext/>
        <w:keepLines/>
        <w:spacing w:after="40"/>
        <w:ind w:left="369" w:hanging="198"/>
      </w:pPr>
      <w:r>
        <w:rPr>
          <w:rFonts w:ascii="Arial" w:hAnsi="Arial" w:cs="Arial"/>
          <w:b w:val="0"/>
          <w:sz w:val="21"/>
        </w:rPr>
        <w:t>C) A cada parlamento nacional.</w:t>
      </w:r>
    </w:p>
    <w:p>
      <w:pPr>
        <w:keepNext/>
        <w:keepLines/>
        <w:spacing w:after="40"/>
        <w:ind w:left="369" w:hanging="198"/>
      </w:pPr>
      <w:r>
        <w:rPr>
          <w:rFonts w:ascii="Arial" w:hAnsi="Arial" w:cs="Arial"/>
          <w:b w:val="0"/>
          <w:sz w:val="21"/>
        </w:rPr>
        <w:t>D) A la Comisión y, en casos específicos debidamente justificados, al Consejo.</w:t>
      </w:r>
    </w:p>
    <w:p>
      <w:pPr>
        <w:pStyle w:val="Question"/>
        <w:keepNext/>
      </w:pPr>
      <w:r>
        <w:rPr>
          <w:rFonts w:ascii="Arial" w:hAnsi="Arial" w:cs="Arial"/>
          <w:sz w:val="22"/>
        </w:rPr>
        <w:t>35. A efectos de aplicar correctamente la regla examinada, ¿Qué combinación de plazos es correcta?</w:t>
      </w:r>
    </w:p>
    <w:p>
      <w:pPr>
        <w:keepNext/>
        <w:keepLines/>
        <w:spacing w:after="40"/>
        <w:ind w:left="369" w:hanging="198"/>
      </w:pPr>
      <w:r>
        <w:rPr>
          <w:rFonts w:ascii="Arial" w:hAnsi="Arial" w:cs="Arial"/>
          <w:b w:val="0"/>
          <w:sz w:val="21"/>
        </w:rPr>
        <w:t>A) Inactividad por prestación concreta: esperar diez días y recurrir en uno; vía de hecho sin requerimiento: dos meses.</w:t>
      </w:r>
    </w:p>
    <w:p>
      <w:pPr>
        <w:keepNext/>
        <w:keepLines/>
        <w:spacing w:after="40"/>
        <w:ind w:left="369" w:hanging="198"/>
      </w:pPr>
      <w:r>
        <w:rPr>
          <w:rFonts w:ascii="Arial" w:hAnsi="Arial" w:cs="Arial"/>
          <w:b w:val="0"/>
          <w:sz w:val="21"/>
        </w:rPr>
        <w:t>B) Inactividad por incumplimiento de una prestación concreta: esperar tres meses y recurrir en dos; vía de hecho sin requerimiento: veinte días desde su inicio.</w:t>
      </w:r>
    </w:p>
    <w:p>
      <w:pPr>
        <w:keepNext/>
        <w:keepLines/>
        <w:spacing w:after="40"/>
        <w:ind w:left="369" w:hanging="198"/>
      </w:pPr>
      <w:r>
        <w:rPr>
          <w:rFonts w:ascii="Arial" w:hAnsi="Arial" w:cs="Arial"/>
          <w:b w:val="0"/>
          <w:sz w:val="21"/>
        </w:rPr>
        <w:t>C) Inactividad: no exige reclamación previa en ningún caso; vía de hecho: seis meses.</w:t>
      </w:r>
    </w:p>
    <w:p>
      <w:pPr>
        <w:keepNext/>
        <w:keepLines/>
        <w:spacing w:after="40"/>
        <w:ind w:left="369" w:hanging="198"/>
      </w:pPr>
      <w:r>
        <w:rPr>
          <w:rFonts w:ascii="Arial" w:hAnsi="Arial" w:cs="Arial"/>
          <w:b w:val="0"/>
          <w:sz w:val="21"/>
        </w:rPr>
        <w:t>D) Inactividad: esperar siempre un año; vía de hecho sin requerimiento: diez días.</w:t>
      </w:r>
    </w:p>
    <w:p>
      <w:pPr>
        <w:pStyle w:val="Question"/>
        <w:keepNext/>
      </w:pPr>
      <w:r>
        <w:rPr>
          <w:rFonts w:ascii="Arial" w:hAnsi="Arial" w:cs="Arial"/>
          <w:sz w:val="22"/>
        </w:rPr>
        <w:t>36. En una comprobación jurídica del expediente, se considera de pleno derecho en alta, aunque el empresario incumpla, a efectos de:</w:t>
      </w:r>
    </w:p>
    <w:p>
      <w:pPr>
        <w:keepNext/>
        <w:keepLines/>
        <w:spacing w:after="40"/>
        <w:ind w:left="369" w:hanging="198"/>
      </w:pPr>
      <w:r>
        <w:rPr>
          <w:rFonts w:ascii="Arial" w:hAnsi="Arial" w:cs="Arial"/>
          <w:b w:val="0"/>
          <w:sz w:val="21"/>
        </w:rPr>
        <w:t>A) Accidente de trabajo, enfermedad profesional y desempleo.</w:t>
      </w:r>
    </w:p>
    <w:p>
      <w:pPr>
        <w:keepNext/>
        <w:keepLines/>
        <w:spacing w:after="40"/>
        <w:ind w:left="369" w:hanging="198"/>
      </w:pPr>
      <w:r>
        <w:rPr>
          <w:rFonts w:ascii="Arial" w:hAnsi="Arial" w:cs="Arial"/>
          <w:b w:val="0"/>
          <w:sz w:val="21"/>
        </w:rPr>
        <w:t>B) Cualquier pensión no contributiva.</w:t>
      </w:r>
    </w:p>
    <w:p>
      <w:pPr>
        <w:keepNext/>
        <w:keepLines/>
        <w:spacing w:after="40"/>
        <w:ind w:left="369" w:hanging="198"/>
      </w:pPr>
      <w:r>
        <w:rPr>
          <w:rFonts w:ascii="Arial" w:hAnsi="Arial" w:cs="Arial"/>
          <w:b w:val="0"/>
          <w:sz w:val="21"/>
        </w:rPr>
        <w:t>C) Solo jubilación ordinaria.</w:t>
      </w:r>
    </w:p>
    <w:p>
      <w:pPr>
        <w:keepNext/>
        <w:keepLines/>
        <w:spacing w:after="40"/>
        <w:ind w:left="369" w:hanging="198"/>
      </w:pPr>
      <w:r>
        <w:rPr>
          <w:rFonts w:ascii="Arial" w:hAnsi="Arial" w:cs="Arial"/>
          <w:b w:val="0"/>
          <w:sz w:val="21"/>
        </w:rPr>
        <w:t>D) Toda prestación sin excepción.</w:t>
      </w:r>
    </w:p>
    <w:p>
      <w:pPr>
        <w:pStyle w:val="Question"/>
        <w:keepNext/>
      </w:pPr>
      <w:r>
        <w:rPr>
          <w:rFonts w:ascii="Arial" w:hAnsi="Arial" w:cs="Arial"/>
          <w:sz w:val="22"/>
        </w:rPr>
        <w:t>37. En una comprobación jurídica del expediente, ¿Qué efecto principal produjo la reforma constitucional de 19 de mayo de 2026 sobre la representación insular en el Senado?</w:t>
      </w:r>
    </w:p>
    <w:p>
      <w:pPr>
        <w:keepNext/>
        <w:keepLines/>
        <w:spacing w:after="40"/>
        <w:ind w:left="369" w:hanging="198"/>
      </w:pPr>
      <w:r>
        <w:rPr>
          <w:rFonts w:ascii="Arial" w:hAnsi="Arial" w:cs="Arial"/>
          <w:b w:val="0"/>
          <w:sz w:val="21"/>
        </w:rPr>
        <w:t>A) Asignó dos senadores a Formentera.</w:t>
      </w:r>
    </w:p>
    <w:p>
      <w:pPr>
        <w:keepNext/>
        <w:keepLines/>
        <w:spacing w:after="40"/>
        <w:ind w:left="369" w:hanging="198"/>
      </w:pPr>
      <w:r>
        <w:rPr>
          <w:rFonts w:ascii="Arial" w:hAnsi="Arial" w:cs="Arial"/>
          <w:b w:val="0"/>
          <w:sz w:val="21"/>
        </w:rPr>
        <w:t>B) Suprimió la circunscripción de Ibiza.</w:t>
      </w:r>
    </w:p>
    <w:p>
      <w:pPr>
        <w:keepNext/>
        <w:keepLines/>
        <w:spacing w:after="40"/>
        <w:ind w:left="369" w:hanging="198"/>
      </w:pPr>
      <w:r>
        <w:rPr>
          <w:rFonts w:ascii="Arial" w:hAnsi="Arial" w:cs="Arial"/>
          <w:b w:val="0"/>
          <w:sz w:val="21"/>
        </w:rPr>
        <w:t>C) Reconoció a Ibiza y Formentera como circunscripciones separadas, con un senador cada una.</w:t>
      </w:r>
    </w:p>
    <w:p>
      <w:pPr>
        <w:keepNext/>
        <w:keepLines/>
        <w:spacing w:after="40"/>
        <w:ind w:left="369" w:hanging="198"/>
      </w:pPr>
      <w:r>
        <w:rPr>
          <w:rFonts w:ascii="Arial" w:hAnsi="Arial" w:cs="Arial"/>
          <w:b w:val="0"/>
          <w:sz w:val="21"/>
        </w:rPr>
        <w:t>D) Integró Formentera en la circunscripción de Mallorca.</w:t>
      </w:r>
    </w:p>
    <w:p>
      <w:pPr>
        <w:pStyle w:val="Question"/>
        <w:keepNext/>
      </w:pPr>
      <w:r>
        <w:rPr>
          <w:rFonts w:ascii="Arial" w:hAnsi="Arial" w:cs="Arial"/>
          <w:sz w:val="22"/>
        </w:rPr>
        <w:t>38. A efectos de aplicar correctamente la regla examinada, el subsidio por riesgo durante el embarazo es:</w:t>
      </w:r>
    </w:p>
    <w:p>
      <w:pPr>
        <w:keepNext/>
        <w:keepLines/>
        <w:spacing w:after="40"/>
        <w:ind w:left="369" w:hanging="198"/>
      </w:pPr>
      <w:r>
        <w:rPr>
          <w:rFonts w:ascii="Arial" w:hAnsi="Arial" w:cs="Arial"/>
          <w:b w:val="0"/>
          <w:sz w:val="21"/>
        </w:rPr>
        <w:t>A) 60 por ciento de BR común.</w:t>
      </w:r>
    </w:p>
    <w:p>
      <w:pPr>
        <w:keepNext/>
        <w:keepLines/>
        <w:spacing w:after="40"/>
        <w:ind w:left="369" w:hanging="198"/>
      </w:pPr>
      <w:r>
        <w:rPr>
          <w:rFonts w:ascii="Arial" w:hAnsi="Arial" w:cs="Arial"/>
          <w:b w:val="0"/>
          <w:sz w:val="21"/>
        </w:rPr>
        <w:t>B) 75 por ciento de BR común.</w:t>
      </w:r>
    </w:p>
    <w:p>
      <w:pPr>
        <w:keepNext/>
        <w:keepLines/>
        <w:spacing w:after="40"/>
        <w:ind w:left="369" w:hanging="198"/>
      </w:pPr>
      <w:r>
        <w:rPr>
          <w:rFonts w:ascii="Arial" w:hAnsi="Arial" w:cs="Arial"/>
          <w:b w:val="0"/>
          <w:sz w:val="21"/>
        </w:rPr>
        <w:t>C) 100 por ciento de la BR de IT profesional.</w:t>
      </w:r>
    </w:p>
    <w:p>
      <w:pPr>
        <w:keepNext/>
        <w:keepLines/>
        <w:spacing w:after="40"/>
        <w:ind w:left="369" w:hanging="198"/>
      </w:pPr>
      <w:r>
        <w:rPr>
          <w:rFonts w:ascii="Arial" w:hAnsi="Arial" w:cs="Arial"/>
          <w:b w:val="0"/>
          <w:sz w:val="21"/>
        </w:rPr>
        <w:t>D) 100 por ciento del IPREM.</w:t>
      </w:r>
    </w:p>
    <w:p>
      <w:pPr>
        <w:pStyle w:val="Question"/>
        <w:keepNext/>
      </w:pPr>
      <w:r>
        <w:rPr>
          <w:rFonts w:ascii="Arial" w:hAnsi="Arial" w:cs="Arial"/>
          <w:sz w:val="22"/>
        </w:rPr>
        <w:t>39. Sin añadir circunstancias distintas de las indicadas, en el Sistema Especial para Empleados de Hogar, la prestación económica por incapacidad temporal derivada de enfermedad común o accidente no laboral se abona directamente por la entidad gestora o colaboradora:</w:t>
      </w:r>
    </w:p>
    <w:p>
      <w:pPr>
        <w:keepNext/>
        <w:keepLines/>
        <w:spacing w:after="40"/>
        <w:ind w:left="369" w:hanging="198"/>
      </w:pPr>
      <w:r>
        <w:rPr>
          <w:rFonts w:ascii="Arial" w:hAnsi="Arial" w:cs="Arial"/>
          <w:b w:val="0"/>
          <w:sz w:val="21"/>
        </w:rPr>
        <w:t>A) Desde el mismo día de la baja.</w:t>
      </w:r>
    </w:p>
    <w:p>
      <w:pPr>
        <w:keepNext/>
        <w:keepLines/>
        <w:spacing w:after="40"/>
        <w:ind w:left="369" w:hanging="198"/>
      </w:pPr>
      <w:r>
        <w:rPr>
          <w:rFonts w:ascii="Arial" w:hAnsi="Arial" w:cs="Arial"/>
          <w:b w:val="0"/>
          <w:sz w:val="21"/>
        </w:rPr>
        <w:t>B) Desde el cuarto día, sin responsabilidad previa del empleador.</w:t>
      </w:r>
    </w:p>
    <w:p>
      <w:pPr>
        <w:keepNext/>
        <w:keepLines/>
        <w:spacing w:after="40"/>
        <w:ind w:left="369" w:hanging="198"/>
      </w:pPr>
      <w:r>
        <w:rPr>
          <w:rFonts w:ascii="Arial" w:hAnsi="Arial" w:cs="Arial"/>
          <w:b w:val="0"/>
          <w:sz w:val="21"/>
        </w:rPr>
        <w:t>C) Desde el noveno día de la baja, siendo a cargo del empleador el abono desde el cuarto hasta el octavo día.</w:t>
      </w:r>
    </w:p>
    <w:p>
      <w:pPr>
        <w:keepNext/>
        <w:keepLines/>
        <w:spacing w:after="40"/>
        <w:ind w:left="369" w:hanging="198"/>
      </w:pPr>
      <w:r>
        <w:rPr>
          <w:rFonts w:ascii="Arial" w:hAnsi="Arial" w:cs="Arial"/>
          <w:b w:val="0"/>
          <w:sz w:val="21"/>
        </w:rPr>
        <w:t>D) Desde el decimosexto día.</w:t>
      </w:r>
    </w:p>
    <w:p>
      <w:pPr>
        <w:pStyle w:val="Question"/>
        <w:keepNext/>
      </w:pPr>
      <w:r>
        <w:rPr>
          <w:rFonts w:ascii="Arial" w:hAnsi="Arial" w:cs="Arial"/>
          <w:sz w:val="22"/>
        </w:rPr>
        <w:t>40. En una comprobación jurídica del expediente, el requisito general de residencia para ser titular de derechos de dependencia es:</w:t>
      </w:r>
    </w:p>
    <w:p>
      <w:pPr>
        <w:keepNext/>
        <w:keepLines/>
        <w:spacing w:after="40"/>
        <w:ind w:left="369" w:hanging="198"/>
      </w:pPr>
      <w:r>
        <w:rPr>
          <w:rFonts w:ascii="Arial" w:hAnsi="Arial" w:cs="Arial"/>
          <w:b w:val="0"/>
          <w:sz w:val="21"/>
        </w:rPr>
        <w:t>A) Dos años, ninguno necesariamente inmediato.</w:t>
      </w:r>
    </w:p>
    <w:p>
      <w:pPr>
        <w:keepNext/>
        <w:keepLines/>
        <w:spacing w:after="40"/>
        <w:ind w:left="369" w:hanging="198"/>
      </w:pPr>
      <w:r>
        <w:rPr>
          <w:rFonts w:ascii="Arial" w:hAnsi="Arial" w:cs="Arial"/>
          <w:b w:val="0"/>
          <w:sz w:val="21"/>
        </w:rPr>
        <w:t>B) Diez años, cinco inmediatos.</w:t>
      </w:r>
    </w:p>
    <w:p>
      <w:pPr>
        <w:keepNext/>
        <w:keepLines/>
        <w:spacing w:after="40"/>
        <w:ind w:left="369" w:hanging="198"/>
      </w:pPr>
      <w:r>
        <w:rPr>
          <w:rFonts w:ascii="Arial" w:hAnsi="Arial" w:cs="Arial"/>
          <w:b w:val="0"/>
          <w:sz w:val="21"/>
        </w:rPr>
        <w:t>C) Cinco años en España, dos inmediatamente anteriores a la solicitud.</w:t>
      </w:r>
    </w:p>
    <w:p>
      <w:pPr>
        <w:keepNext/>
        <w:keepLines/>
        <w:spacing w:after="40"/>
        <w:ind w:left="369" w:hanging="198"/>
      </w:pPr>
      <w:r>
        <w:rPr>
          <w:rFonts w:ascii="Arial" w:hAnsi="Arial" w:cs="Arial"/>
          <w:b w:val="0"/>
          <w:sz w:val="21"/>
        </w:rPr>
        <w:t>D) Solo empadronamiento el día de solicitar.</w:t>
      </w:r>
    </w:p>
    <w:p>
      <w:pPr>
        <w:pStyle w:val="Question"/>
        <w:keepNext/>
      </w:pPr>
      <w:r>
        <w:rPr>
          <w:rFonts w:ascii="Arial" w:hAnsi="Arial" w:cs="Arial"/>
          <w:sz w:val="22"/>
        </w:rPr>
        <w:t>41. En una comprobación jurídica del expediente, ¿Cuál de estas relaciones contiene solo derechos o garantías suspendibles con carácter general conforme al artículo 55.1?</w:t>
      </w:r>
    </w:p>
    <w:p>
      <w:pPr>
        <w:keepNext/>
        <w:keepLines/>
        <w:spacing w:after="40"/>
        <w:ind w:left="369" w:hanging="198"/>
      </w:pPr>
      <w:r>
        <w:rPr>
          <w:rFonts w:ascii="Arial" w:hAnsi="Arial" w:cs="Arial"/>
          <w:b w:val="0"/>
          <w:sz w:val="21"/>
        </w:rPr>
        <w:t>A) Vida, libertad ideológica, reunión y tutela judicial.</w:t>
      </w:r>
    </w:p>
    <w:p>
      <w:pPr>
        <w:keepNext/>
        <w:keepLines/>
        <w:spacing w:after="40"/>
        <w:ind w:left="369" w:hanging="198"/>
      </w:pPr>
      <w:r>
        <w:rPr>
          <w:rFonts w:ascii="Arial" w:hAnsi="Arial" w:cs="Arial"/>
          <w:b w:val="0"/>
          <w:sz w:val="21"/>
        </w:rPr>
        <w:t>B) Igualdad, educación, huelga y propiedad.</w:t>
      </w:r>
    </w:p>
    <w:p>
      <w:pPr>
        <w:keepNext/>
        <w:keepLines/>
        <w:spacing w:after="40"/>
        <w:ind w:left="369" w:hanging="198"/>
      </w:pPr>
      <w:r>
        <w:rPr>
          <w:rFonts w:ascii="Arial" w:hAnsi="Arial" w:cs="Arial"/>
          <w:b w:val="0"/>
          <w:sz w:val="21"/>
        </w:rPr>
        <w:t>C) Libertad religiosa, legalidad sancionadora, petición y vivienda.</w:t>
      </w:r>
    </w:p>
    <w:p>
      <w:pPr>
        <w:keepNext/>
        <w:keepLines/>
        <w:spacing w:after="40"/>
        <w:ind w:left="369" w:hanging="198"/>
      </w:pPr>
      <w:r>
        <w:rPr>
          <w:rFonts w:ascii="Arial" w:hAnsi="Arial" w:cs="Arial"/>
          <w:b w:val="0"/>
          <w:sz w:val="21"/>
        </w:rPr>
        <w:t>D) Inviolabilidad domiciliaria, secreto de comunicaciones, circulación y huelga.</w:t>
      </w:r>
    </w:p>
    <w:p>
      <w:pPr>
        <w:pStyle w:val="Question"/>
        <w:keepNext/>
      </w:pPr>
      <w:r>
        <w:rPr>
          <w:rFonts w:ascii="Arial" w:hAnsi="Arial" w:cs="Arial"/>
          <w:sz w:val="22"/>
        </w:rPr>
        <w:t>42. Sin añadir circunstancias distintas de las indicadas, una lesión profesional definitiva incluida en baremo, que no alcanza IP:</w:t>
      </w:r>
    </w:p>
    <w:p>
      <w:pPr>
        <w:keepNext/>
        <w:keepLines/>
        <w:spacing w:after="40"/>
        <w:ind w:left="369" w:hanging="198"/>
      </w:pPr>
      <w:r>
        <w:rPr>
          <w:rFonts w:ascii="Arial" w:hAnsi="Arial" w:cs="Arial"/>
          <w:b w:val="0"/>
          <w:sz w:val="21"/>
        </w:rPr>
        <w:t>A) Genera siempre una pensión del 55 por ciento.</w:t>
      </w:r>
    </w:p>
    <w:p>
      <w:pPr>
        <w:keepNext/>
        <w:keepLines/>
        <w:spacing w:after="40"/>
        <w:ind w:left="369" w:hanging="198"/>
      </w:pPr>
      <w:r>
        <w:rPr>
          <w:rFonts w:ascii="Arial" w:hAnsi="Arial" w:cs="Arial"/>
          <w:b w:val="0"/>
          <w:sz w:val="21"/>
        </w:rPr>
        <w:t>B) Impide continuar en la empresa.</w:t>
      </w:r>
    </w:p>
    <w:p>
      <w:pPr>
        <w:keepNext/>
        <w:keepLines/>
        <w:spacing w:after="40"/>
        <w:ind w:left="369" w:hanging="198"/>
      </w:pPr>
      <w:r>
        <w:rPr>
          <w:rFonts w:ascii="Arial" w:hAnsi="Arial" w:cs="Arial"/>
          <w:b w:val="0"/>
          <w:sz w:val="21"/>
        </w:rPr>
        <w:t>C) Se califica como accidente no laboral.</w:t>
      </w:r>
    </w:p>
    <w:p>
      <w:pPr>
        <w:keepNext/>
        <w:keepLines/>
        <w:spacing w:after="40"/>
        <w:ind w:left="369" w:hanging="198"/>
      </w:pPr>
      <w:r>
        <w:rPr>
          <w:rFonts w:ascii="Arial" w:hAnsi="Arial" w:cs="Arial"/>
          <w:b w:val="0"/>
          <w:sz w:val="21"/>
        </w:rPr>
        <w:t>D) Puede dar lugar a indemnización única por lesión permanente no incapacitante.</w:t>
      </w:r>
    </w:p>
    <w:p>
      <w:pPr>
        <w:pStyle w:val="Question"/>
        <w:keepNext/>
      </w:pPr>
      <w:r>
        <w:rPr>
          <w:rFonts w:ascii="Arial" w:hAnsi="Arial" w:cs="Arial"/>
          <w:sz w:val="22"/>
        </w:rPr>
        <w:t>43. A efectos de aplicar correctamente la regla examinada, una notificación que contiene el texto íntegro pero omite la indicación de recursos surte efecto:</w:t>
      </w:r>
    </w:p>
    <w:p>
      <w:pPr>
        <w:keepNext/>
        <w:keepLines/>
        <w:spacing w:after="40"/>
        <w:ind w:left="369" w:hanging="198"/>
      </w:pPr>
      <w:r>
        <w:rPr>
          <w:rFonts w:ascii="Arial" w:hAnsi="Arial" w:cs="Arial"/>
          <w:b w:val="0"/>
          <w:sz w:val="21"/>
        </w:rPr>
        <w:t>A) Desde la fecha del acto, sin excepción.</w:t>
      </w:r>
    </w:p>
    <w:p>
      <w:pPr>
        <w:keepNext/>
        <w:keepLines/>
        <w:spacing w:after="40"/>
        <w:ind w:left="369" w:hanging="198"/>
      </w:pPr>
      <w:r>
        <w:rPr>
          <w:rFonts w:ascii="Arial" w:hAnsi="Arial" w:cs="Arial"/>
          <w:b w:val="0"/>
          <w:sz w:val="21"/>
        </w:rPr>
        <w:t>B) Nunca, aunque el destinatario recurra.</w:t>
      </w:r>
    </w:p>
    <w:p>
      <w:pPr>
        <w:keepNext/>
        <w:keepLines/>
        <w:spacing w:after="40"/>
        <w:ind w:left="369" w:hanging="198"/>
      </w:pPr>
      <w:r>
        <w:rPr>
          <w:rFonts w:ascii="Arial" w:hAnsi="Arial" w:cs="Arial"/>
          <w:b w:val="0"/>
          <w:sz w:val="21"/>
        </w:rPr>
        <w:t>C) Automáticamente al décimo día hábil.</w:t>
      </w:r>
    </w:p>
    <w:p>
      <w:pPr>
        <w:keepNext/>
        <w:keepLines/>
        <w:spacing w:after="40"/>
        <w:ind w:left="369" w:hanging="198"/>
      </w:pPr>
      <w:r>
        <w:rPr>
          <w:rFonts w:ascii="Arial" w:hAnsi="Arial" w:cs="Arial"/>
          <w:b w:val="0"/>
          <w:sz w:val="21"/>
        </w:rPr>
        <w:t>D) Cuando el interesado realiza actuaciones que suponen conocer contenido y alcance o interpone un recurso procedente.</w:t>
      </w:r>
    </w:p>
    <w:p>
      <w:pPr>
        <w:pStyle w:val="Question"/>
        <w:keepNext/>
      </w:pPr>
      <w:r>
        <w:rPr>
          <w:rFonts w:ascii="Arial" w:hAnsi="Arial" w:cs="Arial"/>
          <w:sz w:val="22"/>
        </w:rPr>
        <w:t>44. A efectos de aplicar correctamente la regla examinada, si transcurren tres meses sin resolución del recurso extraordinario de revisión:</w:t>
      </w:r>
    </w:p>
    <w:p>
      <w:pPr>
        <w:keepNext/>
        <w:keepLines/>
        <w:spacing w:after="40"/>
        <w:ind w:left="369" w:hanging="198"/>
      </w:pPr>
      <w:r>
        <w:rPr>
          <w:rFonts w:ascii="Arial" w:hAnsi="Arial" w:cs="Arial"/>
          <w:b w:val="0"/>
          <w:sz w:val="21"/>
        </w:rPr>
        <w:t>A) Se entiende estimado.</w:t>
      </w:r>
    </w:p>
    <w:p>
      <w:pPr>
        <w:keepNext/>
        <w:keepLines/>
        <w:spacing w:after="40"/>
        <w:ind w:left="369" w:hanging="198"/>
      </w:pPr>
      <w:r>
        <w:rPr>
          <w:rFonts w:ascii="Arial" w:hAnsi="Arial" w:cs="Arial"/>
          <w:b w:val="0"/>
          <w:sz w:val="21"/>
        </w:rPr>
        <w:t>B) Caduca el acto originario.</w:t>
      </w:r>
    </w:p>
    <w:p>
      <w:pPr>
        <w:keepNext/>
        <w:keepLines/>
        <w:spacing w:after="40"/>
        <w:ind w:left="369" w:hanging="198"/>
      </w:pPr>
      <w:r>
        <w:rPr>
          <w:rFonts w:ascii="Arial" w:hAnsi="Arial" w:cs="Arial"/>
          <w:b w:val="0"/>
          <w:sz w:val="21"/>
        </w:rPr>
        <w:t>C) Se transforma en recurso de alzada.</w:t>
      </w:r>
    </w:p>
    <w:p>
      <w:pPr>
        <w:keepNext/>
        <w:keepLines/>
        <w:spacing w:after="40"/>
        <w:ind w:left="369" w:hanging="198"/>
      </w:pPr>
      <w:r>
        <w:rPr>
          <w:rFonts w:ascii="Arial" w:hAnsi="Arial" w:cs="Arial"/>
          <w:b w:val="0"/>
          <w:sz w:val="21"/>
        </w:rPr>
        <w:t>D) Se entiende desestimado y queda expedita la vía jurisdiccional contencioso-administrativa.</w:t>
      </w:r>
    </w:p>
    <w:p>
      <w:pPr>
        <w:pStyle w:val="Question"/>
        <w:keepNext/>
      </w:pPr>
      <w:r>
        <w:rPr>
          <w:rFonts w:ascii="Arial" w:hAnsi="Arial" w:cs="Arial"/>
          <w:sz w:val="22"/>
        </w:rPr>
        <w:t>45. A efectos de aplicar correctamente la regla examinada, los órganos de nivel inferior a subdirección general se crean:</w:t>
      </w:r>
    </w:p>
    <w:p>
      <w:pPr>
        <w:keepNext/>
        <w:keepLines/>
        <w:spacing w:after="40"/>
        <w:ind w:left="369" w:hanging="198"/>
      </w:pPr>
      <w:r>
        <w:rPr>
          <w:rFonts w:ascii="Arial" w:hAnsi="Arial" w:cs="Arial"/>
          <w:b w:val="0"/>
          <w:sz w:val="21"/>
        </w:rPr>
        <w:t>A) Por acuerdo de la Comisión Delegada correspondiente.</w:t>
      </w:r>
    </w:p>
    <w:p>
      <w:pPr>
        <w:keepNext/>
        <w:keepLines/>
        <w:spacing w:after="40"/>
        <w:ind w:left="369" w:hanging="198"/>
      </w:pPr>
      <w:r>
        <w:rPr>
          <w:rFonts w:ascii="Arial" w:hAnsi="Arial" w:cs="Arial"/>
          <w:b w:val="0"/>
          <w:sz w:val="21"/>
        </w:rPr>
        <w:t>B) Por resolución del subsecretario.</w:t>
      </w:r>
    </w:p>
    <w:p>
      <w:pPr>
        <w:keepNext/>
        <w:keepLines/>
        <w:spacing w:after="40"/>
        <w:ind w:left="369" w:hanging="198"/>
      </w:pPr>
      <w:r>
        <w:rPr>
          <w:rFonts w:ascii="Arial" w:hAnsi="Arial" w:cs="Arial"/>
          <w:b w:val="0"/>
          <w:sz w:val="21"/>
        </w:rPr>
        <w:t>C) Exclusivamente mediante ley.</w:t>
      </w:r>
    </w:p>
    <w:p>
      <w:pPr>
        <w:keepNext/>
        <w:keepLines/>
        <w:spacing w:after="40"/>
        <w:ind w:left="369" w:hanging="198"/>
      </w:pPr>
      <w:r>
        <w:rPr>
          <w:rFonts w:ascii="Arial" w:hAnsi="Arial" w:cs="Arial"/>
          <w:b w:val="0"/>
          <w:sz w:val="21"/>
        </w:rPr>
        <w:t>D) Por orden del ministro respectivo, previa autorización del ministerio competente en organización.</w:t>
      </w:r>
    </w:p>
    <w:p>
      <w:pPr>
        <w:pStyle w:val="Question"/>
        <w:keepNext/>
      </w:pPr>
      <w:r>
        <w:rPr>
          <w:rFonts w:ascii="Arial" w:hAnsi="Arial" w:cs="Arial"/>
          <w:sz w:val="22"/>
        </w:rPr>
        <w:t>46. De acuerdo con la regulación aplicable, existe pluriempleo cuando una persona:</w:t>
      </w:r>
    </w:p>
    <w:p>
      <w:pPr>
        <w:keepNext/>
        <w:keepLines/>
        <w:spacing w:after="40"/>
        <w:ind w:left="369" w:hanging="198"/>
      </w:pPr>
      <w:r>
        <w:rPr>
          <w:rFonts w:ascii="Arial" w:hAnsi="Arial" w:cs="Arial"/>
          <w:b w:val="0"/>
          <w:sz w:val="21"/>
        </w:rPr>
        <w:t>A) Trabaja en dos actividades incluidas en regímenes distintos.</w:t>
      </w:r>
    </w:p>
    <w:p>
      <w:pPr>
        <w:keepNext/>
        <w:keepLines/>
        <w:spacing w:after="40"/>
        <w:ind w:left="369" w:hanging="198"/>
      </w:pPr>
      <w:r>
        <w:rPr>
          <w:rFonts w:ascii="Arial" w:hAnsi="Arial" w:cs="Arial"/>
          <w:b w:val="0"/>
          <w:sz w:val="21"/>
        </w:rPr>
        <w:t>B) Trabaja para dos o más empresas con inclusión en el mismo régimen.</w:t>
      </w:r>
    </w:p>
    <w:p>
      <w:pPr>
        <w:keepNext/>
        <w:keepLines/>
        <w:spacing w:after="40"/>
        <w:ind w:left="369" w:hanging="198"/>
      </w:pPr>
      <w:r>
        <w:rPr>
          <w:rFonts w:ascii="Arial" w:hAnsi="Arial" w:cs="Arial"/>
          <w:b w:val="0"/>
          <w:sz w:val="21"/>
        </w:rPr>
        <w:t>C) Cotiza simultáneamente por convenio especial y RETA.</w:t>
      </w:r>
    </w:p>
    <w:p>
      <w:pPr>
        <w:keepNext/>
        <w:keepLines/>
        <w:spacing w:after="40"/>
        <w:ind w:left="369" w:hanging="198"/>
      </w:pPr>
      <w:r>
        <w:rPr>
          <w:rFonts w:ascii="Arial" w:hAnsi="Arial" w:cs="Arial"/>
          <w:b w:val="0"/>
          <w:sz w:val="21"/>
        </w:rPr>
        <w:t>D) Tiene dos categorías en una sola empresa.</w:t>
      </w:r>
    </w:p>
    <w:p>
      <w:pPr>
        <w:pStyle w:val="Question"/>
        <w:keepNext/>
      </w:pPr>
      <w:r>
        <w:rPr>
          <w:rFonts w:ascii="Arial" w:hAnsi="Arial" w:cs="Arial"/>
          <w:sz w:val="22"/>
        </w:rPr>
        <w:t>47. Conforme al ordenamiento vigente a la fecha de corte, el pago delegado empresarial de incapacidad temporal significa que:</w:t>
      </w:r>
    </w:p>
    <w:p>
      <w:pPr>
        <w:keepNext/>
        <w:keepLines/>
        <w:spacing w:after="40"/>
        <w:ind w:left="369" w:hanging="198"/>
      </w:pPr>
      <w:r>
        <w:rPr>
          <w:rFonts w:ascii="Arial" w:hAnsi="Arial" w:cs="Arial"/>
          <w:b w:val="0"/>
          <w:sz w:val="21"/>
        </w:rPr>
        <w:t>A) La empresa anticipa el pago a cargo de la entidad responsable y lo compensa conforme a la ley.</w:t>
      </w:r>
    </w:p>
    <w:p>
      <w:pPr>
        <w:keepNext/>
        <w:keepLines/>
        <w:spacing w:after="40"/>
        <w:ind w:left="369" w:hanging="198"/>
      </w:pPr>
      <w:r>
        <w:rPr>
          <w:rFonts w:ascii="Arial" w:hAnsi="Arial" w:cs="Arial"/>
          <w:b w:val="0"/>
          <w:sz w:val="21"/>
        </w:rPr>
        <w:t>B) La empresa reconoce definitivamente toda prestación.</w:t>
      </w:r>
    </w:p>
    <w:p>
      <w:pPr>
        <w:keepNext/>
        <w:keepLines/>
        <w:spacing w:after="40"/>
        <w:ind w:left="369" w:hanging="198"/>
      </w:pPr>
      <w:r>
        <w:rPr>
          <w:rFonts w:ascii="Arial" w:hAnsi="Arial" w:cs="Arial"/>
          <w:b w:val="0"/>
          <w:sz w:val="21"/>
        </w:rPr>
        <w:t>C) La persona trabajadora pierde protección pública.</w:t>
      </w:r>
    </w:p>
    <w:p>
      <w:pPr>
        <w:keepNext/>
        <w:keepLines/>
        <w:spacing w:after="40"/>
        <w:ind w:left="369" w:hanging="198"/>
      </w:pPr>
      <w:r>
        <w:rPr>
          <w:rFonts w:ascii="Arial" w:hAnsi="Arial" w:cs="Arial"/>
          <w:b w:val="0"/>
          <w:sz w:val="21"/>
        </w:rPr>
        <w:t>D) La empresa se convierte en entidad gestora.</w:t>
      </w:r>
    </w:p>
    <w:p>
      <w:pPr>
        <w:pStyle w:val="Question"/>
        <w:keepNext/>
      </w:pPr>
      <w:r>
        <w:rPr>
          <w:rFonts w:ascii="Arial" w:hAnsi="Arial" w:cs="Arial"/>
          <w:sz w:val="22"/>
        </w:rPr>
        <w:t>48. En una comprobación jurídica del expediente, si la tercería se presenta sin los documentos originales en que se funda, se concede para aportarlos un plazo de:</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Tres días.</w:t>
      </w:r>
    </w:p>
    <w:p>
      <w:pPr>
        <w:keepNext/>
        <w:keepLines/>
        <w:spacing w:after="40"/>
        <w:ind w:left="369" w:hanging="198"/>
      </w:pPr>
      <w:r>
        <w:rPr>
          <w:rFonts w:ascii="Arial" w:hAnsi="Arial" w:cs="Arial"/>
          <w:b w:val="0"/>
          <w:sz w:val="21"/>
        </w:rPr>
        <w:t>C) Veinte días.</w:t>
      </w:r>
    </w:p>
    <w:p>
      <w:pPr>
        <w:keepNext/>
        <w:keepLines/>
        <w:spacing w:after="40"/>
        <w:ind w:left="369" w:hanging="198"/>
      </w:pPr>
      <w:r>
        <w:rPr>
          <w:rFonts w:ascii="Arial" w:hAnsi="Arial" w:cs="Arial"/>
          <w:b w:val="0"/>
          <w:sz w:val="21"/>
        </w:rPr>
        <w:t>D) Tres meses.</w:t>
      </w:r>
    </w:p>
    <w:p>
      <w:pPr>
        <w:pStyle w:val="Question"/>
        <w:keepNext/>
      </w:pPr>
      <w:r>
        <w:rPr>
          <w:rFonts w:ascii="Arial" w:hAnsi="Arial" w:cs="Arial"/>
          <w:sz w:val="22"/>
        </w:rPr>
        <w:t>49. Conforme al ordenamiento vigente a la fecha de corte, la inadmisión de una petición debe acordarse y notificarse, como máximo, dentro de:</w:t>
      </w:r>
    </w:p>
    <w:p>
      <w:pPr>
        <w:keepNext/>
        <w:keepLines/>
        <w:spacing w:after="40"/>
        <w:ind w:left="369" w:hanging="198"/>
      </w:pPr>
      <w:r>
        <w:rPr>
          <w:rFonts w:ascii="Arial" w:hAnsi="Arial" w:cs="Arial"/>
          <w:b w:val="0"/>
          <w:sz w:val="21"/>
        </w:rPr>
        <w:t>A) Treinta días naturales.</w:t>
      </w:r>
    </w:p>
    <w:p>
      <w:pPr>
        <w:keepNext/>
        <w:keepLines/>
        <w:spacing w:after="40"/>
        <w:ind w:left="369" w:hanging="198"/>
      </w:pPr>
      <w:r>
        <w:rPr>
          <w:rFonts w:ascii="Arial" w:hAnsi="Arial" w:cs="Arial"/>
          <w:b w:val="0"/>
          <w:sz w:val="21"/>
        </w:rPr>
        <w:t>B) Cuarenta y cinco días hábiles desde la presentación.</w:t>
      </w:r>
    </w:p>
    <w:p>
      <w:pPr>
        <w:keepNext/>
        <w:keepLines/>
        <w:spacing w:after="40"/>
        <w:ind w:left="369" w:hanging="198"/>
      </w:pPr>
      <w:r>
        <w:rPr>
          <w:rFonts w:ascii="Arial" w:hAnsi="Arial" w:cs="Arial"/>
          <w:b w:val="0"/>
          <w:sz w:val="21"/>
        </w:rPr>
        <w:t>C) Dos meses.</w:t>
      </w:r>
    </w:p>
    <w:p>
      <w:pPr>
        <w:keepNext/>
        <w:keepLines/>
        <w:spacing w:after="40"/>
        <w:ind w:left="369" w:hanging="198"/>
      </w:pPr>
      <w:r>
        <w:rPr>
          <w:rFonts w:ascii="Arial" w:hAnsi="Arial" w:cs="Arial"/>
          <w:b w:val="0"/>
          <w:sz w:val="21"/>
        </w:rPr>
        <w:t>D) Tres meses desde la admisión.</w:t>
      </w:r>
    </w:p>
    <w:p>
      <w:pPr>
        <w:pStyle w:val="Question"/>
        <w:keepNext/>
      </w:pPr>
      <w:r>
        <w:rPr>
          <w:rFonts w:ascii="Arial" w:hAnsi="Arial" w:cs="Arial"/>
          <w:sz w:val="22"/>
        </w:rPr>
        <w:t>50. En una comprobación jurídica del expediente, presentado un escrito en día inhábil dentro de un plazo en días hábiles, como regla se entiende presentado:</w:t>
      </w:r>
    </w:p>
    <w:p>
      <w:pPr>
        <w:keepNext/>
        <w:keepLines/>
        <w:spacing w:after="40"/>
        <w:ind w:left="369" w:hanging="198"/>
      </w:pPr>
      <w:r>
        <w:rPr>
          <w:rFonts w:ascii="Arial" w:hAnsi="Arial" w:cs="Arial"/>
          <w:b w:val="0"/>
          <w:sz w:val="21"/>
        </w:rPr>
        <w:t>A) En la última hora del día hábil anterior.</w:t>
      </w:r>
    </w:p>
    <w:p>
      <w:pPr>
        <w:keepNext/>
        <w:keepLines/>
        <w:spacing w:after="40"/>
        <w:ind w:left="369" w:hanging="198"/>
      </w:pPr>
      <w:r>
        <w:rPr>
          <w:rFonts w:ascii="Arial" w:hAnsi="Arial" w:cs="Arial"/>
          <w:b w:val="0"/>
          <w:sz w:val="21"/>
        </w:rPr>
        <w:t>B) Al mediodía del día inhábil.</w:t>
      </w:r>
    </w:p>
    <w:p>
      <w:pPr>
        <w:keepNext/>
        <w:keepLines/>
        <w:spacing w:after="40"/>
        <w:ind w:left="369" w:hanging="198"/>
      </w:pPr>
      <w:r>
        <w:rPr>
          <w:rFonts w:ascii="Arial" w:hAnsi="Arial" w:cs="Arial"/>
          <w:b w:val="0"/>
          <w:sz w:val="21"/>
        </w:rPr>
        <w:t>C) En la primera hora del primer día hábil siguiente.</w:t>
      </w:r>
    </w:p>
    <w:p>
      <w:pPr>
        <w:keepNext/>
        <w:keepLines/>
        <w:spacing w:after="40"/>
        <w:ind w:left="369" w:hanging="198"/>
      </w:pPr>
      <w:r>
        <w:rPr>
          <w:rFonts w:ascii="Arial" w:hAnsi="Arial" w:cs="Arial"/>
          <w:b w:val="0"/>
          <w:sz w:val="21"/>
        </w:rPr>
        <w:t>D) Cuando el órgano lo lea efectivamente.</w:t>
      </w:r>
    </w:p>
    <w:p>
      <w:pPr>
        <w:pStyle w:val="Question"/>
        <w:keepNext/>
      </w:pPr>
      <w:r>
        <w:rPr>
          <w:rFonts w:ascii="Arial" w:hAnsi="Arial" w:cs="Arial"/>
          <w:sz w:val="22"/>
        </w:rPr>
        <w:t>51. A efectos de aplicar correctamente la regla examinada, la ampliación ordinaria de un plazo de trámite:</w:t>
      </w:r>
    </w:p>
    <w:p>
      <w:pPr>
        <w:keepNext/>
        <w:keepLines/>
        <w:spacing w:after="40"/>
        <w:ind w:left="369" w:hanging="198"/>
      </w:pPr>
      <w:r>
        <w:rPr>
          <w:rFonts w:ascii="Arial" w:hAnsi="Arial" w:cs="Arial"/>
          <w:b w:val="0"/>
          <w:sz w:val="21"/>
        </w:rPr>
        <w:t>A) Puede duplicar siempre el plazo y acordarse después de vencer.</w:t>
      </w:r>
    </w:p>
    <w:p>
      <w:pPr>
        <w:keepNext/>
        <w:keepLines/>
        <w:spacing w:after="40"/>
        <w:ind w:left="369" w:hanging="198"/>
      </w:pPr>
      <w:r>
        <w:rPr>
          <w:rFonts w:ascii="Arial" w:hAnsi="Arial" w:cs="Arial"/>
          <w:b w:val="0"/>
          <w:sz w:val="21"/>
        </w:rPr>
        <w:t>B) No excederá de la mitad del plazo inicial y debe acordarse antes de su vencimiento.</w:t>
      </w:r>
    </w:p>
    <w:p>
      <w:pPr>
        <w:keepNext/>
        <w:keepLines/>
        <w:spacing w:after="40"/>
        <w:ind w:left="369" w:hanging="198"/>
      </w:pPr>
      <w:r>
        <w:rPr>
          <w:rFonts w:ascii="Arial" w:hAnsi="Arial" w:cs="Arial"/>
          <w:b w:val="0"/>
          <w:sz w:val="21"/>
        </w:rPr>
        <w:t>C) No necesita respetar derechos de terceros.</w:t>
      </w:r>
    </w:p>
    <w:p>
      <w:pPr>
        <w:keepNext/>
        <w:keepLines/>
        <w:spacing w:after="40"/>
        <w:ind w:left="369" w:hanging="198"/>
      </w:pPr>
      <w:r>
        <w:rPr>
          <w:rFonts w:ascii="Arial" w:hAnsi="Arial" w:cs="Arial"/>
          <w:b w:val="0"/>
          <w:sz w:val="21"/>
        </w:rPr>
        <w:t>D) Admite recurso autónomo en todo caso.</w:t>
      </w:r>
    </w:p>
    <w:p>
      <w:pPr>
        <w:pStyle w:val="Question"/>
        <w:keepNext/>
      </w:pPr>
      <w:r>
        <w:rPr>
          <w:rFonts w:ascii="Arial" w:hAnsi="Arial" w:cs="Arial"/>
          <w:sz w:val="22"/>
        </w:rPr>
        <w:t>52. A efectos de aplicar correctamente la regla examinada, el Defensor del Pueblo es:</w:t>
      </w:r>
    </w:p>
    <w:p>
      <w:pPr>
        <w:keepNext/>
        <w:keepLines/>
        <w:spacing w:after="40"/>
        <w:ind w:left="369" w:hanging="198"/>
      </w:pPr>
      <w:r>
        <w:rPr>
          <w:rFonts w:ascii="Arial" w:hAnsi="Arial" w:cs="Arial"/>
          <w:b w:val="0"/>
          <w:sz w:val="21"/>
        </w:rPr>
        <w:t>A) El alto comisionado de las Cortes Generales para defender los derechos del título I.</w:t>
      </w:r>
    </w:p>
    <w:p>
      <w:pPr>
        <w:keepNext/>
        <w:keepLines/>
        <w:spacing w:after="40"/>
        <w:ind w:left="369" w:hanging="198"/>
      </w:pPr>
      <w:r>
        <w:rPr>
          <w:rFonts w:ascii="Arial" w:hAnsi="Arial" w:cs="Arial"/>
          <w:b w:val="0"/>
          <w:sz w:val="21"/>
        </w:rPr>
        <w:t>B) Un órgano dependiente del Gobierno.</w:t>
      </w:r>
    </w:p>
    <w:p>
      <w:pPr>
        <w:keepNext/>
        <w:keepLines/>
        <w:spacing w:after="40"/>
        <w:ind w:left="369" w:hanging="198"/>
      </w:pPr>
      <w:r>
        <w:rPr>
          <w:rFonts w:ascii="Arial" w:hAnsi="Arial" w:cs="Arial"/>
          <w:b w:val="0"/>
          <w:sz w:val="21"/>
        </w:rPr>
        <w:t>C) Un órgano jurisdiccional especializado.</w:t>
      </w:r>
    </w:p>
    <w:p>
      <w:pPr>
        <w:keepNext/>
        <w:keepLines/>
        <w:spacing w:after="40"/>
        <w:ind w:left="369" w:hanging="198"/>
      </w:pPr>
      <w:r>
        <w:rPr>
          <w:rFonts w:ascii="Arial" w:hAnsi="Arial" w:cs="Arial"/>
          <w:b w:val="0"/>
          <w:sz w:val="21"/>
        </w:rPr>
        <w:t>D) Un comisionado del Tribunal Constitucional.</w:t>
      </w:r>
    </w:p>
    <w:p>
      <w:pPr>
        <w:pStyle w:val="Question"/>
        <w:keepNext/>
      </w:pPr>
      <w:r>
        <w:rPr>
          <w:rFonts w:ascii="Arial" w:hAnsi="Arial" w:cs="Arial"/>
          <w:sz w:val="22"/>
        </w:rPr>
        <w:t>53. En una comprobación jurídica del expediente, desde el 1 de octubre de 2024, el Tribunal General:</w:t>
      </w:r>
    </w:p>
    <w:p>
      <w:pPr>
        <w:keepNext/>
        <w:keepLines/>
        <w:spacing w:after="40"/>
        <w:ind w:left="369" w:hanging="198"/>
      </w:pPr>
      <w:r>
        <w:rPr>
          <w:rFonts w:ascii="Arial" w:hAnsi="Arial" w:cs="Arial"/>
          <w:b w:val="0"/>
          <w:sz w:val="21"/>
        </w:rPr>
        <w:t>A) Conoce cuestiones prejudiciales exclusivamente comprendidas en una o varias de seis áreas técnicas fijadas por el Estatuto.</w:t>
      </w:r>
    </w:p>
    <w:p>
      <w:pPr>
        <w:keepNext/>
        <w:keepLines/>
        <w:spacing w:after="40"/>
        <w:ind w:left="369" w:hanging="198"/>
      </w:pPr>
      <w:r>
        <w:rPr>
          <w:rFonts w:ascii="Arial" w:hAnsi="Arial" w:cs="Arial"/>
          <w:b w:val="0"/>
          <w:sz w:val="21"/>
        </w:rPr>
        <w:t>B) Conoce todas las cuestiones prejudiciales y el Tribunal de Justicia ninguna.</w:t>
      </w:r>
    </w:p>
    <w:p>
      <w:pPr>
        <w:keepNext/>
        <w:keepLines/>
        <w:spacing w:after="40"/>
        <w:ind w:left="369" w:hanging="198"/>
      </w:pPr>
      <w:r>
        <w:rPr>
          <w:rFonts w:ascii="Arial" w:hAnsi="Arial" w:cs="Arial"/>
          <w:b w:val="0"/>
          <w:sz w:val="21"/>
        </w:rPr>
        <w:t>C) Solo resuelve recursos por incumplimiento contra Estados.</w:t>
      </w:r>
    </w:p>
    <w:p>
      <w:pPr>
        <w:keepNext/>
        <w:keepLines/>
        <w:spacing w:after="40"/>
        <w:ind w:left="369" w:hanging="198"/>
      </w:pPr>
      <w:r>
        <w:rPr>
          <w:rFonts w:ascii="Arial" w:hAnsi="Arial" w:cs="Arial"/>
          <w:b w:val="0"/>
          <w:sz w:val="21"/>
        </w:rPr>
        <w:t>D) Ha sustituido a los tribunales nacionales en asuntos de IVA.</w:t>
      </w:r>
    </w:p>
    <w:p>
      <w:pPr>
        <w:pStyle w:val="Question"/>
        <w:keepNext/>
      </w:pPr>
      <w:r>
        <w:rPr>
          <w:rFonts w:ascii="Arial" w:hAnsi="Arial" w:cs="Arial"/>
          <w:sz w:val="22"/>
        </w:rPr>
        <w:t>54. Conforme al ordenamiento vigente a la fecha de corte, el Ministerio de Inclusión, Seguridad Social y Migraciones es competente, entre otras materias, para:</w:t>
      </w:r>
    </w:p>
    <w:p>
      <w:pPr>
        <w:keepNext/>
        <w:keepLines/>
        <w:spacing w:after="40"/>
        <w:ind w:left="369" w:hanging="198"/>
      </w:pPr>
      <w:r>
        <w:rPr>
          <w:rFonts w:ascii="Arial" w:hAnsi="Arial" w:cs="Arial"/>
          <w:b w:val="0"/>
          <w:sz w:val="21"/>
        </w:rPr>
        <w:t>A) Proponer y ejecutar la política en Seguridad Social y clases pasivas y elaborar políticas de migraciones e inclusión.</w:t>
      </w:r>
    </w:p>
    <w:p>
      <w:pPr>
        <w:keepNext/>
        <w:keepLines/>
        <w:spacing w:after="40"/>
        <w:ind w:left="369" w:hanging="198"/>
      </w:pPr>
      <w:r>
        <w:rPr>
          <w:rFonts w:ascii="Arial" w:hAnsi="Arial" w:cs="Arial"/>
          <w:b w:val="0"/>
          <w:sz w:val="21"/>
        </w:rPr>
        <w:t>B) Dirigir la política tributaria y aduanera.</w:t>
      </w:r>
    </w:p>
    <w:p>
      <w:pPr>
        <w:keepNext/>
        <w:keepLines/>
        <w:spacing w:after="40"/>
        <w:ind w:left="369" w:hanging="198"/>
      </w:pPr>
      <w:r>
        <w:rPr>
          <w:rFonts w:ascii="Arial" w:hAnsi="Arial" w:cs="Arial"/>
          <w:b w:val="0"/>
          <w:sz w:val="21"/>
        </w:rPr>
        <w:t>C) Gestionar la política de defensa.</w:t>
      </w:r>
    </w:p>
    <w:p>
      <w:pPr>
        <w:keepNext/>
        <w:keepLines/>
        <w:spacing w:after="40"/>
        <w:ind w:left="369" w:hanging="198"/>
      </w:pPr>
      <w:r>
        <w:rPr>
          <w:rFonts w:ascii="Arial" w:hAnsi="Arial" w:cs="Arial"/>
          <w:b w:val="0"/>
          <w:sz w:val="21"/>
        </w:rPr>
        <w:t>D) Organizar el sistema judicial.</w:t>
      </w:r>
    </w:p>
    <w:p>
      <w:pPr>
        <w:pStyle w:val="Question"/>
        <w:keepNext/>
      </w:pPr>
      <w:r>
        <w:rPr>
          <w:rFonts w:ascii="Arial" w:hAnsi="Arial" w:cs="Arial"/>
          <w:sz w:val="22"/>
        </w:rPr>
        <w:t>55. Sin añadir circunstancias distintas de las indicadas, la suspensión de plazos prevista para zonas gravemente afectadas por emergencias:</w:t>
      </w:r>
    </w:p>
    <w:p>
      <w:pPr>
        <w:keepNext/>
        <w:keepLines/>
        <w:spacing w:after="40"/>
        <w:ind w:left="369" w:hanging="198"/>
      </w:pPr>
      <w:r>
        <w:rPr>
          <w:rFonts w:ascii="Arial" w:hAnsi="Arial" w:cs="Arial"/>
          <w:b w:val="0"/>
          <w:sz w:val="21"/>
        </w:rPr>
        <w:t>A) Puede incluirse en acuerdo del Consejo de Ministros y finaliza por nuevo acuerdo, tras el cual se reanudan los plazos.</w:t>
      </w:r>
    </w:p>
    <w:p>
      <w:pPr>
        <w:keepNext/>
        <w:keepLines/>
        <w:spacing w:after="40"/>
        <w:ind w:left="369" w:hanging="198"/>
      </w:pPr>
      <w:r>
        <w:rPr>
          <w:rFonts w:ascii="Arial" w:hAnsi="Arial" w:cs="Arial"/>
          <w:b w:val="0"/>
          <w:sz w:val="21"/>
        </w:rPr>
        <w:t>B) La declara cualquier alcalde y hace comenzar plazos nuevos.</w:t>
      </w:r>
    </w:p>
    <w:p>
      <w:pPr>
        <w:keepNext/>
        <w:keepLines/>
        <w:spacing w:after="40"/>
        <w:ind w:left="369" w:hanging="198"/>
      </w:pPr>
      <w:r>
        <w:rPr>
          <w:rFonts w:ascii="Arial" w:hAnsi="Arial" w:cs="Arial"/>
          <w:b w:val="0"/>
          <w:sz w:val="21"/>
        </w:rPr>
        <w:t>C) Opera automáticamente ante cualquier lluvia intensa.</w:t>
      </w:r>
    </w:p>
    <w:p>
      <w:pPr>
        <w:keepNext/>
        <w:keepLines/>
        <w:spacing w:after="40"/>
        <w:ind w:left="369" w:hanging="198"/>
      </w:pPr>
      <w:r>
        <w:rPr>
          <w:rFonts w:ascii="Arial" w:hAnsi="Arial" w:cs="Arial"/>
          <w:b w:val="0"/>
          <w:sz w:val="21"/>
        </w:rPr>
        <w:t>D) Solo beneficia a Administraciones, nunca a interesados.</w:t>
      </w:r>
    </w:p>
    <w:p>
      <w:pPr>
        <w:pStyle w:val="Question"/>
        <w:keepNext/>
      </w:pPr>
      <w:r>
        <w:rPr>
          <w:rFonts w:ascii="Arial" w:hAnsi="Arial" w:cs="Arial"/>
          <w:sz w:val="22"/>
        </w:rPr>
        <w:t>56. A efectos de aplicar correctamente la regla examinada, la revisión de oficio de una disposición nula exige:</w:t>
      </w:r>
    </w:p>
    <w:p>
      <w:pPr>
        <w:keepNext/>
        <w:keepLines/>
        <w:spacing w:after="40"/>
        <w:ind w:left="369" w:hanging="198"/>
      </w:pPr>
      <w:r>
        <w:rPr>
          <w:rFonts w:ascii="Arial" w:hAnsi="Arial" w:cs="Arial"/>
          <w:b w:val="0"/>
          <w:sz w:val="21"/>
        </w:rPr>
        <w:t>A) Que se interponga previamente recurso de alzada.</w:t>
      </w:r>
    </w:p>
    <w:p>
      <w:pPr>
        <w:keepNext/>
        <w:keepLines/>
        <w:spacing w:after="40"/>
        <w:ind w:left="369" w:hanging="198"/>
      </w:pPr>
      <w:r>
        <w:rPr>
          <w:rFonts w:ascii="Arial" w:hAnsi="Arial" w:cs="Arial"/>
          <w:b w:val="0"/>
          <w:sz w:val="21"/>
        </w:rPr>
        <w:t>B) Dictamen favorable del Consejo de Estado u órgano consultivo autonómico equivalente.</w:t>
      </w:r>
    </w:p>
    <w:p>
      <w:pPr>
        <w:keepNext/>
        <w:keepLines/>
        <w:spacing w:after="40"/>
        <w:ind w:left="369" w:hanging="198"/>
      </w:pPr>
      <w:r>
        <w:rPr>
          <w:rFonts w:ascii="Arial" w:hAnsi="Arial" w:cs="Arial"/>
          <w:b w:val="0"/>
          <w:sz w:val="21"/>
        </w:rPr>
        <w:t>C) Un plazo máximo de cuatro años.</w:t>
      </w:r>
    </w:p>
    <w:p>
      <w:pPr>
        <w:keepNext/>
        <w:keepLines/>
        <w:spacing w:after="40"/>
        <w:ind w:left="369" w:hanging="198"/>
      </w:pPr>
      <w:r>
        <w:rPr>
          <w:rFonts w:ascii="Arial" w:hAnsi="Arial" w:cs="Arial"/>
          <w:b w:val="0"/>
          <w:sz w:val="21"/>
        </w:rPr>
        <w:t>D) Aprobación del Congreso.</w:t>
      </w:r>
    </w:p>
    <w:p>
      <w:pPr>
        <w:pStyle w:val="Question"/>
        <w:keepNext/>
      </w:pPr>
      <w:r>
        <w:rPr>
          <w:rFonts w:ascii="Arial" w:hAnsi="Arial" w:cs="Arial"/>
          <w:sz w:val="22"/>
        </w:rPr>
        <w:t>57. Conforme al ordenamiento vigente a la fecha de corte, ¿Quién puede ser elegido Presidente del Tribunal Supremo y del CGPJ?</w:t>
      </w:r>
    </w:p>
    <w:p>
      <w:pPr>
        <w:keepNext/>
        <w:keepLines/>
        <w:spacing w:after="40"/>
        <w:ind w:left="369" w:hanging="198"/>
      </w:pPr>
      <w:r>
        <w:rPr>
          <w:rFonts w:ascii="Arial" w:hAnsi="Arial" w:cs="Arial"/>
          <w:b w:val="0"/>
          <w:sz w:val="21"/>
        </w:rPr>
        <w:t>A) Únicamente un vocal del turno judicial.</w:t>
      </w:r>
    </w:p>
    <w:p>
      <w:pPr>
        <w:keepNext/>
        <w:keepLines/>
        <w:spacing w:after="40"/>
        <w:ind w:left="369" w:hanging="198"/>
      </w:pPr>
      <w:r>
        <w:rPr>
          <w:rFonts w:ascii="Arial" w:hAnsi="Arial" w:cs="Arial"/>
          <w:b w:val="0"/>
          <w:sz w:val="21"/>
        </w:rPr>
        <w:t>B) Un magistrado del Tribunal Supremo con los requisitos legales o un jurista de reconocida competencia con más de veinticinco años de ejercicio.</w:t>
      </w:r>
    </w:p>
    <w:p>
      <w:pPr>
        <w:keepNext/>
        <w:keepLines/>
        <w:spacing w:after="40"/>
        <w:ind w:left="369" w:hanging="198"/>
      </w:pPr>
      <w:r>
        <w:rPr>
          <w:rFonts w:ascii="Arial" w:hAnsi="Arial" w:cs="Arial"/>
          <w:b w:val="0"/>
          <w:sz w:val="21"/>
        </w:rPr>
        <w:t>C) Cualquier abogado con quince años de ejercicio.</w:t>
      </w:r>
    </w:p>
    <w:p>
      <w:pPr>
        <w:keepNext/>
        <w:keepLines/>
        <w:spacing w:after="40"/>
        <w:ind w:left="369" w:hanging="198"/>
      </w:pPr>
      <w:r>
        <w:rPr>
          <w:rFonts w:ascii="Arial" w:hAnsi="Arial" w:cs="Arial"/>
          <w:b w:val="0"/>
          <w:sz w:val="21"/>
        </w:rPr>
        <w:t>D) El Ministro de Justicia saliente.</w:t>
      </w:r>
    </w:p>
    <w:p>
      <w:pPr>
        <w:pStyle w:val="Question"/>
        <w:keepNext/>
      </w:pPr>
      <w:r>
        <w:rPr>
          <w:rFonts w:ascii="Arial" w:hAnsi="Arial" w:cs="Arial"/>
          <w:sz w:val="22"/>
        </w:rPr>
        <w:t>58. A efectos de aplicar correctamente la regla examinada, el plazo máximo general para solicitar la suscripción del convenio especial es:</w:t>
      </w:r>
    </w:p>
    <w:p>
      <w:pPr>
        <w:keepNext/>
        <w:keepLines/>
        <w:spacing w:after="40"/>
        <w:ind w:left="369" w:hanging="198"/>
      </w:pPr>
      <w:r>
        <w:rPr>
          <w:rFonts w:ascii="Arial" w:hAnsi="Arial" w:cs="Arial"/>
          <w:b w:val="0"/>
          <w:sz w:val="21"/>
        </w:rPr>
        <w:t>A) Treinta días hábiles.</w:t>
      </w:r>
    </w:p>
    <w:p>
      <w:pPr>
        <w:keepNext/>
        <w:keepLines/>
        <w:spacing w:after="40"/>
        <w:ind w:left="369" w:hanging="198"/>
      </w:pPr>
      <w:r>
        <w:rPr>
          <w:rFonts w:ascii="Arial" w:hAnsi="Arial" w:cs="Arial"/>
          <w:b w:val="0"/>
          <w:sz w:val="21"/>
        </w:rPr>
        <w:t>B) Tres años desde la última cotización.</w:t>
      </w:r>
    </w:p>
    <w:p>
      <w:pPr>
        <w:keepNext/>
        <w:keepLines/>
        <w:spacing w:after="40"/>
        <w:ind w:left="369" w:hanging="198"/>
      </w:pPr>
      <w:r>
        <w:rPr>
          <w:rFonts w:ascii="Arial" w:hAnsi="Arial" w:cs="Arial"/>
          <w:b w:val="0"/>
          <w:sz w:val="21"/>
        </w:rPr>
        <w:t>C) Un año desde el hecho causante previsto en la norma.</w:t>
      </w:r>
    </w:p>
    <w:p>
      <w:pPr>
        <w:keepNext/>
        <w:keepLines/>
        <w:spacing w:after="40"/>
        <w:ind w:left="369" w:hanging="198"/>
      </w:pPr>
      <w:r>
        <w:rPr>
          <w:rFonts w:ascii="Arial" w:hAnsi="Arial" w:cs="Arial"/>
          <w:b w:val="0"/>
          <w:sz w:val="21"/>
        </w:rPr>
        <w:t>D) No existe plazo alguno.</w:t>
      </w:r>
    </w:p>
    <w:p>
      <w:pPr>
        <w:pStyle w:val="Question"/>
        <w:keepNext/>
      </w:pPr>
      <w:r>
        <w:rPr>
          <w:rFonts w:ascii="Arial" w:hAnsi="Arial" w:cs="Arial"/>
          <w:sz w:val="22"/>
        </w:rPr>
        <w:t>59. A efectos de aplicar correctamente la regla examinada, la situación de violencia de género puede acreditarse:</w:t>
      </w:r>
    </w:p>
    <w:p>
      <w:pPr>
        <w:keepNext/>
        <w:keepLines/>
        <w:spacing w:after="40"/>
        <w:ind w:left="369" w:hanging="198"/>
      </w:pPr>
      <w:r>
        <w:rPr>
          <w:rFonts w:ascii="Arial" w:hAnsi="Arial" w:cs="Arial"/>
          <w:b w:val="0"/>
          <w:sz w:val="21"/>
        </w:rPr>
        <w:t>A) Solo por sentencia condenatoria firme.</w:t>
      </w:r>
    </w:p>
    <w:p>
      <w:pPr>
        <w:keepNext/>
        <w:keepLines/>
        <w:spacing w:after="40"/>
        <w:ind w:left="369" w:hanging="198"/>
      </w:pPr>
      <w:r>
        <w:rPr>
          <w:rFonts w:ascii="Arial" w:hAnsi="Arial" w:cs="Arial"/>
          <w:b w:val="0"/>
          <w:sz w:val="21"/>
        </w:rPr>
        <w:t>B) También mediante informe del Ministerio Fiscal sobre indicios o informes de servicios habilitados, entre otros títulos.</w:t>
      </w:r>
    </w:p>
    <w:p>
      <w:pPr>
        <w:keepNext/>
        <w:keepLines/>
        <w:spacing w:after="40"/>
        <w:ind w:left="369" w:hanging="198"/>
      </w:pPr>
      <w:r>
        <w:rPr>
          <w:rFonts w:ascii="Arial" w:hAnsi="Arial" w:cs="Arial"/>
          <w:b w:val="0"/>
          <w:sz w:val="21"/>
        </w:rPr>
        <w:t>C) Únicamente mediante orden de protección.</w:t>
      </w:r>
    </w:p>
    <w:p>
      <w:pPr>
        <w:keepNext/>
        <w:keepLines/>
        <w:spacing w:after="40"/>
        <w:ind w:left="369" w:hanging="198"/>
      </w:pPr>
      <w:r>
        <w:rPr>
          <w:rFonts w:ascii="Arial" w:hAnsi="Arial" w:cs="Arial"/>
          <w:b w:val="0"/>
          <w:sz w:val="21"/>
        </w:rPr>
        <w:t>D) Solo mediante declaración de la interesada.</w:t>
      </w:r>
    </w:p>
    <w:p>
      <w:pPr>
        <w:pStyle w:val="Question"/>
        <w:keepNext/>
      </w:pPr>
      <w:r>
        <w:rPr>
          <w:rFonts w:ascii="Arial" w:hAnsi="Arial" w:cs="Arial"/>
          <w:sz w:val="22"/>
        </w:rPr>
        <w:t>60. En una comprobación jurídica del expediente, ¿Cuál de estos ceses puede integrar, si concurren los demás requisitos, el acceso a la jubilación anticipada involuntaria?</w:t>
      </w:r>
    </w:p>
    <w:p>
      <w:pPr>
        <w:keepNext/>
        <w:keepLines/>
        <w:spacing w:after="40"/>
        <w:ind w:left="369" w:hanging="198"/>
      </w:pPr>
      <w:r>
        <w:rPr>
          <w:rFonts w:ascii="Arial" w:hAnsi="Arial" w:cs="Arial"/>
          <w:b w:val="0"/>
          <w:sz w:val="21"/>
        </w:rPr>
        <w:t>A) La dimisión libre sin causa adicional.</w:t>
      </w:r>
    </w:p>
    <w:p>
      <w:pPr>
        <w:keepNext/>
        <w:keepLines/>
        <w:spacing w:after="40"/>
        <w:ind w:left="369" w:hanging="198"/>
      </w:pPr>
      <w:r>
        <w:rPr>
          <w:rFonts w:ascii="Arial" w:hAnsi="Arial" w:cs="Arial"/>
          <w:b w:val="0"/>
          <w:sz w:val="21"/>
        </w:rPr>
        <w:t>B) La extinción por despido colectivo fundada en causas económicas, técnicas, organizativas o de producción.</w:t>
      </w:r>
    </w:p>
    <w:p>
      <w:pPr>
        <w:keepNext/>
        <w:keepLines/>
        <w:spacing w:after="40"/>
        <w:ind w:left="369" w:hanging="198"/>
      </w:pPr>
      <w:r>
        <w:rPr>
          <w:rFonts w:ascii="Arial" w:hAnsi="Arial" w:cs="Arial"/>
          <w:b w:val="0"/>
          <w:sz w:val="21"/>
        </w:rPr>
        <w:t>C) El abandono del puesto sin comunicación.</w:t>
      </w:r>
    </w:p>
    <w:p>
      <w:pPr>
        <w:keepNext/>
        <w:keepLines/>
        <w:spacing w:after="40"/>
        <w:ind w:left="369" w:hanging="198"/>
      </w:pPr>
      <w:r>
        <w:rPr>
          <w:rFonts w:ascii="Arial" w:hAnsi="Arial" w:cs="Arial"/>
          <w:b w:val="0"/>
          <w:sz w:val="21"/>
        </w:rPr>
        <w:t>D) La finalización voluntaria de una excedencia.</w:t>
      </w:r>
    </w:p>
    <w:p>
      <w:pPr>
        <w:pStyle w:val="Question"/>
        <w:keepNext/>
      </w:pPr>
      <w:r>
        <w:rPr>
          <w:rFonts w:ascii="Arial" w:hAnsi="Arial" w:cs="Arial"/>
          <w:sz w:val="22"/>
        </w:rPr>
        <w:t>61. Conforme al ordenamiento vigente a la fecha de corte, si al resolver un recurso han de tenerse en cuenta hechos o documentos nuevos no recogidos en el expediente originario:</w:t>
      </w:r>
    </w:p>
    <w:p>
      <w:pPr>
        <w:keepNext/>
        <w:keepLines/>
        <w:spacing w:after="40"/>
        <w:ind w:left="369" w:hanging="198"/>
      </w:pPr>
      <w:r>
        <w:rPr>
          <w:rFonts w:ascii="Arial" w:hAnsi="Arial" w:cs="Arial"/>
          <w:b w:val="0"/>
          <w:sz w:val="21"/>
        </w:rPr>
        <w:t>A) Debe archivarse el recurso.</w:t>
      </w:r>
    </w:p>
    <w:p>
      <w:pPr>
        <w:keepNext/>
        <w:keepLines/>
        <w:spacing w:after="40"/>
        <w:ind w:left="369" w:hanging="198"/>
      </w:pPr>
      <w:r>
        <w:rPr>
          <w:rFonts w:ascii="Arial" w:hAnsi="Arial" w:cs="Arial"/>
          <w:b w:val="0"/>
          <w:sz w:val="21"/>
        </w:rPr>
        <w:t>B) Basta con comunicarlos después de resolver.</w:t>
      </w:r>
    </w:p>
    <w:p>
      <w:pPr>
        <w:keepNext/>
        <w:keepLines/>
        <w:spacing w:after="40"/>
        <w:ind w:left="369" w:hanging="198"/>
      </w:pPr>
      <w:r>
        <w:rPr>
          <w:rFonts w:ascii="Arial" w:hAnsi="Arial" w:cs="Arial"/>
          <w:b w:val="0"/>
          <w:sz w:val="21"/>
        </w:rPr>
        <w:t>C) Se abre obligatoriamente un período de prueba de treinta días.</w:t>
      </w:r>
    </w:p>
    <w:p>
      <w:pPr>
        <w:keepNext/>
        <w:keepLines/>
        <w:spacing w:after="40"/>
        <w:ind w:left="369" w:hanging="198"/>
      </w:pPr>
      <w:r>
        <w:rPr>
          <w:rFonts w:ascii="Arial" w:hAnsi="Arial" w:cs="Arial"/>
          <w:b w:val="0"/>
          <w:sz w:val="21"/>
        </w:rPr>
        <w:t>D) Se pondrán de manifiesto a los interesados para que aleguen y presenten documentos entre diez y quince días.</w:t>
      </w:r>
    </w:p>
    <w:p>
      <w:pPr>
        <w:pStyle w:val="Question"/>
        <w:keepNext/>
      </w:pPr>
      <w:r>
        <w:rPr>
          <w:rFonts w:ascii="Arial" w:hAnsi="Arial" w:cs="Arial"/>
          <w:sz w:val="22"/>
        </w:rPr>
        <w:t>62. A efectos de aplicar correctamente la regla examinada, ¿Cuál es la clasificación correcta de una consulta sobre requisitos generales y otra sobre el informe incorporado a un expediente propio?</w:t>
      </w:r>
    </w:p>
    <w:p>
      <w:pPr>
        <w:keepNext/>
        <w:keepLines/>
        <w:spacing w:after="40"/>
        <w:ind w:left="369" w:hanging="198"/>
      </w:pPr>
      <w:r>
        <w:rPr>
          <w:rFonts w:ascii="Arial" w:hAnsi="Arial" w:cs="Arial"/>
          <w:b w:val="0"/>
          <w:sz w:val="21"/>
        </w:rPr>
        <w:t>A) Ambas son información particular.</w:t>
      </w:r>
    </w:p>
    <w:p>
      <w:pPr>
        <w:keepNext/>
        <w:keepLines/>
        <w:spacing w:after="40"/>
        <w:ind w:left="369" w:hanging="198"/>
      </w:pPr>
      <w:r>
        <w:rPr>
          <w:rFonts w:ascii="Arial" w:hAnsi="Arial" w:cs="Arial"/>
          <w:b w:val="0"/>
          <w:sz w:val="21"/>
        </w:rPr>
        <w:t>B) La primera es petición y la segunda sugerencia.</w:t>
      </w:r>
    </w:p>
    <w:p>
      <w:pPr>
        <w:keepNext/>
        <w:keepLines/>
        <w:spacing w:after="40"/>
        <w:ind w:left="369" w:hanging="198"/>
      </w:pPr>
      <w:r>
        <w:rPr>
          <w:rFonts w:ascii="Arial" w:hAnsi="Arial" w:cs="Arial"/>
          <w:b w:val="0"/>
          <w:sz w:val="21"/>
        </w:rPr>
        <w:t>C) Ambas son solicitudes de transparencia necesariamente.</w:t>
      </w:r>
    </w:p>
    <w:p>
      <w:pPr>
        <w:keepNext/>
        <w:keepLines/>
        <w:spacing w:after="40"/>
        <w:ind w:left="369" w:hanging="198"/>
      </w:pPr>
      <w:r>
        <w:rPr>
          <w:rFonts w:ascii="Arial" w:hAnsi="Arial" w:cs="Arial"/>
          <w:b w:val="0"/>
          <w:sz w:val="21"/>
        </w:rPr>
        <w:t>D) La primera es general; la segunda es particular y exige condición de interesado o representación.</w:t>
      </w:r>
    </w:p>
    <w:p>
      <w:pPr>
        <w:pStyle w:val="Question"/>
        <w:keepNext/>
      </w:pPr>
      <w:r>
        <w:rPr>
          <w:rFonts w:ascii="Arial" w:hAnsi="Arial" w:cs="Arial"/>
          <w:sz w:val="22"/>
        </w:rPr>
        <w:t>63. A efectos de aplicar correctamente la regla examinada, cuando una violación de seguridad probablemente entraña riesgo, el responsable debe notificarla a la autoridad:</w:t>
      </w:r>
    </w:p>
    <w:p>
      <w:pPr>
        <w:keepNext/>
        <w:keepLines/>
        <w:spacing w:after="40"/>
        <w:ind w:left="369" w:hanging="198"/>
      </w:pPr>
      <w:r>
        <w:rPr>
          <w:rFonts w:ascii="Arial" w:hAnsi="Arial" w:cs="Arial"/>
          <w:b w:val="0"/>
          <w:sz w:val="21"/>
        </w:rPr>
        <w:t>A) Siempre en un mes.</w:t>
      </w:r>
    </w:p>
    <w:p>
      <w:pPr>
        <w:keepNext/>
        <w:keepLines/>
        <w:spacing w:after="40"/>
        <w:ind w:left="369" w:hanging="198"/>
      </w:pPr>
      <w:r>
        <w:rPr>
          <w:rFonts w:ascii="Arial" w:hAnsi="Arial" w:cs="Arial"/>
          <w:b w:val="0"/>
          <w:sz w:val="21"/>
        </w:rPr>
        <w:t>B) Sin dilación indebida y, de ser posible, dentro de 72 horas desde que tenga constancia.</w:t>
      </w:r>
    </w:p>
    <w:p>
      <w:pPr>
        <w:keepNext/>
        <w:keepLines/>
        <w:spacing w:after="40"/>
        <w:ind w:left="369" w:hanging="198"/>
      </w:pPr>
      <w:r>
        <w:rPr>
          <w:rFonts w:ascii="Arial" w:hAnsi="Arial" w:cs="Arial"/>
          <w:b w:val="0"/>
          <w:sz w:val="21"/>
        </w:rPr>
        <w:t>C) Solo al terminar su investigación interna.</w:t>
      </w:r>
    </w:p>
    <w:p>
      <w:pPr>
        <w:keepNext/>
        <w:keepLines/>
        <w:spacing w:after="40"/>
        <w:ind w:left="369" w:hanging="198"/>
      </w:pPr>
      <w:r>
        <w:rPr>
          <w:rFonts w:ascii="Arial" w:hAnsi="Arial" w:cs="Arial"/>
          <w:b w:val="0"/>
          <w:sz w:val="21"/>
        </w:rPr>
        <w:t>D) Únicamente si lo pide el interesado.</w:t>
      </w:r>
    </w:p>
    <w:p>
      <w:pPr>
        <w:pStyle w:val="Question"/>
        <w:keepNext/>
      </w:pPr>
      <w:r>
        <w:rPr>
          <w:rFonts w:ascii="Arial" w:hAnsi="Arial" w:cs="Arial"/>
          <w:sz w:val="22"/>
        </w:rPr>
        <w:t>64. A efectos de aplicar correctamente la regla examinada, ¿Cuál de estas personas queda fuera del RETA por la actividad descrita?</w:t>
      </w:r>
    </w:p>
    <w:p>
      <w:pPr>
        <w:keepNext/>
        <w:keepLines/>
        <w:spacing w:after="40"/>
        <w:ind w:left="369" w:hanging="198"/>
      </w:pPr>
      <w:r>
        <w:rPr>
          <w:rFonts w:ascii="Arial" w:hAnsi="Arial" w:cs="Arial"/>
          <w:b w:val="0"/>
          <w:sz w:val="21"/>
        </w:rPr>
        <w:t>A) Quien explota habitualmente un comercio individual.</w:t>
      </w:r>
    </w:p>
    <w:p>
      <w:pPr>
        <w:keepNext/>
        <w:keepLines/>
        <w:spacing w:after="40"/>
        <w:ind w:left="369" w:hanging="198"/>
      </w:pPr>
      <w:r>
        <w:rPr>
          <w:rFonts w:ascii="Arial" w:hAnsi="Arial" w:cs="Arial"/>
          <w:b w:val="0"/>
          <w:sz w:val="21"/>
        </w:rPr>
        <w:t>B) El socio cuya actividad se limita a la mera administración del patrimonio social.</w:t>
      </w:r>
    </w:p>
    <w:p>
      <w:pPr>
        <w:keepNext/>
        <w:keepLines/>
        <w:spacing w:after="40"/>
        <w:ind w:left="369" w:hanging="198"/>
      </w:pPr>
      <w:r>
        <w:rPr>
          <w:rFonts w:ascii="Arial" w:hAnsi="Arial" w:cs="Arial"/>
          <w:b w:val="0"/>
          <w:sz w:val="21"/>
        </w:rPr>
        <w:t>C) El familiar que colabora habitualmente con un autónomo y reúne los requisitos legales.</w:t>
      </w:r>
    </w:p>
    <w:p>
      <w:pPr>
        <w:keepNext/>
        <w:keepLines/>
        <w:spacing w:after="40"/>
        <w:ind w:left="369" w:hanging="198"/>
      </w:pPr>
      <w:r>
        <w:rPr>
          <w:rFonts w:ascii="Arial" w:hAnsi="Arial" w:cs="Arial"/>
          <w:b w:val="0"/>
          <w:sz w:val="21"/>
        </w:rPr>
        <w:t>D) El socio que presta servicios y posee el control efectivo de una sociedad de capital.</w:t>
      </w:r>
    </w:p>
    <w:p>
      <w:pPr>
        <w:pStyle w:val="Question"/>
        <w:keepNext/>
      </w:pPr>
      <w:r>
        <w:rPr>
          <w:rFonts w:ascii="Arial" w:hAnsi="Arial" w:cs="Arial"/>
          <w:sz w:val="22"/>
        </w:rPr>
        <w:t>65. A efectos de aplicar correctamente la regla examinada, el recurso de anulación del artículo 263 TFUE permite:</w:t>
      </w:r>
    </w:p>
    <w:p>
      <w:pPr>
        <w:keepNext/>
        <w:keepLines/>
        <w:spacing w:after="40"/>
        <w:ind w:left="369" w:hanging="198"/>
      </w:pPr>
      <w:r>
        <w:rPr>
          <w:rFonts w:ascii="Arial" w:hAnsi="Arial" w:cs="Arial"/>
          <w:b w:val="0"/>
          <w:sz w:val="21"/>
        </w:rPr>
        <w:t>A) Controlar la legalidad de actos de la Unión destinados a producir efectos jurídicos, por los motivos y con la legitimación previstos.</w:t>
      </w:r>
    </w:p>
    <w:p>
      <w:pPr>
        <w:keepNext/>
        <w:keepLines/>
        <w:spacing w:after="40"/>
        <w:ind w:left="369" w:hanging="198"/>
      </w:pPr>
      <w:r>
        <w:rPr>
          <w:rFonts w:ascii="Arial" w:hAnsi="Arial" w:cs="Arial"/>
          <w:b w:val="0"/>
          <w:sz w:val="21"/>
        </w:rPr>
        <w:t>B) Revisar cualquier sentencia nacional como una apelación.</w:t>
      </w:r>
    </w:p>
    <w:p>
      <w:pPr>
        <w:keepNext/>
        <w:keepLines/>
        <w:spacing w:after="40"/>
        <w:ind w:left="369" w:hanging="198"/>
      </w:pPr>
      <w:r>
        <w:rPr>
          <w:rFonts w:ascii="Arial" w:hAnsi="Arial" w:cs="Arial"/>
          <w:b w:val="0"/>
          <w:sz w:val="21"/>
        </w:rPr>
        <w:t>C) Sancionar penalmente a un comisario.</w:t>
      </w:r>
    </w:p>
    <w:p>
      <w:pPr>
        <w:keepNext/>
        <w:keepLines/>
        <w:spacing w:after="40"/>
        <w:ind w:left="369" w:hanging="198"/>
      </w:pPr>
      <w:r>
        <w:rPr>
          <w:rFonts w:ascii="Arial" w:hAnsi="Arial" w:cs="Arial"/>
          <w:b w:val="0"/>
          <w:sz w:val="21"/>
        </w:rPr>
        <w:t>D) Reformar los Tratados mediante sentencia.</w:t>
      </w:r>
    </w:p>
    <w:p>
      <w:pPr>
        <w:pStyle w:val="Question"/>
        <w:keepNext/>
      </w:pPr>
      <w:r>
        <w:rPr>
          <w:rFonts w:ascii="Arial" w:hAnsi="Arial" w:cs="Arial"/>
          <w:sz w:val="22"/>
        </w:rPr>
        <w:t>66. En una comprobación jurídica del expediente, las unidades que no tienen la consideración de órgano se crean, modifican y suprimen:</w:t>
      </w:r>
    </w:p>
    <w:p>
      <w:pPr>
        <w:keepNext/>
        <w:keepLines/>
        <w:spacing w:after="40"/>
        <w:ind w:left="369" w:hanging="198"/>
      </w:pPr>
      <w:r>
        <w:rPr>
          <w:rFonts w:ascii="Arial" w:hAnsi="Arial" w:cs="Arial"/>
          <w:b w:val="0"/>
          <w:sz w:val="21"/>
        </w:rPr>
        <w:t>A) Por real decreto del presidente.</w:t>
      </w:r>
    </w:p>
    <w:p>
      <w:pPr>
        <w:keepNext/>
        <w:keepLines/>
        <w:spacing w:after="40"/>
        <w:ind w:left="369" w:hanging="198"/>
      </w:pPr>
      <w:r>
        <w:rPr>
          <w:rFonts w:ascii="Arial" w:hAnsi="Arial" w:cs="Arial"/>
          <w:b w:val="0"/>
          <w:sz w:val="21"/>
        </w:rPr>
        <w:t>B) Por acuerdo del Consejo de Ministros.</w:t>
      </w:r>
    </w:p>
    <w:p>
      <w:pPr>
        <w:keepNext/>
        <w:keepLines/>
        <w:spacing w:after="40"/>
        <w:ind w:left="369" w:hanging="198"/>
      </w:pPr>
      <w:r>
        <w:rPr>
          <w:rFonts w:ascii="Arial" w:hAnsi="Arial" w:cs="Arial"/>
          <w:b w:val="0"/>
          <w:sz w:val="21"/>
        </w:rPr>
        <w:t>C) Por orden ministerial sin más trámite.</w:t>
      </w:r>
    </w:p>
    <w:p>
      <w:pPr>
        <w:keepNext/>
        <w:keepLines/>
        <w:spacing w:after="40"/>
        <w:ind w:left="369" w:hanging="198"/>
      </w:pPr>
      <w:r>
        <w:rPr>
          <w:rFonts w:ascii="Arial" w:hAnsi="Arial" w:cs="Arial"/>
          <w:b w:val="0"/>
          <w:sz w:val="21"/>
        </w:rPr>
        <w:t>D) A través de las relaciones de puestos de trabajo.</w:t>
      </w:r>
    </w:p>
    <w:p>
      <w:pPr>
        <w:pStyle w:val="Question"/>
        <w:keepNext/>
      </w:pPr>
      <w:r>
        <w:rPr>
          <w:rFonts w:ascii="Arial" w:hAnsi="Arial" w:cs="Arial"/>
          <w:sz w:val="22"/>
        </w:rPr>
        <w:t>67. En una comprobación jurídica del expediente, ¿Qué enumeración reproduce correctamente los grupos que el artículo 10.2 TRLGSS contempla para regímenes especiales?</w:t>
      </w:r>
    </w:p>
    <w:p>
      <w:pPr>
        <w:keepNext/>
        <w:keepLines/>
        <w:spacing w:after="40"/>
        <w:ind w:left="369" w:hanging="198"/>
      </w:pPr>
      <w:r>
        <w:rPr>
          <w:rFonts w:ascii="Arial" w:hAnsi="Arial" w:cs="Arial"/>
          <w:b w:val="0"/>
          <w:sz w:val="21"/>
        </w:rPr>
        <w:t>A) Autónomos, empleados de hogar, funcionarios locales y desempleados.</w:t>
      </w:r>
    </w:p>
    <w:p>
      <w:pPr>
        <w:keepNext/>
        <w:keepLines/>
        <w:spacing w:after="40"/>
        <w:ind w:left="369" w:hanging="198"/>
      </w:pPr>
      <w:r>
        <w:rPr>
          <w:rFonts w:ascii="Arial" w:hAnsi="Arial" w:cs="Arial"/>
          <w:b w:val="0"/>
          <w:sz w:val="21"/>
        </w:rPr>
        <w:t>B) Autónomos; trabajadores del mar; funcionarios públicos, civiles y militares; estudiantes; y los demás grupos que determine el ministerio competente por resultar necesario.</w:t>
      </w:r>
    </w:p>
    <w:p>
      <w:pPr>
        <w:keepNext/>
        <w:keepLines/>
        <w:spacing w:after="40"/>
        <w:ind w:left="369" w:hanging="198"/>
      </w:pPr>
      <w:r>
        <w:rPr>
          <w:rFonts w:ascii="Arial" w:hAnsi="Arial" w:cs="Arial"/>
          <w:b w:val="0"/>
          <w:sz w:val="21"/>
        </w:rPr>
        <w:t>C) Trabajadores del mar, personal sanitario, pensionistas y estudiantes.</w:t>
      </w:r>
    </w:p>
    <w:p>
      <w:pPr>
        <w:keepNext/>
        <w:keepLines/>
        <w:spacing w:after="40"/>
        <w:ind w:left="369" w:hanging="198"/>
      </w:pPr>
      <w:r>
        <w:rPr>
          <w:rFonts w:ascii="Arial" w:hAnsi="Arial" w:cs="Arial"/>
          <w:b w:val="0"/>
          <w:sz w:val="21"/>
        </w:rPr>
        <w:t>D) Autónomos, trabajadores agrarios por cuenta ajena, empleados de hogar y minería del carbón.</w:t>
      </w:r>
    </w:p>
    <w:p>
      <w:pPr>
        <w:pStyle w:val="Question"/>
        <w:keepNext/>
      </w:pPr>
      <w:r>
        <w:rPr>
          <w:rFonts w:ascii="Arial" w:hAnsi="Arial" w:cs="Arial"/>
          <w:sz w:val="22"/>
        </w:rPr>
        <w:t>68. De acuerdo con la regulación aplicable, el derecho a solicitar la devolución de ingresos indebidos prescribe, con carácter general:</w:t>
      </w:r>
    </w:p>
    <w:p>
      <w:pPr>
        <w:keepNext/>
        <w:keepLines/>
        <w:spacing w:after="40"/>
        <w:ind w:left="369" w:hanging="198"/>
      </w:pPr>
      <w:r>
        <w:rPr>
          <w:rFonts w:ascii="Arial" w:hAnsi="Arial" w:cs="Arial"/>
          <w:b w:val="0"/>
          <w:sz w:val="21"/>
        </w:rPr>
        <w:t>A) A los cuatro años.</w:t>
      </w:r>
    </w:p>
    <w:p>
      <w:pPr>
        <w:keepNext/>
        <w:keepLines/>
        <w:spacing w:after="40"/>
        <w:ind w:left="369" w:hanging="198"/>
      </w:pPr>
      <w:r>
        <w:rPr>
          <w:rFonts w:ascii="Arial" w:hAnsi="Arial" w:cs="Arial"/>
          <w:b w:val="0"/>
          <w:sz w:val="21"/>
        </w:rPr>
        <w:t>B) Al año.</w:t>
      </w:r>
    </w:p>
    <w:p>
      <w:pPr>
        <w:keepNext/>
        <w:keepLines/>
        <w:spacing w:after="40"/>
        <w:ind w:left="369" w:hanging="198"/>
      </w:pPr>
      <w:r>
        <w:rPr>
          <w:rFonts w:ascii="Arial" w:hAnsi="Arial" w:cs="Arial"/>
          <w:b w:val="0"/>
          <w:sz w:val="21"/>
        </w:rPr>
        <w:t>C) A los dos años.</w:t>
      </w:r>
    </w:p>
    <w:p>
      <w:pPr>
        <w:keepNext/>
        <w:keepLines/>
        <w:spacing w:after="40"/>
        <w:ind w:left="369" w:hanging="198"/>
      </w:pPr>
      <w:r>
        <w:rPr>
          <w:rFonts w:ascii="Arial" w:hAnsi="Arial" w:cs="Arial"/>
          <w:b w:val="0"/>
          <w:sz w:val="21"/>
        </w:rPr>
        <w:t>D) A los diez años.</w:t>
      </w:r>
    </w:p>
    <w:p>
      <w:pPr>
        <w:pStyle w:val="Question"/>
        <w:keepNext/>
      </w:pPr>
      <w:r>
        <w:rPr>
          <w:rFonts w:ascii="Arial" w:hAnsi="Arial" w:cs="Arial"/>
          <w:sz w:val="22"/>
        </w:rPr>
        <w:t>69. Sin añadir circunstancias distintas de las indicadas, la información particular sobre el estado de un procedimiento se facilita:</w:t>
      </w:r>
    </w:p>
    <w:p>
      <w:pPr>
        <w:keepNext/>
        <w:keepLines/>
        <w:spacing w:after="40"/>
        <w:ind w:left="369" w:hanging="198"/>
      </w:pPr>
      <w:r>
        <w:rPr>
          <w:rFonts w:ascii="Arial" w:hAnsi="Arial" w:cs="Arial"/>
          <w:b w:val="0"/>
          <w:sz w:val="21"/>
        </w:rPr>
        <w:t>A) A cualquier persona que conozca el número de expediente.</w:t>
      </w:r>
    </w:p>
    <w:p>
      <w:pPr>
        <w:keepNext/>
        <w:keepLines/>
        <w:spacing w:after="40"/>
        <w:ind w:left="369" w:hanging="198"/>
      </w:pPr>
      <w:r>
        <w:rPr>
          <w:rFonts w:ascii="Arial" w:hAnsi="Arial" w:cs="Arial"/>
          <w:b w:val="0"/>
          <w:sz w:val="21"/>
        </w:rPr>
        <w:t>B) Solo a medios de comunicación.</w:t>
      </w:r>
    </w:p>
    <w:p>
      <w:pPr>
        <w:keepNext/>
        <w:keepLines/>
        <w:spacing w:after="40"/>
        <w:ind w:left="369" w:hanging="198"/>
      </w:pPr>
      <w:r>
        <w:rPr>
          <w:rFonts w:ascii="Arial" w:hAnsi="Arial" w:cs="Arial"/>
          <w:b w:val="0"/>
          <w:sz w:val="21"/>
        </w:rPr>
        <w:t>C) A quienes tengan condición de interesados o a sus representantes.</w:t>
      </w:r>
    </w:p>
    <w:p>
      <w:pPr>
        <w:keepNext/>
        <w:keepLines/>
        <w:spacing w:after="40"/>
        <w:ind w:left="369" w:hanging="198"/>
      </w:pPr>
      <w:r>
        <w:rPr>
          <w:rFonts w:ascii="Arial" w:hAnsi="Arial" w:cs="Arial"/>
          <w:b w:val="0"/>
          <w:sz w:val="21"/>
        </w:rPr>
        <w:t>D) Únicamente al órgano judicial.</w:t>
      </w:r>
    </w:p>
    <w:p>
      <w:pPr>
        <w:pStyle w:val="Question"/>
        <w:keepNext/>
      </w:pPr>
      <w:r>
        <w:rPr>
          <w:rFonts w:ascii="Arial" w:hAnsi="Arial" w:cs="Arial"/>
          <w:sz w:val="22"/>
        </w:rPr>
        <w:t>70. En una comprobación jurídica del expediente, la TGSS descubre que una asociación con trabajadores nunca solicitó inscripción. La inscripción de oficio:</w:t>
      </w:r>
    </w:p>
    <w:p>
      <w:pPr>
        <w:keepNext/>
        <w:keepLines/>
        <w:spacing w:after="40"/>
        <w:ind w:left="369" w:hanging="198"/>
      </w:pPr>
      <w:r>
        <w:rPr>
          <w:rFonts w:ascii="Arial" w:hAnsi="Arial" w:cs="Arial"/>
          <w:b w:val="0"/>
          <w:sz w:val="21"/>
        </w:rPr>
        <w:t>A) Impide reclamar cuotas anteriores.</w:t>
      </w:r>
    </w:p>
    <w:p>
      <w:pPr>
        <w:keepNext/>
        <w:keepLines/>
        <w:spacing w:after="40"/>
        <w:ind w:left="369" w:hanging="198"/>
      </w:pPr>
      <w:r>
        <w:rPr>
          <w:rFonts w:ascii="Arial" w:hAnsi="Arial" w:cs="Arial"/>
          <w:b w:val="0"/>
          <w:sz w:val="21"/>
        </w:rPr>
        <w:t>B) Convierte a los empleados en voluntarios.</w:t>
      </w:r>
    </w:p>
    <w:p>
      <w:pPr>
        <w:keepNext/>
        <w:keepLines/>
        <w:spacing w:after="40"/>
        <w:ind w:left="369" w:hanging="198"/>
      </w:pPr>
      <w:r>
        <w:rPr>
          <w:rFonts w:ascii="Arial" w:hAnsi="Arial" w:cs="Arial"/>
          <w:b w:val="0"/>
          <w:sz w:val="21"/>
        </w:rPr>
        <w:t>C) Regulariza su identificación, pero no elimina la infracción, las cuotas ni las responsabilidades del periodo trabajado.</w:t>
      </w:r>
    </w:p>
    <w:p>
      <w:pPr>
        <w:keepNext/>
        <w:keepLines/>
        <w:spacing w:after="40"/>
        <w:ind w:left="369" w:hanging="198"/>
      </w:pPr>
      <w:r>
        <w:rPr>
          <w:rFonts w:ascii="Arial" w:hAnsi="Arial" w:cs="Arial"/>
          <w:b w:val="0"/>
          <w:sz w:val="21"/>
        </w:rPr>
        <w:t>D) Sustituye automáticamente cada alta individual por un convenio especial.</w:t>
      </w:r>
    </w:p>
    <w:p>
      <w:pPr>
        <w:pStyle w:val="Heading2"/>
      </w:pPr>
      <w:r>
        <w:t>Preguntas de reserva de la primera parte</w:t>
      </w:r>
    </w:p>
    <w:p>
      <w:pPr>
        <w:pStyle w:val="Question"/>
        <w:keepNext/>
      </w:pPr>
      <w:r>
        <w:rPr>
          <w:rFonts w:ascii="Arial" w:hAnsi="Arial" w:cs="Arial"/>
          <w:sz w:val="22"/>
        </w:rPr>
        <w:t>71. A efectos de aplicar correctamente la regla examinada, el Gobierno en funciones:</w:t>
      </w:r>
    </w:p>
    <w:p>
      <w:pPr>
        <w:keepNext/>
        <w:keepLines/>
        <w:spacing w:after="40"/>
        <w:ind w:left="369" w:hanging="198"/>
      </w:pPr>
      <w:r>
        <w:rPr>
          <w:rFonts w:ascii="Arial" w:hAnsi="Arial" w:cs="Arial"/>
          <w:b w:val="0"/>
          <w:sz w:val="21"/>
        </w:rPr>
        <w:t>A) Queda privado de toda competencia ejecutiva.</w:t>
      </w:r>
    </w:p>
    <w:p>
      <w:pPr>
        <w:keepNext/>
        <w:keepLines/>
        <w:spacing w:after="40"/>
        <w:ind w:left="369" w:hanging="198"/>
      </w:pPr>
      <w:r>
        <w:rPr>
          <w:rFonts w:ascii="Arial" w:hAnsi="Arial" w:cs="Arial"/>
          <w:b w:val="0"/>
          <w:sz w:val="21"/>
        </w:rPr>
        <w:t>B) Solo puede actuar si obtiene autorización del Congreso.</w:t>
      </w:r>
    </w:p>
    <w:p>
      <w:pPr>
        <w:keepNext/>
        <w:keepLines/>
        <w:spacing w:after="40"/>
        <w:ind w:left="369" w:hanging="198"/>
      </w:pPr>
      <w:r>
        <w:rPr>
          <w:rFonts w:ascii="Arial" w:hAnsi="Arial" w:cs="Arial"/>
          <w:b w:val="0"/>
          <w:sz w:val="21"/>
        </w:rPr>
        <w:t>C) Se limita al despacho ordinario, salvo urgencia acreditada o interés general expresamente justificado.</w:t>
      </w:r>
    </w:p>
    <w:p>
      <w:pPr>
        <w:keepNext/>
        <w:keepLines/>
        <w:spacing w:after="40"/>
        <w:ind w:left="369" w:hanging="198"/>
      </w:pPr>
      <w:r>
        <w:rPr>
          <w:rFonts w:ascii="Arial" w:hAnsi="Arial" w:cs="Arial"/>
          <w:b w:val="0"/>
          <w:sz w:val="21"/>
        </w:rPr>
        <w:t>D) Puede presentar libremente proyectos de ley, pero no reglamentos.</w:t>
      </w:r>
    </w:p>
    <w:p>
      <w:pPr>
        <w:pStyle w:val="Question"/>
        <w:keepNext/>
      </w:pPr>
      <w:r>
        <w:rPr>
          <w:rFonts w:ascii="Arial" w:hAnsi="Arial" w:cs="Arial"/>
          <w:sz w:val="22"/>
        </w:rPr>
        <w:t>72. Conforme al ordenamiento vigente a la fecha de corte, ¿Qué propuesta de nombramiento de miembros del Tribunal Constitucional exige constitucionalmente mayoría de tres quintos?</w:t>
      </w:r>
    </w:p>
    <w:p>
      <w:pPr>
        <w:keepNext/>
        <w:keepLines/>
        <w:spacing w:after="40"/>
        <w:ind w:left="369" w:hanging="198"/>
      </w:pPr>
      <w:r>
        <w:rPr>
          <w:rFonts w:ascii="Arial" w:hAnsi="Arial" w:cs="Arial"/>
          <w:b w:val="0"/>
          <w:sz w:val="21"/>
        </w:rPr>
        <w:t>A) Las dos propuestas del Gobierno.</w:t>
      </w:r>
    </w:p>
    <w:p>
      <w:pPr>
        <w:keepNext/>
        <w:keepLines/>
        <w:spacing w:after="40"/>
        <w:ind w:left="369" w:hanging="198"/>
      </w:pPr>
      <w:r>
        <w:rPr>
          <w:rFonts w:ascii="Arial" w:hAnsi="Arial" w:cs="Arial"/>
          <w:b w:val="0"/>
          <w:sz w:val="21"/>
        </w:rPr>
        <w:t>B) Las dos propuestas del Consejo General del Poder Judicial, pero no las parlamentarias.</w:t>
      </w:r>
    </w:p>
    <w:p>
      <w:pPr>
        <w:keepNext/>
        <w:keepLines/>
        <w:spacing w:after="40"/>
        <w:ind w:left="369" w:hanging="198"/>
      </w:pPr>
      <w:r>
        <w:rPr>
          <w:rFonts w:ascii="Arial" w:hAnsi="Arial" w:cs="Arial"/>
          <w:b w:val="0"/>
          <w:sz w:val="21"/>
        </w:rPr>
        <w:t>C) Todas las propuestas, incluidas las del Gobierno.</w:t>
      </w:r>
    </w:p>
    <w:p>
      <w:pPr>
        <w:keepNext/>
        <w:keepLines/>
        <w:spacing w:after="40"/>
        <w:ind w:left="369" w:hanging="198"/>
      </w:pPr>
      <w:r>
        <w:rPr>
          <w:rFonts w:ascii="Arial" w:hAnsi="Arial" w:cs="Arial"/>
          <w:b w:val="0"/>
          <w:sz w:val="21"/>
        </w:rPr>
        <w:t>D) Las cuatro propuestas del Congreso y las cuatro del Senado.</w:t>
      </w:r>
    </w:p>
    <w:p>
      <w:pPr>
        <w:pStyle w:val="Question"/>
        <w:keepNext/>
      </w:pPr>
      <w:r>
        <w:rPr>
          <w:rFonts w:ascii="Arial" w:hAnsi="Arial" w:cs="Arial"/>
          <w:sz w:val="22"/>
        </w:rPr>
        <w:t>73. Conforme al ordenamiento vigente a la fecha de corte, el Instituto Social de la Marina es:</w:t>
      </w:r>
    </w:p>
    <w:p>
      <w:pPr>
        <w:keepNext/>
        <w:keepLines/>
        <w:spacing w:after="40"/>
        <w:ind w:left="369" w:hanging="198"/>
      </w:pPr>
      <w:r>
        <w:rPr>
          <w:rFonts w:ascii="Arial" w:hAnsi="Arial" w:cs="Arial"/>
          <w:b w:val="0"/>
          <w:sz w:val="21"/>
        </w:rPr>
        <w:t>A) Entidad gestora del Régimen Especial de Trabajadores del Mar y organismo sectorial.</w:t>
      </w:r>
    </w:p>
    <w:p>
      <w:pPr>
        <w:keepNext/>
        <w:keepLines/>
        <w:spacing w:after="40"/>
        <w:ind w:left="369" w:hanging="198"/>
      </w:pPr>
      <w:r>
        <w:rPr>
          <w:rFonts w:ascii="Arial" w:hAnsi="Arial" w:cs="Arial"/>
          <w:b w:val="0"/>
          <w:sz w:val="21"/>
        </w:rPr>
        <w:t>B) Una mutua privada.</w:t>
      </w:r>
    </w:p>
    <w:p>
      <w:pPr>
        <w:keepNext/>
        <w:keepLines/>
        <w:spacing w:after="40"/>
        <w:ind w:left="369" w:hanging="198"/>
      </w:pPr>
      <w:r>
        <w:rPr>
          <w:rFonts w:ascii="Arial" w:hAnsi="Arial" w:cs="Arial"/>
          <w:b w:val="0"/>
          <w:sz w:val="21"/>
        </w:rPr>
        <w:t>C) Un servicio informático.</w:t>
      </w:r>
    </w:p>
    <w:p>
      <w:pPr>
        <w:keepNext/>
        <w:keepLines/>
        <w:spacing w:after="40"/>
        <w:ind w:left="369" w:hanging="198"/>
      </w:pPr>
      <w:r>
        <w:rPr>
          <w:rFonts w:ascii="Arial" w:hAnsi="Arial" w:cs="Arial"/>
          <w:b w:val="0"/>
          <w:sz w:val="21"/>
        </w:rPr>
        <w:t>D) El órgano de control contable.</w:t>
      </w:r>
    </w:p>
    <w:p>
      <w:r>
        <w:br w:type="page"/>
      </w:r>
    </w:p>
    <w:p>
      <w:pPr>
        <w:pStyle w:val="Heading1"/>
      </w:pPr>
      <w:r>
        <w:t>Segunda parte · supuesto práctico</w:t>
      </w:r>
    </w:p>
    <w:p>
      <w:pPr>
        <w:shd w:fill="EAF2F8"/>
      </w:pPr>
      <w:r>
        <w:t>La unidad conjunta de encuadramiento y prestaciones contrasta datos declarados con la información obrante en el sistema.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unidad competente debe resolver la siguiente cuestión: Una persona con incapacidad no contributiva acredita discapacidad del 76 %, pero no necesita ayuda para actos esenciales de la vida. ¿Procede el complemento por tercera persona?</w:t>
      </w:r>
    </w:p>
    <w:p>
      <w:pPr>
        <w:keepNext/>
        <w:keepLines/>
        <w:spacing w:after="40"/>
        <w:ind w:left="369" w:hanging="198"/>
      </w:pPr>
      <w:r>
        <w:rPr>
          <w:rFonts w:ascii="Arial" w:hAnsi="Arial" w:cs="Arial"/>
          <w:b w:val="0"/>
          <w:sz w:val="21"/>
        </w:rPr>
        <w:t>A) No; además del grado igual o superior al 75 %, debe acreditarse necesidad de asistencia de otra persona.</w:t>
      </w:r>
    </w:p>
    <w:p>
      <w:pPr>
        <w:keepNext/>
        <w:keepLines/>
        <w:spacing w:after="40"/>
        <w:ind w:left="369" w:hanging="198"/>
      </w:pPr>
      <w:r>
        <w:rPr>
          <w:rFonts w:ascii="Arial" w:hAnsi="Arial" w:cs="Arial"/>
          <w:b w:val="0"/>
          <w:sz w:val="21"/>
        </w:rPr>
        <w:t>B) Sí, automáticamente por superar el 75 %.</w:t>
      </w:r>
    </w:p>
    <w:p>
      <w:pPr>
        <w:keepNext/>
        <w:keepLines/>
        <w:spacing w:after="40"/>
        <w:ind w:left="369" w:hanging="198"/>
      </w:pPr>
      <w:r>
        <w:rPr>
          <w:rFonts w:ascii="Arial" w:hAnsi="Arial" w:cs="Arial"/>
          <w:b w:val="0"/>
          <w:sz w:val="21"/>
        </w:rPr>
        <w:t>C) Sí, pero solo durante seis meses.</w:t>
      </w:r>
    </w:p>
    <w:p>
      <w:pPr>
        <w:keepNext/>
        <w:keepLines/>
        <w:spacing w:after="40"/>
        <w:ind w:left="369" w:hanging="198"/>
      </w:pPr>
      <w:r>
        <w:rPr>
          <w:rFonts w:ascii="Arial" w:hAnsi="Arial" w:cs="Arial"/>
          <w:b w:val="0"/>
          <w:sz w:val="21"/>
        </w:rPr>
        <w:t>D) No procede pensión alguna.</w:t>
      </w:r>
    </w:p>
    <w:p>
      <w:pPr>
        <w:pStyle w:val="Question"/>
        <w:keepNext/>
      </w:pPr>
      <w:r>
        <w:rPr>
          <w:rFonts w:ascii="Arial" w:hAnsi="Arial" w:cs="Arial"/>
          <w:sz w:val="22"/>
        </w:rPr>
        <w:t>2. Al comprobar el encuadramiento y sus efectos, autorizada una adjudicación directa tras quedar desierta la segunda subasta, las actuaciones para adjudicar el bien deben realizarse, como regla, dentro de:</w:t>
      </w:r>
    </w:p>
    <w:p>
      <w:pPr>
        <w:keepNext/>
        <w:keepLines/>
        <w:spacing w:after="40"/>
        <w:ind w:left="369" w:hanging="198"/>
      </w:pPr>
      <w:r>
        <w:rPr>
          <w:rFonts w:ascii="Arial" w:hAnsi="Arial" w:cs="Arial"/>
          <w:b w:val="0"/>
          <w:sz w:val="21"/>
        </w:rPr>
        <w:t>A) Veinte días.</w:t>
      </w:r>
    </w:p>
    <w:p>
      <w:pPr>
        <w:keepNext/>
        <w:keepLines/>
        <w:spacing w:after="40"/>
        <w:ind w:left="369" w:hanging="198"/>
      </w:pPr>
      <w:r>
        <w:rPr>
          <w:rFonts w:ascii="Arial" w:hAnsi="Arial" w:cs="Arial"/>
          <w:b w:val="0"/>
          <w:sz w:val="21"/>
        </w:rPr>
        <w:t>B) Seis meses desde la autorización.</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Un año.</w:t>
      </w:r>
    </w:p>
    <w:p>
      <w:pPr>
        <w:pStyle w:val="Question"/>
        <w:keepNext/>
      </w:pPr>
      <w:r>
        <w:rPr>
          <w:rFonts w:ascii="Arial" w:hAnsi="Arial" w:cs="Arial"/>
          <w:sz w:val="22"/>
        </w:rPr>
        <w:t>3. Al comprobar el encuadramiento y sus efectos, el Fondo de Reserva de la Seguridad Social se constituye:</w:t>
      </w:r>
    </w:p>
    <w:p>
      <w:pPr>
        <w:keepNext/>
        <w:keepLines/>
        <w:spacing w:after="40"/>
        <w:ind w:left="369" w:hanging="198"/>
      </w:pPr>
      <w:r>
        <w:rPr>
          <w:rFonts w:ascii="Arial" w:hAnsi="Arial" w:cs="Arial"/>
          <w:b w:val="0"/>
          <w:sz w:val="21"/>
        </w:rPr>
        <w:t>A) En la TGSS para atender necesidades financieras en materia de prestaciones contributivas.</w:t>
      </w:r>
    </w:p>
    <w:p>
      <w:pPr>
        <w:keepNext/>
        <w:keepLines/>
        <w:spacing w:after="40"/>
        <w:ind w:left="369" w:hanging="198"/>
      </w:pPr>
      <w:r>
        <w:rPr>
          <w:rFonts w:ascii="Arial" w:hAnsi="Arial" w:cs="Arial"/>
          <w:b w:val="0"/>
          <w:sz w:val="21"/>
        </w:rPr>
        <w:t>B) En el INSS para financiar cualquier gasto social.</w:t>
      </w:r>
    </w:p>
    <w:p>
      <w:pPr>
        <w:keepNext/>
        <w:keepLines/>
        <w:spacing w:after="40"/>
        <w:ind w:left="369" w:hanging="198"/>
      </w:pPr>
      <w:r>
        <w:rPr>
          <w:rFonts w:ascii="Arial" w:hAnsi="Arial" w:cs="Arial"/>
          <w:b w:val="0"/>
          <w:sz w:val="21"/>
        </w:rPr>
        <w:t>C) En el Banco de España como fondo privado.</w:t>
      </w:r>
    </w:p>
    <w:p>
      <w:pPr>
        <w:keepNext/>
        <w:keepLines/>
        <w:spacing w:after="40"/>
        <w:ind w:left="369" w:hanging="198"/>
      </w:pPr>
      <w:r>
        <w:rPr>
          <w:rFonts w:ascii="Arial" w:hAnsi="Arial" w:cs="Arial"/>
          <w:b w:val="0"/>
          <w:sz w:val="21"/>
        </w:rPr>
        <w:t>D) En cada mutua de forma separada.</w:t>
      </w:r>
    </w:p>
    <w:p>
      <w:pPr>
        <w:pStyle w:val="Question"/>
        <w:keepNext/>
      </w:pPr>
      <w:r>
        <w:rPr>
          <w:rFonts w:ascii="Arial" w:hAnsi="Arial" w:cs="Arial"/>
          <w:sz w:val="22"/>
        </w:rPr>
        <w:t>4. En la tramitación del expediente de Seguridad Social, un trabajador no dado de alta sufre un accidente de trabajo durante la prestación. La solución correcta es:</w:t>
      </w:r>
    </w:p>
    <w:p>
      <w:pPr>
        <w:keepNext/>
        <w:keepLines/>
        <w:spacing w:after="40"/>
        <w:ind w:left="369" w:hanging="198"/>
      </w:pPr>
      <w:r>
        <w:rPr>
          <w:rFonts w:ascii="Arial" w:hAnsi="Arial" w:cs="Arial"/>
          <w:b w:val="0"/>
          <w:sz w:val="21"/>
        </w:rPr>
        <w:t>A) Aplicar el alta de pleno derecho para la protección, sin eliminar la deuda ni la posible responsabilidad empresarial.</w:t>
      </w:r>
    </w:p>
    <w:p>
      <w:pPr>
        <w:keepNext/>
        <w:keepLines/>
        <w:spacing w:after="40"/>
        <w:ind w:left="369" w:hanging="198"/>
      </w:pPr>
      <w:r>
        <w:rPr>
          <w:rFonts w:ascii="Arial" w:hAnsi="Arial" w:cs="Arial"/>
          <w:b w:val="0"/>
          <w:sz w:val="21"/>
        </w:rPr>
        <w:t>B) Negar toda protección porque no existe alta formal.</w:t>
      </w:r>
    </w:p>
    <w:p>
      <w:pPr>
        <w:keepNext/>
        <w:keepLines/>
        <w:spacing w:after="40"/>
        <w:ind w:left="369" w:hanging="198"/>
      </w:pPr>
      <w:r>
        <w:rPr>
          <w:rFonts w:ascii="Arial" w:hAnsi="Arial" w:cs="Arial"/>
          <w:b w:val="0"/>
          <w:sz w:val="21"/>
        </w:rPr>
        <w:t>C) Reconocer la prestación y declarar extinguidas cuotas, recargos y sanciones.</w:t>
      </w:r>
    </w:p>
    <w:p>
      <w:pPr>
        <w:keepNext/>
        <w:keepLines/>
        <w:spacing w:after="40"/>
        <w:ind w:left="369" w:hanging="198"/>
      </w:pPr>
      <w:r>
        <w:rPr>
          <w:rFonts w:ascii="Arial" w:hAnsi="Arial" w:cs="Arial"/>
          <w:b w:val="0"/>
          <w:sz w:val="21"/>
        </w:rPr>
        <w:t>D) Considerar que el INSS cursó retroactivamente el alta empresarial.</w:t>
      </w:r>
    </w:p>
    <w:p>
      <w:pPr>
        <w:pStyle w:val="Question"/>
        <w:keepNext/>
      </w:pPr>
      <w:r>
        <w:rPr>
          <w:rFonts w:ascii="Arial" w:hAnsi="Arial" w:cs="Arial"/>
          <w:sz w:val="22"/>
        </w:rPr>
        <w:t>5. Antes de dictar resolución, debe aplicarse la regla según la cual respecto del trabajo del pensionista, ¿cuál es la regla general?</w:t>
      </w:r>
    </w:p>
    <w:p>
      <w:pPr>
        <w:keepNext/>
        <w:keepLines/>
        <w:spacing w:after="40"/>
        <w:ind w:left="369" w:hanging="198"/>
      </w:pPr>
      <w:r>
        <w:rPr>
          <w:rFonts w:ascii="Arial" w:hAnsi="Arial" w:cs="Arial"/>
          <w:b w:val="0"/>
          <w:sz w:val="21"/>
        </w:rPr>
        <w:t>A) La compatibilidad plena sin obligación de comunicar.</w:t>
      </w:r>
    </w:p>
    <w:p>
      <w:pPr>
        <w:keepNext/>
        <w:keepLines/>
        <w:spacing w:after="40"/>
        <w:ind w:left="369" w:hanging="198"/>
      </w:pPr>
      <w:r>
        <w:rPr>
          <w:rFonts w:ascii="Arial" w:hAnsi="Arial" w:cs="Arial"/>
          <w:b w:val="0"/>
          <w:sz w:val="21"/>
        </w:rPr>
        <w:t>B) La extinción automática de la pensión por cualquier actividad.</w:t>
      </w:r>
    </w:p>
    <w:p>
      <w:pPr>
        <w:keepNext/>
        <w:keepLines/>
        <w:spacing w:after="40"/>
        <w:ind w:left="369" w:hanging="198"/>
      </w:pPr>
      <w:r>
        <w:rPr>
          <w:rFonts w:ascii="Arial" w:hAnsi="Arial" w:cs="Arial"/>
          <w:b w:val="0"/>
          <w:sz w:val="21"/>
        </w:rPr>
        <w:t>C) La compatibilidad solo cuando el trabajo sea por cuenta ajena.</w:t>
      </w:r>
    </w:p>
    <w:p>
      <w:pPr>
        <w:keepNext/>
        <w:keepLines/>
        <w:spacing w:after="40"/>
        <w:ind w:left="369" w:hanging="198"/>
      </w:pPr>
      <w:r>
        <w:rPr>
          <w:rFonts w:ascii="Arial" w:hAnsi="Arial" w:cs="Arial"/>
          <w:b w:val="0"/>
          <w:sz w:val="21"/>
        </w:rPr>
        <w:t>D) La incompatibilidad, sin perjuicio de las excepciones expresamente previstas.</w:t>
      </w:r>
    </w:p>
    <w:p>
      <w:pPr>
        <w:pStyle w:val="Question"/>
        <w:keepNext/>
      </w:pPr>
      <w:r>
        <w:rPr>
          <w:rFonts w:ascii="Arial" w:hAnsi="Arial" w:cs="Arial"/>
          <w:sz w:val="22"/>
        </w:rPr>
        <w:t>6. En la tramitación del expediente de Seguridad Social, en liquidación directa, si la empresa omite a un trabajador que prestó servicios:</w:t>
      </w:r>
    </w:p>
    <w:p>
      <w:pPr>
        <w:keepNext/>
        <w:keepLines/>
        <w:spacing w:after="40"/>
        <w:ind w:left="369" w:hanging="198"/>
      </w:pPr>
      <w:r>
        <w:rPr>
          <w:rFonts w:ascii="Arial" w:hAnsi="Arial" w:cs="Arial"/>
          <w:b w:val="0"/>
          <w:sz w:val="21"/>
        </w:rPr>
        <w:t>A) La omisión extingue la obligación de cotizar.</w:t>
      </w:r>
    </w:p>
    <w:p>
      <w:pPr>
        <w:keepNext/>
        <w:keepLines/>
        <w:spacing w:after="40"/>
        <w:ind w:left="369" w:hanging="198"/>
      </w:pPr>
      <w:r>
        <w:rPr>
          <w:rFonts w:ascii="Arial" w:hAnsi="Arial" w:cs="Arial"/>
          <w:b w:val="0"/>
          <w:sz w:val="21"/>
        </w:rPr>
        <w:t>B) La liquidación ordinaria no impide reclamar después las cuotas omitidas.</w:t>
      </w:r>
    </w:p>
    <w:p>
      <w:pPr>
        <w:keepNext/>
        <w:keepLines/>
        <w:spacing w:after="40"/>
        <w:ind w:left="369" w:hanging="198"/>
      </w:pPr>
      <w:r>
        <w:rPr>
          <w:rFonts w:ascii="Arial" w:hAnsi="Arial" w:cs="Arial"/>
          <w:b w:val="0"/>
          <w:sz w:val="21"/>
        </w:rPr>
        <w:t>C) La TGSS debe incluirlo sin necesidad de alta ni comprobación.</w:t>
      </w:r>
    </w:p>
    <w:p>
      <w:pPr>
        <w:keepNext/>
        <w:keepLines/>
        <w:spacing w:after="40"/>
        <w:ind w:left="369" w:hanging="198"/>
      </w:pPr>
      <w:r>
        <w:rPr>
          <w:rFonts w:ascii="Arial" w:hAnsi="Arial" w:cs="Arial"/>
          <w:b w:val="0"/>
          <w:sz w:val="21"/>
        </w:rPr>
        <w:t>D) La deuda se convierte en prestación indebida.</w:t>
      </w:r>
    </w:p>
    <w:p>
      <w:pPr>
        <w:pStyle w:val="Question"/>
        <w:keepNext/>
      </w:pPr>
      <w:r>
        <w:rPr>
          <w:rFonts w:ascii="Arial" w:hAnsi="Arial" w:cs="Arial"/>
          <w:sz w:val="22"/>
        </w:rPr>
        <w:t>7. Al comprobar el encuadramiento y sus efectos, los intereses de demora resultan exigibles, entre otros supuestos, cuando no se paga la deuda una vez transcurridos:</w:t>
      </w:r>
    </w:p>
    <w:p>
      <w:pPr>
        <w:keepNext/>
        <w:keepLines/>
        <w:spacing w:after="40"/>
        <w:ind w:left="369" w:hanging="198"/>
      </w:pPr>
      <w:r>
        <w:rPr>
          <w:rFonts w:ascii="Arial" w:hAnsi="Arial" w:cs="Arial"/>
          <w:b w:val="0"/>
          <w:sz w:val="21"/>
        </w:rPr>
        <w:t>A) Tres días hábiles desde el devengo de la cuota.</w:t>
      </w:r>
    </w:p>
    <w:p>
      <w:pPr>
        <w:keepNext/>
        <w:keepLines/>
        <w:spacing w:after="40"/>
        <w:ind w:left="369" w:hanging="198"/>
      </w:pPr>
      <w:r>
        <w:rPr>
          <w:rFonts w:ascii="Arial" w:hAnsi="Arial" w:cs="Arial"/>
          <w:b w:val="0"/>
          <w:sz w:val="21"/>
        </w:rPr>
        <w:t>B) Quince días naturales desde la notificación de la providencia de apremio.</w:t>
      </w:r>
    </w:p>
    <w:p>
      <w:pPr>
        <w:keepNext/>
        <w:keepLines/>
        <w:spacing w:after="40"/>
        <w:ind w:left="369" w:hanging="198"/>
      </w:pPr>
      <w:r>
        <w:rPr>
          <w:rFonts w:ascii="Arial" w:hAnsi="Arial" w:cs="Arial"/>
          <w:b w:val="0"/>
          <w:sz w:val="21"/>
        </w:rPr>
        <w:t>C) Un año desde la reclamación.</w:t>
      </w:r>
    </w:p>
    <w:p>
      <w:pPr>
        <w:keepNext/>
        <w:keepLines/>
        <w:spacing w:after="40"/>
        <w:ind w:left="369" w:hanging="198"/>
      </w:pPr>
      <w:r>
        <w:rPr>
          <w:rFonts w:ascii="Arial" w:hAnsi="Arial" w:cs="Arial"/>
          <w:b w:val="0"/>
          <w:sz w:val="21"/>
        </w:rPr>
        <w:t>D) Dos meses desde la orden de transferencia.</w:t>
      </w:r>
    </w:p>
    <w:p>
      <w:pPr>
        <w:pStyle w:val="Question"/>
        <w:keepNext/>
      </w:pPr>
      <w:r>
        <w:rPr>
          <w:rFonts w:ascii="Arial" w:hAnsi="Arial" w:cs="Arial"/>
          <w:sz w:val="22"/>
        </w:rPr>
        <w:t>8. Al comprobar el encuadramiento y sus efectos, conforme a la norma vigente el 30 de julio de 2026, un aplazamiento ordinario garantizado devenga:</w:t>
      </w:r>
    </w:p>
    <w:p>
      <w:pPr>
        <w:keepNext/>
        <w:keepLines/>
        <w:spacing w:after="40"/>
        <w:ind w:left="369" w:hanging="198"/>
      </w:pPr>
      <w:r>
        <w:rPr>
          <w:rFonts w:ascii="Arial" w:hAnsi="Arial" w:cs="Arial"/>
          <w:b w:val="0"/>
          <w:sz w:val="21"/>
        </w:rPr>
        <w:t>A) Ningún interés mientras se cumpla.</w:t>
      </w:r>
    </w:p>
    <w:p>
      <w:pPr>
        <w:keepNext/>
        <w:keepLines/>
        <w:spacing w:after="40"/>
        <w:ind w:left="369" w:hanging="198"/>
      </w:pPr>
      <w:r>
        <w:rPr>
          <w:rFonts w:ascii="Arial" w:hAnsi="Arial" w:cs="Arial"/>
          <w:b w:val="0"/>
          <w:sz w:val="21"/>
        </w:rPr>
        <w:t>B) Siempre el interés de demora más dos puntos.</w:t>
      </w:r>
    </w:p>
    <w:p>
      <w:pPr>
        <w:keepNext/>
        <w:keepLines/>
        <w:spacing w:after="40"/>
        <w:ind w:left="369" w:hanging="198"/>
      </w:pPr>
      <w:r>
        <w:rPr>
          <w:rFonts w:ascii="Arial" w:hAnsi="Arial" w:cs="Arial"/>
          <w:b w:val="0"/>
          <w:sz w:val="21"/>
        </w:rPr>
        <w:t>C) El interés bancario que elija la entidad colaboradora.</w:t>
      </w:r>
    </w:p>
    <w:p>
      <w:pPr>
        <w:keepNext/>
        <w:keepLines/>
        <w:spacing w:after="40"/>
        <w:ind w:left="369" w:hanging="198"/>
      </w:pPr>
      <w:r>
        <w:rPr>
          <w:rFonts w:ascii="Arial" w:hAnsi="Arial" w:cs="Arial"/>
          <w:b w:val="0"/>
          <w:sz w:val="21"/>
        </w:rPr>
        <w:t>D) El interés legal del dinero, sin perjuicio de la regla especial para la exención extraordinaria de garantías.</w:t>
      </w:r>
    </w:p>
    <w:p>
      <w:pPr>
        <w:pStyle w:val="Question"/>
        <w:keepNext/>
      </w:pPr>
      <w:r>
        <w:rPr>
          <w:rFonts w:ascii="Arial" w:hAnsi="Arial" w:cs="Arial"/>
          <w:sz w:val="22"/>
        </w:rPr>
        <w:t>9. La persona funcionaria responsable necesita determinar si ¿Cuál de los siguientes colectivos no aparece en el artículo 10 TRLGSS como grupo susceptible de constituir un régimen especial?</w:t>
      </w:r>
    </w:p>
    <w:p>
      <w:pPr>
        <w:keepNext/>
        <w:keepLines/>
        <w:spacing w:after="40"/>
        <w:ind w:left="369" w:hanging="198"/>
      </w:pPr>
      <w:r>
        <w:rPr>
          <w:rFonts w:ascii="Arial" w:hAnsi="Arial" w:cs="Arial"/>
          <w:b w:val="0"/>
          <w:sz w:val="21"/>
        </w:rPr>
        <w:t>A) Trabajadores por cuenta propia o autónomos.</w:t>
      </w:r>
    </w:p>
    <w:p>
      <w:pPr>
        <w:keepNext/>
        <w:keepLines/>
        <w:spacing w:after="40"/>
        <w:ind w:left="369" w:hanging="198"/>
      </w:pPr>
      <w:r>
        <w:rPr>
          <w:rFonts w:ascii="Arial" w:hAnsi="Arial" w:cs="Arial"/>
          <w:b w:val="0"/>
          <w:sz w:val="21"/>
        </w:rPr>
        <w:t>B) Trabajadores del mar.</w:t>
      </w:r>
    </w:p>
    <w:p>
      <w:pPr>
        <w:keepNext/>
        <w:keepLines/>
        <w:spacing w:after="40"/>
        <w:ind w:left="369" w:hanging="198"/>
      </w:pPr>
      <w:r>
        <w:rPr>
          <w:rFonts w:ascii="Arial" w:hAnsi="Arial" w:cs="Arial"/>
          <w:b w:val="0"/>
          <w:sz w:val="21"/>
        </w:rPr>
        <w:t>C) Trabajadores ordinarios por cuenta ajena de la industria y los servicios.</w:t>
      </w:r>
    </w:p>
    <w:p>
      <w:pPr>
        <w:keepNext/>
        <w:keepLines/>
        <w:spacing w:after="40"/>
        <w:ind w:left="369" w:hanging="198"/>
      </w:pPr>
      <w:r>
        <w:rPr>
          <w:rFonts w:ascii="Arial" w:hAnsi="Arial" w:cs="Arial"/>
          <w:b w:val="0"/>
          <w:sz w:val="21"/>
        </w:rPr>
        <w:t>D) Estudiantes.</w:t>
      </w:r>
    </w:p>
    <w:p>
      <w:pPr>
        <w:pStyle w:val="Question"/>
        <w:keepNext/>
      </w:pPr>
      <w:r>
        <w:rPr>
          <w:rFonts w:ascii="Arial" w:hAnsi="Arial" w:cs="Arial"/>
          <w:sz w:val="22"/>
        </w:rPr>
        <w:t>10. La unidad competente debe resolver la siguiente cuestión: En las pensiones derivadas de accidente de trabajo o enfermedad profesional:</w:t>
      </w:r>
    </w:p>
    <w:p>
      <w:pPr>
        <w:keepNext/>
        <w:keepLines/>
        <w:spacing w:after="40"/>
        <w:ind w:left="369" w:hanging="198"/>
      </w:pPr>
      <w:r>
        <w:rPr>
          <w:rFonts w:ascii="Arial" w:hAnsi="Arial" w:cs="Arial"/>
          <w:b w:val="0"/>
          <w:sz w:val="21"/>
        </w:rPr>
        <w:t>A) Se abonan catorce mensualidades más dos extraordinarias adicionales.</w:t>
      </w:r>
    </w:p>
    <w:p>
      <w:pPr>
        <w:keepNext/>
        <w:keepLines/>
        <w:spacing w:after="40"/>
        <w:ind w:left="369" w:hanging="198"/>
      </w:pPr>
      <w:r>
        <w:rPr>
          <w:rFonts w:ascii="Arial" w:hAnsi="Arial" w:cs="Arial"/>
          <w:b w:val="0"/>
          <w:sz w:val="21"/>
        </w:rPr>
        <w:t>B) No existen pagas extraordinarias ni prorrateo.</w:t>
      </w:r>
    </w:p>
    <w:p>
      <w:pPr>
        <w:keepNext/>
        <w:keepLines/>
        <w:spacing w:after="40"/>
        <w:ind w:left="369" w:hanging="198"/>
      </w:pPr>
      <w:r>
        <w:rPr>
          <w:rFonts w:ascii="Arial" w:hAnsi="Arial" w:cs="Arial"/>
          <w:b w:val="0"/>
          <w:sz w:val="21"/>
        </w:rPr>
        <w:t>C) Se excluyen del cálculo los salarios reales.</w:t>
      </w:r>
    </w:p>
    <w:p>
      <w:pPr>
        <w:keepNext/>
        <w:keepLines/>
        <w:spacing w:after="40"/>
        <w:ind w:left="369" w:hanging="198"/>
      </w:pPr>
      <w:r>
        <w:rPr>
          <w:rFonts w:ascii="Arial" w:hAnsi="Arial" w:cs="Arial"/>
          <w:b w:val="0"/>
          <w:sz w:val="21"/>
        </w:rPr>
        <w:t>D) Las extraordinarias están prorrateadas en las doce mensualidades ordinarias porque se integran en la base reguladora.</w:t>
      </w:r>
    </w:p>
    <w:p>
      <w:pPr>
        <w:pStyle w:val="Question"/>
        <w:keepNext/>
      </w:pPr>
      <w:r>
        <w:rPr>
          <w:rFonts w:ascii="Arial" w:hAnsi="Arial" w:cs="Arial"/>
          <w:sz w:val="22"/>
        </w:rPr>
        <w:t>11. La persona funcionaria responsable necesita determinar si las 2 semanas añadidas hasta los ocho años se aplican a hechos desde:</w:t>
      </w:r>
    </w:p>
    <w:p>
      <w:pPr>
        <w:keepNext/>
        <w:keepLines/>
        <w:spacing w:after="40"/>
        <w:ind w:left="369" w:hanging="198"/>
      </w:pPr>
      <w:r>
        <w:rPr>
          <w:rFonts w:ascii="Arial" w:hAnsi="Arial" w:cs="Arial"/>
          <w:b w:val="0"/>
          <w:sz w:val="21"/>
        </w:rPr>
        <w:t>A) 31 de julio de 2025, sin excepción.</w:t>
      </w:r>
    </w:p>
    <w:p>
      <w:pPr>
        <w:keepNext/>
        <w:keepLines/>
        <w:spacing w:after="40"/>
        <w:ind w:left="369" w:hanging="198"/>
      </w:pPr>
      <w:r>
        <w:rPr>
          <w:rFonts w:ascii="Arial" w:hAnsi="Arial" w:cs="Arial"/>
          <w:b w:val="0"/>
          <w:sz w:val="21"/>
        </w:rPr>
        <w:t>B) 2 de agosto de 2024, solicitables desde 1 de enero de 2026.</w:t>
      </w:r>
    </w:p>
    <w:p>
      <w:pPr>
        <w:keepNext/>
        <w:keepLines/>
        <w:spacing w:after="40"/>
        <w:ind w:left="369" w:hanging="198"/>
      </w:pPr>
      <w:r>
        <w:rPr>
          <w:rFonts w:ascii="Arial" w:hAnsi="Arial" w:cs="Arial"/>
          <w:b w:val="0"/>
          <w:sz w:val="21"/>
        </w:rPr>
        <w:t>C) 1 de enero de 2026.</w:t>
      </w:r>
    </w:p>
    <w:p>
      <w:pPr>
        <w:keepNext/>
        <w:keepLines/>
        <w:spacing w:after="40"/>
        <w:ind w:left="369" w:hanging="198"/>
      </w:pPr>
      <w:r>
        <w:rPr>
          <w:rFonts w:ascii="Arial" w:hAnsi="Arial" w:cs="Arial"/>
          <w:b w:val="0"/>
          <w:sz w:val="21"/>
        </w:rPr>
        <w:t>D) 8 de marzo de 2019.</w:t>
      </w:r>
    </w:p>
    <w:p>
      <w:pPr>
        <w:pStyle w:val="Question"/>
        <w:keepNext/>
      </w:pPr>
      <w:r>
        <w:rPr>
          <w:rFonts w:ascii="Arial" w:hAnsi="Arial" w:cs="Arial"/>
          <w:sz w:val="22"/>
        </w:rPr>
        <w:t>12. En el subexpediente descrito y con los únicos datos facilitados, la prestación por riesgo durante el embarazo protege:</w:t>
      </w:r>
    </w:p>
    <w:p>
      <w:pPr>
        <w:keepNext/>
        <w:keepLines/>
        <w:spacing w:after="40"/>
        <w:ind w:left="369" w:hanging="198"/>
      </w:pPr>
      <w:r>
        <w:rPr>
          <w:rFonts w:ascii="Arial" w:hAnsi="Arial" w:cs="Arial"/>
          <w:b w:val="0"/>
          <w:sz w:val="21"/>
        </w:rPr>
        <w:t>A) Toda enfermedad común de la gestante.</w:t>
      </w:r>
    </w:p>
    <w:p>
      <w:pPr>
        <w:keepNext/>
        <w:keepLines/>
        <w:spacing w:after="40"/>
        <w:ind w:left="369" w:hanging="198"/>
      </w:pPr>
      <w:r>
        <w:rPr>
          <w:rFonts w:ascii="Arial" w:hAnsi="Arial" w:cs="Arial"/>
          <w:b w:val="0"/>
          <w:sz w:val="21"/>
        </w:rPr>
        <w:t>B) El desempleo durante el embarazo.</w:t>
      </w:r>
    </w:p>
    <w:p>
      <w:pPr>
        <w:keepNext/>
        <w:keepLines/>
        <w:spacing w:after="40"/>
        <w:ind w:left="369" w:hanging="198"/>
      </w:pPr>
      <w:r>
        <w:rPr>
          <w:rFonts w:ascii="Arial" w:hAnsi="Arial" w:cs="Arial"/>
          <w:b w:val="0"/>
          <w:sz w:val="21"/>
        </w:rPr>
        <w:t>C) El cuidado del menor después del parto.</w:t>
      </w:r>
    </w:p>
    <w:p>
      <w:pPr>
        <w:keepNext/>
        <w:keepLines/>
        <w:spacing w:after="40"/>
        <w:ind w:left="369" w:hanging="198"/>
      </w:pPr>
      <w:r>
        <w:rPr>
          <w:rFonts w:ascii="Arial" w:hAnsi="Arial" w:cs="Arial"/>
          <w:b w:val="0"/>
          <w:sz w:val="21"/>
        </w:rPr>
        <w:t>D) El riesgo del puesto cuando no cabe adaptación ni cambio compatible.</w:t>
      </w:r>
    </w:p>
    <w:p>
      <w:pPr>
        <w:pStyle w:val="Question"/>
        <w:keepNext/>
      </w:pPr>
      <w:r>
        <w:rPr>
          <w:rFonts w:ascii="Arial" w:hAnsi="Arial" w:cs="Arial"/>
          <w:sz w:val="22"/>
        </w:rPr>
        <w:t>13. Al comprobar el encuadramiento y sus efectos, a efectos del orden subsidiario de embargo, se considera realizable a corto plazo el crédito que puede hacerse efectivo en un plazo no superior a:</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Un mes.</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Dos meses.</w:t>
      </w:r>
    </w:p>
    <w:p>
      <w:pPr>
        <w:pStyle w:val="Question"/>
        <w:keepNext/>
      </w:pPr>
      <w:r>
        <w:rPr>
          <w:rFonts w:ascii="Arial" w:hAnsi="Arial" w:cs="Arial"/>
          <w:sz w:val="22"/>
        </w:rPr>
        <w:t>14. En el subexpediente descrito y con los únicos datos facilitados, la indemnización por lesión permanente no incapacitante es compatible con IP:</w:t>
      </w:r>
    </w:p>
    <w:p>
      <w:pPr>
        <w:keepNext/>
        <w:keepLines/>
        <w:spacing w:after="40"/>
        <w:ind w:left="369" w:hanging="198"/>
      </w:pPr>
      <w:r>
        <w:rPr>
          <w:rFonts w:ascii="Arial" w:hAnsi="Arial" w:cs="Arial"/>
          <w:b w:val="0"/>
          <w:sz w:val="21"/>
        </w:rPr>
        <w:t>A) Siempre.</w:t>
      </w:r>
    </w:p>
    <w:p>
      <w:pPr>
        <w:keepNext/>
        <w:keepLines/>
        <w:spacing w:after="40"/>
        <w:ind w:left="369" w:hanging="198"/>
      </w:pPr>
      <w:r>
        <w:rPr>
          <w:rFonts w:ascii="Arial" w:hAnsi="Arial" w:cs="Arial"/>
          <w:b w:val="0"/>
          <w:sz w:val="21"/>
        </w:rPr>
        <w:t>B) Nunca, aunque sea otra lesión.</w:t>
      </w:r>
    </w:p>
    <w:p>
      <w:pPr>
        <w:keepNext/>
        <w:keepLines/>
        <w:spacing w:after="40"/>
        <w:ind w:left="369" w:hanging="198"/>
      </w:pPr>
      <w:r>
        <w:rPr>
          <w:rFonts w:ascii="Arial" w:hAnsi="Arial" w:cs="Arial"/>
          <w:b w:val="0"/>
          <w:sz w:val="21"/>
        </w:rPr>
        <w:t>C) Solo si la lesión baremada es totalmente independiente de la valorada para la IP.</w:t>
      </w:r>
    </w:p>
    <w:p>
      <w:pPr>
        <w:keepNext/>
        <w:keepLines/>
        <w:spacing w:after="40"/>
        <w:ind w:left="369" w:hanging="198"/>
      </w:pPr>
      <w:r>
        <w:rPr>
          <w:rFonts w:ascii="Arial" w:hAnsi="Arial" w:cs="Arial"/>
          <w:b w:val="0"/>
          <w:sz w:val="21"/>
        </w:rPr>
        <w:t>D) Solo si la IP es absoluta.</w:t>
      </w:r>
    </w:p>
    <w:p>
      <w:pPr>
        <w:pStyle w:val="Question"/>
        <w:keepNext/>
      </w:pPr>
      <w:r>
        <w:rPr>
          <w:rFonts w:ascii="Arial" w:hAnsi="Arial" w:cs="Arial"/>
          <w:sz w:val="22"/>
        </w:rPr>
        <w:t>15. En la tramitación del expediente de Seguridad Social, un beneficiario recibió indebidamente cantidades por error exclusivo de la entidad y actuó de buena fe:</w:t>
      </w:r>
    </w:p>
    <w:p>
      <w:pPr>
        <w:keepNext/>
        <w:keepLines/>
        <w:spacing w:after="40"/>
        <w:ind w:left="369" w:hanging="198"/>
      </w:pPr>
      <w:r>
        <w:rPr>
          <w:rFonts w:ascii="Arial" w:hAnsi="Arial" w:cs="Arial"/>
          <w:b w:val="0"/>
          <w:sz w:val="21"/>
        </w:rPr>
        <w:t>A) Nunca debe devolverlas.</w:t>
      </w:r>
    </w:p>
    <w:p>
      <w:pPr>
        <w:keepNext/>
        <w:keepLines/>
        <w:spacing w:after="40"/>
        <w:ind w:left="369" w:hanging="198"/>
      </w:pPr>
      <w:r>
        <w:rPr>
          <w:rFonts w:ascii="Arial" w:hAnsi="Arial" w:cs="Arial"/>
          <w:b w:val="0"/>
          <w:sz w:val="21"/>
        </w:rPr>
        <w:t>B) Debe reintegrarlas, dentro del plazo de cuatro años y por el cauce procedente.</w:t>
      </w:r>
    </w:p>
    <w:p>
      <w:pPr>
        <w:keepNext/>
        <w:keepLines/>
        <w:spacing w:after="40"/>
        <w:ind w:left="369" w:hanging="198"/>
      </w:pPr>
      <w:r>
        <w:rPr>
          <w:rFonts w:ascii="Arial" w:hAnsi="Arial" w:cs="Arial"/>
          <w:b w:val="0"/>
          <w:sz w:val="21"/>
        </w:rPr>
        <w:t>C) Solo devuelve si hubo delito.</w:t>
      </w:r>
    </w:p>
    <w:p>
      <w:pPr>
        <w:keepNext/>
        <w:keepLines/>
        <w:spacing w:after="40"/>
        <w:ind w:left="369" w:hanging="198"/>
      </w:pPr>
      <w:r>
        <w:rPr>
          <w:rFonts w:ascii="Arial" w:hAnsi="Arial" w:cs="Arial"/>
          <w:b w:val="0"/>
          <w:sz w:val="21"/>
        </w:rPr>
        <w:t>D) El plazo de reintegro es de cinco años.</w:t>
      </w:r>
    </w:p>
    <w:p>
      <w:pPr>
        <w:pStyle w:val="Heading2"/>
      </w:pPr>
      <w:r>
        <w:t>Preguntas de reserva de la segunda parte</w:t>
      </w:r>
    </w:p>
    <w:p>
      <w:pPr>
        <w:pStyle w:val="Question"/>
        <w:keepNext/>
      </w:pPr>
      <w:r>
        <w:rPr>
          <w:rFonts w:ascii="Arial" w:hAnsi="Arial" w:cs="Arial"/>
          <w:sz w:val="22"/>
        </w:rPr>
        <w:t>16. La unidad competente debe resolver la siguiente cuestión: ¿Qué diferencia identifica correctamente el número de Seguridad Social y el código de cuenta de cotización?</w:t>
      </w:r>
    </w:p>
    <w:p>
      <w:pPr>
        <w:keepNext/>
        <w:keepLines/>
        <w:spacing w:after="40"/>
        <w:ind w:left="369" w:hanging="198"/>
      </w:pPr>
      <w:r>
        <w:rPr>
          <w:rFonts w:ascii="Arial" w:hAnsi="Arial" w:cs="Arial"/>
          <w:b w:val="0"/>
          <w:sz w:val="21"/>
        </w:rPr>
        <w:t>A) El primero identifica a la persona; el segundo individualiza una cuenta empresarial para la cotización.</w:t>
      </w:r>
    </w:p>
    <w:p>
      <w:pPr>
        <w:keepNext/>
        <w:keepLines/>
        <w:spacing w:after="40"/>
        <w:ind w:left="369" w:hanging="198"/>
      </w:pPr>
      <w:r>
        <w:rPr>
          <w:rFonts w:ascii="Arial" w:hAnsi="Arial" w:cs="Arial"/>
          <w:b w:val="0"/>
          <w:sz w:val="21"/>
        </w:rPr>
        <w:t>B) Ambos identifican siempre a una misma empresa.</w:t>
      </w:r>
    </w:p>
    <w:p>
      <w:pPr>
        <w:keepNext/>
        <w:keepLines/>
        <w:spacing w:after="40"/>
        <w:ind w:left="369" w:hanging="198"/>
      </w:pPr>
      <w:r>
        <w:rPr>
          <w:rFonts w:ascii="Arial" w:hAnsi="Arial" w:cs="Arial"/>
          <w:b w:val="0"/>
          <w:sz w:val="21"/>
        </w:rPr>
        <w:t>C) El primero cambia con cada contrato y el segundo es vitalicio para el trabajador.</w:t>
      </w:r>
    </w:p>
    <w:p>
      <w:pPr>
        <w:keepNext/>
        <w:keepLines/>
        <w:spacing w:after="40"/>
        <w:ind w:left="369" w:hanging="198"/>
      </w:pPr>
      <w:r>
        <w:rPr>
          <w:rFonts w:ascii="Arial" w:hAnsi="Arial" w:cs="Arial"/>
          <w:b w:val="0"/>
          <w:sz w:val="21"/>
        </w:rPr>
        <w:t>D) Son dos denominaciones del mismo número.</w:t>
      </w:r>
    </w:p>
    <w:p>
      <w:pPr>
        <w:pStyle w:val="Question"/>
        <w:keepNext/>
      </w:pPr>
      <w:r>
        <w:rPr>
          <w:rFonts w:ascii="Arial" w:hAnsi="Arial" w:cs="Arial"/>
          <w:sz w:val="22"/>
        </w:rPr>
        <w:t>17. La unidad competente debe resolver la siguiente cuestión: El título V del TRLGSS se dedica a:</w:t>
      </w:r>
    </w:p>
    <w:p>
      <w:pPr>
        <w:keepNext/>
        <w:keepLines/>
        <w:spacing w:after="40"/>
        <w:ind w:left="369" w:hanging="198"/>
      </w:pPr>
      <w:r>
        <w:rPr>
          <w:rFonts w:ascii="Arial" w:hAnsi="Arial" w:cs="Arial"/>
          <w:b w:val="0"/>
          <w:sz w:val="21"/>
        </w:rPr>
        <w:t>A) La protección por cese de actividad.</w:t>
      </w:r>
    </w:p>
    <w:p>
      <w:pPr>
        <w:keepNext/>
        <w:keepLines/>
        <w:spacing w:after="40"/>
        <w:ind w:left="369" w:hanging="198"/>
      </w:pPr>
      <w:r>
        <w:rPr>
          <w:rFonts w:ascii="Arial" w:hAnsi="Arial" w:cs="Arial"/>
          <w:b w:val="0"/>
          <w:sz w:val="21"/>
        </w:rPr>
        <w:t>B) La asistencia sanitaria.</w:t>
      </w:r>
    </w:p>
    <w:p>
      <w:pPr>
        <w:keepNext/>
        <w:keepLines/>
        <w:spacing w:after="40"/>
        <w:ind w:left="369" w:hanging="198"/>
      </w:pPr>
      <w:r>
        <w:rPr>
          <w:rFonts w:ascii="Arial" w:hAnsi="Arial" w:cs="Arial"/>
          <w:b w:val="0"/>
          <w:sz w:val="21"/>
        </w:rPr>
        <w:t>C) La recaudación ejecutiva.</w:t>
      </w:r>
    </w:p>
    <w:p>
      <w:pPr>
        <w:keepNext/>
        <w:keepLines/>
        <w:spacing w:after="40"/>
        <w:ind w:left="369" w:hanging="198"/>
      </w:pPr>
      <w:r>
        <w:rPr>
          <w:rFonts w:ascii="Arial" w:hAnsi="Arial" w:cs="Arial"/>
          <w:b w:val="0"/>
          <w:sz w:val="21"/>
        </w:rPr>
        <w:t>D) La gestión del IMSERSO.</w:t>
      </w:r>
    </w:p>
    <w:p>
      <w:pPr>
        <w:pStyle w:val="Question"/>
        <w:keepNext/>
      </w:pPr>
      <w:r>
        <w:rPr>
          <w:rFonts w:ascii="Arial" w:hAnsi="Arial" w:cs="Arial"/>
          <w:sz w:val="22"/>
        </w:rPr>
        <w:t>18. Al comprobar el encuadramiento y sus efectos, la TGSS pretende vender un inmueble tasado en 25 millones de euros. ¿Qué solución es correcta?</w:t>
      </w:r>
    </w:p>
    <w:p>
      <w:pPr>
        <w:keepNext/>
        <w:keepLines/>
        <w:spacing w:after="40"/>
        <w:ind w:left="369" w:hanging="198"/>
      </w:pPr>
      <w:r>
        <w:rPr>
          <w:rFonts w:ascii="Arial" w:hAnsi="Arial" w:cs="Arial"/>
          <w:b w:val="0"/>
          <w:sz w:val="21"/>
        </w:rPr>
        <w:t>A) Basta autorización de la dirección provincial y venta verbal.</w:t>
      </w:r>
    </w:p>
    <w:p>
      <w:pPr>
        <w:keepNext/>
        <w:keepLines/>
        <w:spacing w:after="40"/>
        <w:ind w:left="369" w:hanging="198"/>
      </w:pPr>
      <w:r>
        <w:rPr>
          <w:rFonts w:ascii="Arial" w:hAnsi="Arial" w:cs="Arial"/>
          <w:b w:val="0"/>
          <w:sz w:val="21"/>
        </w:rPr>
        <w:t>B) Autoriza el INSS por usar el inmueble.</w:t>
      </w:r>
    </w:p>
    <w:p>
      <w:pPr>
        <w:keepNext/>
        <w:keepLines/>
        <w:spacing w:after="40"/>
        <w:ind w:left="369" w:hanging="198"/>
      </w:pPr>
      <w:r>
        <w:rPr>
          <w:rFonts w:ascii="Arial" w:hAnsi="Arial" w:cs="Arial"/>
          <w:b w:val="0"/>
          <w:sz w:val="21"/>
        </w:rPr>
        <w:t>C) Debe autorizar el Consejo de Ministros y la subasta es la forma ordinaria, salvo causa legal de adjudicación directa.</w:t>
      </w:r>
    </w:p>
    <w:p>
      <w:pPr>
        <w:keepNext/>
        <w:keepLines/>
        <w:spacing w:after="40"/>
        <w:ind w:left="369" w:hanging="198"/>
      </w:pPr>
      <w:r>
        <w:rPr>
          <w:rFonts w:ascii="Arial" w:hAnsi="Arial" w:cs="Arial"/>
          <w:b w:val="0"/>
          <w:sz w:val="21"/>
        </w:rPr>
        <w:t>D) La cuantía obliga a una cesión gratuita.</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19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19 - alta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