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20 · alta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En una comprobación jurídica del expediente, ¿Cuál es la clasificación correcta de una consulta sobre requisitos generales y otra sobre el informe incorporado a un expediente propio?</w:t>
      </w:r>
    </w:p>
    <w:p>
      <w:pPr>
        <w:keepNext/>
        <w:keepLines/>
        <w:spacing w:after="40"/>
        <w:ind w:left="369" w:hanging="198"/>
      </w:pPr>
      <w:r>
        <w:rPr>
          <w:rFonts w:ascii="Arial" w:hAnsi="Arial" w:cs="Arial"/>
          <w:b w:val="0"/>
          <w:sz w:val="21"/>
        </w:rPr>
        <w:t>A) La primera es general; la segunda es particular y exige condición de interesado o representación.</w:t>
      </w:r>
    </w:p>
    <w:p>
      <w:pPr>
        <w:keepNext/>
        <w:keepLines/>
        <w:spacing w:after="40"/>
        <w:ind w:left="369" w:hanging="198"/>
      </w:pPr>
      <w:r>
        <w:rPr>
          <w:rFonts w:ascii="Arial" w:hAnsi="Arial" w:cs="Arial"/>
          <w:b w:val="0"/>
          <w:sz w:val="21"/>
        </w:rPr>
        <w:t>B) Ambas son información particular.</w:t>
      </w:r>
    </w:p>
    <w:p>
      <w:pPr>
        <w:keepNext/>
        <w:keepLines/>
        <w:spacing w:after="40"/>
        <w:ind w:left="369" w:hanging="198"/>
      </w:pPr>
      <w:r>
        <w:rPr>
          <w:rFonts w:ascii="Arial" w:hAnsi="Arial" w:cs="Arial"/>
          <w:b w:val="0"/>
          <w:sz w:val="21"/>
        </w:rPr>
        <w:t>C) La primera es petición y la segunda sugerencia.</w:t>
      </w:r>
    </w:p>
    <w:p>
      <w:pPr>
        <w:keepNext/>
        <w:keepLines/>
        <w:spacing w:after="40"/>
        <w:ind w:left="369" w:hanging="198"/>
      </w:pPr>
      <w:r>
        <w:rPr>
          <w:rFonts w:ascii="Arial" w:hAnsi="Arial" w:cs="Arial"/>
          <w:b w:val="0"/>
          <w:sz w:val="21"/>
        </w:rPr>
        <w:t>D) Ambas son solicitudes de transparencia necesariamente.</w:t>
      </w:r>
    </w:p>
    <w:p>
      <w:pPr>
        <w:pStyle w:val="Question"/>
        <w:keepNext/>
      </w:pPr>
      <w:r>
        <w:rPr>
          <w:rFonts w:ascii="Arial" w:hAnsi="Arial" w:cs="Arial"/>
          <w:sz w:val="22"/>
        </w:rPr>
        <w:t>2. En una comprobación jurídica del expediente, si transcurren tres meses sin resolución del recurso extraordinario de revisión:</w:t>
      </w:r>
    </w:p>
    <w:p>
      <w:pPr>
        <w:keepNext/>
        <w:keepLines/>
        <w:spacing w:after="40"/>
        <w:ind w:left="369" w:hanging="198"/>
      </w:pPr>
      <w:r>
        <w:rPr>
          <w:rFonts w:ascii="Arial" w:hAnsi="Arial" w:cs="Arial"/>
          <w:b w:val="0"/>
          <w:sz w:val="21"/>
        </w:rPr>
        <w:t>A) Se entiende estimado.</w:t>
      </w:r>
    </w:p>
    <w:p>
      <w:pPr>
        <w:keepNext/>
        <w:keepLines/>
        <w:spacing w:after="40"/>
        <w:ind w:left="369" w:hanging="198"/>
      </w:pPr>
      <w:r>
        <w:rPr>
          <w:rFonts w:ascii="Arial" w:hAnsi="Arial" w:cs="Arial"/>
          <w:b w:val="0"/>
          <w:sz w:val="21"/>
        </w:rPr>
        <w:t>B) Caduca el acto originario.</w:t>
      </w:r>
    </w:p>
    <w:p>
      <w:pPr>
        <w:keepNext/>
        <w:keepLines/>
        <w:spacing w:after="40"/>
        <w:ind w:left="369" w:hanging="198"/>
      </w:pPr>
      <w:r>
        <w:rPr>
          <w:rFonts w:ascii="Arial" w:hAnsi="Arial" w:cs="Arial"/>
          <w:b w:val="0"/>
          <w:sz w:val="21"/>
        </w:rPr>
        <w:t>C) Se entiende desestimado y queda expedita la vía jurisdiccional contencioso-administrativa.</w:t>
      </w:r>
    </w:p>
    <w:p>
      <w:pPr>
        <w:keepNext/>
        <w:keepLines/>
        <w:spacing w:after="40"/>
        <w:ind w:left="369" w:hanging="198"/>
      </w:pPr>
      <w:r>
        <w:rPr>
          <w:rFonts w:ascii="Arial" w:hAnsi="Arial" w:cs="Arial"/>
          <w:b w:val="0"/>
          <w:sz w:val="21"/>
        </w:rPr>
        <w:t>D) Se transforma en recurso de alzada.</w:t>
      </w:r>
    </w:p>
    <w:p>
      <w:pPr>
        <w:pStyle w:val="Question"/>
        <w:keepNext/>
      </w:pPr>
      <w:r>
        <w:rPr>
          <w:rFonts w:ascii="Arial" w:hAnsi="Arial" w:cs="Arial"/>
          <w:sz w:val="22"/>
        </w:rPr>
        <w:t>3. Sin añadir circunstancias distintas de las indicadas, si coinciden dos pensiones incompatibles del Régimen General, la entidad:</w:t>
      </w:r>
    </w:p>
    <w:p>
      <w:pPr>
        <w:keepNext/>
        <w:keepLines/>
        <w:spacing w:after="40"/>
        <w:ind w:left="369" w:hanging="198"/>
      </w:pPr>
      <w:r>
        <w:rPr>
          <w:rFonts w:ascii="Arial" w:hAnsi="Arial" w:cs="Arial"/>
          <w:b w:val="0"/>
          <w:sz w:val="21"/>
        </w:rPr>
        <w:t>A) Abona por defecto la de mayor cuantía anual y suspende la otra.</w:t>
      </w:r>
    </w:p>
    <w:p>
      <w:pPr>
        <w:keepNext/>
        <w:keepLines/>
        <w:spacing w:after="40"/>
        <w:ind w:left="369" w:hanging="198"/>
      </w:pPr>
      <w:r>
        <w:rPr>
          <w:rFonts w:ascii="Arial" w:hAnsi="Arial" w:cs="Arial"/>
          <w:b w:val="0"/>
          <w:sz w:val="21"/>
        </w:rPr>
        <w:t>B) Extingue siempre ambas.</w:t>
      </w:r>
    </w:p>
    <w:p>
      <w:pPr>
        <w:keepNext/>
        <w:keepLines/>
        <w:spacing w:after="40"/>
        <w:ind w:left="369" w:hanging="198"/>
      </w:pPr>
      <w:r>
        <w:rPr>
          <w:rFonts w:ascii="Arial" w:hAnsi="Arial" w:cs="Arial"/>
          <w:b w:val="0"/>
          <w:sz w:val="21"/>
        </w:rPr>
        <w:t>C) Abona automáticamente la más antigua.</w:t>
      </w:r>
    </w:p>
    <w:p>
      <w:pPr>
        <w:keepNext/>
        <w:keepLines/>
        <w:spacing w:after="40"/>
        <w:ind w:left="369" w:hanging="198"/>
      </w:pPr>
      <w:r>
        <w:rPr>
          <w:rFonts w:ascii="Arial" w:hAnsi="Arial" w:cs="Arial"/>
          <w:b w:val="0"/>
          <w:sz w:val="21"/>
        </w:rPr>
        <w:t>D) Divide ambas por mitad.</w:t>
      </w:r>
    </w:p>
    <w:p>
      <w:pPr>
        <w:pStyle w:val="Question"/>
        <w:keepNext/>
      </w:pPr>
      <w:r>
        <w:rPr>
          <w:rFonts w:ascii="Arial" w:hAnsi="Arial" w:cs="Arial"/>
          <w:sz w:val="22"/>
        </w:rPr>
        <w:t>4. Sin añadir circunstancias distintas de las indicadas, en el procedimiento prejudicial del artículo 267 TFUE:</w:t>
      </w:r>
    </w:p>
    <w:p>
      <w:pPr>
        <w:keepNext/>
        <w:keepLines/>
        <w:spacing w:after="40"/>
        <w:ind w:left="369" w:hanging="198"/>
      </w:pPr>
      <w:r>
        <w:rPr>
          <w:rFonts w:ascii="Arial" w:hAnsi="Arial" w:cs="Arial"/>
          <w:b w:val="0"/>
          <w:sz w:val="21"/>
        </w:rPr>
        <w:t>A)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B) El Tribunal sustituye al juez nacional y resuelve todos los hechos.</w:t>
      </w:r>
    </w:p>
    <w:p>
      <w:pPr>
        <w:keepNext/>
        <w:keepLines/>
        <w:spacing w:after="40"/>
        <w:ind w:left="369" w:hanging="198"/>
      </w:pPr>
      <w:r>
        <w:rPr>
          <w:rFonts w:ascii="Arial" w:hAnsi="Arial" w:cs="Arial"/>
          <w:b w:val="0"/>
          <w:sz w:val="21"/>
        </w:rPr>
        <w:t>C) Las partes recurren directamente la sentencia nacional ante Luxemburgo.</w:t>
      </w:r>
    </w:p>
    <w:p>
      <w:pPr>
        <w:keepNext/>
        <w:keepLines/>
        <w:spacing w:after="40"/>
        <w:ind w:left="369" w:hanging="198"/>
      </w:pPr>
      <w:r>
        <w:rPr>
          <w:rFonts w:ascii="Arial" w:hAnsi="Arial" w:cs="Arial"/>
          <w:b w:val="0"/>
          <w:sz w:val="21"/>
        </w:rPr>
        <w:t>D) El Consejo decide la interpretación auténtica del acto discutido.</w:t>
      </w:r>
    </w:p>
    <w:p>
      <w:pPr>
        <w:pStyle w:val="Question"/>
        <w:keepNext/>
      </w:pPr>
      <w:r>
        <w:rPr>
          <w:rFonts w:ascii="Arial" w:hAnsi="Arial" w:cs="Arial"/>
          <w:sz w:val="22"/>
        </w:rPr>
        <w:t>5. En una comprobación jurídica del expediente, la relación general entre ley orgánica y ley ordinaria se explica principalmente por:</w:t>
      </w:r>
    </w:p>
    <w:p>
      <w:pPr>
        <w:keepNext/>
        <w:keepLines/>
        <w:spacing w:after="40"/>
        <w:ind w:left="369" w:hanging="198"/>
      </w:pPr>
      <w:r>
        <w:rPr>
          <w:rFonts w:ascii="Arial" w:hAnsi="Arial" w:cs="Arial"/>
          <w:b w:val="0"/>
          <w:sz w:val="21"/>
        </w:rPr>
        <w:t>A) La reserva material y el principio de competencia, no por una superioridad orgánica universal.</w:t>
      </w:r>
    </w:p>
    <w:p>
      <w:pPr>
        <w:keepNext/>
        <w:keepLines/>
        <w:spacing w:after="40"/>
        <w:ind w:left="369" w:hanging="198"/>
      </w:pPr>
      <w:r>
        <w:rPr>
          <w:rFonts w:ascii="Arial" w:hAnsi="Arial" w:cs="Arial"/>
          <w:b w:val="0"/>
          <w:sz w:val="21"/>
        </w:rPr>
        <w:t>B) La libre elección del legislador para cualquier materia.</w:t>
      </w:r>
    </w:p>
    <w:p>
      <w:pPr>
        <w:keepNext/>
        <w:keepLines/>
        <w:spacing w:after="40"/>
        <w:ind w:left="369" w:hanging="198"/>
      </w:pPr>
      <w:r>
        <w:rPr>
          <w:rFonts w:ascii="Arial" w:hAnsi="Arial" w:cs="Arial"/>
          <w:b w:val="0"/>
          <w:sz w:val="21"/>
        </w:rPr>
        <w:t>C) La prevalencia temporal de la ley orgánica aunque sea anterior.</w:t>
      </w:r>
    </w:p>
    <w:p>
      <w:pPr>
        <w:keepNext/>
        <w:keepLines/>
        <w:spacing w:after="40"/>
        <w:ind w:left="369" w:hanging="198"/>
      </w:pPr>
      <w:r>
        <w:rPr>
          <w:rFonts w:ascii="Arial" w:hAnsi="Arial" w:cs="Arial"/>
          <w:b w:val="0"/>
          <w:sz w:val="21"/>
        </w:rPr>
        <w:t>D) La subordinación de toda ley ordinaria a cualquier precepto orgánico.</w:t>
      </w:r>
    </w:p>
    <w:p>
      <w:pPr>
        <w:pStyle w:val="Question"/>
        <w:keepNext/>
      </w:pPr>
      <w:r>
        <w:rPr>
          <w:rFonts w:ascii="Arial" w:hAnsi="Arial" w:cs="Arial"/>
          <w:sz w:val="22"/>
        </w:rPr>
        <w:t>6. En una comprobación jurídica del expediente, los abogados generales:</w:t>
      </w:r>
    </w:p>
    <w:p>
      <w:pPr>
        <w:keepNext/>
        <w:keepLines/>
        <w:spacing w:after="40"/>
        <w:ind w:left="369" w:hanging="198"/>
      </w:pPr>
      <w:r>
        <w:rPr>
          <w:rFonts w:ascii="Arial" w:hAnsi="Arial" w:cs="Arial"/>
          <w:b w:val="0"/>
          <w:sz w:val="21"/>
        </w:rPr>
        <w:t>A) Presentan con imparcialidad e independencia conclusiones motivadas en los asuntos que lo requieren, sin vincular a los jueces.</w:t>
      </w:r>
    </w:p>
    <w:p>
      <w:pPr>
        <w:keepNext/>
        <w:keepLines/>
        <w:spacing w:after="40"/>
        <w:ind w:left="369" w:hanging="198"/>
      </w:pPr>
      <w:r>
        <w:rPr>
          <w:rFonts w:ascii="Arial" w:hAnsi="Arial" w:cs="Arial"/>
          <w:b w:val="0"/>
          <w:sz w:val="21"/>
        </w:rPr>
        <w:t>B) Representan a los Estados en todos los litigios.</w:t>
      </w:r>
    </w:p>
    <w:p>
      <w:pPr>
        <w:keepNext/>
        <w:keepLines/>
        <w:spacing w:after="40"/>
        <w:ind w:left="369" w:hanging="198"/>
      </w:pPr>
      <w:r>
        <w:rPr>
          <w:rFonts w:ascii="Arial" w:hAnsi="Arial" w:cs="Arial"/>
          <w:b w:val="0"/>
          <w:sz w:val="21"/>
        </w:rPr>
        <w:t>C) Forman una fiscalía jerárquicamente dependiente de la Comisión.</w:t>
      </w:r>
    </w:p>
    <w:p>
      <w:pPr>
        <w:keepNext/>
        <w:keepLines/>
        <w:spacing w:after="40"/>
        <w:ind w:left="369" w:hanging="198"/>
      </w:pPr>
      <w:r>
        <w:rPr>
          <w:rFonts w:ascii="Arial" w:hAnsi="Arial" w:cs="Arial"/>
          <w:b w:val="0"/>
          <w:sz w:val="21"/>
        </w:rPr>
        <w:t>D) Votan siempre junto a los jueces para dictar sentencia.</w:t>
      </w:r>
    </w:p>
    <w:p>
      <w:pPr>
        <w:pStyle w:val="Question"/>
        <w:keepNext/>
      </w:pPr>
      <w:r>
        <w:rPr>
          <w:rFonts w:ascii="Arial" w:hAnsi="Arial" w:cs="Arial"/>
          <w:sz w:val="22"/>
        </w:rPr>
        <w:t>7. Conforme al ordenamiento vigente a la fecha de corte, la declaración de accesibilidad de una web o aplicación pública debe actualizarse:</w:t>
      </w:r>
    </w:p>
    <w:p>
      <w:pPr>
        <w:keepNext/>
        <w:keepLines/>
        <w:spacing w:after="40"/>
        <w:ind w:left="369" w:hanging="198"/>
      </w:pPr>
      <w:r>
        <w:rPr>
          <w:rFonts w:ascii="Arial" w:hAnsi="Arial" w:cs="Arial"/>
          <w:b w:val="0"/>
          <w:sz w:val="21"/>
        </w:rPr>
        <w:t>A) Cada cinco años.</w:t>
      </w:r>
    </w:p>
    <w:p>
      <w:pPr>
        <w:keepNext/>
        <w:keepLines/>
        <w:spacing w:after="40"/>
        <w:ind w:left="369" w:hanging="198"/>
      </w:pPr>
      <w:r>
        <w:rPr>
          <w:rFonts w:ascii="Arial" w:hAnsi="Arial" w:cs="Arial"/>
          <w:b w:val="0"/>
          <w:sz w:val="21"/>
        </w:rPr>
        <w:t>B) Solo cuando exista denuncia.</w:t>
      </w:r>
    </w:p>
    <w:p>
      <w:pPr>
        <w:keepNext/>
        <w:keepLines/>
        <w:spacing w:after="40"/>
        <w:ind w:left="369" w:hanging="198"/>
      </w:pPr>
      <w:r>
        <w:rPr>
          <w:rFonts w:ascii="Arial" w:hAnsi="Arial" w:cs="Arial"/>
          <w:b w:val="0"/>
          <w:sz w:val="21"/>
        </w:rPr>
        <w:t>C) Como mínimo una vez al año o cada vez que se realice una revisión de accesibilidad.</w:t>
      </w:r>
    </w:p>
    <w:p>
      <w:pPr>
        <w:keepNext/>
        <w:keepLines/>
        <w:spacing w:after="40"/>
        <w:ind w:left="369" w:hanging="198"/>
      </w:pPr>
      <w:r>
        <w:rPr>
          <w:rFonts w:ascii="Arial" w:hAnsi="Arial" w:cs="Arial"/>
          <w:b w:val="0"/>
          <w:sz w:val="21"/>
        </w:rPr>
        <w:t>D) Únicamente al crear la web.</w:t>
      </w:r>
    </w:p>
    <w:p>
      <w:pPr>
        <w:pStyle w:val="Question"/>
        <w:keepNext/>
      </w:pPr>
      <w:r>
        <w:rPr>
          <w:rFonts w:ascii="Arial" w:hAnsi="Arial" w:cs="Arial"/>
          <w:sz w:val="22"/>
        </w:rPr>
        <w:t>8. Sin añadir circunstancias distintas de las indicadas, ¿Cuándo presta juramento el Príncipe heredero?</w:t>
      </w:r>
    </w:p>
    <w:p>
      <w:pPr>
        <w:keepNext/>
        <w:keepLines/>
        <w:spacing w:after="40"/>
        <w:ind w:left="369" w:hanging="198"/>
      </w:pPr>
      <w:r>
        <w:rPr>
          <w:rFonts w:ascii="Arial" w:hAnsi="Arial" w:cs="Arial"/>
          <w:b w:val="0"/>
          <w:sz w:val="21"/>
        </w:rPr>
        <w:t>A) Al nacer.</w:t>
      </w:r>
    </w:p>
    <w:p>
      <w:pPr>
        <w:keepNext/>
        <w:keepLines/>
        <w:spacing w:after="40"/>
        <w:ind w:left="369" w:hanging="198"/>
      </w:pPr>
      <w:r>
        <w:rPr>
          <w:rFonts w:ascii="Arial" w:hAnsi="Arial" w:cs="Arial"/>
          <w:b w:val="0"/>
          <w:sz w:val="21"/>
        </w:rPr>
        <w:t>B) Al alcanzar la mayoría de edad.</w:t>
      </w:r>
    </w:p>
    <w:p>
      <w:pPr>
        <w:keepNext/>
        <w:keepLines/>
        <w:spacing w:after="40"/>
        <w:ind w:left="369" w:hanging="198"/>
      </w:pPr>
      <w:r>
        <w:rPr>
          <w:rFonts w:ascii="Arial" w:hAnsi="Arial" w:cs="Arial"/>
          <w:b w:val="0"/>
          <w:sz w:val="21"/>
        </w:rPr>
        <w:t>C) Al producirse el hecho que origine el llamamiento.</w:t>
      </w:r>
    </w:p>
    <w:p>
      <w:pPr>
        <w:keepNext/>
        <w:keepLines/>
        <w:spacing w:after="40"/>
        <w:ind w:left="369" w:hanging="198"/>
      </w:pPr>
      <w:r>
        <w:rPr>
          <w:rFonts w:ascii="Arial" w:hAnsi="Arial" w:cs="Arial"/>
          <w:b w:val="0"/>
          <w:sz w:val="21"/>
        </w:rPr>
        <w:t>D) Al cumplir veintiún años.</w:t>
      </w:r>
    </w:p>
    <w:p>
      <w:pPr>
        <w:pStyle w:val="Question"/>
        <w:keepNext/>
      </w:pPr>
      <w:r>
        <w:rPr>
          <w:rFonts w:ascii="Arial" w:hAnsi="Arial" w:cs="Arial"/>
          <w:sz w:val="22"/>
        </w:rPr>
        <w:t>9. En una comprobación jurídica del expediente, una disposición de la Carta se invoca contra una empresa privada para obtener la inaplicación de una ley nacional. El análisis correcto exige:</w:t>
      </w:r>
    </w:p>
    <w:p>
      <w:pPr>
        <w:keepNext/>
        <w:keepLines/>
        <w:spacing w:after="40"/>
        <w:ind w:left="369" w:hanging="198"/>
      </w:pPr>
      <w:r>
        <w:rPr>
          <w:rFonts w:ascii="Arial" w:hAnsi="Arial" w:cs="Arial"/>
          <w:b w:val="0"/>
          <w:sz w:val="21"/>
        </w:rPr>
        <w:t>A) Comprobar que el caso entra en el ámbito del Derecho de la Unión y que la disposición invocada es, por sí misma, imperativa y apta.</w:t>
      </w:r>
    </w:p>
    <w:p>
      <w:pPr>
        <w:keepNext/>
        <w:keepLines/>
        <w:spacing w:after="40"/>
        <w:ind w:left="369" w:hanging="198"/>
      </w:pPr>
      <w:r>
        <w:rPr>
          <w:rFonts w:ascii="Arial" w:hAnsi="Arial" w:cs="Arial"/>
          <w:b w:val="0"/>
          <w:sz w:val="21"/>
        </w:rPr>
        <w:t>B) Aplicarla siempre porque toda la Carta tiene efecto horizontal.</w:t>
      </w:r>
    </w:p>
    <w:p>
      <w:pPr>
        <w:keepNext/>
        <w:keepLines/>
        <w:spacing w:after="40"/>
        <w:ind w:left="369" w:hanging="198"/>
      </w:pPr>
      <w:r>
        <w:rPr>
          <w:rFonts w:ascii="Arial" w:hAnsi="Arial" w:cs="Arial"/>
          <w:b w:val="0"/>
          <w:sz w:val="21"/>
        </w:rPr>
        <w:t>C) Rechazarla siempre porque la Carta solo vincula a instituciones europeas.</w:t>
      </w:r>
    </w:p>
    <w:p>
      <w:pPr>
        <w:keepNext/>
        <w:keepLines/>
        <w:spacing w:after="40"/>
        <w:ind w:left="369" w:hanging="198"/>
      </w:pPr>
      <w:r>
        <w:rPr>
          <w:rFonts w:ascii="Arial" w:hAnsi="Arial" w:cs="Arial"/>
          <w:b w:val="0"/>
          <w:sz w:val="21"/>
        </w:rPr>
        <w:t>D) Convertir previamente la Carta en una directiva.</w:t>
      </w:r>
    </w:p>
    <w:p>
      <w:pPr>
        <w:pStyle w:val="Question"/>
        <w:keepNext/>
      </w:pPr>
      <w:r>
        <w:rPr>
          <w:rFonts w:ascii="Arial" w:hAnsi="Arial" w:cs="Arial"/>
          <w:sz w:val="22"/>
        </w:rPr>
        <w:t>10. En una comprobación jurídica del expediente, interpuesto un recurso potestativo de reposición:</w:t>
      </w:r>
    </w:p>
    <w:p>
      <w:pPr>
        <w:keepNext/>
        <w:keepLines/>
        <w:spacing w:after="40"/>
        <w:ind w:left="369" w:hanging="198"/>
      </w:pPr>
      <w:r>
        <w:rPr>
          <w:rFonts w:ascii="Arial" w:hAnsi="Arial" w:cs="Arial"/>
          <w:b w:val="0"/>
          <w:sz w:val="21"/>
        </w:rPr>
        <w:t>A) No podrá acudirse a la vía contenciosa hasta que la reposición sea resuelta expresamente o se produzca su desestimación presunta.</w:t>
      </w:r>
    </w:p>
    <w:p>
      <w:pPr>
        <w:keepNext/>
        <w:keepLines/>
        <w:spacing w:after="40"/>
        <w:ind w:left="369" w:hanging="198"/>
      </w:pPr>
      <w:r>
        <w:rPr>
          <w:rFonts w:ascii="Arial" w:hAnsi="Arial" w:cs="Arial"/>
          <w:b w:val="0"/>
          <w:sz w:val="21"/>
        </w:rPr>
        <w:t>B) Puede interponerse simultáneamente el recurso contencioso contra el mismo acto.</w:t>
      </w:r>
    </w:p>
    <w:p>
      <w:pPr>
        <w:keepNext/>
        <w:keepLines/>
        <w:spacing w:after="40"/>
        <w:ind w:left="369" w:hanging="198"/>
      </w:pPr>
      <w:r>
        <w:rPr>
          <w:rFonts w:ascii="Arial" w:hAnsi="Arial" w:cs="Arial"/>
          <w:b w:val="0"/>
          <w:sz w:val="21"/>
        </w:rPr>
        <w:t>C) Se abre un nuevo plazo para formular alzada.</w:t>
      </w:r>
    </w:p>
    <w:p>
      <w:pPr>
        <w:keepNext/>
        <w:keepLines/>
        <w:spacing w:after="40"/>
        <w:ind w:left="369" w:hanging="198"/>
      </w:pPr>
      <w:r>
        <w:rPr>
          <w:rFonts w:ascii="Arial" w:hAnsi="Arial" w:cs="Arial"/>
          <w:b w:val="0"/>
          <w:sz w:val="21"/>
        </w:rPr>
        <w:t>D) El acto impugnado queda automáticamente suspendido.</w:t>
      </w:r>
    </w:p>
    <w:p>
      <w:pPr>
        <w:pStyle w:val="Question"/>
        <w:keepNext/>
      </w:pPr>
      <w:r>
        <w:rPr>
          <w:rFonts w:ascii="Arial" w:hAnsi="Arial" w:cs="Arial"/>
          <w:sz w:val="22"/>
        </w:rPr>
        <w:t>11. A efectos de aplicar correctamente la regla examinada, una mujer divorciada no era acreedora de pensión compensatoria, pero acredita que fue víctima de violencia de género al separarse:</w:t>
      </w:r>
    </w:p>
    <w:p>
      <w:pPr>
        <w:keepNext/>
        <w:keepLines/>
        <w:spacing w:after="40"/>
        <w:ind w:left="369" w:hanging="198"/>
      </w:pPr>
      <w:r>
        <w:rPr>
          <w:rFonts w:ascii="Arial" w:hAnsi="Arial" w:cs="Arial"/>
          <w:b w:val="0"/>
          <w:sz w:val="21"/>
        </w:rPr>
        <w:t>A) Queda excluida en todo caso.</w:t>
      </w:r>
    </w:p>
    <w:p>
      <w:pPr>
        <w:keepNext/>
        <w:keepLines/>
        <w:spacing w:after="40"/>
        <w:ind w:left="369" w:hanging="198"/>
      </w:pPr>
      <w:r>
        <w:rPr>
          <w:rFonts w:ascii="Arial" w:hAnsi="Arial" w:cs="Arial"/>
          <w:b w:val="0"/>
          <w:sz w:val="21"/>
        </w:rPr>
        <w:t>B) Solo puede solicitar auxilio por defunción.</w:t>
      </w:r>
    </w:p>
    <w:p>
      <w:pPr>
        <w:keepNext/>
        <w:keepLines/>
        <w:spacing w:after="40"/>
        <w:ind w:left="369" w:hanging="198"/>
      </w:pPr>
      <w:r>
        <w:rPr>
          <w:rFonts w:ascii="Arial" w:hAnsi="Arial" w:cs="Arial"/>
          <w:b w:val="0"/>
          <w:sz w:val="21"/>
        </w:rPr>
        <w:t>C) Puede acceder a viudedad si reúne los restantes requisitos, por la excepción legal a la pensión compensatoria.</w:t>
      </w:r>
    </w:p>
    <w:p>
      <w:pPr>
        <w:keepNext/>
        <w:keepLines/>
        <w:spacing w:after="40"/>
        <w:ind w:left="369" w:hanging="198"/>
      </w:pPr>
      <w:r>
        <w:rPr>
          <w:rFonts w:ascii="Arial" w:hAnsi="Arial" w:cs="Arial"/>
          <w:b w:val="0"/>
          <w:sz w:val="21"/>
        </w:rPr>
        <w:t>D) Tiene derecho automático al 70 % sin comprobación adicional.</w:t>
      </w:r>
    </w:p>
    <w:p>
      <w:pPr>
        <w:pStyle w:val="Question"/>
        <w:keepNext/>
      </w:pPr>
      <w:r>
        <w:rPr>
          <w:rFonts w:ascii="Arial" w:hAnsi="Arial" w:cs="Arial"/>
          <w:sz w:val="22"/>
        </w:rPr>
        <w:t>12. Sin añadir circunstancias distintas de las indicadas, la carencia general exigida para suscribir el convenio especial ordinario es:</w:t>
      </w:r>
    </w:p>
    <w:p>
      <w:pPr>
        <w:keepNext/>
        <w:keepLines/>
        <w:spacing w:after="40"/>
        <w:ind w:left="369" w:hanging="198"/>
      </w:pPr>
      <w:r>
        <w:rPr>
          <w:rFonts w:ascii="Arial" w:hAnsi="Arial" w:cs="Arial"/>
          <w:b w:val="0"/>
          <w:sz w:val="21"/>
        </w:rPr>
        <w:t>A) 360 días dentro de los seis años anteriores.</w:t>
      </w:r>
    </w:p>
    <w:p>
      <w:pPr>
        <w:keepNext/>
        <w:keepLines/>
        <w:spacing w:after="40"/>
        <w:ind w:left="369" w:hanging="198"/>
      </w:pPr>
      <w:r>
        <w:rPr>
          <w:rFonts w:ascii="Arial" w:hAnsi="Arial" w:cs="Arial"/>
          <w:b w:val="0"/>
          <w:sz w:val="21"/>
        </w:rPr>
        <w:t>B) 500 días dentro de los cinco años anteriores.</w:t>
      </w:r>
    </w:p>
    <w:p>
      <w:pPr>
        <w:keepNext/>
        <w:keepLines/>
        <w:spacing w:after="40"/>
        <w:ind w:left="369" w:hanging="198"/>
      </w:pPr>
      <w:r>
        <w:rPr>
          <w:rFonts w:ascii="Arial" w:hAnsi="Arial" w:cs="Arial"/>
          <w:b w:val="0"/>
          <w:sz w:val="21"/>
        </w:rPr>
        <w:t>C) 1.080 días dentro de los doce años inmediatamente anteriores a la baja o situación determinante.</w:t>
      </w:r>
    </w:p>
    <w:p>
      <w:pPr>
        <w:keepNext/>
        <w:keepLines/>
        <w:spacing w:after="40"/>
        <w:ind w:left="369" w:hanging="198"/>
      </w:pPr>
      <w:r>
        <w:rPr>
          <w:rFonts w:ascii="Arial" w:hAnsi="Arial" w:cs="Arial"/>
          <w:b w:val="0"/>
          <w:sz w:val="21"/>
        </w:rPr>
        <w:t>D) 1.800 días a lo largo de toda la vida laboral.</w:t>
      </w:r>
    </w:p>
    <w:p>
      <w:pPr>
        <w:pStyle w:val="Question"/>
        <w:keepNext/>
      </w:pPr>
      <w:r>
        <w:rPr>
          <w:rFonts w:ascii="Arial" w:hAnsi="Arial" w:cs="Arial"/>
          <w:sz w:val="22"/>
        </w:rPr>
        <w:t>13. A efectos de aplicar correctamente la regla examinada, para una persona reconocida en grado III+ de dependencia extrema, la prestación económica vinculada se orienta:</w:t>
      </w:r>
    </w:p>
    <w:p>
      <w:pPr>
        <w:keepNext/>
        <w:keepLines/>
        <w:spacing w:after="40"/>
        <w:ind w:left="369" w:hanging="198"/>
      </w:pPr>
      <w:r>
        <w:rPr>
          <w:rFonts w:ascii="Arial" w:hAnsi="Arial" w:cs="Arial"/>
          <w:b w:val="0"/>
          <w:sz w:val="21"/>
        </w:rPr>
        <w:t>A) A cualquier servicio recreativo elegido.</w:t>
      </w:r>
    </w:p>
    <w:p>
      <w:pPr>
        <w:keepNext/>
        <w:keepLines/>
        <w:spacing w:after="40"/>
        <w:ind w:left="369" w:hanging="198"/>
      </w:pPr>
      <w:r>
        <w:rPr>
          <w:rFonts w:ascii="Arial" w:hAnsi="Arial" w:cs="Arial"/>
          <w:b w:val="0"/>
          <w:sz w:val="21"/>
        </w:rPr>
        <w:t>B) Únicamente a ayuda a domicilio, sin perjuicio de la prestación de asistencia personal prevista.</w:t>
      </w:r>
    </w:p>
    <w:p>
      <w:pPr>
        <w:keepNext/>
        <w:keepLines/>
        <w:spacing w:after="40"/>
        <w:ind w:left="369" w:hanging="198"/>
      </w:pPr>
      <w:r>
        <w:rPr>
          <w:rFonts w:ascii="Arial" w:hAnsi="Arial" w:cs="Arial"/>
          <w:b w:val="0"/>
          <w:sz w:val="21"/>
        </w:rPr>
        <w:t>C) Exclusivamente a residencia permanente.</w:t>
      </w:r>
    </w:p>
    <w:p>
      <w:pPr>
        <w:keepNext/>
        <w:keepLines/>
        <w:spacing w:after="40"/>
        <w:ind w:left="369" w:hanging="198"/>
      </w:pPr>
      <w:r>
        <w:rPr>
          <w:rFonts w:ascii="Arial" w:hAnsi="Arial" w:cs="Arial"/>
          <w:b w:val="0"/>
          <w:sz w:val="21"/>
        </w:rPr>
        <w:t>D) A cuidados familiares en todo caso.</w:t>
      </w:r>
    </w:p>
    <w:p>
      <w:pPr>
        <w:pStyle w:val="Question"/>
        <w:keepNext/>
      </w:pPr>
      <w:r>
        <w:rPr>
          <w:rFonts w:ascii="Arial" w:hAnsi="Arial" w:cs="Arial"/>
          <w:sz w:val="22"/>
        </w:rPr>
        <w:t>14. De acuerdo con la regulación aplicable, ¿Cuántas Subdirecciones Generales dependen de la Dirección General de Atención Humanitaria y del Sistema de Acogida de Protección Internacional?</w:t>
      </w:r>
    </w:p>
    <w:p>
      <w:pPr>
        <w:keepNext/>
        <w:keepLines/>
        <w:spacing w:after="40"/>
        <w:ind w:left="369" w:hanging="198"/>
      </w:pPr>
      <w:r>
        <w:rPr>
          <w:rFonts w:ascii="Arial" w:hAnsi="Arial" w:cs="Arial"/>
          <w:b w:val="0"/>
          <w:sz w:val="21"/>
        </w:rPr>
        <w:t>A) Dos.</w:t>
      </w:r>
    </w:p>
    <w:p>
      <w:pPr>
        <w:keepNext/>
        <w:keepLines/>
        <w:spacing w:after="40"/>
        <w:ind w:left="369" w:hanging="198"/>
      </w:pPr>
      <w:r>
        <w:rPr>
          <w:rFonts w:ascii="Arial" w:hAnsi="Arial" w:cs="Arial"/>
          <w:b w:val="0"/>
          <w:sz w:val="21"/>
        </w:rPr>
        <w:t>B) Cinco.</w:t>
      </w:r>
    </w:p>
    <w:p>
      <w:pPr>
        <w:keepNext/>
        <w:keepLines/>
        <w:spacing w:after="40"/>
        <w:ind w:left="369" w:hanging="198"/>
      </w:pPr>
      <w:r>
        <w:rPr>
          <w:rFonts w:ascii="Arial" w:hAnsi="Arial" w:cs="Arial"/>
          <w:b w:val="0"/>
          <w:sz w:val="21"/>
        </w:rPr>
        <w:t>C) Cuatro.</w:t>
      </w:r>
    </w:p>
    <w:p>
      <w:pPr>
        <w:keepNext/>
        <w:keepLines/>
        <w:spacing w:after="40"/>
        <w:ind w:left="369" w:hanging="198"/>
      </w:pPr>
      <w:r>
        <w:rPr>
          <w:rFonts w:ascii="Arial" w:hAnsi="Arial" w:cs="Arial"/>
          <w:b w:val="0"/>
          <w:sz w:val="21"/>
        </w:rPr>
        <w:t>D) Seis.</w:t>
      </w:r>
    </w:p>
    <w:p>
      <w:pPr>
        <w:pStyle w:val="Question"/>
        <w:keepNext/>
      </w:pPr>
      <w:r>
        <w:rPr>
          <w:rFonts w:ascii="Arial" w:hAnsi="Arial" w:cs="Arial"/>
          <w:sz w:val="22"/>
        </w:rPr>
        <w:t>15. A efectos de aplicar correctamente la regla examinada, ¿Qué combinación de categoría y perfil es correcta?</w:t>
      </w:r>
    </w:p>
    <w:p>
      <w:pPr>
        <w:keepNext/>
        <w:keepLines/>
        <w:spacing w:after="40"/>
        <w:ind w:left="369" w:hanging="198"/>
      </w:pPr>
      <w:r>
        <w:rPr>
          <w:rFonts w:ascii="Arial" w:hAnsi="Arial" w:cs="Arial"/>
          <w:b w:val="0"/>
          <w:sz w:val="21"/>
        </w:rPr>
        <w:t>A) Secretario general técnico: categoría de subsecretario y sin reserva funcionarial.</w:t>
      </w:r>
    </w:p>
    <w:p>
      <w:pPr>
        <w:keepNext/>
        <w:keepLines/>
        <w:spacing w:after="40"/>
        <w:ind w:left="369" w:hanging="198"/>
      </w:pPr>
      <w:r>
        <w:rPr>
          <w:rFonts w:ascii="Arial" w:hAnsi="Arial" w:cs="Arial"/>
          <w:b w:val="0"/>
          <w:sz w:val="21"/>
        </w:rPr>
        <w:t>B) Subdirector general: alto cargo nombrado por real decreto del Consejo.</w:t>
      </w:r>
    </w:p>
    <w:p>
      <w:pPr>
        <w:keepNext/>
        <w:keepLines/>
        <w:spacing w:after="40"/>
        <w:ind w:left="369" w:hanging="198"/>
      </w:pPr>
      <w:r>
        <w:rPr>
          <w:rFonts w:ascii="Arial" w:hAnsi="Arial" w:cs="Arial"/>
          <w:b w:val="0"/>
          <w:sz w:val="21"/>
        </w:rPr>
        <w:t>C) Secretario general: categoría de subsecretario y posible experiencia de responsabilidad en gestión pública o privada.</w:t>
      </w:r>
    </w:p>
    <w:p>
      <w:pPr>
        <w:keepNext/>
        <w:keepLines/>
        <w:spacing w:after="40"/>
        <w:ind w:left="369" w:hanging="198"/>
      </w:pPr>
      <w:r>
        <w:rPr>
          <w:rFonts w:ascii="Arial" w:hAnsi="Arial" w:cs="Arial"/>
          <w:b w:val="0"/>
          <w:sz w:val="21"/>
        </w:rPr>
        <w:t>D) Delegado del Gobierno: nivel de subdirector general y nombramiento por libre designación del ministro.</w:t>
      </w:r>
    </w:p>
    <w:p>
      <w:pPr>
        <w:pStyle w:val="Question"/>
        <w:keepNext/>
      </w:pPr>
      <w:r>
        <w:rPr>
          <w:rFonts w:ascii="Arial" w:hAnsi="Arial" w:cs="Arial"/>
          <w:sz w:val="22"/>
        </w:rPr>
        <w:t>16. En una comprobación jurídica del expediente, los municipios con población superior a 50.000 habitantes deben prestar, además:</w:t>
      </w:r>
    </w:p>
    <w:p>
      <w:pPr>
        <w:keepNext/>
        <w:keepLines/>
        <w:spacing w:after="40"/>
        <w:ind w:left="369" w:hanging="198"/>
      </w:pPr>
      <w:r>
        <w:rPr>
          <w:rFonts w:ascii="Arial" w:hAnsi="Arial" w:cs="Arial"/>
          <w:b w:val="0"/>
          <w:sz w:val="21"/>
        </w:rPr>
        <w:t>A) Tratamiento de residuos y cementerio.</w:t>
      </w:r>
    </w:p>
    <w:p>
      <w:pPr>
        <w:keepNext/>
        <w:keepLines/>
        <w:spacing w:after="40"/>
        <w:ind w:left="369" w:hanging="198"/>
      </w:pPr>
      <w:r>
        <w:rPr>
          <w:rFonts w:ascii="Arial" w:hAnsi="Arial" w:cs="Arial"/>
          <w:b w:val="0"/>
          <w:sz w:val="21"/>
        </w:rPr>
        <w:t>B) Transporte colectivo urbano de viajeros y medio ambiente urbano.</w:t>
      </w:r>
    </w:p>
    <w:p>
      <w:pPr>
        <w:keepNext/>
        <w:keepLines/>
        <w:spacing w:after="40"/>
        <w:ind w:left="369" w:hanging="198"/>
      </w:pPr>
      <w:r>
        <w:rPr>
          <w:rFonts w:ascii="Arial" w:hAnsi="Arial" w:cs="Arial"/>
          <w:b w:val="0"/>
          <w:sz w:val="21"/>
        </w:rPr>
        <w:t>C) Protección civil y biblioteca.</w:t>
      </w:r>
    </w:p>
    <w:p>
      <w:pPr>
        <w:keepNext/>
        <w:keepLines/>
        <w:spacing w:after="40"/>
        <w:ind w:left="369" w:hanging="198"/>
      </w:pPr>
      <w:r>
        <w:rPr>
          <w:rFonts w:ascii="Arial" w:hAnsi="Arial" w:cs="Arial"/>
          <w:b w:val="0"/>
          <w:sz w:val="21"/>
        </w:rPr>
        <w:t>D) Instalaciones deportivas y alumbrado.</w:t>
      </w:r>
    </w:p>
    <w:p>
      <w:pPr>
        <w:pStyle w:val="Question"/>
        <w:keepNext/>
      </w:pPr>
      <w:r>
        <w:rPr>
          <w:rFonts w:ascii="Arial" w:hAnsi="Arial" w:cs="Arial"/>
          <w:sz w:val="22"/>
        </w:rPr>
        <w:t>17. Sin añadir circunstancias distintas de las indicadas, en 2026, quien no alcanza 38 años y 3 meses cotizados accede ordinariamente a los:</w:t>
      </w:r>
    </w:p>
    <w:p>
      <w:pPr>
        <w:keepNext/>
        <w:keepLines/>
        <w:spacing w:after="40"/>
        <w:ind w:left="369" w:hanging="198"/>
      </w:pPr>
      <w:r>
        <w:rPr>
          <w:rFonts w:ascii="Arial" w:hAnsi="Arial" w:cs="Arial"/>
          <w:b w:val="0"/>
          <w:sz w:val="21"/>
        </w:rPr>
        <w:t>A) 65 años y 10 meses.</w:t>
      </w:r>
    </w:p>
    <w:p>
      <w:pPr>
        <w:keepNext/>
        <w:keepLines/>
        <w:spacing w:after="40"/>
        <w:ind w:left="369" w:hanging="198"/>
      </w:pPr>
      <w:r>
        <w:rPr>
          <w:rFonts w:ascii="Arial" w:hAnsi="Arial" w:cs="Arial"/>
          <w:b w:val="0"/>
          <w:sz w:val="21"/>
        </w:rPr>
        <w:t>B) 66 años y 8 meses.</w:t>
      </w:r>
    </w:p>
    <w:p>
      <w:pPr>
        <w:keepNext/>
        <w:keepLines/>
        <w:spacing w:after="40"/>
        <w:ind w:left="369" w:hanging="198"/>
      </w:pPr>
      <w:r>
        <w:rPr>
          <w:rFonts w:ascii="Arial" w:hAnsi="Arial" w:cs="Arial"/>
          <w:b w:val="0"/>
          <w:sz w:val="21"/>
        </w:rPr>
        <w:t>C) 67 años.</w:t>
      </w:r>
    </w:p>
    <w:p>
      <w:pPr>
        <w:keepNext/>
        <w:keepLines/>
        <w:spacing w:after="40"/>
        <w:ind w:left="369" w:hanging="198"/>
      </w:pPr>
      <w:r>
        <w:rPr>
          <w:rFonts w:ascii="Arial" w:hAnsi="Arial" w:cs="Arial"/>
          <w:b w:val="0"/>
          <w:sz w:val="21"/>
        </w:rPr>
        <w:t>D) 66 años y 10 meses.</w:t>
      </w:r>
    </w:p>
    <w:p>
      <w:pPr>
        <w:pStyle w:val="Question"/>
        <w:keepNext/>
      </w:pPr>
      <w:r>
        <w:rPr>
          <w:rFonts w:ascii="Arial" w:hAnsi="Arial" w:cs="Arial"/>
          <w:sz w:val="22"/>
        </w:rPr>
        <w:t>18. Sin añadir circunstancias distintas de las indicadas,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val="0"/>
          <w:sz w:val="21"/>
        </w:rPr>
        <w:t>B) 100 por ciento de la base reguladora.</w:t>
      </w:r>
    </w:p>
    <w:p>
      <w:pPr>
        <w:keepNext/>
        <w:keepLines/>
        <w:spacing w:after="40"/>
        <w:ind w:left="369" w:hanging="198"/>
      </w:pPr>
      <w:r>
        <w:rPr>
          <w:rFonts w:ascii="Arial" w:hAnsi="Arial" w:cs="Arial"/>
          <w:b w:val="0"/>
          <w:sz w:val="21"/>
        </w:rPr>
        <w:t>C) 75 por ciento de la base.</w:t>
      </w:r>
    </w:p>
    <w:p>
      <w:pPr>
        <w:keepNext/>
        <w:keepLines/>
        <w:spacing w:after="40"/>
        <w:ind w:left="369" w:hanging="198"/>
      </w:pPr>
      <w:r>
        <w:rPr>
          <w:rFonts w:ascii="Arial" w:hAnsi="Arial" w:cs="Arial"/>
          <w:b w:val="0"/>
          <w:sz w:val="21"/>
        </w:rPr>
        <w:t>D) 100 por ciento del IPREM en todo caso.</w:t>
      </w:r>
    </w:p>
    <w:p>
      <w:pPr>
        <w:pStyle w:val="Question"/>
        <w:keepNext/>
      </w:pPr>
      <w:r>
        <w:rPr>
          <w:rFonts w:ascii="Arial" w:hAnsi="Arial" w:cs="Arial"/>
          <w:sz w:val="22"/>
        </w:rPr>
        <w:t>19. A efectos de aplicar correctamente la regla examinada, iT y prolongación de efectos por demora de calificación no pueden superar:</w:t>
      </w:r>
    </w:p>
    <w:p>
      <w:pPr>
        <w:keepNext/>
        <w:keepLines/>
        <w:spacing w:after="40"/>
        <w:ind w:left="369" w:hanging="198"/>
      </w:pPr>
      <w:r>
        <w:rPr>
          <w:rFonts w:ascii="Arial" w:hAnsi="Arial" w:cs="Arial"/>
          <w:b w:val="0"/>
          <w:sz w:val="21"/>
        </w:rPr>
        <w:t>A) 545 días.</w:t>
      </w:r>
    </w:p>
    <w:p>
      <w:pPr>
        <w:keepNext/>
        <w:keepLines/>
        <w:spacing w:after="40"/>
        <w:ind w:left="369" w:hanging="198"/>
      </w:pPr>
      <w:r>
        <w:rPr>
          <w:rFonts w:ascii="Arial" w:hAnsi="Arial" w:cs="Arial"/>
          <w:b w:val="0"/>
          <w:sz w:val="21"/>
        </w:rPr>
        <w:t>B) 635 días.</w:t>
      </w:r>
    </w:p>
    <w:p>
      <w:pPr>
        <w:keepNext/>
        <w:keepLines/>
        <w:spacing w:after="40"/>
        <w:ind w:left="369" w:hanging="198"/>
      </w:pPr>
      <w:r>
        <w:rPr>
          <w:rFonts w:ascii="Arial" w:hAnsi="Arial" w:cs="Arial"/>
          <w:b w:val="0"/>
          <w:sz w:val="21"/>
        </w:rPr>
        <w:t>C) 900 días.</w:t>
      </w:r>
    </w:p>
    <w:p>
      <w:pPr>
        <w:keepNext/>
        <w:keepLines/>
        <w:spacing w:after="40"/>
        <w:ind w:left="369" w:hanging="198"/>
      </w:pPr>
      <w:r>
        <w:rPr>
          <w:rFonts w:ascii="Arial" w:hAnsi="Arial" w:cs="Arial"/>
          <w:b w:val="0"/>
          <w:sz w:val="21"/>
        </w:rPr>
        <w:t>D) 730 días naturales.</w:t>
      </w:r>
    </w:p>
    <w:p>
      <w:pPr>
        <w:pStyle w:val="Question"/>
        <w:keepNext/>
      </w:pPr>
      <w:r>
        <w:rPr>
          <w:rFonts w:ascii="Arial" w:hAnsi="Arial" w:cs="Arial"/>
          <w:sz w:val="22"/>
        </w:rPr>
        <w:t>20. A efectos de aplicar correctamente la regla examinada, conforme al tenor literal del artículo 46.1 LJCA, si el acto que pone fin a la vía administrativa no fuera expreso, el plazo será de:</w:t>
      </w:r>
    </w:p>
    <w:p>
      <w:pPr>
        <w:keepNext/>
        <w:keepLines/>
        <w:spacing w:after="40"/>
        <w:ind w:left="369" w:hanging="198"/>
      </w:pPr>
      <w:r>
        <w:rPr>
          <w:rFonts w:ascii="Arial" w:hAnsi="Arial" w:cs="Arial"/>
          <w:b w:val="0"/>
          <w:sz w:val="21"/>
        </w:rPr>
        <w:t>A) Un mes desde el silencio.</w:t>
      </w:r>
    </w:p>
    <w:p>
      <w:pPr>
        <w:keepNext/>
        <w:keepLines/>
        <w:spacing w:after="40"/>
        <w:ind w:left="369" w:hanging="198"/>
      </w:pPr>
      <w:r>
        <w:rPr>
          <w:rFonts w:ascii="Arial" w:hAnsi="Arial" w:cs="Arial"/>
          <w:b w:val="0"/>
          <w:sz w:val="21"/>
        </w:rPr>
        <w:t>B) Dos meses desde la solicitud.</w:t>
      </w:r>
    </w:p>
    <w:p>
      <w:pPr>
        <w:keepNext/>
        <w:keepLines/>
        <w:spacing w:after="40"/>
        <w:ind w:left="369" w:hanging="198"/>
      </w:pPr>
      <w:r>
        <w:rPr>
          <w:rFonts w:ascii="Arial" w:hAnsi="Arial" w:cs="Arial"/>
          <w:b w:val="0"/>
          <w:sz w:val="21"/>
        </w:rPr>
        <w:t>C) Cuatro años desde el inicio.</w:t>
      </w:r>
    </w:p>
    <w:p>
      <w:pPr>
        <w:keepNext/>
        <w:keepLines/>
        <w:spacing w:after="40"/>
        <w:ind w:left="369" w:hanging="198"/>
      </w:pPr>
      <w:r>
        <w:rPr>
          <w:rFonts w:ascii="Arial" w:hAnsi="Arial" w:cs="Arial"/>
          <w:b w:val="0"/>
          <w:sz w:val="21"/>
        </w:rPr>
        <w:t>D) Seis meses desde el día siguiente a aquel en que se produzca el acto presunto según su normativa específica.</w:t>
      </w:r>
    </w:p>
    <w:p>
      <w:pPr>
        <w:pStyle w:val="Question"/>
        <w:keepNext/>
      </w:pPr>
      <w:r>
        <w:rPr>
          <w:rFonts w:ascii="Arial" w:hAnsi="Arial" w:cs="Arial"/>
          <w:sz w:val="22"/>
        </w:rPr>
        <w:t>21. Sin añadir circunstancias distintas de las indicadas,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val="0"/>
          <w:sz w:val="21"/>
        </w:rPr>
        <w:t>C) El alta puede retrotraer sus efectos al periodo al que corresponda la primera cuota ingresada, en los términos reglamentarios.</w:t>
      </w:r>
    </w:p>
    <w:p>
      <w:pPr>
        <w:keepNext/>
        <w:keepLines/>
        <w:spacing w:after="40"/>
        <w:ind w:left="369" w:hanging="198"/>
      </w:pPr>
      <w:r>
        <w:rPr>
          <w:rFonts w:ascii="Arial" w:hAnsi="Arial" w:cs="Arial"/>
          <w:b w:val="0"/>
          <w:sz w:val="21"/>
        </w:rPr>
        <w:t>D) La TGSS debe devolver de oficio todas las cuotas.</w:t>
      </w:r>
    </w:p>
    <w:p>
      <w:pPr>
        <w:pStyle w:val="Question"/>
        <w:keepNext/>
      </w:pPr>
      <w:r>
        <w:rPr>
          <w:rFonts w:ascii="Arial" w:hAnsi="Arial" w:cs="Arial"/>
          <w:sz w:val="22"/>
        </w:rPr>
        <w:t>22. Conforme al ordenamiento vigente a la fecha de corte, después de agotarse los 365 días de IT, la competencia exclusiva para emitir alta corresponde a:</w:t>
      </w:r>
    </w:p>
    <w:p>
      <w:pPr>
        <w:keepNext/>
        <w:keepLines/>
        <w:spacing w:after="40"/>
        <w:ind w:left="369" w:hanging="198"/>
      </w:pPr>
      <w:r>
        <w:rPr>
          <w:rFonts w:ascii="Arial" w:hAnsi="Arial" w:cs="Arial"/>
          <w:b w:val="0"/>
          <w:sz w:val="21"/>
        </w:rPr>
        <w:t>A) La empresa.</w:t>
      </w:r>
    </w:p>
    <w:p>
      <w:pPr>
        <w:keepNext/>
        <w:keepLines/>
        <w:spacing w:after="40"/>
        <w:ind w:left="369" w:hanging="198"/>
      </w:pPr>
      <w:r>
        <w:rPr>
          <w:rFonts w:ascii="Arial" w:hAnsi="Arial" w:cs="Arial"/>
          <w:b w:val="0"/>
          <w:sz w:val="21"/>
        </w:rPr>
        <w:t>B) La inspección médica del INSS.</w:t>
      </w:r>
    </w:p>
    <w:p>
      <w:pPr>
        <w:keepNext/>
        <w:keepLines/>
        <w:spacing w:after="40"/>
        <w:ind w:left="369" w:hanging="198"/>
      </w:pPr>
      <w:r>
        <w:rPr>
          <w:rFonts w:ascii="Arial" w:hAnsi="Arial" w:cs="Arial"/>
          <w:b w:val="0"/>
          <w:sz w:val="21"/>
        </w:rPr>
        <w:t>C) El médico de atención primaria.</w:t>
      </w:r>
    </w:p>
    <w:p>
      <w:pPr>
        <w:keepNext/>
        <w:keepLines/>
        <w:spacing w:after="40"/>
        <w:ind w:left="369" w:hanging="198"/>
      </w:pPr>
      <w:r>
        <w:rPr>
          <w:rFonts w:ascii="Arial" w:hAnsi="Arial" w:cs="Arial"/>
          <w:b w:val="0"/>
          <w:sz w:val="21"/>
        </w:rPr>
        <w:t>D) La mutua en todo proceso.</w:t>
      </w:r>
    </w:p>
    <w:p>
      <w:pPr>
        <w:pStyle w:val="Question"/>
        <w:keepNext/>
      </w:pPr>
      <w:r>
        <w:rPr>
          <w:rFonts w:ascii="Arial" w:hAnsi="Arial" w:cs="Arial"/>
          <w:sz w:val="22"/>
        </w:rPr>
        <w:t>23. En una comprobación jurídica del expediente, ¿Cuál es una causa legal de nombramiento de funcionario interino?</w:t>
      </w:r>
    </w:p>
    <w:p>
      <w:pPr>
        <w:keepNext/>
        <w:keepLines/>
        <w:spacing w:after="40"/>
        <w:ind w:left="369" w:hanging="198"/>
      </w:pPr>
      <w:r>
        <w:rPr>
          <w:rFonts w:ascii="Arial" w:hAnsi="Arial" w:cs="Arial"/>
          <w:b w:val="0"/>
          <w:sz w:val="21"/>
        </w:rPr>
        <w:t>A) La confianza personal de un alto cargo.</w:t>
      </w:r>
    </w:p>
    <w:p>
      <w:pPr>
        <w:keepNext/>
        <w:keepLines/>
        <w:spacing w:after="40"/>
        <w:ind w:left="369" w:hanging="198"/>
      </w:pPr>
      <w:r>
        <w:rPr>
          <w:rFonts w:ascii="Arial" w:hAnsi="Arial" w:cs="Arial"/>
          <w:b w:val="0"/>
          <w:sz w:val="21"/>
        </w:rPr>
        <w:t>B) El exceso o acumulación de tareas durante un máximo de nueve meses dentro de dieciocho.</w:t>
      </w:r>
    </w:p>
    <w:p>
      <w:pPr>
        <w:keepNext/>
        <w:keepLines/>
        <w:spacing w:after="40"/>
        <w:ind w:left="369" w:hanging="198"/>
      </w:pPr>
      <w:r>
        <w:rPr>
          <w:rFonts w:ascii="Arial" w:hAnsi="Arial" w:cs="Arial"/>
          <w:b w:val="0"/>
          <w:sz w:val="21"/>
        </w:rPr>
        <w:t>C) Cualquier necesidad sin justificar.</w:t>
      </w:r>
    </w:p>
    <w:p>
      <w:pPr>
        <w:keepNext/>
        <w:keepLines/>
        <w:spacing w:after="40"/>
        <w:ind w:left="369" w:hanging="198"/>
      </w:pPr>
      <w:r>
        <w:rPr>
          <w:rFonts w:ascii="Arial" w:hAnsi="Arial" w:cs="Arial"/>
          <w:b w:val="0"/>
          <w:sz w:val="21"/>
        </w:rPr>
        <w:t>D) La promoción profesional del aspirante.</w:t>
      </w:r>
    </w:p>
    <w:p>
      <w:pPr>
        <w:pStyle w:val="Question"/>
        <w:keepNext/>
      </w:pPr>
      <w:r>
        <w:rPr>
          <w:rFonts w:ascii="Arial" w:hAnsi="Arial" w:cs="Arial"/>
          <w:sz w:val="22"/>
        </w:rPr>
        <w:t>24. A efectos de aplicar correctamente la regla examinada, una reclamación de deuda se notifica el día 22. El plazo de ingreso termina, como regla:</w:t>
      </w:r>
    </w:p>
    <w:p>
      <w:pPr>
        <w:keepNext/>
        <w:keepLines/>
        <w:spacing w:after="40"/>
        <w:ind w:left="369" w:hanging="198"/>
      </w:pPr>
      <w:r>
        <w:rPr>
          <w:rFonts w:ascii="Arial" w:hAnsi="Arial" w:cs="Arial"/>
          <w:b w:val="0"/>
          <w:sz w:val="21"/>
        </w:rPr>
        <w:t>A) El día 20 del mes siguiente o el inmediato hábil posterior.</w:t>
      </w:r>
    </w:p>
    <w:p>
      <w:pPr>
        <w:keepNext/>
        <w:keepLines/>
        <w:spacing w:after="40"/>
        <w:ind w:left="369" w:hanging="198"/>
      </w:pPr>
      <w:r>
        <w:rPr>
          <w:rFonts w:ascii="Arial" w:hAnsi="Arial" w:cs="Arial"/>
          <w:b w:val="0"/>
          <w:sz w:val="21"/>
        </w:rPr>
        <w:t>B) El día 5 del mismo mes.</w:t>
      </w:r>
    </w:p>
    <w:p>
      <w:pPr>
        <w:keepNext/>
        <w:keepLines/>
        <w:spacing w:after="40"/>
        <w:ind w:left="369" w:hanging="198"/>
      </w:pPr>
      <w:r>
        <w:rPr>
          <w:rFonts w:ascii="Arial" w:hAnsi="Arial" w:cs="Arial"/>
          <w:b w:val="0"/>
          <w:sz w:val="21"/>
        </w:rPr>
        <w:t>C) El día 5 del mes siguiente.</w:t>
      </w:r>
    </w:p>
    <w:p>
      <w:pPr>
        <w:keepNext/>
        <w:keepLines/>
        <w:spacing w:after="40"/>
        <w:ind w:left="369" w:hanging="198"/>
      </w:pPr>
      <w:r>
        <w:rPr>
          <w:rFonts w:ascii="Arial" w:hAnsi="Arial" w:cs="Arial"/>
          <w:b w:val="0"/>
          <w:sz w:val="21"/>
        </w:rPr>
        <w:t>D) Treinta días hábiles después.</w:t>
      </w:r>
    </w:p>
    <w:p>
      <w:pPr>
        <w:pStyle w:val="Question"/>
        <w:keepNext/>
      </w:pPr>
      <w:r>
        <w:rPr>
          <w:rFonts w:ascii="Arial" w:hAnsi="Arial" w:cs="Arial"/>
          <w:sz w:val="22"/>
        </w:rPr>
        <w:t>25. Conforme al ordenamiento vigente a la fecha de corte, un consejero o administrador de una sociedad de capital que realiza funciones de dirección y gerencia retribuidas, sin poseer su control efectivo, queda:</w:t>
      </w:r>
    </w:p>
    <w:p>
      <w:pPr>
        <w:keepNext/>
        <w:keepLines/>
        <w:spacing w:after="40"/>
        <w:ind w:left="369" w:hanging="198"/>
      </w:pPr>
      <w:r>
        <w:rPr>
          <w:rFonts w:ascii="Arial" w:hAnsi="Arial" w:cs="Arial"/>
          <w:b w:val="0"/>
          <w:sz w:val="21"/>
        </w:rPr>
        <w:t>A) Excluido del sistema.</w:t>
      </w:r>
    </w:p>
    <w:p>
      <w:pPr>
        <w:keepNext/>
        <w:keepLines/>
        <w:spacing w:after="40"/>
        <w:ind w:left="369" w:hanging="198"/>
      </w:pPr>
      <w:r>
        <w:rPr>
          <w:rFonts w:ascii="Arial" w:hAnsi="Arial" w:cs="Arial"/>
          <w:b w:val="0"/>
          <w:sz w:val="21"/>
        </w:rPr>
        <w:t>B) Incluido necesariamente en RETA.</w:t>
      </w:r>
    </w:p>
    <w:p>
      <w:pPr>
        <w:keepNext/>
        <w:keepLines/>
        <w:spacing w:after="40"/>
        <w:ind w:left="369" w:hanging="198"/>
      </w:pPr>
      <w:r>
        <w:rPr>
          <w:rFonts w:ascii="Arial" w:hAnsi="Arial" w:cs="Arial"/>
          <w:b w:val="0"/>
          <w:sz w:val="21"/>
        </w:rPr>
        <w:t>C) En el Régimen General con protección completa de desempleo y FOGASA.</w:t>
      </w:r>
    </w:p>
    <w:p>
      <w:pPr>
        <w:keepNext/>
        <w:keepLines/>
        <w:spacing w:after="40"/>
        <w:ind w:left="369" w:hanging="198"/>
      </w:pPr>
      <w:r>
        <w:rPr>
          <w:rFonts w:ascii="Arial" w:hAnsi="Arial" w:cs="Arial"/>
          <w:b w:val="0"/>
          <w:sz w:val="21"/>
        </w:rPr>
        <w:t>D) Asimilado a trabajador por cuenta ajena en el Régimen General, con exclusión de desempleo y FOGASA.</w:t>
      </w:r>
    </w:p>
    <w:p>
      <w:pPr>
        <w:pStyle w:val="Question"/>
        <w:keepNext/>
      </w:pPr>
      <w:r>
        <w:rPr>
          <w:rFonts w:ascii="Arial" w:hAnsi="Arial" w:cs="Arial"/>
          <w:sz w:val="22"/>
        </w:rPr>
        <w:t>26. Sin añadir circunstancias distintas de las indicadas, ¿Cuál de estas relaciones contiene solo derechos o garantías suspendibles con carácter general conforme al artículo 55.1?</w:t>
      </w:r>
    </w:p>
    <w:p>
      <w:pPr>
        <w:keepNext/>
        <w:keepLines/>
        <w:spacing w:after="40"/>
        <w:ind w:left="369" w:hanging="198"/>
      </w:pPr>
      <w:r>
        <w:rPr>
          <w:rFonts w:ascii="Arial" w:hAnsi="Arial" w:cs="Arial"/>
          <w:b w:val="0"/>
          <w:sz w:val="21"/>
        </w:rPr>
        <w:t>A) Vida, libertad ideológica, reunión y tutela judicial.</w:t>
      </w:r>
    </w:p>
    <w:p>
      <w:pPr>
        <w:keepNext/>
        <w:keepLines/>
        <w:spacing w:after="40"/>
        <w:ind w:left="369" w:hanging="198"/>
      </w:pPr>
      <w:r>
        <w:rPr>
          <w:rFonts w:ascii="Arial" w:hAnsi="Arial" w:cs="Arial"/>
          <w:b w:val="0"/>
          <w:sz w:val="21"/>
        </w:rPr>
        <w:t>B) Igualdad, educación, huelga y propiedad.</w:t>
      </w:r>
    </w:p>
    <w:p>
      <w:pPr>
        <w:keepNext/>
        <w:keepLines/>
        <w:spacing w:after="40"/>
        <w:ind w:left="369" w:hanging="198"/>
      </w:pPr>
      <w:r>
        <w:rPr>
          <w:rFonts w:ascii="Arial" w:hAnsi="Arial" w:cs="Arial"/>
          <w:b w:val="0"/>
          <w:sz w:val="21"/>
        </w:rPr>
        <w:t>C) Libertad religiosa, legalidad sancionadora, petición y vivienda.</w:t>
      </w:r>
    </w:p>
    <w:p>
      <w:pPr>
        <w:keepNext/>
        <w:keepLines/>
        <w:spacing w:after="40"/>
        <w:ind w:left="369" w:hanging="198"/>
      </w:pPr>
      <w:r>
        <w:rPr>
          <w:rFonts w:ascii="Arial" w:hAnsi="Arial" w:cs="Arial"/>
          <w:b w:val="0"/>
          <w:sz w:val="21"/>
        </w:rPr>
        <w:t>D) Inviolabilidad domiciliaria, secreto de comunicaciones, circulación y huelga.</w:t>
      </w:r>
    </w:p>
    <w:p>
      <w:pPr>
        <w:pStyle w:val="Question"/>
        <w:keepNext/>
      </w:pPr>
      <w:r>
        <w:rPr>
          <w:rFonts w:ascii="Arial" w:hAnsi="Arial" w:cs="Arial"/>
          <w:sz w:val="22"/>
        </w:rPr>
        <w:t>27. Conforme al ordenamiento vigente a la fecha de corte, sobre la extraordinaria y urgente necesidad, la doctrina constitucional afirma que:</w:t>
      </w:r>
    </w:p>
    <w:p>
      <w:pPr>
        <w:keepNext/>
        <w:keepLines/>
        <w:spacing w:after="40"/>
        <w:ind w:left="369" w:hanging="198"/>
      </w:pPr>
      <w:r>
        <w:rPr>
          <w:rFonts w:ascii="Arial" w:hAnsi="Arial" w:cs="Arial"/>
          <w:b w:val="0"/>
          <w:sz w:val="21"/>
        </w:rPr>
        <w:t>A) Solo existe si el hecho era absolutamente imprevisible.</w:t>
      </w:r>
    </w:p>
    <w:p>
      <w:pPr>
        <w:keepNext/>
        <w:keepLines/>
        <w:spacing w:after="40"/>
        <w:ind w:left="369" w:hanging="198"/>
      </w:pPr>
      <w:r>
        <w:rPr>
          <w:rFonts w:ascii="Arial" w:hAnsi="Arial" w:cs="Arial"/>
          <w:b w:val="0"/>
          <w:sz w:val="21"/>
        </w:rPr>
        <w:t>B) Nunca puede responder a un problema estructural.</w:t>
      </w:r>
    </w:p>
    <w:p>
      <w:pPr>
        <w:keepNext/>
        <w:keepLines/>
        <w:spacing w:after="40"/>
        <w:ind w:left="369" w:hanging="198"/>
      </w:pPr>
      <w:r>
        <w:rPr>
          <w:rFonts w:ascii="Arial" w:hAnsi="Arial" w:cs="Arial"/>
          <w:b w:val="0"/>
          <w:sz w:val="21"/>
        </w:rPr>
        <w:t>C) Queda fuera de todo control jurídico.</w:t>
      </w:r>
    </w:p>
    <w:p>
      <w:pPr>
        <w:keepNext/>
        <w:keepLines/>
        <w:spacing w:after="40"/>
        <w:ind w:left="369" w:hanging="198"/>
      </w:pPr>
      <w:r>
        <w:rPr>
          <w:rFonts w:ascii="Arial" w:hAnsi="Arial" w:cs="Arial"/>
          <w:b w:val="0"/>
          <w:sz w:val="21"/>
        </w:rPr>
        <w:t>D) Puede concurrir aun sin imprevisibilidad, si se razona la necesidad inmediata y existe conexión con las medidas.</w:t>
      </w:r>
    </w:p>
    <w:p>
      <w:pPr>
        <w:pStyle w:val="Question"/>
        <w:keepNext/>
      </w:pPr>
      <w:r>
        <w:rPr>
          <w:rFonts w:ascii="Arial" w:hAnsi="Arial" w:cs="Arial"/>
          <w:sz w:val="22"/>
        </w:rPr>
        <w:t>28. A efectos de aplicar correctamente la regla examinada, el convenio especial ordinario cubre principalmente:</w:t>
      </w:r>
    </w:p>
    <w:p>
      <w:pPr>
        <w:keepNext/>
        <w:keepLines/>
        <w:spacing w:after="40"/>
        <w:ind w:left="369" w:hanging="198"/>
      </w:pPr>
      <w:r>
        <w:rPr>
          <w:rFonts w:ascii="Arial" w:hAnsi="Arial" w:cs="Arial"/>
          <w:b w:val="0"/>
          <w:sz w:val="21"/>
        </w:rPr>
        <w:t>A) Desempleo, FOGASA y formación profesional.</w:t>
      </w:r>
    </w:p>
    <w:p>
      <w:pPr>
        <w:keepNext/>
        <w:keepLines/>
        <w:spacing w:after="40"/>
        <w:ind w:left="369" w:hanging="198"/>
      </w:pPr>
      <w:r>
        <w:rPr>
          <w:rFonts w:ascii="Arial" w:hAnsi="Arial" w:cs="Arial"/>
          <w:b w:val="0"/>
          <w:sz w:val="21"/>
        </w:rPr>
        <w:t>B) Contingencias profesionales y cese de actividad.</w:t>
      </w:r>
    </w:p>
    <w:p>
      <w:pPr>
        <w:keepNext/>
        <w:keepLines/>
        <w:spacing w:after="40"/>
        <w:ind w:left="369" w:hanging="198"/>
      </w:pPr>
      <w:r>
        <w:rPr>
          <w:rFonts w:ascii="Arial" w:hAnsi="Arial" w:cs="Arial"/>
          <w:b w:val="0"/>
          <w:sz w:val="21"/>
        </w:rPr>
        <w:t>C) Exclusivamente asistencia sanitaria.</w:t>
      </w:r>
    </w:p>
    <w:p>
      <w:pPr>
        <w:keepNext/>
        <w:keepLines/>
        <w:spacing w:after="40"/>
        <w:ind w:left="369" w:hanging="198"/>
      </w:pPr>
      <w:r>
        <w:rPr>
          <w:rFonts w:ascii="Arial" w:hAnsi="Arial" w:cs="Arial"/>
          <w:b w:val="0"/>
          <w:sz w:val="21"/>
        </w:rPr>
        <w:t>D) Jubilación, incapacidad permanente y muerte y supervivencia derivadas de contingencias comunes, en los términos regulados.</w:t>
      </w:r>
    </w:p>
    <w:p>
      <w:pPr>
        <w:pStyle w:val="Question"/>
        <w:keepNext/>
      </w:pPr>
      <w:r>
        <w:rPr>
          <w:rFonts w:ascii="Arial" w:hAnsi="Arial" w:cs="Arial"/>
          <w:sz w:val="22"/>
        </w:rPr>
        <w:t>29. A efectos de aplicar correctamente la regla examinada, una persona que trabaja por cuenta propia en una actividad marítimo-pesquera incluida en la Ley 47/2015 debe encuadrarse, por esa actividad:</w:t>
      </w:r>
    </w:p>
    <w:p>
      <w:pPr>
        <w:keepNext/>
        <w:keepLines/>
        <w:spacing w:after="40"/>
        <w:ind w:left="369" w:hanging="198"/>
      </w:pPr>
      <w:r>
        <w:rPr>
          <w:rFonts w:ascii="Arial" w:hAnsi="Arial" w:cs="Arial"/>
          <w:b w:val="0"/>
          <w:sz w:val="21"/>
        </w:rPr>
        <w:t>A) En el Régimen Especial de la Seguridad Social de los Trabajadores del Mar.</w:t>
      </w:r>
    </w:p>
    <w:p>
      <w:pPr>
        <w:keepNext/>
        <w:keepLines/>
        <w:spacing w:after="40"/>
        <w:ind w:left="369" w:hanging="198"/>
      </w:pPr>
      <w:r>
        <w:rPr>
          <w:rFonts w:ascii="Arial" w:hAnsi="Arial" w:cs="Arial"/>
          <w:b w:val="0"/>
          <w:sz w:val="21"/>
        </w:rPr>
        <w:t>B) Necesariamente en el RETA, porque todo trabajo por cuenta propia pertenece a ese régimen.</w:t>
      </w:r>
    </w:p>
    <w:p>
      <w:pPr>
        <w:keepNext/>
        <w:keepLines/>
        <w:spacing w:after="40"/>
        <w:ind w:left="369" w:hanging="198"/>
      </w:pPr>
      <w:r>
        <w:rPr>
          <w:rFonts w:ascii="Arial" w:hAnsi="Arial" w:cs="Arial"/>
          <w:b w:val="0"/>
          <w:sz w:val="21"/>
        </w:rPr>
        <w:t>C) En el Régimen General como asimilada.</w:t>
      </w:r>
    </w:p>
    <w:p>
      <w:pPr>
        <w:keepNext/>
        <w:keepLines/>
        <w:spacing w:after="40"/>
        <w:ind w:left="369" w:hanging="198"/>
      </w:pPr>
      <w:r>
        <w:rPr>
          <w:rFonts w:ascii="Arial" w:hAnsi="Arial" w:cs="Arial"/>
          <w:b w:val="0"/>
          <w:sz w:val="21"/>
        </w:rPr>
        <w:t>D) En el Seguro Escolar.</w:t>
      </w:r>
    </w:p>
    <w:p>
      <w:pPr>
        <w:pStyle w:val="Question"/>
        <w:keepNext/>
      </w:pPr>
      <w:r>
        <w:rPr>
          <w:rFonts w:ascii="Arial" w:hAnsi="Arial" w:cs="Arial"/>
          <w:sz w:val="22"/>
        </w:rPr>
        <w:t>30. Conforme al ordenamiento vigente a la fecha de corte, ¿Mediante qué tipo de norma se resuelven las abdicaciones, renuncias y dudas sucesorias?</w:t>
      </w:r>
    </w:p>
    <w:p>
      <w:pPr>
        <w:keepNext/>
        <w:keepLines/>
        <w:spacing w:after="40"/>
        <w:ind w:left="369" w:hanging="198"/>
      </w:pPr>
      <w:r>
        <w:rPr>
          <w:rFonts w:ascii="Arial" w:hAnsi="Arial" w:cs="Arial"/>
          <w:b w:val="0"/>
          <w:sz w:val="21"/>
        </w:rPr>
        <w:t>A) Mediante real decreto.</w:t>
      </w:r>
    </w:p>
    <w:p>
      <w:pPr>
        <w:keepNext/>
        <w:keepLines/>
        <w:spacing w:after="40"/>
        <w:ind w:left="369" w:hanging="198"/>
      </w:pPr>
      <w:r>
        <w:rPr>
          <w:rFonts w:ascii="Arial" w:hAnsi="Arial" w:cs="Arial"/>
          <w:b w:val="0"/>
          <w:sz w:val="21"/>
        </w:rPr>
        <w:t>B) Mediante ley orgánica.</w:t>
      </w:r>
    </w:p>
    <w:p>
      <w:pPr>
        <w:keepNext/>
        <w:keepLines/>
        <w:spacing w:after="40"/>
        <w:ind w:left="369" w:hanging="198"/>
      </w:pPr>
      <w:r>
        <w:rPr>
          <w:rFonts w:ascii="Arial" w:hAnsi="Arial" w:cs="Arial"/>
          <w:b w:val="0"/>
          <w:sz w:val="21"/>
        </w:rPr>
        <w:t>C) Mediante ley ordinaria.</w:t>
      </w:r>
    </w:p>
    <w:p>
      <w:pPr>
        <w:keepNext/>
        <w:keepLines/>
        <w:spacing w:after="40"/>
        <w:ind w:left="369" w:hanging="198"/>
      </w:pPr>
      <w:r>
        <w:rPr>
          <w:rFonts w:ascii="Arial" w:hAnsi="Arial" w:cs="Arial"/>
          <w:b w:val="0"/>
          <w:sz w:val="21"/>
        </w:rPr>
        <w:t>D) Mediante reglamento de las Cortes.</w:t>
      </w:r>
    </w:p>
    <w:p>
      <w:pPr>
        <w:pStyle w:val="Question"/>
        <w:keepNext/>
      </w:pPr>
      <w:r>
        <w:rPr>
          <w:rFonts w:ascii="Arial" w:hAnsi="Arial" w:cs="Arial"/>
          <w:sz w:val="22"/>
        </w:rPr>
        <w:t>31. De acuerdo con la regulación aplicable, en una tercería de mejor derecho:</w:t>
      </w:r>
    </w:p>
    <w:p>
      <w:pPr>
        <w:keepNext/>
        <w:keepLines/>
        <w:spacing w:after="40"/>
        <w:ind w:left="369" w:hanging="198"/>
      </w:pPr>
      <w:r>
        <w:rPr>
          <w:rFonts w:ascii="Arial" w:hAnsi="Arial" w:cs="Arial"/>
          <w:b w:val="0"/>
          <w:sz w:val="21"/>
        </w:rPr>
        <w:t>A) Debe devolverse inmediatamente el bien al tercerista.</w:t>
      </w:r>
    </w:p>
    <w:p>
      <w:pPr>
        <w:keepNext/>
        <w:keepLines/>
        <w:spacing w:after="40"/>
        <w:ind w:left="369" w:hanging="198"/>
      </w:pPr>
      <w:r>
        <w:rPr>
          <w:rFonts w:ascii="Arial" w:hAnsi="Arial" w:cs="Arial"/>
          <w:b w:val="0"/>
          <w:sz w:val="21"/>
        </w:rPr>
        <w:t>B) Se extinguen todos los créditos concurrentes.</w:t>
      </w:r>
    </w:p>
    <w:p>
      <w:pPr>
        <w:keepNext/>
        <w:keepLines/>
        <w:spacing w:after="40"/>
        <w:ind w:left="369" w:hanging="198"/>
      </w:pPr>
      <w:r>
        <w:rPr>
          <w:rFonts w:ascii="Arial" w:hAnsi="Arial" w:cs="Arial"/>
          <w:b w:val="0"/>
          <w:sz w:val="21"/>
        </w:rPr>
        <w:t>C) La TGSS no puede recibir alegaciones del apremiado.</w:t>
      </w:r>
    </w:p>
    <w:p>
      <w:pPr>
        <w:keepNext/>
        <w:keepLines/>
        <w:spacing w:after="40"/>
        <w:ind w:left="369" w:hanging="198"/>
      </w:pPr>
      <w:r>
        <w:rPr>
          <w:rFonts w:ascii="Arial" w:hAnsi="Arial" w:cs="Arial"/>
          <w:b w:val="0"/>
          <w:sz w:val="21"/>
        </w:rPr>
        <w:t>D) La ejecución continúa hasta la realización del bien y el producto queda sujeto a la decisión sobre la preferencia.</w:t>
      </w:r>
    </w:p>
    <w:p>
      <w:pPr>
        <w:pStyle w:val="Question"/>
        <w:keepNext/>
      </w:pPr>
      <w:r>
        <w:rPr>
          <w:rFonts w:ascii="Arial" w:hAnsi="Arial" w:cs="Arial"/>
          <w:sz w:val="22"/>
        </w:rPr>
        <w:t>32. A efectos de aplicar correctamente la regla examinada, si el procedimiento de revisión de nulidad supera seis meses sin resolución:</w:t>
      </w:r>
    </w:p>
    <w:p>
      <w:pPr>
        <w:keepNext/>
        <w:keepLines/>
        <w:spacing w:after="40"/>
        <w:ind w:left="369" w:hanging="198"/>
      </w:pPr>
      <w:r>
        <w:rPr>
          <w:rFonts w:ascii="Arial" w:hAnsi="Arial" w:cs="Arial"/>
          <w:b w:val="0"/>
          <w:sz w:val="21"/>
        </w:rPr>
        <w:t>A) Se estima en todo caso.</w:t>
      </w:r>
    </w:p>
    <w:p>
      <w:pPr>
        <w:keepNext/>
        <w:keepLines/>
        <w:spacing w:after="40"/>
        <w:ind w:left="369" w:hanging="198"/>
      </w:pPr>
      <w:r>
        <w:rPr>
          <w:rFonts w:ascii="Arial" w:hAnsi="Arial" w:cs="Arial"/>
          <w:b w:val="0"/>
          <w:sz w:val="21"/>
        </w:rPr>
        <w:t>B) Caduca si se inició de oficio y se entiende desestimado si comenzó a solicitud del interesado.</w:t>
      </w:r>
    </w:p>
    <w:p>
      <w:pPr>
        <w:keepNext/>
        <w:keepLines/>
        <w:spacing w:after="40"/>
        <w:ind w:left="369" w:hanging="198"/>
      </w:pPr>
      <w:r>
        <w:rPr>
          <w:rFonts w:ascii="Arial" w:hAnsi="Arial" w:cs="Arial"/>
          <w:b w:val="0"/>
          <w:sz w:val="21"/>
        </w:rPr>
        <w:t>C) Caduca en todo caso.</w:t>
      </w:r>
    </w:p>
    <w:p>
      <w:pPr>
        <w:keepNext/>
        <w:keepLines/>
        <w:spacing w:after="40"/>
        <w:ind w:left="369" w:hanging="198"/>
      </w:pPr>
      <w:r>
        <w:rPr>
          <w:rFonts w:ascii="Arial" w:hAnsi="Arial" w:cs="Arial"/>
          <w:b w:val="0"/>
          <w:sz w:val="21"/>
        </w:rPr>
        <w:t>D) Se desestima en todo caso.</w:t>
      </w:r>
    </w:p>
    <w:p>
      <w:pPr>
        <w:pStyle w:val="Question"/>
        <w:keepNext/>
      </w:pPr>
      <w:r>
        <w:rPr>
          <w:rFonts w:ascii="Arial" w:hAnsi="Arial" w:cs="Arial"/>
          <w:sz w:val="22"/>
        </w:rPr>
        <w:t>33. De acuerdo con la regulación aplicable,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val="0"/>
          <w:sz w:val="21"/>
        </w:rPr>
        <w:t>B) Solo devuelve si hubo delito.</w:t>
      </w:r>
    </w:p>
    <w:p>
      <w:pPr>
        <w:keepNext/>
        <w:keepLines/>
        <w:spacing w:after="40"/>
        <w:ind w:left="369" w:hanging="198"/>
      </w:pPr>
      <w:r>
        <w:rPr>
          <w:rFonts w:ascii="Arial" w:hAnsi="Arial" w:cs="Arial"/>
          <w:b w:val="0"/>
          <w:sz w:val="21"/>
        </w:rPr>
        <w:t>C) Debe reintegrarlas, dentro del plazo de cuatro años y por el cauce procedente.</w:t>
      </w:r>
    </w:p>
    <w:p>
      <w:pPr>
        <w:keepNext/>
        <w:keepLines/>
        <w:spacing w:after="40"/>
        <w:ind w:left="369" w:hanging="198"/>
      </w:pPr>
      <w:r>
        <w:rPr>
          <w:rFonts w:ascii="Arial" w:hAnsi="Arial" w:cs="Arial"/>
          <w:b w:val="0"/>
          <w:sz w:val="21"/>
        </w:rPr>
        <w:t>D) El plazo de reintegro es de cinco años.</w:t>
      </w:r>
    </w:p>
    <w:p>
      <w:pPr>
        <w:pStyle w:val="Question"/>
        <w:keepNext/>
      </w:pPr>
      <w:r>
        <w:rPr>
          <w:rFonts w:ascii="Arial" w:hAnsi="Arial" w:cs="Arial"/>
          <w:sz w:val="22"/>
        </w:rPr>
        <w:t>34. En una comprobación jurídica del expediente, constitucionalmente, la provincia es:</w:t>
      </w:r>
    </w:p>
    <w:p>
      <w:pPr>
        <w:keepNext/>
        <w:keepLines/>
        <w:spacing w:after="40"/>
        <w:ind w:left="369" w:hanging="198"/>
      </w:pPr>
      <w:r>
        <w:rPr>
          <w:rFonts w:ascii="Arial" w:hAnsi="Arial" w:cs="Arial"/>
          <w:b w:val="0"/>
          <w:sz w:val="21"/>
        </w:rPr>
        <w:t>A) Únicamente una circunscripción electoral sin personalidad.</w:t>
      </w:r>
    </w:p>
    <w:p>
      <w:pPr>
        <w:keepNext/>
        <w:keepLines/>
        <w:spacing w:after="40"/>
        <w:ind w:left="369" w:hanging="198"/>
      </w:pPr>
      <w:r>
        <w:rPr>
          <w:rFonts w:ascii="Arial" w:hAnsi="Arial" w:cs="Arial"/>
          <w:b w:val="0"/>
          <w:sz w:val="21"/>
        </w:rPr>
        <w:t>B) Entidad local con personalidad propia, agrupación de municipios y división territorial para actividades del Estado.</w:t>
      </w:r>
    </w:p>
    <w:p>
      <w:pPr>
        <w:keepNext/>
        <w:keepLines/>
        <w:spacing w:after="40"/>
        <w:ind w:left="369" w:hanging="198"/>
      </w:pPr>
      <w:r>
        <w:rPr>
          <w:rFonts w:ascii="Arial" w:hAnsi="Arial" w:cs="Arial"/>
          <w:b w:val="0"/>
          <w:sz w:val="21"/>
        </w:rPr>
        <w:t>C) Una entidad autonómica con potestad legislativa.</w:t>
      </w:r>
    </w:p>
    <w:p>
      <w:pPr>
        <w:keepNext/>
        <w:keepLines/>
        <w:spacing w:after="40"/>
        <w:ind w:left="369" w:hanging="198"/>
      </w:pPr>
      <w:r>
        <w:rPr>
          <w:rFonts w:ascii="Arial" w:hAnsi="Arial" w:cs="Arial"/>
          <w:b w:val="0"/>
          <w:sz w:val="21"/>
        </w:rPr>
        <w:t>D) Una agrupación voluntaria que puede disolverse por ordenanza.</w:t>
      </w:r>
    </w:p>
    <w:p>
      <w:pPr>
        <w:pStyle w:val="Question"/>
        <w:keepNext/>
      </w:pPr>
      <w:r>
        <w:rPr>
          <w:rFonts w:ascii="Arial" w:hAnsi="Arial" w:cs="Arial"/>
          <w:sz w:val="22"/>
        </w:rPr>
        <w:t>35. En una comprobación jurídica del expediente,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val="0"/>
          <w:sz w:val="21"/>
        </w:rPr>
        <w:t>B) Exigir pertenecer a una categoría protegida y acreditar, según el caso, convivencia y dependencia económica.</w:t>
      </w:r>
    </w:p>
    <w:p>
      <w:pPr>
        <w:keepNext/>
        <w:keepLines/>
        <w:spacing w:after="40"/>
        <w:ind w:left="369" w:hanging="198"/>
      </w:pPr>
      <w:r>
        <w:rPr>
          <w:rFonts w:ascii="Arial" w:hAnsi="Arial" w:cs="Arial"/>
          <w:b w:val="0"/>
          <w:sz w:val="21"/>
        </w:rPr>
        <w:t>C) Tener prioridad absoluta sobre la orfandad.</w:t>
      </w:r>
    </w:p>
    <w:p>
      <w:pPr>
        <w:keepNext/>
        <w:keepLines/>
        <w:spacing w:after="40"/>
        <w:ind w:left="369" w:hanging="198"/>
      </w:pPr>
      <w:r>
        <w:rPr>
          <w:rFonts w:ascii="Arial" w:hAnsi="Arial" w:cs="Arial"/>
          <w:b w:val="0"/>
          <w:sz w:val="21"/>
        </w:rPr>
        <w:t>D) Corresponder a cualquier pariente hasta cuarto grado.</w:t>
      </w:r>
    </w:p>
    <w:p>
      <w:pPr>
        <w:pStyle w:val="Question"/>
        <w:keepNext/>
      </w:pPr>
      <w:r>
        <w:rPr>
          <w:rFonts w:ascii="Arial" w:hAnsi="Arial" w:cs="Arial"/>
          <w:sz w:val="22"/>
        </w:rPr>
        <w:t>36. Sin añadir circunstancias distintas de las indicadas, si el interesado solicita la tramitación simplificada y el órgano no resuelve su solicitud en cinco días:</w:t>
      </w:r>
    </w:p>
    <w:p>
      <w:pPr>
        <w:keepNext/>
        <w:keepLines/>
        <w:spacing w:after="40"/>
        <w:ind w:left="369" w:hanging="198"/>
      </w:pPr>
      <w:r>
        <w:rPr>
          <w:rFonts w:ascii="Arial" w:hAnsi="Arial" w:cs="Arial"/>
          <w:b w:val="0"/>
          <w:sz w:val="21"/>
        </w:rPr>
        <w:t>A) Se entiende estimada.</w:t>
      </w:r>
    </w:p>
    <w:p>
      <w:pPr>
        <w:keepNext/>
        <w:keepLines/>
        <w:spacing w:after="40"/>
        <w:ind w:left="369" w:hanging="198"/>
      </w:pPr>
      <w:r>
        <w:rPr>
          <w:rFonts w:ascii="Arial" w:hAnsi="Arial" w:cs="Arial"/>
          <w:b w:val="0"/>
          <w:sz w:val="21"/>
        </w:rPr>
        <w:t>B) Se transforma automáticamente el procedimiento.</w:t>
      </w:r>
    </w:p>
    <w:p>
      <w:pPr>
        <w:keepNext/>
        <w:keepLines/>
        <w:spacing w:after="40"/>
        <w:ind w:left="369" w:hanging="198"/>
      </w:pPr>
      <w:r>
        <w:rPr>
          <w:rFonts w:ascii="Arial" w:hAnsi="Arial" w:cs="Arial"/>
          <w:b w:val="0"/>
          <w:sz w:val="21"/>
        </w:rPr>
        <w:t>C) Se entiende desestimada y no cabe recurso contra esa decisión.</w:t>
      </w:r>
    </w:p>
    <w:p>
      <w:pPr>
        <w:keepNext/>
        <w:keepLines/>
        <w:spacing w:after="40"/>
        <w:ind w:left="369" w:hanging="198"/>
      </w:pPr>
      <w:r>
        <w:rPr>
          <w:rFonts w:ascii="Arial" w:hAnsi="Arial" w:cs="Arial"/>
          <w:b w:val="0"/>
          <w:sz w:val="21"/>
        </w:rPr>
        <w:t>D) Caduca el procedimiento principal.</w:t>
      </w:r>
    </w:p>
    <w:p>
      <w:pPr>
        <w:pStyle w:val="Question"/>
        <w:keepNext/>
      </w:pPr>
      <w:r>
        <w:rPr>
          <w:rFonts w:ascii="Arial" w:hAnsi="Arial" w:cs="Arial"/>
          <w:sz w:val="22"/>
        </w:rPr>
        <w:t>37. A efectos de aplicar correctamente la regla examinada, si la gravedad o urgencia aconseja un informe extraordinario del Defensor y las Cámaras no están reunidas, ¿a quién se dirige?</w:t>
      </w:r>
    </w:p>
    <w:p>
      <w:pPr>
        <w:keepNext/>
        <w:keepLines/>
        <w:spacing w:after="40"/>
        <w:ind w:left="369" w:hanging="198"/>
      </w:pPr>
      <w:r>
        <w:rPr>
          <w:rFonts w:ascii="Arial" w:hAnsi="Arial" w:cs="Arial"/>
          <w:b w:val="0"/>
          <w:sz w:val="21"/>
        </w:rPr>
        <w:t>A) Al Gobierno.</w:t>
      </w:r>
    </w:p>
    <w:p>
      <w:pPr>
        <w:keepNext/>
        <w:keepLines/>
        <w:spacing w:after="40"/>
        <w:ind w:left="369" w:hanging="198"/>
      </w:pPr>
      <w:r>
        <w:rPr>
          <w:rFonts w:ascii="Arial" w:hAnsi="Arial" w:cs="Arial"/>
          <w:b w:val="0"/>
          <w:sz w:val="21"/>
        </w:rPr>
        <w:t>B) A las Diputaciones Permanentes de las Cámaras.</w:t>
      </w:r>
    </w:p>
    <w:p>
      <w:pPr>
        <w:keepNext/>
        <w:keepLines/>
        <w:spacing w:after="40"/>
        <w:ind w:left="369" w:hanging="198"/>
      </w:pPr>
      <w:r>
        <w:rPr>
          <w:rFonts w:ascii="Arial" w:hAnsi="Arial" w:cs="Arial"/>
          <w:b w:val="0"/>
          <w:sz w:val="21"/>
        </w:rPr>
        <w:t>C) Al Tribunal Constitucional.</w:t>
      </w:r>
    </w:p>
    <w:p>
      <w:pPr>
        <w:keepNext/>
        <w:keepLines/>
        <w:spacing w:after="40"/>
        <w:ind w:left="369" w:hanging="198"/>
      </w:pPr>
      <w:r>
        <w:rPr>
          <w:rFonts w:ascii="Arial" w:hAnsi="Arial" w:cs="Arial"/>
          <w:b w:val="0"/>
          <w:sz w:val="21"/>
        </w:rPr>
        <w:t>D) Al Fiscal General del Estado exclusivamente.</w:t>
      </w:r>
    </w:p>
    <w:p>
      <w:pPr>
        <w:pStyle w:val="Question"/>
        <w:keepNext/>
      </w:pPr>
      <w:r>
        <w:rPr>
          <w:rFonts w:ascii="Arial" w:hAnsi="Arial" w:cs="Arial"/>
          <w:sz w:val="22"/>
        </w:rPr>
        <w:t>38. A efectos de aplicar correctamente la regla examinada, ¿Qué afirmación diferencia correctamente el estado de alarma de los estados de excepción y sitio?</w:t>
      </w:r>
    </w:p>
    <w:p>
      <w:pPr>
        <w:keepNext/>
        <w:keepLines/>
        <w:spacing w:after="40"/>
        <w:ind w:left="369" w:hanging="198"/>
      </w:pPr>
      <w:r>
        <w:rPr>
          <w:rFonts w:ascii="Arial" w:hAnsi="Arial" w:cs="Arial"/>
          <w:b w:val="0"/>
          <w:sz w:val="21"/>
        </w:rPr>
        <w:t>A) La alarma permite suspender todos los derechos del artículo 55.</w:t>
      </w:r>
    </w:p>
    <w:p>
      <w:pPr>
        <w:keepNext/>
        <w:keepLines/>
        <w:spacing w:after="40"/>
        <w:ind w:left="369" w:hanging="198"/>
      </w:pPr>
      <w:r>
        <w:rPr>
          <w:rFonts w:ascii="Arial" w:hAnsi="Arial" w:cs="Arial"/>
          <w:b w:val="0"/>
          <w:sz w:val="21"/>
        </w:rPr>
        <w:t>B) La alarma la declara el Congreso a propuesta del Gobierno.</w:t>
      </w:r>
    </w:p>
    <w:p>
      <w:pPr>
        <w:keepNext/>
        <w:keepLines/>
        <w:spacing w:after="40"/>
        <w:ind w:left="369" w:hanging="198"/>
      </w:pPr>
      <w:r>
        <w:rPr>
          <w:rFonts w:ascii="Arial" w:hAnsi="Arial" w:cs="Arial"/>
          <w:b w:val="0"/>
          <w:sz w:val="21"/>
        </w:rPr>
        <w:t>C) La alarma admite medidas limitativas, pero no es supuesto de suspensión formal del artículo 55.1.</w:t>
      </w:r>
    </w:p>
    <w:p>
      <w:pPr>
        <w:keepNext/>
        <w:keepLines/>
        <w:spacing w:after="40"/>
        <w:ind w:left="369" w:hanging="198"/>
      </w:pPr>
      <w:r>
        <w:rPr>
          <w:rFonts w:ascii="Arial" w:hAnsi="Arial" w:cs="Arial"/>
          <w:b w:val="0"/>
          <w:sz w:val="21"/>
        </w:rPr>
        <w:t>D) La alarma tiene una duración constitucional inicial de treinta días.</w:t>
      </w:r>
    </w:p>
    <w:p>
      <w:pPr>
        <w:pStyle w:val="Question"/>
        <w:keepNext/>
      </w:pPr>
      <w:r>
        <w:rPr>
          <w:rFonts w:ascii="Arial" w:hAnsi="Arial" w:cs="Arial"/>
          <w:sz w:val="22"/>
        </w:rPr>
        <w:t>39. A efectos de aplicar correctamente la regla examinada, ¿Cuál de estos elementos queda normalmente fuera del expediente administrativo?</w:t>
      </w:r>
    </w:p>
    <w:p>
      <w:pPr>
        <w:keepNext/>
        <w:keepLines/>
        <w:spacing w:after="40"/>
        <w:ind w:left="369" w:hanging="198"/>
      </w:pPr>
      <w:r>
        <w:rPr>
          <w:rFonts w:ascii="Arial" w:hAnsi="Arial" w:cs="Arial"/>
          <w:b w:val="0"/>
          <w:sz w:val="21"/>
        </w:rPr>
        <w:t>A) Una nota auxiliar o borrador interno.</w:t>
      </w:r>
    </w:p>
    <w:p>
      <w:pPr>
        <w:keepNext/>
        <w:keepLines/>
        <w:spacing w:after="40"/>
        <w:ind w:left="369" w:hanging="198"/>
      </w:pPr>
      <w:r>
        <w:rPr>
          <w:rFonts w:ascii="Arial" w:hAnsi="Arial" w:cs="Arial"/>
          <w:b w:val="0"/>
          <w:sz w:val="21"/>
        </w:rPr>
        <w:t>B) La resolución.</w:t>
      </w:r>
    </w:p>
    <w:p>
      <w:pPr>
        <w:keepNext/>
        <w:keepLines/>
        <w:spacing w:after="40"/>
        <w:ind w:left="369" w:hanging="198"/>
      </w:pPr>
      <w:r>
        <w:rPr>
          <w:rFonts w:ascii="Arial" w:hAnsi="Arial" w:cs="Arial"/>
          <w:b w:val="0"/>
          <w:sz w:val="21"/>
        </w:rPr>
        <w:t>C) Una prueba admitida.</w:t>
      </w:r>
    </w:p>
    <w:p>
      <w:pPr>
        <w:keepNext/>
        <w:keepLines/>
        <w:spacing w:after="40"/>
        <w:ind w:left="369" w:hanging="198"/>
      </w:pPr>
      <w:r>
        <w:rPr>
          <w:rFonts w:ascii="Arial" w:hAnsi="Arial" w:cs="Arial"/>
          <w:b w:val="0"/>
          <w:sz w:val="21"/>
        </w:rPr>
        <w:t>D) Un informe preceptivo solicitado antes de resolver.</w:t>
      </w:r>
    </w:p>
    <w:p>
      <w:pPr>
        <w:pStyle w:val="Question"/>
        <w:keepNext/>
      </w:pPr>
      <w:r>
        <w:rPr>
          <w:rFonts w:ascii="Arial" w:hAnsi="Arial" w:cs="Arial"/>
          <w:sz w:val="22"/>
        </w:rPr>
        <w:t>40. Conforme al ordenamiento vigente a la fecha de corte, el Reglamento General de Protección de Datos es aplicable desde:</w:t>
      </w:r>
    </w:p>
    <w:p>
      <w:pPr>
        <w:keepNext/>
        <w:keepLines/>
        <w:spacing w:after="40"/>
        <w:ind w:left="369" w:hanging="198"/>
      </w:pPr>
      <w:r>
        <w:rPr>
          <w:rFonts w:ascii="Arial" w:hAnsi="Arial" w:cs="Arial"/>
          <w:b w:val="0"/>
          <w:sz w:val="21"/>
        </w:rPr>
        <w:t>A) El 6 de diciembre de 2018.</w:t>
      </w:r>
    </w:p>
    <w:p>
      <w:pPr>
        <w:keepNext/>
        <w:keepLines/>
        <w:spacing w:after="40"/>
        <w:ind w:left="369" w:hanging="198"/>
      </w:pPr>
      <w:r>
        <w:rPr>
          <w:rFonts w:ascii="Arial" w:hAnsi="Arial" w:cs="Arial"/>
          <w:b w:val="0"/>
          <w:sz w:val="21"/>
        </w:rPr>
        <w:t>B) El 27 de abril de 2016 sin período transitorio.</w:t>
      </w:r>
    </w:p>
    <w:p>
      <w:pPr>
        <w:keepNext/>
        <w:keepLines/>
        <w:spacing w:after="40"/>
        <w:ind w:left="369" w:hanging="198"/>
      </w:pPr>
      <w:r>
        <w:rPr>
          <w:rFonts w:ascii="Arial" w:hAnsi="Arial" w:cs="Arial"/>
          <w:b w:val="0"/>
          <w:sz w:val="21"/>
        </w:rPr>
        <w:t>C) El 25 de mayo de 2018.</w:t>
      </w:r>
    </w:p>
    <w:p>
      <w:pPr>
        <w:keepNext/>
        <w:keepLines/>
        <w:spacing w:after="40"/>
        <w:ind w:left="369" w:hanging="198"/>
      </w:pPr>
      <w:r>
        <w:rPr>
          <w:rFonts w:ascii="Arial" w:hAnsi="Arial" w:cs="Arial"/>
          <w:b w:val="0"/>
          <w:sz w:val="21"/>
        </w:rPr>
        <w:t>D) El 1 de enero de 2020.</w:t>
      </w:r>
    </w:p>
    <w:p>
      <w:pPr>
        <w:pStyle w:val="Question"/>
        <w:keepNext/>
      </w:pPr>
      <w:r>
        <w:rPr>
          <w:rFonts w:ascii="Arial" w:hAnsi="Arial" w:cs="Arial"/>
          <w:sz w:val="22"/>
        </w:rPr>
        <w:t>41. De acuerdo con la regulación aplicable, en un parto de trillizos, la prestación de parto múltiple equivale a:</w:t>
      </w:r>
    </w:p>
    <w:p>
      <w:pPr>
        <w:keepNext/>
        <w:keepLines/>
        <w:spacing w:after="40"/>
        <w:ind w:left="369" w:hanging="198"/>
      </w:pPr>
      <w:r>
        <w:rPr>
          <w:rFonts w:ascii="Arial" w:hAnsi="Arial" w:cs="Arial"/>
          <w:b w:val="0"/>
          <w:sz w:val="21"/>
        </w:rPr>
        <w:t>A) 3 veces el SMI.</w:t>
      </w:r>
    </w:p>
    <w:p>
      <w:pPr>
        <w:keepNext/>
        <w:keepLines/>
        <w:spacing w:after="40"/>
        <w:ind w:left="369" w:hanging="198"/>
      </w:pPr>
      <w:r>
        <w:rPr>
          <w:rFonts w:ascii="Arial" w:hAnsi="Arial" w:cs="Arial"/>
          <w:b w:val="0"/>
          <w:sz w:val="21"/>
        </w:rPr>
        <w:t>B) 8 veces el SMI mensual.</w:t>
      </w:r>
    </w:p>
    <w:p>
      <w:pPr>
        <w:keepNext/>
        <w:keepLines/>
        <w:spacing w:after="40"/>
        <w:ind w:left="369" w:hanging="198"/>
      </w:pPr>
      <w:r>
        <w:rPr>
          <w:rFonts w:ascii="Arial" w:hAnsi="Arial" w:cs="Arial"/>
          <w:b w:val="0"/>
          <w:sz w:val="21"/>
        </w:rPr>
        <w:t>C) 4 veces el SMI.</w:t>
      </w:r>
    </w:p>
    <w:p>
      <w:pPr>
        <w:keepNext/>
        <w:keepLines/>
        <w:spacing w:after="40"/>
        <w:ind w:left="369" w:hanging="198"/>
      </w:pPr>
      <w:r>
        <w:rPr>
          <w:rFonts w:ascii="Arial" w:hAnsi="Arial" w:cs="Arial"/>
          <w:b w:val="0"/>
          <w:sz w:val="21"/>
        </w:rPr>
        <w:t>D) 12 veces el IPREM.</w:t>
      </w:r>
    </w:p>
    <w:p>
      <w:pPr>
        <w:pStyle w:val="Question"/>
        <w:keepNext/>
      </w:pPr>
      <w:r>
        <w:rPr>
          <w:rFonts w:ascii="Arial" w:hAnsi="Arial" w:cs="Arial"/>
          <w:sz w:val="22"/>
        </w:rPr>
        <w:t>42. A efectos de aplicar correctamente la regla examinada, la tramitación urgente del artículo 27 de la Ley del Gobierno implica:</w:t>
      </w:r>
    </w:p>
    <w:p>
      <w:pPr>
        <w:keepNext/>
        <w:keepLines/>
        <w:spacing w:after="40"/>
        <w:ind w:left="369" w:hanging="198"/>
      </w:pPr>
      <w:r>
        <w:rPr>
          <w:rFonts w:ascii="Arial" w:hAnsi="Arial" w:cs="Arial"/>
          <w:b w:val="0"/>
          <w:sz w:val="21"/>
        </w:rPr>
        <w:t>A) Suprimir consulta y audiencia en todo caso.</w:t>
      </w:r>
    </w:p>
    <w:p>
      <w:pPr>
        <w:keepNext/>
        <w:keepLines/>
        <w:spacing w:after="40"/>
        <w:ind w:left="369" w:hanging="198"/>
      </w:pPr>
      <w:r>
        <w:rPr>
          <w:rFonts w:ascii="Arial" w:hAnsi="Arial" w:cs="Arial"/>
          <w:b w:val="0"/>
          <w:sz w:val="21"/>
        </w:rPr>
        <w:t>B) Convertir el reglamento en decreto-ley.</w:t>
      </w:r>
    </w:p>
    <w:p>
      <w:pPr>
        <w:keepNext/>
        <w:keepLines/>
        <w:spacing w:after="40"/>
        <w:ind w:left="369" w:hanging="198"/>
      </w:pPr>
      <w:r>
        <w:rPr>
          <w:rFonts w:ascii="Arial" w:hAnsi="Arial" w:cs="Arial"/>
          <w:b w:val="0"/>
          <w:sz w:val="21"/>
        </w:rPr>
        <w:t>C) Excluir todos los informes preceptivos del expediente.</w:t>
      </w:r>
    </w:p>
    <w:p>
      <w:pPr>
        <w:keepNext/>
        <w:keepLines/>
        <w:spacing w:after="40"/>
        <w:ind w:left="369" w:hanging="198"/>
      </w:pPr>
      <w:r>
        <w:rPr>
          <w:rFonts w:ascii="Arial" w:hAnsi="Arial" w:cs="Arial"/>
          <w:b w:val="0"/>
          <w:sz w:val="21"/>
        </w:rPr>
        <w:t>D) Reducir plazos a la mitad, omitir consulta previa y mantener audiencia o información durante siete días.</w:t>
      </w:r>
    </w:p>
    <w:p>
      <w:pPr>
        <w:pStyle w:val="Question"/>
        <w:keepNext/>
      </w:pPr>
      <w:r>
        <w:rPr>
          <w:rFonts w:ascii="Arial" w:hAnsi="Arial" w:cs="Arial"/>
          <w:sz w:val="22"/>
        </w:rPr>
        <w:t>43. De acuerdo con la regulación aplicable, la reclamación administrativa de tercería la resuelve:</w:t>
      </w:r>
    </w:p>
    <w:p>
      <w:pPr>
        <w:keepNext/>
        <w:keepLines/>
        <w:spacing w:after="40"/>
        <w:ind w:left="369" w:hanging="198"/>
      </w:pPr>
      <w:r>
        <w:rPr>
          <w:rFonts w:ascii="Arial" w:hAnsi="Arial" w:cs="Arial"/>
          <w:b w:val="0"/>
          <w:sz w:val="21"/>
        </w:rPr>
        <w:t>A) El director provincial de la TGSS en el plazo máximo de tres meses.</w:t>
      </w:r>
    </w:p>
    <w:p>
      <w:pPr>
        <w:keepNext/>
        <w:keepLines/>
        <w:spacing w:after="40"/>
        <w:ind w:left="369" w:hanging="198"/>
      </w:pPr>
      <w:r>
        <w:rPr>
          <w:rFonts w:ascii="Arial" w:hAnsi="Arial" w:cs="Arial"/>
          <w:b w:val="0"/>
          <w:sz w:val="21"/>
        </w:rPr>
        <w:t>B) El recaudador ejecutivo en un mes.</w:t>
      </w:r>
    </w:p>
    <w:p>
      <w:pPr>
        <w:keepNext/>
        <w:keepLines/>
        <w:spacing w:after="40"/>
        <w:ind w:left="369" w:hanging="198"/>
      </w:pPr>
      <w:r>
        <w:rPr>
          <w:rFonts w:ascii="Arial" w:hAnsi="Arial" w:cs="Arial"/>
          <w:b w:val="0"/>
          <w:sz w:val="21"/>
        </w:rPr>
        <w:t>C) El INSS en seis meses.</w:t>
      </w:r>
    </w:p>
    <w:p>
      <w:pPr>
        <w:keepNext/>
        <w:keepLines/>
        <w:spacing w:after="40"/>
        <w:ind w:left="369" w:hanging="198"/>
      </w:pPr>
      <w:r>
        <w:rPr>
          <w:rFonts w:ascii="Arial" w:hAnsi="Arial" w:cs="Arial"/>
          <w:b w:val="0"/>
          <w:sz w:val="21"/>
        </w:rPr>
        <w:t>D) El banco depositario en diez días.</w:t>
      </w:r>
    </w:p>
    <w:p>
      <w:pPr>
        <w:pStyle w:val="Question"/>
        <w:keepNext/>
      </w:pPr>
      <w:r>
        <w:rPr>
          <w:rFonts w:ascii="Arial" w:hAnsi="Arial" w:cs="Arial"/>
          <w:sz w:val="22"/>
        </w:rPr>
        <w:t>44. A efectos de aplicar correctamente la regla examinada, ¿Qué aval necesita un juez o magistrado que presenta candidatura al turno judicial del CGPJ?</w:t>
      </w:r>
    </w:p>
    <w:p>
      <w:pPr>
        <w:keepNext/>
        <w:keepLines/>
        <w:spacing w:after="40"/>
        <w:ind w:left="369" w:hanging="198"/>
      </w:pPr>
      <w:r>
        <w:rPr>
          <w:rFonts w:ascii="Arial" w:hAnsi="Arial" w:cs="Arial"/>
          <w:b w:val="0"/>
          <w:sz w:val="21"/>
        </w:rPr>
        <w:t>A) Cincuenta jueces y una asociación, acumulativamente.</w:t>
      </w:r>
    </w:p>
    <w:p>
      <w:pPr>
        <w:keepNext/>
        <w:keepLines/>
        <w:spacing w:after="40"/>
        <w:ind w:left="369" w:hanging="198"/>
      </w:pPr>
      <w:r>
        <w:rPr>
          <w:rFonts w:ascii="Arial" w:hAnsi="Arial" w:cs="Arial"/>
          <w:b w:val="0"/>
          <w:sz w:val="21"/>
        </w:rPr>
        <w:t>B) Veinticinco miembros de la carrera judicial en activo o una asociación judicial.</w:t>
      </w:r>
    </w:p>
    <w:p>
      <w:pPr>
        <w:keepNext/>
        <w:keepLines/>
        <w:spacing w:after="40"/>
        <w:ind w:left="369" w:hanging="198"/>
      </w:pPr>
      <w:r>
        <w:rPr>
          <w:rFonts w:ascii="Arial" w:hAnsi="Arial" w:cs="Arial"/>
          <w:b w:val="0"/>
          <w:sz w:val="21"/>
        </w:rPr>
        <w:t>C) El Gobierno o el Ministerio Fiscal.</w:t>
      </w:r>
    </w:p>
    <w:p>
      <w:pPr>
        <w:keepNext/>
        <w:keepLines/>
        <w:spacing w:after="40"/>
        <w:ind w:left="369" w:hanging="198"/>
      </w:pPr>
      <w:r>
        <w:rPr>
          <w:rFonts w:ascii="Arial" w:hAnsi="Arial" w:cs="Arial"/>
          <w:b w:val="0"/>
          <w:sz w:val="21"/>
        </w:rPr>
        <w:t>D) Diez jueces exclusivamente.</w:t>
      </w:r>
    </w:p>
    <w:p>
      <w:pPr>
        <w:pStyle w:val="Question"/>
        <w:keepNext/>
      </w:pPr>
      <w:r>
        <w:rPr>
          <w:rFonts w:ascii="Arial" w:hAnsi="Arial" w:cs="Arial"/>
          <w:sz w:val="22"/>
        </w:rPr>
        <w:t>45. Sin añadir circunstancias distintas de las indicadas,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val="0"/>
          <w:sz w:val="21"/>
        </w:rPr>
        <w:t>C) Disponen de treinta días para personarse, sin trámite de alegaciones.</w:t>
      </w:r>
    </w:p>
    <w:p>
      <w:pPr>
        <w:keepNext/>
        <w:keepLines/>
        <w:spacing w:after="40"/>
        <w:ind w:left="369" w:hanging="198"/>
      </w:pPr>
      <w:r>
        <w:rPr>
          <w:rFonts w:ascii="Arial" w:hAnsi="Arial" w:cs="Arial"/>
          <w:b w:val="0"/>
          <w:sz w:val="21"/>
        </w:rPr>
        <w:t>D) Pueden personarse en quince días y formular alegaciones en otros quince.</w:t>
      </w:r>
    </w:p>
    <w:p>
      <w:pPr>
        <w:pStyle w:val="Question"/>
        <w:keepNext/>
      </w:pPr>
      <w:r>
        <w:rPr>
          <w:rFonts w:ascii="Arial" w:hAnsi="Arial" w:cs="Arial"/>
          <w:sz w:val="22"/>
        </w:rPr>
        <w:t>46. Conforme al ordenamiento vigente a la fecha de corte, después del primer pago, una prestación periódica debe estar en cuenta o a disposición:</w:t>
      </w:r>
    </w:p>
    <w:p>
      <w:pPr>
        <w:keepNext/>
        <w:keepLines/>
        <w:spacing w:after="40"/>
        <w:ind w:left="369" w:hanging="198"/>
      </w:pPr>
      <w:r>
        <w:rPr>
          <w:rFonts w:ascii="Arial" w:hAnsi="Arial" w:cs="Arial"/>
          <w:b w:val="0"/>
          <w:sz w:val="21"/>
        </w:rPr>
        <w:t>A) El primer día hábil del mes y, como máximo, el cuarto día natural.</w:t>
      </w:r>
    </w:p>
    <w:p>
      <w:pPr>
        <w:keepNext/>
        <w:keepLines/>
        <w:spacing w:after="40"/>
        <w:ind w:left="369" w:hanging="198"/>
      </w:pPr>
      <w:r>
        <w:rPr>
          <w:rFonts w:ascii="Arial" w:hAnsi="Arial" w:cs="Arial"/>
          <w:b w:val="0"/>
          <w:sz w:val="21"/>
        </w:rPr>
        <w:t>B) El día 25 del mes anterior por mandato legal.</w:t>
      </w:r>
    </w:p>
    <w:p>
      <w:pPr>
        <w:keepNext/>
        <w:keepLines/>
        <w:spacing w:after="40"/>
        <w:ind w:left="369" w:hanging="198"/>
      </w:pPr>
      <w:r>
        <w:rPr>
          <w:rFonts w:ascii="Arial" w:hAnsi="Arial" w:cs="Arial"/>
          <w:b w:val="0"/>
          <w:sz w:val="21"/>
        </w:rPr>
        <w:t>C) Siempre el primer día natural, aunque sea inhábil.</w:t>
      </w:r>
    </w:p>
    <w:p>
      <w:pPr>
        <w:keepNext/>
        <w:keepLines/>
        <w:spacing w:after="40"/>
        <w:ind w:left="369" w:hanging="198"/>
      </w:pPr>
      <w:r>
        <w:rPr>
          <w:rFonts w:ascii="Arial" w:hAnsi="Arial" w:cs="Arial"/>
          <w:b w:val="0"/>
          <w:sz w:val="21"/>
        </w:rPr>
        <w:t>D) Antes del día 10 natural.</w:t>
      </w:r>
    </w:p>
    <w:p>
      <w:pPr>
        <w:pStyle w:val="Question"/>
        <w:keepNext/>
      </w:pPr>
      <w:r>
        <w:rPr>
          <w:rFonts w:ascii="Arial" w:hAnsi="Arial" w:cs="Arial"/>
          <w:sz w:val="22"/>
        </w:rPr>
        <w:t>47. A efectos de aplicar correctamente la regla examinada, según la Constitución, los españoles son mayores de edad:</w:t>
      </w:r>
    </w:p>
    <w:p>
      <w:pPr>
        <w:keepNext/>
        <w:keepLines/>
        <w:spacing w:after="40"/>
        <w:ind w:left="369" w:hanging="198"/>
      </w:pPr>
      <w:r>
        <w:rPr>
          <w:rFonts w:ascii="Arial" w:hAnsi="Arial" w:cs="Arial"/>
          <w:b w:val="0"/>
          <w:sz w:val="21"/>
        </w:rPr>
        <w:t>A) A los dieciséis años.</w:t>
      </w:r>
    </w:p>
    <w:p>
      <w:pPr>
        <w:keepNext/>
        <w:keepLines/>
        <w:spacing w:after="40"/>
        <w:ind w:left="369" w:hanging="198"/>
      </w:pPr>
      <w:r>
        <w:rPr>
          <w:rFonts w:ascii="Arial" w:hAnsi="Arial" w:cs="Arial"/>
          <w:b w:val="0"/>
          <w:sz w:val="21"/>
        </w:rPr>
        <w:t>B) A los veintiún años.</w:t>
      </w:r>
    </w:p>
    <w:p>
      <w:pPr>
        <w:keepNext/>
        <w:keepLines/>
        <w:spacing w:after="40"/>
        <w:ind w:left="369" w:hanging="198"/>
      </w:pPr>
      <w:r>
        <w:rPr>
          <w:rFonts w:ascii="Arial" w:hAnsi="Arial" w:cs="Arial"/>
          <w:b w:val="0"/>
          <w:sz w:val="21"/>
        </w:rPr>
        <w:t>C) A los dieciocho años.</w:t>
      </w:r>
    </w:p>
    <w:p>
      <w:pPr>
        <w:keepNext/>
        <w:keepLines/>
        <w:spacing w:after="40"/>
        <w:ind w:left="369" w:hanging="198"/>
      </w:pPr>
      <w:r>
        <w:rPr>
          <w:rFonts w:ascii="Arial" w:hAnsi="Arial" w:cs="Arial"/>
          <w:b w:val="0"/>
          <w:sz w:val="21"/>
        </w:rPr>
        <w:t>D) A la edad que establezca cada comunidad autónoma.</w:t>
      </w:r>
    </w:p>
    <w:p>
      <w:pPr>
        <w:pStyle w:val="Question"/>
        <w:keepNext/>
      </w:pPr>
      <w:r>
        <w:rPr>
          <w:rFonts w:ascii="Arial" w:hAnsi="Arial" w:cs="Arial"/>
          <w:sz w:val="22"/>
        </w:rPr>
        <w:t>48. A efectos de aplicar correctamente la regla examinada, respecto de la disolución del artículo 115 de la Constitución, es correcto afirmar que:</w:t>
      </w:r>
    </w:p>
    <w:p>
      <w:pPr>
        <w:keepNext/>
        <w:keepLines/>
        <w:spacing w:after="40"/>
        <w:ind w:left="369" w:hanging="198"/>
      </w:pPr>
      <w:r>
        <w:rPr>
          <w:rFonts w:ascii="Arial" w:hAnsi="Arial" w:cs="Arial"/>
          <w:b w:val="0"/>
          <w:sz w:val="21"/>
        </w:rPr>
        <w:t>A) La propone el presidente, previa deliberación del Consejo, bajo su exclusiva responsabilidad.</w:t>
      </w:r>
    </w:p>
    <w:p>
      <w:pPr>
        <w:keepNext/>
        <w:keepLines/>
        <w:spacing w:after="40"/>
        <w:ind w:left="369" w:hanging="198"/>
      </w:pPr>
      <w:r>
        <w:rPr>
          <w:rFonts w:ascii="Arial" w:hAnsi="Arial" w:cs="Arial"/>
          <w:b w:val="0"/>
          <w:sz w:val="21"/>
        </w:rPr>
        <w:t>B) La acuerda el Consejo de Ministros por mayoría absoluta.</w:t>
      </w:r>
    </w:p>
    <w:p>
      <w:pPr>
        <w:keepNext/>
        <w:keepLines/>
        <w:spacing w:after="40"/>
        <w:ind w:left="369" w:hanging="198"/>
      </w:pPr>
      <w:r>
        <w:rPr>
          <w:rFonts w:ascii="Arial" w:hAnsi="Arial" w:cs="Arial"/>
          <w:b w:val="0"/>
          <w:sz w:val="21"/>
        </w:rPr>
        <w:t>C) Solo puede afectar simultáneamente a las dos Cámaras.</w:t>
      </w:r>
    </w:p>
    <w:p>
      <w:pPr>
        <w:keepNext/>
        <w:keepLines/>
        <w:spacing w:after="40"/>
        <w:ind w:left="369" w:hanging="198"/>
      </w:pPr>
      <w:r>
        <w:rPr>
          <w:rFonts w:ascii="Arial" w:hAnsi="Arial" w:cs="Arial"/>
          <w:b w:val="0"/>
          <w:sz w:val="21"/>
        </w:rPr>
        <w:t>D) Puede proponerse aunque esté en trámite una moción de censura.</w:t>
      </w:r>
    </w:p>
    <w:p>
      <w:pPr>
        <w:pStyle w:val="Question"/>
        <w:keepNext/>
      </w:pPr>
      <w:r>
        <w:rPr>
          <w:rFonts w:ascii="Arial" w:hAnsi="Arial" w:cs="Arial"/>
          <w:sz w:val="22"/>
        </w:rPr>
        <w:t>49. Conforme al ordenamiento vigente a la fecha de corte, ¿Cuál es la formulación correcta sobre la jurisdicción militar?</w:t>
      </w:r>
    </w:p>
    <w:p>
      <w:pPr>
        <w:keepNext/>
        <w:keepLines/>
        <w:spacing w:after="40"/>
        <w:ind w:left="369" w:hanging="198"/>
      </w:pPr>
      <w:r>
        <w:rPr>
          <w:rFonts w:ascii="Arial" w:hAnsi="Arial" w:cs="Arial"/>
          <w:b w:val="0"/>
          <w:sz w:val="21"/>
        </w:rPr>
        <w:t>A) Es un poder judicial separado y autonómico.</w:t>
      </w:r>
    </w:p>
    <w:p>
      <w:pPr>
        <w:keepNext/>
        <w:keepLines/>
        <w:spacing w:after="40"/>
        <w:ind w:left="369" w:hanging="198"/>
      </w:pPr>
      <w:r>
        <w:rPr>
          <w:rFonts w:ascii="Arial" w:hAnsi="Arial" w:cs="Arial"/>
          <w:b w:val="0"/>
          <w:sz w:val="21"/>
        </w:rPr>
        <w:t>B) Puede conocer cualquier materia si lo acuerda el Gobierno.</w:t>
      </w:r>
    </w:p>
    <w:p>
      <w:pPr>
        <w:keepNext/>
        <w:keepLines/>
        <w:spacing w:after="40"/>
        <w:ind w:left="369" w:hanging="198"/>
      </w:pPr>
      <w:r>
        <w:rPr>
          <w:rFonts w:ascii="Arial" w:hAnsi="Arial" w:cs="Arial"/>
          <w:b w:val="0"/>
          <w:sz w:val="21"/>
        </w:rPr>
        <w:t>C) Está prohibida por la unidad jurisdiccional.</w:t>
      </w:r>
    </w:p>
    <w:p>
      <w:pPr>
        <w:keepNext/>
        <w:keepLines/>
        <w:spacing w:after="40"/>
        <w:ind w:left="369" w:hanging="198"/>
      </w:pPr>
      <w:r>
        <w:rPr>
          <w:rFonts w:ascii="Arial" w:hAnsi="Arial" w:cs="Arial"/>
          <w:b w:val="0"/>
          <w:sz w:val="21"/>
        </w:rPr>
        <w:t>D) Integra el Poder Judicial del Estado y actúa en el ámbito estrictamente castrense y, en su caso, durante el estado de sitio.</w:t>
      </w:r>
    </w:p>
    <w:p>
      <w:pPr>
        <w:pStyle w:val="Question"/>
        <w:keepNext/>
      </w:pPr>
      <w:r>
        <w:rPr>
          <w:rFonts w:ascii="Arial" w:hAnsi="Arial" w:cs="Arial"/>
          <w:sz w:val="22"/>
        </w:rPr>
        <w:t>50. A efectos de aplicar correctamente la regla examinada, un tribunal nacional de última instancia duda fundadamente de la validez de una decisión de la Comisión. Debe:</w:t>
      </w:r>
    </w:p>
    <w:p>
      <w:pPr>
        <w:keepNext/>
        <w:keepLines/>
        <w:spacing w:after="40"/>
        <w:ind w:left="369" w:hanging="198"/>
      </w:pPr>
      <w:r>
        <w:rPr>
          <w:rFonts w:ascii="Arial" w:hAnsi="Arial" w:cs="Arial"/>
          <w:b w:val="0"/>
          <w:sz w:val="21"/>
        </w:rPr>
        <w:t>A) Aplicar la excepción de acto claro y declararla inválida.</w:t>
      </w:r>
    </w:p>
    <w:p>
      <w:pPr>
        <w:keepNext/>
        <w:keepLines/>
        <w:spacing w:after="40"/>
        <w:ind w:left="369" w:hanging="198"/>
      </w:pPr>
      <w:r>
        <w:rPr>
          <w:rFonts w:ascii="Arial" w:hAnsi="Arial" w:cs="Arial"/>
          <w:b w:val="0"/>
          <w:sz w:val="21"/>
        </w:rPr>
        <w:t>B) Interponer él mismo recurso de anulación fuera de plazo.</w:t>
      </w:r>
    </w:p>
    <w:p>
      <w:pPr>
        <w:keepNext/>
        <w:keepLines/>
        <w:spacing w:after="40"/>
        <w:ind w:left="369" w:hanging="198"/>
      </w:pPr>
      <w:r>
        <w:rPr>
          <w:rFonts w:ascii="Arial" w:hAnsi="Arial" w:cs="Arial"/>
          <w:b w:val="0"/>
          <w:sz w:val="21"/>
        </w:rPr>
        <w:t>C) Pedir al legislador nacional que la derogue.</w:t>
      </w:r>
    </w:p>
    <w:p>
      <w:pPr>
        <w:keepNext/>
        <w:keepLines/>
        <w:spacing w:after="40"/>
        <w:ind w:left="369" w:hanging="198"/>
      </w:pPr>
      <w:r>
        <w:rPr>
          <w:rFonts w:ascii="Arial" w:hAnsi="Arial" w:cs="Arial"/>
          <w:b w:val="0"/>
          <w:sz w:val="21"/>
        </w:rPr>
        <w:t>D) Plantear cuestión prejudicial de validez al Tribunal de Justicia.</w:t>
      </w:r>
    </w:p>
    <w:p>
      <w:pPr>
        <w:pStyle w:val="Question"/>
        <w:keepNext/>
      </w:pPr>
      <w:r>
        <w:rPr>
          <w:rFonts w:ascii="Arial" w:hAnsi="Arial" w:cs="Arial"/>
          <w:sz w:val="22"/>
        </w:rPr>
        <w:t>51. A efectos de aplicar correctamente la regla examinada, el plazo general para recurrir una disposición general o un acto administrativo expreso que ponga fin a la vía administrativa es de:</w:t>
      </w:r>
    </w:p>
    <w:p>
      <w:pPr>
        <w:keepNext/>
        <w:keepLines/>
        <w:spacing w:after="40"/>
        <w:ind w:left="369" w:hanging="198"/>
      </w:pPr>
      <w:r>
        <w:rPr>
          <w:rFonts w:ascii="Arial" w:hAnsi="Arial" w:cs="Arial"/>
          <w:b w:val="0"/>
          <w:sz w:val="21"/>
        </w:rPr>
        <w:t>A) Un mes desde su firma.</w:t>
      </w:r>
    </w:p>
    <w:p>
      <w:pPr>
        <w:keepNext/>
        <w:keepLines/>
        <w:spacing w:after="40"/>
        <w:ind w:left="369" w:hanging="198"/>
      </w:pPr>
      <w:r>
        <w:rPr>
          <w:rFonts w:ascii="Arial" w:hAnsi="Arial" w:cs="Arial"/>
          <w:b w:val="0"/>
          <w:sz w:val="21"/>
        </w:rPr>
        <w:t>B) Seis meses desde su publicación.</w:t>
      </w:r>
    </w:p>
    <w:p>
      <w:pPr>
        <w:keepNext/>
        <w:keepLines/>
        <w:spacing w:after="40"/>
        <w:ind w:left="369" w:hanging="198"/>
      </w:pPr>
      <w:r>
        <w:rPr>
          <w:rFonts w:ascii="Arial" w:hAnsi="Arial" w:cs="Arial"/>
          <w:b w:val="0"/>
          <w:sz w:val="21"/>
        </w:rPr>
        <w:t>C) Dos meses desde el día siguiente al de su publicación o notificación.</w:t>
      </w:r>
    </w:p>
    <w:p>
      <w:pPr>
        <w:keepNext/>
        <w:keepLines/>
        <w:spacing w:after="40"/>
        <w:ind w:left="369" w:hanging="198"/>
      </w:pPr>
      <w:r>
        <w:rPr>
          <w:rFonts w:ascii="Arial" w:hAnsi="Arial" w:cs="Arial"/>
          <w:b w:val="0"/>
          <w:sz w:val="21"/>
        </w:rPr>
        <w:t>D) Tres meses desde que el interesado conozca su contenido.</w:t>
      </w:r>
    </w:p>
    <w:p>
      <w:pPr>
        <w:pStyle w:val="Question"/>
        <w:keepNext/>
      </w:pPr>
      <w:r>
        <w:rPr>
          <w:rFonts w:ascii="Arial" w:hAnsi="Arial" w:cs="Arial"/>
          <w:sz w:val="22"/>
        </w:rPr>
        <w:t>52. Sin añadir circunstancias distintas de las indicadas, en una comunidad autónoma uniprovincial sin subdelegado, la suplencia del delegado por ausencia, vacante o enfermedad corresponde:</w:t>
      </w:r>
    </w:p>
    <w:p>
      <w:pPr>
        <w:keepNext/>
        <w:keepLines/>
        <w:spacing w:after="40"/>
        <w:ind w:left="369" w:hanging="198"/>
      </w:pPr>
      <w:r>
        <w:rPr>
          <w:rFonts w:ascii="Arial" w:hAnsi="Arial" w:cs="Arial"/>
          <w:b w:val="0"/>
          <w:sz w:val="21"/>
        </w:rPr>
        <w:t>A) Al director insular.</w:t>
      </w:r>
    </w:p>
    <w:p>
      <w:pPr>
        <w:keepNext/>
        <w:keepLines/>
        <w:spacing w:after="40"/>
        <w:ind w:left="369" w:hanging="198"/>
      </w:pPr>
      <w:r>
        <w:rPr>
          <w:rFonts w:ascii="Arial" w:hAnsi="Arial" w:cs="Arial"/>
          <w:b w:val="0"/>
          <w:sz w:val="21"/>
        </w:rPr>
        <w:t>B) Al subsecretario de Política Territorial.</w:t>
      </w:r>
    </w:p>
    <w:p>
      <w:pPr>
        <w:keepNext/>
        <w:keepLines/>
        <w:spacing w:after="40"/>
        <w:ind w:left="369" w:hanging="198"/>
      </w:pPr>
      <w:r>
        <w:rPr>
          <w:rFonts w:ascii="Arial" w:hAnsi="Arial" w:cs="Arial"/>
          <w:b w:val="0"/>
          <w:sz w:val="21"/>
        </w:rPr>
        <w:t>C) Al presidente autonómico.</w:t>
      </w:r>
    </w:p>
    <w:p>
      <w:pPr>
        <w:keepNext/>
        <w:keepLines/>
        <w:spacing w:after="40"/>
        <w:ind w:left="369" w:hanging="198"/>
      </w:pPr>
      <w:r>
        <w:rPr>
          <w:rFonts w:ascii="Arial" w:hAnsi="Arial" w:cs="Arial"/>
          <w:b w:val="0"/>
          <w:sz w:val="21"/>
        </w:rPr>
        <w:t>D) Al secretario general de la Delegación.</w:t>
      </w:r>
    </w:p>
    <w:p>
      <w:pPr>
        <w:pStyle w:val="Question"/>
        <w:keepNext/>
      </w:pPr>
      <w:r>
        <w:rPr>
          <w:rFonts w:ascii="Arial" w:hAnsi="Arial" w:cs="Arial"/>
          <w:sz w:val="22"/>
        </w:rPr>
        <w:t>53. A efectos de aplicar correctamente la regla examinada, un hecho causante ocurre en mayo y la persona llevaba años en la empresa. La base general se toma de:</w:t>
      </w:r>
    </w:p>
    <w:p>
      <w:pPr>
        <w:keepNext/>
        <w:keepLines/>
        <w:spacing w:after="40"/>
        <w:ind w:left="369" w:hanging="198"/>
      </w:pPr>
      <w:r>
        <w:rPr>
          <w:rFonts w:ascii="Arial" w:hAnsi="Arial" w:cs="Arial"/>
          <w:b w:val="0"/>
          <w:sz w:val="21"/>
        </w:rPr>
        <w:t>A) Mayo.</w:t>
      </w:r>
    </w:p>
    <w:p>
      <w:pPr>
        <w:keepNext/>
        <w:keepLines/>
        <w:spacing w:after="40"/>
        <w:ind w:left="369" w:hanging="198"/>
      </w:pPr>
      <w:r>
        <w:rPr>
          <w:rFonts w:ascii="Arial" w:hAnsi="Arial" w:cs="Arial"/>
          <w:b w:val="0"/>
          <w:sz w:val="21"/>
        </w:rPr>
        <w:t>B) Abril.</w:t>
      </w:r>
    </w:p>
    <w:p>
      <w:pPr>
        <w:keepNext/>
        <w:keepLines/>
        <w:spacing w:after="40"/>
        <w:ind w:left="369" w:hanging="198"/>
      </w:pPr>
      <w:r>
        <w:rPr>
          <w:rFonts w:ascii="Arial" w:hAnsi="Arial" w:cs="Arial"/>
          <w:b w:val="0"/>
          <w:sz w:val="21"/>
        </w:rPr>
        <w:t>C) Junio.</w:t>
      </w:r>
    </w:p>
    <w:p>
      <w:pPr>
        <w:keepNext/>
        <w:keepLines/>
        <w:spacing w:after="40"/>
        <w:ind w:left="369" w:hanging="198"/>
      </w:pPr>
      <w:r>
        <w:rPr>
          <w:rFonts w:ascii="Arial" w:hAnsi="Arial" w:cs="Arial"/>
          <w:b w:val="0"/>
          <w:sz w:val="21"/>
        </w:rPr>
        <w:t>D) Marzo, por ser el mes anterior al mes previo.</w:t>
      </w:r>
    </w:p>
    <w:p>
      <w:pPr>
        <w:pStyle w:val="Question"/>
        <w:keepNext/>
      </w:pPr>
      <w:r>
        <w:rPr>
          <w:rFonts w:ascii="Arial" w:hAnsi="Arial" w:cs="Arial"/>
          <w:sz w:val="22"/>
        </w:rPr>
        <w:t>54. En una comprobación jurídica del expediente, para calcular la base por accidentes de trabajo de un trabajador ordinario:</w:t>
      </w:r>
    </w:p>
    <w:p>
      <w:pPr>
        <w:keepNext/>
        <w:keepLines/>
        <w:spacing w:after="40"/>
        <w:ind w:left="369" w:hanging="198"/>
      </w:pPr>
      <w:r>
        <w:rPr>
          <w:rFonts w:ascii="Arial" w:hAnsi="Arial" w:cs="Arial"/>
          <w:b w:val="0"/>
          <w:sz w:val="21"/>
        </w:rPr>
        <w:t>A) Se excluyen las pagas extraordinarias.</w:t>
      </w:r>
    </w:p>
    <w:p>
      <w:pPr>
        <w:keepNext/>
        <w:keepLines/>
        <w:spacing w:after="40"/>
        <w:ind w:left="369" w:hanging="198"/>
      </w:pPr>
      <w:r>
        <w:rPr>
          <w:rFonts w:ascii="Arial" w:hAnsi="Arial" w:cs="Arial"/>
          <w:b w:val="0"/>
          <w:sz w:val="21"/>
        </w:rPr>
        <w:t>B) Se incluyen las horas extraordinarias, respetando topes profesionales.</w:t>
      </w:r>
    </w:p>
    <w:p>
      <w:pPr>
        <w:keepNext/>
        <w:keepLines/>
        <w:spacing w:after="40"/>
        <w:ind w:left="369" w:hanging="198"/>
      </w:pPr>
      <w:r>
        <w:rPr>
          <w:rFonts w:ascii="Arial" w:hAnsi="Arial" w:cs="Arial"/>
          <w:b w:val="0"/>
          <w:sz w:val="21"/>
        </w:rPr>
        <w:t>C) Se usa siempre la base mínima de su grupo.</w:t>
      </w:r>
    </w:p>
    <w:p>
      <w:pPr>
        <w:keepNext/>
        <w:keepLines/>
        <w:spacing w:after="40"/>
        <w:ind w:left="369" w:hanging="198"/>
      </w:pPr>
      <w:r>
        <w:rPr>
          <w:rFonts w:ascii="Arial" w:hAnsi="Arial" w:cs="Arial"/>
          <w:b w:val="0"/>
          <w:sz w:val="21"/>
        </w:rPr>
        <w:t>D) Se excluye cualquier remuneración en especie.</w:t>
      </w:r>
    </w:p>
    <w:p>
      <w:pPr>
        <w:pStyle w:val="Question"/>
        <w:keepNext/>
      </w:pPr>
      <w:r>
        <w:rPr>
          <w:rFonts w:ascii="Arial" w:hAnsi="Arial" w:cs="Arial"/>
          <w:sz w:val="22"/>
        </w:rPr>
        <w:t>55. En una comprobación jurídica del expediente, ¿Cuál de las siguientes series recoge los valores superiores del ordenamiento jurídico?</w:t>
      </w:r>
    </w:p>
    <w:p>
      <w:pPr>
        <w:keepNext/>
        <w:keepLines/>
        <w:spacing w:after="40"/>
        <w:ind w:left="369" w:hanging="198"/>
      </w:pPr>
      <w:r>
        <w:rPr>
          <w:rFonts w:ascii="Arial" w:hAnsi="Arial" w:cs="Arial"/>
          <w:b w:val="0"/>
          <w:sz w:val="21"/>
        </w:rPr>
        <w:t>A) Legalidad, jerarquía, publicidad y seguridad.</w:t>
      </w:r>
    </w:p>
    <w:p>
      <w:pPr>
        <w:keepNext/>
        <w:keepLines/>
        <w:spacing w:after="40"/>
        <w:ind w:left="369" w:hanging="198"/>
      </w:pPr>
      <w:r>
        <w:rPr>
          <w:rFonts w:ascii="Arial" w:hAnsi="Arial" w:cs="Arial"/>
          <w:b w:val="0"/>
          <w:sz w:val="21"/>
        </w:rPr>
        <w:t>B) Unidad, autonomía, solidaridad y pluralismo.</w:t>
      </w:r>
    </w:p>
    <w:p>
      <w:pPr>
        <w:keepNext/>
        <w:keepLines/>
        <w:spacing w:after="40"/>
        <w:ind w:left="369" w:hanging="198"/>
      </w:pPr>
      <w:r>
        <w:rPr>
          <w:rFonts w:ascii="Arial" w:hAnsi="Arial" w:cs="Arial"/>
          <w:b w:val="0"/>
          <w:sz w:val="21"/>
        </w:rPr>
        <w:t>C) Libertad, justicia, igualdad y pluralismo político.</w:t>
      </w:r>
    </w:p>
    <w:p>
      <w:pPr>
        <w:keepNext/>
        <w:keepLines/>
        <w:spacing w:after="40"/>
        <w:ind w:left="369" w:hanging="198"/>
      </w:pPr>
      <w:r>
        <w:rPr>
          <w:rFonts w:ascii="Arial" w:hAnsi="Arial" w:cs="Arial"/>
          <w:b w:val="0"/>
          <w:sz w:val="21"/>
        </w:rPr>
        <w:t>D) Dignidad, participación, responsabilidad y legalidad.</w:t>
      </w:r>
    </w:p>
    <w:p>
      <w:pPr>
        <w:pStyle w:val="Question"/>
        <w:keepNext/>
      </w:pPr>
      <w:r>
        <w:rPr>
          <w:rFonts w:ascii="Arial" w:hAnsi="Arial" w:cs="Arial"/>
          <w:sz w:val="22"/>
        </w:rPr>
        <w:t>56. En una comprobación jurídica del expediente, la gestión recaudatoria de la Seguridad Social es:</w:t>
      </w:r>
    </w:p>
    <w:p>
      <w:pPr>
        <w:keepNext/>
        <w:keepLines/>
        <w:spacing w:after="40"/>
        <w:ind w:left="369" w:hanging="198"/>
      </w:pPr>
      <w:r>
        <w:rPr>
          <w:rFonts w:ascii="Arial" w:hAnsi="Arial" w:cs="Arial"/>
          <w:b w:val="0"/>
          <w:sz w:val="21"/>
        </w:rPr>
        <w:t>A) La potestad de crear tributos estatales.</w:t>
      </w:r>
    </w:p>
    <w:p>
      <w:pPr>
        <w:keepNext/>
        <w:keepLines/>
        <w:spacing w:after="40"/>
        <w:ind w:left="369" w:hanging="198"/>
      </w:pPr>
      <w:r>
        <w:rPr>
          <w:rFonts w:ascii="Arial" w:hAnsi="Arial" w:cs="Arial"/>
          <w:b w:val="0"/>
          <w:sz w:val="21"/>
        </w:rPr>
        <w:t>B) El ejercicio de la actividad administrativa conducente a la realización de sus créditos y derechos.</w:t>
      </w:r>
    </w:p>
    <w:p>
      <w:pPr>
        <w:keepNext/>
        <w:keepLines/>
        <w:spacing w:after="40"/>
        <w:ind w:left="369" w:hanging="198"/>
      </w:pPr>
      <w:r>
        <w:rPr>
          <w:rFonts w:ascii="Arial" w:hAnsi="Arial" w:cs="Arial"/>
          <w:b w:val="0"/>
          <w:sz w:val="21"/>
        </w:rPr>
        <w:t>C) La gestión exclusiva de pensiones contributivas.</w:t>
      </w:r>
    </w:p>
    <w:p>
      <w:pPr>
        <w:keepNext/>
        <w:keepLines/>
        <w:spacing w:after="40"/>
        <w:ind w:left="369" w:hanging="198"/>
      </w:pPr>
      <w:r>
        <w:rPr>
          <w:rFonts w:ascii="Arial" w:hAnsi="Arial" w:cs="Arial"/>
          <w:b w:val="0"/>
          <w:sz w:val="21"/>
        </w:rPr>
        <w:t>D) La actividad privada de las entidades financieras.</w:t>
      </w:r>
    </w:p>
    <w:p>
      <w:pPr>
        <w:pStyle w:val="Question"/>
        <w:keepNext/>
      </w:pPr>
      <w:r>
        <w:rPr>
          <w:rFonts w:ascii="Arial" w:hAnsi="Arial" w:cs="Arial"/>
          <w:sz w:val="22"/>
        </w:rPr>
        <w:t>57. En una comprobación jurídica del expediente, el tope máximo general de cotización mensual en 2026 es:</w:t>
      </w:r>
    </w:p>
    <w:p>
      <w:pPr>
        <w:keepNext/>
        <w:keepLines/>
        <w:spacing w:after="40"/>
        <w:ind w:left="369" w:hanging="198"/>
      </w:pPr>
      <w:r>
        <w:rPr>
          <w:rFonts w:ascii="Arial" w:hAnsi="Arial" w:cs="Arial"/>
          <w:b w:val="0"/>
          <w:sz w:val="21"/>
        </w:rPr>
        <w:t>A) 4.909,50 euros.</w:t>
      </w:r>
    </w:p>
    <w:p>
      <w:pPr>
        <w:keepNext/>
        <w:keepLines/>
        <w:spacing w:after="40"/>
        <w:ind w:left="369" w:hanging="198"/>
      </w:pPr>
      <w:r>
        <w:rPr>
          <w:rFonts w:ascii="Arial" w:hAnsi="Arial" w:cs="Arial"/>
          <w:b w:val="0"/>
          <w:sz w:val="21"/>
        </w:rPr>
        <w:t>B) 1.424,40 euros.</w:t>
      </w:r>
    </w:p>
    <w:p>
      <w:pPr>
        <w:keepNext/>
        <w:keepLines/>
        <w:spacing w:after="40"/>
        <w:ind w:left="369" w:hanging="198"/>
      </w:pPr>
      <w:r>
        <w:rPr>
          <w:rFonts w:ascii="Arial" w:hAnsi="Arial" w:cs="Arial"/>
          <w:b w:val="0"/>
          <w:sz w:val="21"/>
        </w:rPr>
        <w:t>C) 5.500,00 euros.</w:t>
      </w:r>
    </w:p>
    <w:p>
      <w:pPr>
        <w:keepNext/>
        <w:keepLines/>
        <w:spacing w:after="40"/>
        <w:ind w:left="369" w:hanging="198"/>
      </w:pPr>
      <w:r>
        <w:rPr>
          <w:rFonts w:ascii="Arial" w:hAnsi="Arial" w:cs="Arial"/>
          <w:b w:val="0"/>
          <w:sz w:val="21"/>
        </w:rPr>
        <w:t>D) 5.101,20 euros.</w:t>
      </w:r>
    </w:p>
    <w:p>
      <w:pPr>
        <w:pStyle w:val="Question"/>
        <w:keepNext/>
      </w:pPr>
      <w:r>
        <w:rPr>
          <w:rFonts w:ascii="Arial" w:hAnsi="Arial" w:cs="Arial"/>
          <w:sz w:val="22"/>
        </w:rPr>
        <w:t>58. A efectos de aplicar correctamente la regla examinada, cuando el órgano resolutor sancionador considere que la infracción o sanción reviste mayor gravedad que la propuesta:</w:t>
      </w:r>
    </w:p>
    <w:p>
      <w:pPr>
        <w:keepNext/>
        <w:keepLines/>
        <w:spacing w:after="40"/>
        <w:ind w:left="369" w:hanging="198"/>
      </w:pPr>
      <w:r>
        <w:rPr>
          <w:rFonts w:ascii="Arial" w:hAnsi="Arial" w:cs="Arial"/>
          <w:b w:val="0"/>
          <w:sz w:val="21"/>
        </w:rPr>
        <w:t>A) Puede resolver de inmediato sin audiencia.</w:t>
      </w:r>
    </w:p>
    <w:p>
      <w:pPr>
        <w:keepNext/>
        <w:keepLines/>
        <w:spacing w:after="40"/>
        <w:ind w:left="369" w:hanging="198"/>
      </w:pPr>
      <w:r>
        <w:rPr>
          <w:rFonts w:ascii="Arial" w:hAnsi="Arial" w:cs="Arial"/>
          <w:b w:val="0"/>
          <w:sz w:val="21"/>
        </w:rPr>
        <w:t>B) Debe archivar necesariamente el expediente.</w:t>
      </w:r>
    </w:p>
    <w:p>
      <w:pPr>
        <w:keepNext/>
        <w:keepLines/>
        <w:spacing w:after="40"/>
        <w:ind w:left="369" w:hanging="198"/>
      </w:pPr>
      <w:r>
        <w:rPr>
          <w:rFonts w:ascii="Arial" w:hAnsi="Arial" w:cs="Arial"/>
          <w:b w:val="0"/>
          <w:sz w:val="21"/>
        </w:rPr>
        <w:t>C) Tiene que iniciar otro procedimiento en todos los casos.</w:t>
      </w:r>
    </w:p>
    <w:p>
      <w:pPr>
        <w:keepNext/>
        <w:keepLines/>
        <w:spacing w:after="40"/>
        <w:ind w:left="369" w:hanging="198"/>
      </w:pPr>
      <w:r>
        <w:rPr>
          <w:rFonts w:ascii="Arial" w:hAnsi="Arial" w:cs="Arial"/>
          <w:b w:val="0"/>
          <w:sz w:val="21"/>
        </w:rPr>
        <w:t>D) Debe notificarlo al inculpado y concederle quince días para alegar.</w:t>
      </w:r>
    </w:p>
    <w:p>
      <w:pPr>
        <w:pStyle w:val="Question"/>
        <w:keepNext/>
      </w:pPr>
      <w:r>
        <w:rPr>
          <w:rFonts w:ascii="Arial" w:hAnsi="Arial" w:cs="Arial"/>
          <w:sz w:val="22"/>
        </w:rPr>
        <w:t>59. A efectos de aplicar correctamente la regla examinada, el período máximo de validez de un poder inscrito en el registro electrónico de apoderamientos es: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Diez años.</w:t>
      </w:r>
    </w:p>
    <w:p>
      <w:pPr>
        <w:keepNext/>
        <w:keepLines/>
        <w:spacing w:after="40"/>
        <w:ind w:left="369" w:hanging="198"/>
      </w:pPr>
      <w:r>
        <w:rPr>
          <w:rFonts w:ascii="Arial" w:hAnsi="Arial" w:cs="Arial"/>
          <w:b w:val="0"/>
          <w:sz w:val="21"/>
        </w:rPr>
        <w:t>C) Indefinido en todos los casos.</w:t>
      </w:r>
    </w:p>
    <w:p>
      <w:pPr>
        <w:keepNext/>
        <w:keepLines/>
        <w:spacing w:after="40"/>
        <w:ind w:left="369" w:hanging="198"/>
      </w:pPr>
      <w:r>
        <w:rPr>
          <w:rFonts w:ascii="Arial" w:hAnsi="Arial" w:cs="Arial"/>
          <w:b w:val="0"/>
          <w:sz w:val="21"/>
        </w:rPr>
        <w:t>D) Cinco años.</w:t>
      </w:r>
    </w:p>
    <w:p>
      <w:pPr>
        <w:pStyle w:val="Question"/>
        <w:keepNext/>
      </w:pPr>
      <w:r>
        <w:rPr>
          <w:rFonts w:ascii="Arial" w:hAnsi="Arial" w:cs="Arial"/>
          <w:sz w:val="22"/>
        </w:rPr>
        <w:t>60. A efectos de aplicar correctamente la regla examinada, un plazo señalado por horas:</w:t>
      </w:r>
    </w:p>
    <w:p>
      <w:pPr>
        <w:keepNext/>
        <w:keepLines/>
        <w:spacing w:after="40"/>
        <w:ind w:left="369" w:hanging="198"/>
      </w:pPr>
      <w:r>
        <w:rPr>
          <w:rFonts w:ascii="Arial" w:hAnsi="Arial" w:cs="Arial"/>
          <w:b w:val="0"/>
          <w:sz w:val="21"/>
        </w:rPr>
        <w:t>A) Comienza siempre al día siguiente.</w:t>
      </w:r>
    </w:p>
    <w:p>
      <w:pPr>
        <w:keepNext/>
        <w:keepLines/>
        <w:spacing w:after="40"/>
        <w:ind w:left="369" w:hanging="198"/>
      </w:pPr>
      <w:r>
        <w:rPr>
          <w:rFonts w:ascii="Arial" w:hAnsi="Arial" w:cs="Arial"/>
          <w:b w:val="0"/>
          <w:sz w:val="21"/>
        </w:rPr>
        <w:t>B) Incluye necesariamente horas de días inhábiles.</w:t>
      </w:r>
    </w:p>
    <w:p>
      <w:pPr>
        <w:keepNext/>
        <w:keepLines/>
        <w:spacing w:after="40"/>
        <w:ind w:left="369" w:hanging="198"/>
      </w:pPr>
      <w:r>
        <w:rPr>
          <w:rFonts w:ascii="Arial" w:hAnsi="Arial" w:cs="Arial"/>
          <w:b w:val="0"/>
          <w:sz w:val="21"/>
        </w:rPr>
        <w:t>C) Se cuenta de hora y minuto desde la notificación o publicación y no puede exceder de veinticuatro horas.</w:t>
      </w:r>
    </w:p>
    <w:p>
      <w:pPr>
        <w:keepNext/>
        <w:keepLines/>
        <w:spacing w:after="40"/>
        <w:ind w:left="369" w:hanging="198"/>
      </w:pPr>
      <w:r>
        <w:rPr>
          <w:rFonts w:ascii="Arial" w:hAnsi="Arial" w:cs="Arial"/>
          <w:b w:val="0"/>
          <w:sz w:val="21"/>
        </w:rPr>
        <w:t>D) Puede tener cualquier duración.</w:t>
      </w:r>
    </w:p>
    <w:p>
      <w:pPr>
        <w:pStyle w:val="Question"/>
        <w:keepNext/>
      </w:pPr>
      <w:r>
        <w:rPr>
          <w:rFonts w:ascii="Arial" w:hAnsi="Arial" w:cs="Arial"/>
          <w:sz w:val="22"/>
        </w:rPr>
        <w:t>61. En una comprobación jurídica del expediente,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val="0"/>
          <w:sz w:val="21"/>
        </w:rPr>
        <w:t>B) El 24 de julio de 2026.</w:t>
      </w:r>
    </w:p>
    <w:p>
      <w:pPr>
        <w:keepNext/>
        <w:keepLines/>
        <w:spacing w:after="40"/>
        <w:ind w:left="369" w:hanging="198"/>
      </w:pPr>
      <w:r>
        <w:rPr>
          <w:rFonts w:ascii="Arial" w:hAnsi="Arial" w:cs="Arial"/>
          <w:b w:val="0"/>
          <w:sz w:val="21"/>
        </w:rPr>
        <w:t>C) El 23 de julio de 2027.</w:t>
      </w:r>
    </w:p>
    <w:p>
      <w:pPr>
        <w:keepNext/>
        <w:keepLines/>
        <w:spacing w:after="40"/>
        <w:ind w:left="369" w:hanging="198"/>
      </w:pPr>
      <w:r>
        <w:rPr>
          <w:rFonts w:ascii="Arial" w:hAnsi="Arial" w:cs="Arial"/>
          <w:b w:val="0"/>
          <w:sz w:val="21"/>
        </w:rPr>
        <w:t>D) El 29 de julio de 2026.</w:t>
      </w:r>
    </w:p>
    <w:p>
      <w:pPr>
        <w:pStyle w:val="Question"/>
        <w:keepNext/>
      </w:pPr>
      <w:r>
        <w:rPr>
          <w:rFonts w:ascii="Arial" w:hAnsi="Arial" w:cs="Arial"/>
          <w:sz w:val="22"/>
        </w:rPr>
        <w:t>62. Conforme al ordenamiento vigente a la fecha de corte, ¿Cuál de estas materias forma parte de los servicios comunes ministeriales?</w:t>
      </w:r>
    </w:p>
    <w:p>
      <w:pPr>
        <w:keepNext/>
        <w:keepLines/>
        <w:spacing w:after="40"/>
        <w:ind w:left="369" w:hanging="198"/>
      </w:pPr>
      <w:r>
        <w:rPr>
          <w:rFonts w:ascii="Arial" w:hAnsi="Arial" w:cs="Arial"/>
          <w:b w:val="0"/>
          <w:sz w:val="21"/>
        </w:rPr>
        <w:t>A) La investidura del presidente del Gobierno.</w:t>
      </w:r>
    </w:p>
    <w:p>
      <w:pPr>
        <w:keepNext/>
        <w:keepLines/>
        <w:spacing w:after="40"/>
        <w:ind w:left="369" w:hanging="198"/>
      </w:pPr>
      <w:r>
        <w:rPr>
          <w:rFonts w:ascii="Arial" w:hAnsi="Arial" w:cs="Arial"/>
          <w:b w:val="0"/>
          <w:sz w:val="21"/>
        </w:rPr>
        <w:t>B) La aprobación definitiva de leyes.</w:t>
      </w:r>
    </w:p>
    <w:p>
      <w:pPr>
        <w:keepNext/>
        <w:keepLines/>
        <w:spacing w:after="40"/>
        <w:ind w:left="369" w:hanging="198"/>
      </w:pPr>
      <w:r>
        <w:rPr>
          <w:rFonts w:ascii="Arial" w:hAnsi="Arial" w:cs="Arial"/>
          <w:b w:val="0"/>
          <w:sz w:val="21"/>
        </w:rPr>
        <w:t>C) La organización y recursos humanos.</w:t>
      </w:r>
    </w:p>
    <w:p>
      <w:pPr>
        <w:keepNext/>
        <w:keepLines/>
        <w:spacing w:after="40"/>
        <w:ind w:left="369" w:hanging="198"/>
      </w:pPr>
      <w:r>
        <w:rPr>
          <w:rFonts w:ascii="Arial" w:hAnsi="Arial" w:cs="Arial"/>
          <w:b w:val="0"/>
          <w:sz w:val="21"/>
        </w:rPr>
        <w:t>D) El enjuiciamiento penal.</w:t>
      </w:r>
    </w:p>
    <w:p>
      <w:pPr>
        <w:pStyle w:val="Question"/>
        <w:keepNext/>
      </w:pPr>
      <w:r>
        <w:rPr>
          <w:rFonts w:ascii="Arial" w:hAnsi="Arial" w:cs="Arial"/>
          <w:sz w:val="22"/>
        </w:rPr>
        <w:t>63. Conforme al ordenamiento vigente a la fecha de corte, en las actuaciones complementarias anteriores a la resolución, los interesados disponen para alegar, tras su finalización,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Siete días.</w:t>
      </w:r>
    </w:p>
    <w:p>
      <w:pPr>
        <w:keepNext/>
        <w:keepLines/>
        <w:spacing w:after="40"/>
        <w:ind w:left="369" w:hanging="198"/>
      </w:pPr>
      <w:r>
        <w:rPr>
          <w:rFonts w:ascii="Arial" w:hAnsi="Arial" w:cs="Arial"/>
          <w:b w:val="0"/>
          <w:sz w:val="21"/>
        </w:rPr>
        <w:t>D) Quince días.</w:t>
      </w:r>
    </w:p>
    <w:p>
      <w:pPr>
        <w:pStyle w:val="Question"/>
        <w:keepNext/>
      </w:pPr>
      <w:r>
        <w:rPr>
          <w:rFonts w:ascii="Arial" w:hAnsi="Arial" w:cs="Arial"/>
          <w:sz w:val="22"/>
        </w:rPr>
        <w:t>64. Conforme al ordenamiento vigente a la fecha de corte, ¿Cuáles son los períodos ordinarios de sesiones de las Cámaras?</w:t>
      </w:r>
    </w:p>
    <w:p>
      <w:pPr>
        <w:keepNext/>
        <w:keepLines/>
        <w:spacing w:after="40"/>
        <w:ind w:left="369" w:hanging="198"/>
      </w:pPr>
      <w:r>
        <w:rPr>
          <w:rFonts w:ascii="Arial" w:hAnsi="Arial" w:cs="Arial"/>
          <w:b w:val="0"/>
          <w:sz w:val="21"/>
        </w:rPr>
        <w:t>A) De enero a junio y de septiembre a noviembre.</w:t>
      </w:r>
    </w:p>
    <w:p>
      <w:pPr>
        <w:keepNext/>
        <w:keepLines/>
        <w:spacing w:after="40"/>
        <w:ind w:left="369" w:hanging="198"/>
      </w:pPr>
      <w:r>
        <w:rPr>
          <w:rFonts w:ascii="Arial" w:hAnsi="Arial" w:cs="Arial"/>
          <w:b w:val="0"/>
          <w:sz w:val="21"/>
        </w:rPr>
        <w:t>B) De octubre a diciembre y de enero a julio.</w:t>
      </w:r>
    </w:p>
    <w:p>
      <w:pPr>
        <w:keepNext/>
        <w:keepLines/>
        <w:spacing w:after="40"/>
        <w:ind w:left="369" w:hanging="198"/>
      </w:pPr>
      <w:r>
        <w:rPr>
          <w:rFonts w:ascii="Arial" w:hAnsi="Arial" w:cs="Arial"/>
          <w:b w:val="0"/>
          <w:sz w:val="21"/>
        </w:rPr>
        <w:t>C) De septiembre a diciembre y de febrero a junio.</w:t>
      </w:r>
    </w:p>
    <w:p>
      <w:pPr>
        <w:keepNext/>
        <w:keepLines/>
        <w:spacing w:after="40"/>
        <w:ind w:left="369" w:hanging="198"/>
      </w:pPr>
      <w:r>
        <w:rPr>
          <w:rFonts w:ascii="Arial" w:hAnsi="Arial" w:cs="Arial"/>
          <w:b w:val="0"/>
          <w:sz w:val="21"/>
        </w:rPr>
        <w:t>D) De septiembre a enero y de marzo a julio.</w:t>
      </w:r>
    </w:p>
    <w:p>
      <w:pPr>
        <w:pStyle w:val="Question"/>
        <w:keepNext/>
      </w:pPr>
      <w:r>
        <w:rPr>
          <w:rFonts w:ascii="Arial" w:hAnsi="Arial" w:cs="Arial"/>
          <w:sz w:val="22"/>
        </w:rPr>
        <w:t>65. Para resolver correctamente la cuestión planteada, la jubilación no contributiva exige residencia legal en España durante:</w:t>
      </w:r>
    </w:p>
    <w:p>
      <w:pPr>
        <w:keepNext/>
        <w:keepLines/>
        <w:spacing w:after="40"/>
        <w:ind w:left="369" w:hanging="198"/>
      </w:pPr>
      <w:r>
        <w:rPr>
          <w:rFonts w:ascii="Arial" w:hAnsi="Arial" w:cs="Arial"/>
          <w:b w:val="0"/>
          <w:sz w:val="21"/>
        </w:rPr>
        <w:t>A) Diez años entre los 16 años y el devengo, dos inmediatamente anteriores.</w:t>
      </w:r>
    </w:p>
    <w:p>
      <w:pPr>
        <w:keepNext/>
        <w:keepLines/>
        <w:spacing w:after="40"/>
        <w:ind w:left="369" w:hanging="198"/>
      </w:pPr>
      <w:r>
        <w:rPr>
          <w:rFonts w:ascii="Arial" w:hAnsi="Arial" w:cs="Arial"/>
          <w:b w:val="0"/>
          <w:sz w:val="21"/>
        </w:rPr>
        <w:t>B) Cinco años desde el nacimiento.</w:t>
      </w:r>
    </w:p>
    <w:p>
      <w:pPr>
        <w:keepNext/>
        <w:keepLines/>
        <w:spacing w:after="40"/>
        <w:ind w:left="369" w:hanging="198"/>
      </w:pPr>
      <w:r>
        <w:rPr>
          <w:rFonts w:ascii="Arial" w:hAnsi="Arial" w:cs="Arial"/>
          <w:b w:val="0"/>
          <w:sz w:val="21"/>
        </w:rPr>
        <w:t>C) Quince años, todos posteriores a los 50.</w:t>
      </w:r>
    </w:p>
    <w:p>
      <w:pPr>
        <w:keepNext/>
        <w:keepLines/>
        <w:spacing w:after="40"/>
        <w:ind w:left="369" w:hanging="198"/>
      </w:pPr>
      <w:r>
        <w:rPr>
          <w:rFonts w:ascii="Arial" w:hAnsi="Arial" w:cs="Arial"/>
          <w:b w:val="0"/>
          <w:sz w:val="21"/>
        </w:rPr>
        <w:t>D) Un año inmediatamente anterior.</w:t>
      </w:r>
    </w:p>
    <w:p>
      <w:pPr>
        <w:pStyle w:val="Question"/>
        <w:keepNext/>
      </w:pPr>
      <w:r>
        <w:rPr>
          <w:rFonts w:ascii="Arial" w:hAnsi="Arial" w:cs="Arial"/>
          <w:sz w:val="22"/>
        </w:rPr>
        <w:t>66. Sin añadir circunstancias distintas de las indicadas, al terminar en 2026 un contrato temporal ordinario de duración inferior a treinta días, la cotización adicional empresarial es:</w:t>
      </w:r>
    </w:p>
    <w:p>
      <w:pPr>
        <w:keepNext/>
        <w:keepLines/>
        <w:spacing w:after="40"/>
        <w:ind w:left="369" w:hanging="198"/>
      </w:pPr>
      <w:r>
        <w:rPr>
          <w:rFonts w:ascii="Arial" w:hAnsi="Arial" w:cs="Arial"/>
          <w:b w:val="0"/>
          <w:sz w:val="21"/>
        </w:rPr>
        <w:t>A) 33,62 euros.</w:t>
      </w:r>
    </w:p>
    <w:p>
      <w:pPr>
        <w:keepNext/>
        <w:keepLines/>
        <w:spacing w:after="40"/>
        <w:ind w:left="369" w:hanging="198"/>
      </w:pPr>
      <w:r>
        <w:rPr>
          <w:rFonts w:ascii="Arial" w:hAnsi="Arial" w:cs="Arial"/>
          <w:b w:val="0"/>
          <w:sz w:val="21"/>
        </w:rPr>
        <w:t>B) 30,00 euros.</w:t>
      </w:r>
    </w:p>
    <w:p>
      <w:pPr>
        <w:keepNext/>
        <w:keepLines/>
        <w:spacing w:after="40"/>
        <w:ind w:left="369" w:hanging="198"/>
      </w:pPr>
      <w:r>
        <w:rPr>
          <w:rFonts w:ascii="Arial" w:hAnsi="Arial" w:cs="Arial"/>
          <w:b w:val="0"/>
          <w:sz w:val="21"/>
        </w:rPr>
        <w:t>C) 28,30 euros.</w:t>
      </w:r>
    </w:p>
    <w:p>
      <w:pPr>
        <w:keepNext/>
        <w:keepLines/>
        <w:spacing w:after="40"/>
        <w:ind w:left="369" w:hanging="198"/>
      </w:pPr>
      <w:r>
        <w:rPr>
          <w:rFonts w:ascii="Arial" w:hAnsi="Arial" w:cs="Arial"/>
          <w:b w:val="0"/>
          <w:sz w:val="21"/>
        </w:rPr>
        <w:t>D) 37,48 euros.</w:t>
      </w:r>
    </w:p>
    <w:p>
      <w:pPr>
        <w:pStyle w:val="Question"/>
        <w:keepNext/>
      </w:pPr>
      <w:r>
        <w:rPr>
          <w:rFonts w:ascii="Arial" w:hAnsi="Arial" w:cs="Arial"/>
          <w:sz w:val="22"/>
        </w:rPr>
        <w:t>67. En una comprobación jurídica del expediente, el presupuesto del Servicio Jurídico, tras la reforma de 2026:</w:t>
      </w:r>
    </w:p>
    <w:p>
      <w:pPr>
        <w:keepNext/>
        <w:keepLines/>
        <w:spacing w:after="40"/>
        <w:ind w:left="369" w:hanging="198"/>
      </w:pPr>
      <w:r>
        <w:rPr>
          <w:rFonts w:ascii="Arial" w:hAnsi="Arial" w:cs="Arial"/>
          <w:b w:val="0"/>
          <w:sz w:val="21"/>
        </w:rPr>
        <w:t>A) Se integra en el de TGSS como centro de gestión independiente.</w:t>
      </w:r>
    </w:p>
    <w:p>
      <w:pPr>
        <w:keepNext/>
        <w:keepLines/>
        <w:spacing w:after="40"/>
        <w:ind w:left="369" w:hanging="198"/>
      </w:pPr>
      <w:r>
        <w:rPr>
          <w:rFonts w:ascii="Arial" w:hAnsi="Arial" w:cs="Arial"/>
          <w:b w:val="0"/>
          <w:sz w:val="21"/>
        </w:rPr>
        <w:t>B) Se integra en el de INSS sin diferenciación.</w:t>
      </w:r>
    </w:p>
    <w:p>
      <w:pPr>
        <w:keepNext/>
        <w:keepLines/>
        <w:spacing w:after="40"/>
        <w:ind w:left="369" w:hanging="198"/>
      </w:pPr>
      <w:r>
        <w:rPr>
          <w:rFonts w:ascii="Arial" w:hAnsi="Arial" w:cs="Arial"/>
          <w:b w:val="0"/>
          <w:sz w:val="21"/>
        </w:rPr>
        <w:t>C) Pertenece al presupuesto de una mutua.</w:t>
      </w:r>
    </w:p>
    <w:p>
      <w:pPr>
        <w:keepNext/>
        <w:keepLines/>
        <w:spacing w:after="40"/>
        <w:ind w:left="369" w:hanging="198"/>
      </w:pPr>
      <w:r>
        <w:rPr>
          <w:rFonts w:ascii="Arial" w:hAnsi="Arial" w:cs="Arial"/>
          <w:b w:val="0"/>
          <w:sz w:val="21"/>
        </w:rPr>
        <w:t>D) Desaparece por carecer de personalidad.</w:t>
      </w:r>
    </w:p>
    <w:p>
      <w:pPr>
        <w:pStyle w:val="Question"/>
        <w:keepNext/>
      </w:pPr>
      <w:r>
        <w:rPr>
          <w:rFonts w:ascii="Arial" w:hAnsi="Arial" w:cs="Arial"/>
          <w:sz w:val="22"/>
        </w:rPr>
        <w:t>68. De acuerdo con la regulación aplicable,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val="0"/>
          <w:sz w:val="21"/>
        </w:rPr>
        <w:t>B)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C) Reconocer la prestación y declarar extinguidas cuotas, recargos y sanciones.</w:t>
      </w:r>
    </w:p>
    <w:p>
      <w:pPr>
        <w:keepNext/>
        <w:keepLines/>
        <w:spacing w:after="40"/>
        <w:ind w:left="369" w:hanging="198"/>
      </w:pPr>
      <w:r>
        <w:rPr>
          <w:rFonts w:ascii="Arial" w:hAnsi="Arial" w:cs="Arial"/>
          <w:b w:val="0"/>
          <w:sz w:val="21"/>
        </w:rPr>
        <w:t>D) Considerar que el INSS cursó retroactivamente el alta empresarial.</w:t>
      </w:r>
    </w:p>
    <w:p>
      <w:pPr>
        <w:pStyle w:val="Question"/>
        <w:keepNext/>
      </w:pPr>
      <w:r>
        <w:rPr>
          <w:rFonts w:ascii="Arial" w:hAnsi="Arial" w:cs="Arial"/>
          <w:sz w:val="22"/>
        </w:rPr>
        <w:t>69. Conforme al ordenamiento vigente a la fecha de corte, el plazo de dos meses tras el que procede disolver las Cámaras por fracaso de la investidura comienza:</w:t>
      </w:r>
    </w:p>
    <w:p>
      <w:pPr>
        <w:keepNext/>
        <w:keepLines/>
        <w:spacing w:after="40"/>
        <w:ind w:left="369" w:hanging="198"/>
      </w:pPr>
      <w:r>
        <w:rPr>
          <w:rFonts w:ascii="Arial" w:hAnsi="Arial" w:cs="Arial"/>
          <w:b w:val="0"/>
          <w:sz w:val="21"/>
        </w:rPr>
        <w:t>A) En la sesión constitutiva del Congreso.</w:t>
      </w:r>
    </w:p>
    <w:p>
      <w:pPr>
        <w:keepNext/>
        <w:keepLines/>
        <w:spacing w:after="40"/>
        <w:ind w:left="369" w:hanging="198"/>
      </w:pPr>
      <w:r>
        <w:rPr>
          <w:rFonts w:ascii="Arial" w:hAnsi="Arial" w:cs="Arial"/>
          <w:b w:val="0"/>
          <w:sz w:val="21"/>
        </w:rPr>
        <w:t>B) En la primera consulta del Rey.</w:t>
      </w:r>
    </w:p>
    <w:p>
      <w:pPr>
        <w:keepNext/>
        <w:keepLines/>
        <w:spacing w:after="40"/>
        <w:ind w:left="369" w:hanging="198"/>
      </w:pPr>
      <w:r>
        <w:rPr>
          <w:rFonts w:ascii="Arial" w:hAnsi="Arial" w:cs="Arial"/>
          <w:b w:val="0"/>
          <w:sz w:val="21"/>
        </w:rPr>
        <w:t>C) En la primera propuesta de candidato.</w:t>
      </w:r>
    </w:p>
    <w:p>
      <w:pPr>
        <w:keepNext/>
        <w:keepLines/>
        <w:spacing w:after="40"/>
        <w:ind w:left="369" w:hanging="198"/>
      </w:pPr>
      <w:r>
        <w:rPr>
          <w:rFonts w:ascii="Arial" w:hAnsi="Arial" w:cs="Arial"/>
          <w:b w:val="0"/>
          <w:sz w:val="21"/>
        </w:rPr>
        <w:t>D) En la primera votación de investidura.</w:t>
      </w:r>
    </w:p>
    <w:p>
      <w:pPr>
        <w:pStyle w:val="Question"/>
        <w:keepNext/>
      </w:pPr>
      <w:r>
        <w:rPr>
          <w:rFonts w:ascii="Arial" w:hAnsi="Arial" w:cs="Arial"/>
          <w:sz w:val="22"/>
        </w:rPr>
        <w:t>70. A efectos de aplicar correctamente la regla examinada, el derecho a no aportar documentos ya elaborados por otra Administración implica que:</w:t>
      </w:r>
    </w:p>
    <w:p>
      <w:pPr>
        <w:keepNext/>
        <w:keepLines/>
        <w:spacing w:after="40"/>
        <w:ind w:left="369" w:hanging="198"/>
      </w:pPr>
      <w:r>
        <w:rPr>
          <w:rFonts w:ascii="Arial" w:hAnsi="Arial" w:cs="Arial"/>
          <w:b w:val="0"/>
          <w:sz w:val="21"/>
        </w:rPr>
        <w:t>A) El procedimiento debe archivarse.</w:t>
      </w:r>
    </w:p>
    <w:p>
      <w:pPr>
        <w:keepNext/>
        <w:keepLines/>
        <w:spacing w:after="40"/>
        <w:ind w:left="369" w:hanging="198"/>
      </w:pPr>
      <w:r>
        <w:rPr>
          <w:rFonts w:ascii="Arial" w:hAnsi="Arial" w:cs="Arial"/>
          <w:b w:val="0"/>
          <w:sz w:val="21"/>
        </w:rPr>
        <w:t>B) La Administración debe recabarlos electrónicamente, con los límites legales.</w:t>
      </w:r>
    </w:p>
    <w:p>
      <w:pPr>
        <w:keepNext/>
        <w:keepLines/>
        <w:spacing w:after="40"/>
        <w:ind w:left="369" w:hanging="198"/>
      </w:pPr>
      <w:r>
        <w:rPr>
          <w:rFonts w:ascii="Arial" w:hAnsi="Arial" w:cs="Arial"/>
          <w:b w:val="0"/>
          <w:sz w:val="21"/>
        </w:rPr>
        <w:t>C) Nunca puede comprobarse su contenido.</w:t>
      </w:r>
    </w:p>
    <w:p>
      <w:pPr>
        <w:keepNext/>
        <w:keepLines/>
        <w:spacing w:after="40"/>
        <w:ind w:left="369" w:hanging="198"/>
      </w:pPr>
      <w:r>
        <w:rPr>
          <w:rFonts w:ascii="Arial" w:hAnsi="Arial" w:cs="Arial"/>
          <w:b w:val="0"/>
          <w:sz w:val="21"/>
        </w:rPr>
        <w:t>D) El interesado puede ocultar documentos exigibles en una inspección.</w:t>
      </w:r>
    </w:p>
    <w:p>
      <w:pPr>
        <w:pStyle w:val="Heading2"/>
      </w:pPr>
      <w:r>
        <w:t>Preguntas de reserva de la primera parte</w:t>
      </w:r>
    </w:p>
    <w:p>
      <w:pPr>
        <w:pStyle w:val="Question"/>
        <w:keepNext/>
      </w:pPr>
      <w:r>
        <w:rPr>
          <w:rFonts w:ascii="Arial" w:hAnsi="Arial" w:cs="Arial"/>
          <w:sz w:val="22"/>
        </w:rPr>
        <w:t>71. En una comprobación jurídica del expediente, respecto de una ley aprobada por las Cortes Generales, ¿qué actuación corresponde al Rey?</w:t>
      </w:r>
    </w:p>
    <w:p>
      <w:pPr>
        <w:keepNext/>
        <w:keepLines/>
        <w:spacing w:after="40"/>
        <w:ind w:left="369" w:hanging="198"/>
      </w:pPr>
      <w:r>
        <w:rPr>
          <w:rFonts w:ascii="Arial" w:hAnsi="Arial" w:cs="Arial"/>
          <w:b w:val="0"/>
          <w:sz w:val="21"/>
        </w:rPr>
        <w:t>A) Debe sancionarla en quince días, promulgarla y ordenar su inmediata publicación.</w:t>
      </w:r>
    </w:p>
    <w:p>
      <w:pPr>
        <w:keepNext/>
        <w:keepLines/>
        <w:spacing w:after="40"/>
        <w:ind w:left="369" w:hanging="198"/>
      </w:pPr>
      <w:r>
        <w:rPr>
          <w:rFonts w:ascii="Arial" w:hAnsi="Arial" w:cs="Arial"/>
          <w:b w:val="0"/>
          <w:sz w:val="21"/>
        </w:rPr>
        <w:t>B) Puede vetarla y devolverla motivadamente al Congreso.</w:t>
      </w:r>
    </w:p>
    <w:p>
      <w:pPr>
        <w:keepNext/>
        <w:keepLines/>
        <w:spacing w:after="40"/>
        <w:ind w:left="369" w:hanging="198"/>
      </w:pPr>
      <w:r>
        <w:rPr>
          <w:rFonts w:ascii="Arial" w:hAnsi="Arial" w:cs="Arial"/>
          <w:b w:val="0"/>
          <w:sz w:val="21"/>
        </w:rPr>
        <w:t>C) Puede suspender su sanción hasta el final de la legislatura.</w:t>
      </w:r>
    </w:p>
    <w:p>
      <w:pPr>
        <w:keepNext/>
        <w:keepLines/>
        <w:spacing w:after="40"/>
        <w:ind w:left="369" w:hanging="198"/>
      </w:pPr>
      <w:r>
        <w:rPr>
          <w:rFonts w:ascii="Arial" w:hAnsi="Arial" w:cs="Arial"/>
          <w:b w:val="0"/>
          <w:sz w:val="21"/>
        </w:rPr>
        <w:t>D) Solo la promulga si obtuvo mayoría absoluta en ambas Cámaras.</w:t>
      </w:r>
    </w:p>
    <w:p>
      <w:pPr>
        <w:pStyle w:val="Question"/>
        <w:keepNext/>
      </w:pPr>
      <w:r>
        <w:rPr>
          <w:rFonts w:ascii="Arial" w:hAnsi="Arial" w:cs="Arial"/>
          <w:sz w:val="22"/>
        </w:rPr>
        <w:t>72. Conforme al ordenamiento vigente a la fecha de corte, respecto de la protección no contributiva, es correcto afirmar que:</w:t>
      </w:r>
    </w:p>
    <w:p>
      <w:pPr>
        <w:keepNext/>
        <w:keepLines/>
        <w:spacing w:after="40"/>
        <w:ind w:left="369" w:hanging="198"/>
      </w:pPr>
      <w:r>
        <w:rPr>
          <w:rFonts w:ascii="Arial" w:hAnsi="Arial" w:cs="Arial"/>
          <w:b w:val="0"/>
          <w:sz w:val="21"/>
        </w:rPr>
        <w:t>A) Se financia mediante aportaciones del Estado, conforme a la separación legal de fuentes.</w:t>
      </w:r>
    </w:p>
    <w:p>
      <w:pPr>
        <w:keepNext/>
        <w:keepLines/>
        <w:spacing w:after="40"/>
        <w:ind w:left="369" w:hanging="198"/>
      </w:pPr>
      <w:r>
        <w:rPr>
          <w:rFonts w:ascii="Arial" w:hAnsi="Arial" w:cs="Arial"/>
          <w:b w:val="0"/>
          <w:sz w:val="21"/>
        </w:rPr>
        <w:t>B) Se financia necesariamente solo con cuotas individuales.</w:t>
      </w:r>
    </w:p>
    <w:p>
      <w:pPr>
        <w:keepNext/>
        <w:keepLines/>
        <w:spacing w:after="40"/>
        <w:ind w:left="369" w:hanging="198"/>
      </w:pPr>
      <w:r>
        <w:rPr>
          <w:rFonts w:ascii="Arial" w:hAnsi="Arial" w:cs="Arial"/>
          <w:b w:val="0"/>
          <w:sz w:val="21"/>
        </w:rPr>
        <w:t>C) Exige siempre una carrera previa de cotización.</w:t>
      </w:r>
    </w:p>
    <w:p>
      <w:pPr>
        <w:keepNext/>
        <w:keepLines/>
        <w:spacing w:after="40"/>
        <w:ind w:left="369" w:hanging="198"/>
      </w:pPr>
      <w:r>
        <w:rPr>
          <w:rFonts w:ascii="Arial" w:hAnsi="Arial" w:cs="Arial"/>
          <w:b w:val="0"/>
          <w:sz w:val="21"/>
        </w:rPr>
        <w:t>D) Queda fuera del sistema de Seguridad Social.</w:t>
      </w:r>
    </w:p>
    <w:p>
      <w:pPr>
        <w:pStyle w:val="Question"/>
        <w:keepNext/>
      </w:pPr>
      <w:r>
        <w:rPr>
          <w:rFonts w:ascii="Arial" w:hAnsi="Arial" w:cs="Arial"/>
          <w:sz w:val="22"/>
        </w:rPr>
        <w:t>73. En una comprobación jurídica del expediente, la IT derivada de accidente no laboral:</w:t>
      </w:r>
    </w:p>
    <w:p>
      <w:pPr>
        <w:keepNext/>
        <w:keepLines/>
        <w:spacing w:after="40"/>
        <w:ind w:left="369" w:hanging="198"/>
      </w:pPr>
      <w:r>
        <w:rPr>
          <w:rFonts w:ascii="Arial" w:hAnsi="Arial" w:cs="Arial"/>
          <w:b w:val="0"/>
          <w:sz w:val="21"/>
        </w:rPr>
        <w:t>A) No exige período previo de cotización.</w:t>
      </w:r>
    </w:p>
    <w:p>
      <w:pPr>
        <w:keepNext/>
        <w:keepLines/>
        <w:spacing w:after="40"/>
        <w:ind w:left="369" w:hanging="198"/>
      </w:pPr>
      <w:r>
        <w:rPr>
          <w:rFonts w:ascii="Arial" w:hAnsi="Arial" w:cs="Arial"/>
          <w:b w:val="0"/>
          <w:sz w:val="21"/>
        </w:rPr>
        <w:t>B) Exige 180 días cotizados.</w:t>
      </w:r>
    </w:p>
    <w:p>
      <w:pPr>
        <w:keepNext/>
        <w:keepLines/>
        <w:spacing w:after="40"/>
        <w:ind w:left="369" w:hanging="198"/>
      </w:pPr>
      <w:r>
        <w:rPr>
          <w:rFonts w:ascii="Arial" w:hAnsi="Arial" w:cs="Arial"/>
          <w:b w:val="0"/>
          <w:sz w:val="21"/>
        </w:rPr>
        <w:t>C) Exige estar desempleado.</w:t>
      </w:r>
    </w:p>
    <w:p>
      <w:pPr>
        <w:keepNext/>
        <w:keepLines/>
        <w:spacing w:after="40"/>
        <w:ind w:left="369" w:hanging="198"/>
      </w:pPr>
      <w:r>
        <w:rPr>
          <w:rFonts w:ascii="Arial" w:hAnsi="Arial" w:cs="Arial"/>
          <w:b w:val="0"/>
          <w:sz w:val="21"/>
        </w:rPr>
        <w:t>D) Solo protege a mayores de 26 años.</w:t>
      </w:r>
    </w:p>
    <w:p>
      <w:r>
        <w:br w:type="page"/>
      </w:r>
    </w:p>
    <w:p>
      <w:pPr>
        <w:pStyle w:val="Heading1"/>
      </w:pPr>
      <w:r>
        <w:t>Segunda parte · supuesto práctico</w:t>
      </w:r>
    </w:p>
    <w:p>
      <w:pPr>
        <w:shd w:fill="EAF2F8"/>
      </w:pPr>
      <w:r>
        <w:t>La equipo de revisión de expedientes atiende a varias personas trabajadoras, pensionistas y empresas con incidencias conectadas.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persona funcionaria responsable necesita determinar si una lesión profesional definitiva incluida en baremo, que no alcanza IP:</w:t>
      </w:r>
    </w:p>
    <w:p>
      <w:pPr>
        <w:keepNext/>
        <w:keepLines/>
        <w:spacing w:after="40"/>
        <w:ind w:left="369" w:hanging="198"/>
      </w:pPr>
      <w:r>
        <w:rPr>
          <w:rFonts w:ascii="Arial" w:hAnsi="Arial" w:cs="Arial"/>
          <w:b w:val="0"/>
          <w:sz w:val="21"/>
        </w:rPr>
        <w:t>A) Puede dar lugar a indemnización única por lesión permanente no incapacitante.</w:t>
      </w:r>
    </w:p>
    <w:p>
      <w:pPr>
        <w:keepNext/>
        <w:keepLines/>
        <w:spacing w:after="40"/>
        <w:ind w:left="369" w:hanging="198"/>
      </w:pPr>
      <w:r>
        <w:rPr>
          <w:rFonts w:ascii="Arial" w:hAnsi="Arial" w:cs="Arial"/>
          <w:b w:val="0"/>
          <w:sz w:val="21"/>
        </w:rPr>
        <w:t>B) Genera siempre una pensión del 55 por ciento.</w:t>
      </w:r>
    </w:p>
    <w:p>
      <w:pPr>
        <w:keepNext/>
        <w:keepLines/>
        <w:spacing w:after="40"/>
        <w:ind w:left="369" w:hanging="198"/>
      </w:pPr>
      <w:r>
        <w:rPr>
          <w:rFonts w:ascii="Arial" w:hAnsi="Arial" w:cs="Arial"/>
          <w:b w:val="0"/>
          <w:sz w:val="21"/>
        </w:rPr>
        <w:t>C) Impide continuar en la empresa.</w:t>
      </w:r>
    </w:p>
    <w:p>
      <w:pPr>
        <w:keepNext/>
        <w:keepLines/>
        <w:spacing w:after="40"/>
        <w:ind w:left="369" w:hanging="198"/>
      </w:pPr>
      <w:r>
        <w:rPr>
          <w:rFonts w:ascii="Arial" w:hAnsi="Arial" w:cs="Arial"/>
          <w:b w:val="0"/>
          <w:sz w:val="21"/>
        </w:rPr>
        <w:t>D) Se califica como accidente no laboral.</w:t>
      </w:r>
    </w:p>
    <w:p>
      <w:pPr>
        <w:pStyle w:val="Question"/>
        <w:keepNext/>
      </w:pPr>
      <w:r>
        <w:rPr>
          <w:rFonts w:ascii="Arial" w:hAnsi="Arial" w:cs="Arial"/>
          <w:sz w:val="22"/>
        </w:rPr>
        <w:t>2. La unidad competente debe resolver la siguiente cuestión: ¿Cuál es la afirmación correcta sobre rango y naturaleza?</w:t>
      </w:r>
    </w:p>
    <w:p>
      <w:pPr>
        <w:keepNext/>
        <w:keepLines/>
        <w:spacing w:after="40"/>
        <w:ind w:left="369" w:hanging="198"/>
      </w:pPr>
      <w:r>
        <w:rPr>
          <w:rFonts w:ascii="Arial" w:hAnsi="Arial" w:cs="Arial"/>
          <w:b w:val="0"/>
          <w:sz w:val="21"/>
        </w:rPr>
        <w:t>A) El rango orgánico no determina por sí solo si se trata de entidad gestora, servicio común u órgano de control.</w:t>
      </w:r>
    </w:p>
    <w:p>
      <w:pPr>
        <w:keepNext/>
        <w:keepLines/>
        <w:spacing w:after="40"/>
        <w:ind w:left="369" w:hanging="198"/>
      </w:pPr>
      <w:r>
        <w:rPr>
          <w:rFonts w:ascii="Arial" w:hAnsi="Arial" w:cs="Arial"/>
          <w:b w:val="0"/>
          <w:sz w:val="21"/>
        </w:rPr>
        <w:t>B) Todo órgano con rango de dirección general es entidad gestora.</w:t>
      </w:r>
    </w:p>
    <w:p>
      <w:pPr>
        <w:keepNext/>
        <w:keepLines/>
        <w:spacing w:after="40"/>
        <w:ind w:left="369" w:hanging="198"/>
      </w:pPr>
      <w:r>
        <w:rPr>
          <w:rFonts w:ascii="Arial" w:hAnsi="Arial" w:cs="Arial"/>
          <w:b w:val="0"/>
          <w:sz w:val="21"/>
        </w:rPr>
        <w:t>C) Todo servicio común carece de personalidad jurídica.</w:t>
      </w:r>
    </w:p>
    <w:p>
      <w:pPr>
        <w:keepNext/>
        <w:keepLines/>
        <w:spacing w:after="40"/>
        <w:ind w:left="369" w:hanging="198"/>
      </w:pPr>
      <w:r>
        <w:rPr>
          <w:rFonts w:ascii="Arial" w:hAnsi="Arial" w:cs="Arial"/>
          <w:b w:val="0"/>
          <w:sz w:val="21"/>
        </w:rPr>
        <w:t>D) Una mutua pasa a ser servicio común por estar tutelada.</w:t>
      </w:r>
    </w:p>
    <w:p>
      <w:pPr>
        <w:pStyle w:val="Question"/>
        <w:keepNext/>
      </w:pPr>
      <w:r>
        <w:rPr>
          <w:rFonts w:ascii="Arial" w:hAnsi="Arial" w:cs="Arial"/>
          <w:sz w:val="22"/>
        </w:rPr>
        <w:t>3. Al comprobar el encuadramiento y sus efectos, el Real Decreto 643/2026, publicado el 30 de julio de 2026, modifica el interés de los aplazamientos con efectos desde el 1 de agosto. Desde esa fecha, la regla general pasa a ser:</w:t>
      </w:r>
    </w:p>
    <w:p>
      <w:pPr>
        <w:keepNext/>
        <w:keepLines/>
        <w:spacing w:after="40"/>
        <w:ind w:left="369" w:hanging="198"/>
      </w:pPr>
      <w:r>
        <w:rPr>
          <w:rFonts w:ascii="Arial" w:hAnsi="Arial" w:cs="Arial"/>
          <w:b w:val="0"/>
          <w:sz w:val="21"/>
        </w:rPr>
        <w:t>A) Interés de demora y, si hay exención extraordinaria de garantías, dicho interés incrementado en dos puntos.</w:t>
      </w:r>
    </w:p>
    <w:p>
      <w:pPr>
        <w:keepNext/>
        <w:keepLines/>
        <w:spacing w:after="40"/>
        <w:ind w:left="369" w:hanging="198"/>
      </w:pPr>
      <w:r>
        <w:rPr>
          <w:rFonts w:ascii="Arial" w:hAnsi="Arial" w:cs="Arial"/>
          <w:b w:val="0"/>
          <w:sz w:val="21"/>
        </w:rPr>
        <w:t>B) Interés cero para toda deuda garantizada.</w:t>
      </w:r>
    </w:p>
    <w:p>
      <w:pPr>
        <w:keepNext/>
        <w:keepLines/>
        <w:spacing w:after="40"/>
        <w:ind w:left="369" w:hanging="198"/>
      </w:pPr>
      <w:r>
        <w:rPr>
          <w:rFonts w:ascii="Arial" w:hAnsi="Arial" w:cs="Arial"/>
          <w:b w:val="0"/>
          <w:sz w:val="21"/>
        </w:rPr>
        <w:t>C) Interés legal reducido a la mitad.</w:t>
      </w:r>
    </w:p>
    <w:p>
      <w:pPr>
        <w:keepNext/>
        <w:keepLines/>
        <w:spacing w:after="40"/>
        <w:ind w:left="369" w:hanging="198"/>
      </w:pPr>
      <w:r>
        <w:rPr>
          <w:rFonts w:ascii="Arial" w:hAnsi="Arial" w:cs="Arial"/>
          <w:b w:val="0"/>
          <w:sz w:val="21"/>
        </w:rPr>
        <w:t>D) Tipo libremente pactado con la TGSS.</w:t>
      </w:r>
    </w:p>
    <w:p>
      <w:pPr>
        <w:pStyle w:val="Question"/>
        <w:keepNext/>
      </w:pPr>
      <w:r>
        <w:rPr>
          <w:rFonts w:ascii="Arial" w:hAnsi="Arial" w:cs="Arial"/>
          <w:sz w:val="22"/>
        </w:rPr>
        <w:t>4. Al comprobar el encuadramiento y sus efectos, para acceder a la jubilación anticipada voluntaria, el importe de la pensión resultante debe:</w:t>
      </w:r>
    </w:p>
    <w:p>
      <w:pPr>
        <w:keepNext/>
        <w:keepLines/>
        <w:spacing w:after="40"/>
        <w:ind w:left="369" w:hanging="198"/>
      </w:pPr>
      <w:r>
        <w:rPr>
          <w:rFonts w:ascii="Arial" w:hAnsi="Arial" w:cs="Arial"/>
          <w:b w:val="0"/>
          <w:sz w:val="21"/>
        </w:rPr>
        <w:t>A) Ser inferior a la pensión mínima para generar complemento.</w:t>
      </w:r>
    </w:p>
    <w:p>
      <w:pPr>
        <w:keepNext/>
        <w:keepLines/>
        <w:spacing w:after="40"/>
        <w:ind w:left="369" w:hanging="198"/>
      </w:pPr>
      <w:r>
        <w:rPr>
          <w:rFonts w:ascii="Arial" w:hAnsi="Arial" w:cs="Arial"/>
          <w:b w:val="0"/>
          <w:sz w:val="21"/>
        </w:rPr>
        <w:t>B) Superar la cuantía de la pensión mínima que correspondería al interesado al cumplir 65 años.</w:t>
      </w:r>
    </w:p>
    <w:p>
      <w:pPr>
        <w:keepNext/>
        <w:keepLines/>
        <w:spacing w:after="40"/>
        <w:ind w:left="369" w:hanging="198"/>
      </w:pPr>
      <w:r>
        <w:rPr>
          <w:rFonts w:ascii="Arial" w:hAnsi="Arial" w:cs="Arial"/>
          <w:b w:val="0"/>
          <w:sz w:val="21"/>
        </w:rPr>
        <w:t>C) Coincidir con el salario mínimo interprofesional.</w:t>
      </w:r>
    </w:p>
    <w:p>
      <w:pPr>
        <w:keepNext/>
        <w:keepLines/>
        <w:spacing w:after="40"/>
        <w:ind w:left="369" w:hanging="198"/>
      </w:pPr>
      <w:r>
        <w:rPr>
          <w:rFonts w:ascii="Arial" w:hAnsi="Arial" w:cs="Arial"/>
          <w:b w:val="0"/>
          <w:sz w:val="21"/>
        </w:rPr>
        <w:t>D) Alcanzar necesariamente la pensión máxima.</w:t>
      </w:r>
    </w:p>
    <w:p>
      <w:pPr>
        <w:pStyle w:val="Question"/>
        <w:keepNext/>
      </w:pPr>
      <w:r>
        <w:rPr>
          <w:rFonts w:ascii="Arial" w:hAnsi="Arial" w:cs="Arial"/>
          <w:sz w:val="22"/>
        </w:rPr>
        <w:t>5. La persona funcionaria responsable necesita determinar si si la viudedad se calcula con un porcentaje superior al 52 %, la suma de las pensiones de orfandad:</w:t>
      </w:r>
    </w:p>
    <w:p>
      <w:pPr>
        <w:keepNext/>
        <w:keepLines/>
        <w:spacing w:after="40"/>
        <w:ind w:left="369" w:hanging="198"/>
      </w:pPr>
      <w:r>
        <w:rPr>
          <w:rFonts w:ascii="Arial" w:hAnsi="Arial" w:cs="Arial"/>
          <w:b w:val="0"/>
          <w:sz w:val="21"/>
        </w:rPr>
        <w:t>A) Puede alcanzar sin límite el 100 % adicional.</w:t>
      </w:r>
    </w:p>
    <w:p>
      <w:pPr>
        <w:keepNext/>
        <w:keepLines/>
        <w:spacing w:after="40"/>
        <w:ind w:left="369" w:hanging="198"/>
      </w:pPr>
      <w:r>
        <w:rPr>
          <w:rFonts w:ascii="Arial" w:hAnsi="Arial" w:cs="Arial"/>
          <w:b w:val="0"/>
          <w:sz w:val="21"/>
        </w:rPr>
        <w:t>B) No puede superar conjuntamente el 48 % de la base reguladora.</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pStyle w:val="Question"/>
        <w:keepNext/>
      </w:pPr>
      <w:r>
        <w:rPr>
          <w:rFonts w:ascii="Arial" w:hAnsi="Arial" w:cs="Arial"/>
          <w:sz w:val="22"/>
        </w:rPr>
        <w:t>6. Antes de dictar resolución, debe aplicarse la regla según la cual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val="0"/>
          <w:sz w:val="21"/>
        </w:rPr>
        <w:t>B) 1 de enero de 2026.</w:t>
      </w:r>
    </w:p>
    <w:p>
      <w:pPr>
        <w:keepNext/>
        <w:keepLines/>
        <w:spacing w:after="40"/>
        <w:ind w:left="369" w:hanging="198"/>
      </w:pPr>
      <w:r>
        <w:rPr>
          <w:rFonts w:ascii="Arial" w:hAnsi="Arial" w:cs="Arial"/>
          <w:b w:val="0"/>
          <w:sz w:val="21"/>
        </w:rPr>
        <w:t>C) 2 de agosto de 2024, solicitables desde 1 de enero de 2026.</w:t>
      </w:r>
    </w:p>
    <w:p>
      <w:pPr>
        <w:keepNext/>
        <w:keepLines/>
        <w:spacing w:after="40"/>
        <w:ind w:left="369" w:hanging="198"/>
      </w:pPr>
      <w:r>
        <w:rPr>
          <w:rFonts w:ascii="Arial" w:hAnsi="Arial" w:cs="Arial"/>
          <w:b w:val="0"/>
          <w:sz w:val="21"/>
        </w:rPr>
        <w:t>D) 8 de marzo de 2019.</w:t>
      </w:r>
    </w:p>
    <w:p>
      <w:pPr>
        <w:pStyle w:val="Question"/>
        <w:keepNext/>
      </w:pPr>
      <w:r>
        <w:rPr>
          <w:rFonts w:ascii="Arial" w:hAnsi="Arial" w:cs="Arial"/>
          <w:sz w:val="22"/>
        </w:rPr>
        <w:t>7. Al comprobar el encuadramiento y sus efectos, el organismo competente para reconocer la afiliación y las altas y bajas es:</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val="0"/>
          <w:sz w:val="21"/>
        </w:rPr>
        <w:t>B) El Servicio Público de Empleo Estatal.</w:t>
      </w:r>
    </w:p>
    <w:p>
      <w:pPr>
        <w:keepNext/>
        <w:keepLines/>
        <w:spacing w:after="40"/>
        <w:ind w:left="369" w:hanging="198"/>
      </w:pPr>
      <w:r>
        <w:rPr>
          <w:rFonts w:ascii="Arial" w:hAnsi="Arial" w:cs="Arial"/>
          <w:b w:val="0"/>
          <w:sz w:val="21"/>
        </w:rPr>
        <w:t>C) La Tesorería General de la Seguridad Social.</w:t>
      </w:r>
    </w:p>
    <w:p>
      <w:pPr>
        <w:keepNext/>
        <w:keepLines/>
        <w:spacing w:after="40"/>
        <w:ind w:left="369" w:hanging="198"/>
      </w:pPr>
      <w:r>
        <w:rPr>
          <w:rFonts w:ascii="Arial" w:hAnsi="Arial" w:cs="Arial"/>
          <w:b w:val="0"/>
          <w:sz w:val="21"/>
        </w:rPr>
        <w:t>D) El Instituto Nacional de Seguridad y Salud en el Trabajo.</w:t>
      </w:r>
    </w:p>
    <w:p>
      <w:pPr>
        <w:pStyle w:val="Question"/>
        <w:keepNext/>
      </w:pPr>
      <w:r>
        <w:rPr>
          <w:rFonts w:ascii="Arial" w:hAnsi="Arial" w:cs="Arial"/>
          <w:sz w:val="22"/>
        </w:rPr>
        <w:t>8. La unidad competente debe resolver la siguiente cuestión: Si el valor de tasación de un inmueble que se pretende enajenar no excede de 20 millones de euros, autoriza:</w:t>
      </w:r>
    </w:p>
    <w:p>
      <w:pPr>
        <w:keepNext/>
        <w:keepLines/>
        <w:spacing w:after="40"/>
        <w:ind w:left="369" w:hanging="198"/>
      </w:pPr>
      <w:r>
        <w:rPr>
          <w:rFonts w:ascii="Arial" w:hAnsi="Arial" w:cs="Arial"/>
          <w:b w:val="0"/>
          <w:sz w:val="21"/>
        </w:rPr>
        <w:t>A) La dirección provincial de la TGSS.</w:t>
      </w:r>
    </w:p>
    <w:p>
      <w:pPr>
        <w:keepNext/>
        <w:keepLines/>
        <w:spacing w:after="40"/>
        <w:ind w:left="369" w:hanging="198"/>
      </w:pPr>
      <w:r>
        <w:rPr>
          <w:rFonts w:ascii="Arial" w:hAnsi="Arial" w:cs="Arial"/>
          <w:b w:val="0"/>
          <w:sz w:val="21"/>
        </w:rPr>
        <w:t>B) El Congreso de los Diputados.</w:t>
      </w:r>
    </w:p>
    <w:p>
      <w:pPr>
        <w:keepNext/>
        <w:keepLines/>
        <w:spacing w:after="40"/>
        <w:ind w:left="369" w:hanging="198"/>
      </w:pPr>
      <w:r>
        <w:rPr>
          <w:rFonts w:ascii="Arial" w:hAnsi="Arial" w:cs="Arial"/>
          <w:b w:val="0"/>
          <w:sz w:val="21"/>
        </w:rPr>
        <w:t>C) La entidad gestora que ocupa el inmueble.</w:t>
      </w:r>
    </w:p>
    <w:p>
      <w:pPr>
        <w:keepNext/>
        <w:keepLines/>
        <w:spacing w:after="40"/>
        <w:ind w:left="369" w:hanging="198"/>
      </w:pPr>
      <w:r>
        <w:rPr>
          <w:rFonts w:ascii="Arial" w:hAnsi="Arial" w:cs="Arial"/>
          <w:b w:val="0"/>
          <w:sz w:val="21"/>
        </w:rPr>
        <w:t>D) La persona titular del Ministerio competente en Seguridad Social.</w:t>
      </w:r>
    </w:p>
    <w:p>
      <w:pPr>
        <w:pStyle w:val="Question"/>
        <w:keepNext/>
      </w:pPr>
      <w:r>
        <w:rPr>
          <w:rFonts w:ascii="Arial" w:hAnsi="Arial" w:cs="Arial"/>
          <w:sz w:val="22"/>
        </w:rPr>
        <w:t>9. La unidad competente debe resolver la siguiente cuestión: El plazo máximo para adoptar y notificar la resolución de una solicitud de devolución de ingresos indebidos es de:</w:t>
      </w:r>
    </w:p>
    <w:p>
      <w:pPr>
        <w:keepNext/>
        <w:keepLines/>
        <w:spacing w:after="40"/>
        <w:ind w:left="369" w:hanging="198"/>
      </w:pPr>
      <w:r>
        <w:rPr>
          <w:rFonts w:ascii="Arial" w:hAnsi="Arial" w:cs="Arial"/>
          <w:b w:val="0"/>
          <w:sz w:val="21"/>
        </w:rPr>
        <w:t>A) Tres meses.</w:t>
      </w:r>
    </w:p>
    <w:p>
      <w:pPr>
        <w:keepNext/>
        <w:keepLines/>
        <w:spacing w:after="40"/>
        <w:ind w:left="369" w:hanging="198"/>
      </w:pPr>
      <w:r>
        <w:rPr>
          <w:rFonts w:ascii="Arial" w:hAnsi="Arial" w:cs="Arial"/>
          <w:b w:val="0"/>
          <w:sz w:val="21"/>
        </w:rPr>
        <w:t>B) Un año.</w:t>
      </w:r>
    </w:p>
    <w:p>
      <w:pPr>
        <w:keepNext/>
        <w:keepLines/>
        <w:spacing w:after="40"/>
        <w:ind w:left="369" w:hanging="198"/>
      </w:pPr>
      <w:r>
        <w:rPr>
          <w:rFonts w:ascii="Arial" w:hAnsi="Arial" w:cs="Arial"/>
          <w:b w:val="0"/>
          <w:sz w:val="21"/>
        </w:rPr>
        <w:t>C) Seis meses.</w:t>
      </w:r>
    </w:p>
    <w:p>
      <w:pPr>
        <w:keepNext/>
        <w:keepLines/>
        <w:spacing w:after="40"/>
        <w:ind w:left="369" w:hanging="198"/>
      </w:pPr>
      <w:r>
        <w:rPr>
          <w:rFonts w:ascii="Arial" w:hAnsi="Arial" w:cs="Arial"/>
          <w:b w:val="0"/>
          <w:sz w:val="21"/>
        </w:rPr>
        <w:t>D) Cuatro años.</w:t>
      </w:r>
    </w:p>
    <w:p>
      <w:pPr>
        <w:pStyle w:val="Question"/>
        <w:keepNext/>
      </w:pPr>
      <w:r>
        <w:rPr>
          <w:rFonts w:ascii="Arial" w:hAnsi="Arial" w:cs="Arial"/>
          <w:sz w:val="22"/>
        </w:rPr>
        <w:t>10. Al comprobar el encuadramiento y sus efectos, desde el 1 de agosto de 2026, las variaciones de datos de trabajadores deben comunicarse, con carácter general:</w:t>
      </w:r>
    </w:p>
    <w:p>
      <w:pPr>
        <w:keepNext/>
        <w:keepLines/>
        <w:spacing w:after="40"/>
        <w:ind w:left="369" w:hanging="198"/>
      </w:pPr>
      <w:r>
        <w:rPr>
          <w:rFonts w:ascii="Arial" w:hAnsi="Arial" w:cs="Arial"/>
          <w:b w:val="0"/>
          <w:sz w:val="21"/>
        </w:rPr>
        <w:t>A) Dentro de los tres días naturales siguientes, sin que la reforma altere el plazo.</w:t>
      </w:r>
    </w:p>
    <w:p>
      <w:pPr>
        <w:keepNext/>
        <w:keepLines/>
        <w:spacing w:after="40"/>
        <w:ind w:left="369" w:hanging="198"/>
      </w:pPr>
      <w:r>
        <w:rPr>
          <w:rFonts w:ascii="Arial" w:hAnsi="Arial" w:cs="Arial"/>
          <w:b w:val="0"/>
          <w:sz w:val="21"/>
        </w:rPr>
        <w:t>B) Únicamente al finalizar el año.</w:t>
      </w:r>
    </w:p>
    <w:p>
      <w:pPr>
        <w:keepNext/>
        <w:keepLines/>
        <w:spacing w:after="40"/>
        <w:ind w:left="369" w:hanging="198"/>
      </w:pPr>
      <w:r>
        <w:rPr>
          <w:rFonts w:ascii="Arial" w:hAnsi="Arial" w:cs="Arial"/>
          <w:b w:val="0"/>
          <w:sz w:val="21"/>
        </w:rPr>
        <w:t>C) Antes del cambio, con sesenta días de antelación.</w:t>
      </w:r>
    </w:p>
    <w:p>
      <w:pPr>
        <w:keepNext/>
        <w:keepLines/>
        <w:spacing w:after="40"/>
        <w:ind w:left="369" w:hanging="198"/>
      </w:pPr>
      <w:r>
        <w:rPr>
          <w:rFonts w:ascii="Arial" w:hAnsi="Arial" w:cs="Arial"/>
          <w:b w:val="0"/>
          <w:sz w:val="21"/>
        </w:rPr>
        <w:t>D) Dentro de los seis días naturales siguientes a aquel en que se produzcan.</w:t>
      </w:r>
    </w:p>
    <w:p>
      <w:pPr>
        <w:pStyle w:val="Question"/>
        <w:keepNext/>
      </w:pPr>
      <w:r>
        <w:rPr>
          <w:rFonts w:ascii="Arial" w:hAnsi="Arial" w:cs="Arial"/>
          <w:sz w:val="22"/>
        </w:rPr>
        <w:t>11. En la tramitación del expediente de Seguridad Social, si la tercería se presenta sin los documentos originales en que se funda, se concede para aportarlos un plazo de:</w:t>
      </w:r>
    </w:p>
    <w:p>
      <w:pPr>
        <w:keepNext/>
        <w:keepLines/>
        <w:spacing w:after="40"/>
        <w:ind w:left="369" w:hanging="198"/>
      </w:pPr>
      <w:r>
        <w:rPr>
          <w:rFonts w:ascii="Arial" w:hAnsi="Arial" w:cs="Arial"/>
          <w:b w:val="0"/>
          <w:sz w:val="21"/>
        </w:rPr>
        <w:t>A) Tres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Veinte días.</w:t>
      </w:r>
    </w:p>
    <w:p>
      <w:pPr>
        <w:keepNext/>
        <w:keepLines/>
        <w:spacing w:after="40"/>
        <w:ind w:left="369" w:hanging="198"/>
      </w:pPr>
      <w:r>
        <w:rPr>
          <w:rFonts w:ascii="Arial" w:hAnsi="Arial" w:cs="Arial"/>
          <w:b w:val="0"/>
          <w:sz w:val="21"/>
        </w:rPr>
        <w:t>D) Tres meses.</w:t>
      </w:r>
    </w:p>
    <w:p>
      <w:pPr>
        <w:pStyle w:val="Question"/>
        <w:keepNext/>
      </w:pPr>
      <w:r>
        <w:rPr>
          <w:rFonts w:ascii="Arial" w:hAnsi="Arial" w:cs="Arial"/>
          <w:sz w:val="22"/>
        </w:rPr>
        <w:t>12. La unidad competente debe resolver la siguiente cuestión: ¿Cuál es el máximo del beneficio contributivo por cuidado de hijos o menores del artículo 236?</w:t>
      </w:r>
    </w:p>
    <w:p>
      <w:pPr>
        <w:keepNext/>
        <w:keepLines/>
        <w:spacing w:after="40"/>
        <w:ind w:left="369" w:hanging="198"/>
      </w:pPr>
      <w:r>
        <w:rPr>
          <w:rFonts w:ascii="Arial" w:hAnsi="Arial" w:cs="Arial"/>
          <w:b w:val="0"/>
          <w:sz w:val="21"/>
        </w:rPr>
        <w:t>A) 112 días por unidad familiar y sirve para completar carencia.</w:t>
      </w:r>
    </w:p>
    <w:p>
      <w:pPr>
        <w:keepNext/>
        <w:keepLines/>
        <w:spacing w:after="40"/>
        <w:ind w:left="369" w:hanging="198"/>
      </w:pPr>
      <w:r>
        <w:rPr>
          <w:rFonts w:ascii="Arial" w:hAnsi="Arial" w:cs="Arial"/>
          <w:b w:val="0"/>
          <w:sz w:val="21"/>
        </w:rPr>
        <w:t>B) Tres años por hijo sin límite total.</w:t>
      </w:r>
    </w:p>
    <w:p>
      <w:pPr>
        <w:keepNext/>
        <w:keepLines/>
        <w:spacing w:after="40"/>
        <w:ind w:left="369" w:hanging="198"/>
      </w:pPr>
      <w:r>
        <w:rPr>
          <w:rFonts w:ascii="Arial" w:hAnsi="Arial" w:cs="Arial"/>
          <w:b w:val="0"/>
          <w:sz w:val="21"/>
        </w:rPr>
        <w:t>C) 270 días por hijo, sin superar la interrupción real ni cinco años por beneficiario, y no sirve para completar la carencia mínima.</w:t>
      </w:r>
    </w:p>
    <w:p>
      <w:pPr>
        <w:keepNext/>
        <w:keepLines/>
        <w:spacing w:after="40"/>
        <w:ind w:left="369" w:hanging="198"/>
      </w:pPr>
      <w:r>
        <w:rPr>
          <w:rFonts w:ascii="Arial" w:hAnsi="Arial" w:cs="Arial"/>
          <w:b w:val="0"/>
          <w:sz w:val="21"/>
        </w:rPr>
        <w:t>D) 365 días por hijo, siempre completos.</w:t>
      </w:r>
    </w:p>
    <w:p>
      <w:pPr>
        <w:pStyle w:val="Question"/>
        <w:keepNext/>
      </w:pPr>
      <w:r>
        <w:rPr>
          <w:rFonts w:ascii="Arial" w:hAnsi="Arial" w:cs="Arial"/>
          <w:sz w:val="22"/>
        </w:rPr>
        <w:t>13. En la tramitación del expediente de Seguridad Social, el derecho de la Administración a determinar una deuda por cuotas prescribe, con carácter general, a los:</w:t>
      </w:r>
    </w:p>
    <w:p>
      <w:pPr>
        <w:keepNext/>
        <w:keepLines/>
        <w:spacing w:after="40"/>
        <w:ind w:left="369" w:hanging="198"/>
      </w:pPr>
      <w:r>
        <w:rPr>
          <w:rFonts w:ascii="Arial" w:hAnsi="Arial" w:cs="Arial"/>
          <w:b w:val="0"/>
          <w:sz w:val="21"/>
        </w:rPr>
        <w:t>A) Cuatro años.</w:t>
      </w:r>
    </w:p>
    <w:p>
      <w:pPr>
        <w:keepNext/>
        <w:keepLines/>
        <w:spacing w:after="40"/>
        <w:ind w:left="369" w:hanging="198"/>
      </w:pPr>
      <w:r>
        <w:rPr>
          <w:rFonts w:ascii="Arial" w:hAnsi="Arial" w:cs="Arial"/>
          <w:b w:val="0"/>
          <w:sz w:val="21"/>
        </w:rPr>
        <w:t>B) Dos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14. La persona funcionaria responsable necesita determinar si una empresa transmitió correctamente la liquidación de 10.000 euros, cuyo plazo terminó el 30 de abril, y paga el 20 de mayo. Sin considerar intereses ni costas, ¿qué importe debe ingresar?</w:t>
      </w:r>
    </w:p>
    <w:p>
      <w:pPr>
        <w:keepNext/>
        <w:keepLines/>
        <w:spacing w:after="40"/>
        <w:ind w:left="369" w:hanging="198"/>
      </w:pPr>
      <w:r>
        <w:rPr>
          <w:rFonts w:ascii="Arial" w:hAnsi="Arial" w:cs="Arial"/>
          <w:b w:val="0"/>
          <w:sz w:val="21"/>
        </w:rPr>
        <w:t>A) 12.000 euros, por un recargo del 20 %.</w:t>
      </w:r>
    </w:p>
    <w:p>
      <w:pPr>
        <w:keepNext/>
        <w:keepLines/>
        <w:spacing w:after="40"/>
        <w:ind w:left="369" w:hanging="198"/>
      </w:pPr>
      <w:r>
        <w:rPr>
          <w:rFonts w:ascii="Arial" w:hAnsi="Arial" w:cs="Arial"/>
          <w:b w:val="0"/>
          <w:sz w:val="21"/>
        </w:rPr>
        <w:t>B) 11.000 euros, al aplicarse el recargo del 10 %.</w:t>
      </w:r>
    </w:p>
    <w:p>
      <w:pPr>
        <w:keepNext/>
        <w:keepLines/>
        <w:spacing w:after="40"/>
        <w:ind w:left="369" w:hanging="198"/>
      </w:pPr>
      <w:r>
        <w:rPr>
          <w:rFonts w:ascii="Arial" w:hAnsi="Arial" w:cs="Arial"/>
          <w:b w:val="0"/>
          <w:sz w:val="21"/>
        </w:rPr>
        <w:t>C) 13.500 euros, por un recargo del 35 %.</w:t>
      </w:r>
    </w:p>
    <w:p>
      <w:pPr>
        <w:keepNext/>
        <w:keepLines/>
        <w:spacing w:after="40"/>
        <w:ind w:left="369" w:hanging="198"/>
      </w:pPr>
      <w:r>
        <w:rPr>
          <w:rFonts w:ascii="Arial" w:hAnsi="Arial" w:cs="Arial"/>
          <w:b w:val="0"/>
          <w:sz w:val="21"/>
        </w:rPr>
        <w:t>D) 10.000 euros, porque todavía no se emitió providencia.</w:t>
      </w:r>
    </w:p>
    <w:p>
      <w:pPr>
        <w:pStyle w:val="Question"/>
        <w:keepNext/>
      </w:pPr>
      <w:r>
        <w:rPr>
          <w:rFonts w:ascii="Arial" w:hAnsi="Arial" w:cs="Arial"/>
          <w:sz w:val="22"/>
        </w:rPr>
        <w:t>15. En el subexpediente descrito y con los únicos datos facilitados, la función de la refundición de 2015 fue:</w:t>
      </w:r>
    </w:p>
    <w:p>
      <w:pPr>
        <w:keepNext/>
        <w:keepLines/>
        <w:spacing w:after="40"/>
        <w:ind w:left="369" w:hanging="198"/>
      </w:pPr>
      <w:r>
        <w:rPr>
          <w:rFonts w:ascii="Arial" w:hAnsi="Arial" w:cs="Arial"/>
          <w:b w:val="0"/>
          <w:sz w:val="21"/>
        </w:rPr>
        <w:t>A) Integrar, regularizar, aclarar y armonizar textos legales autorizados.</w:t>
      </w:r>
    </w:p>
    <w:p>
      <w:pPr>
        <w:keepNext/>
        <w:keepLines/>
        <w:spacing w:after="40"/>
        <w:ind w:left="369" w:hanging="198"/>
      </w:pPr>
      <w:r>
        <w:rPr>
          <w:rFonts w:ascii="Arial" w:hAnsi="Arial" w:cs="Arial"/>
          <w:b w:val="0"/>
          <w:sz w:val="21"/>
        </w:rPr>
        <w:t>B) Aprobar un mero reglamento sin rango de ley.</w:t>
      </w:r>
    </w:p>
    <w:p>
      <w:pPr>
        <w:keepNext/>
        <w:keepLines/>
        <w:spacing w:after="40"/>
        <w:ind w:left="369" w:hanging="198"/>
      </w:pPr>
      <w:r>
        <w:rPr>
          <w:rFonts w:ascii="Arial" w:hAnsi="Arial" w:cs="Arial"/>
          <w:b w:val="0"/>
          <w:sz w:val="21"/>
        </w:rPr>
        <w:t>C) Derogar toda la protección no contributiva.</w:t>
      </w:r>
    </w:p>
    <w:p>
      <w:pPr>
        <w:keepNext/>
        <w:keepLines/>
        <w:spacing w:after="40"/>
        <w:ind w:left="369" w:hanging="198"/>
      </w:pPr>
      <w:r>
        <w:rPr>
          <w:rFonts w:ascii="Arial" w:hAnsi="Arial" w:cs="Arial"/>
          <w:b w:val="0"/>
          <w:sz w:val="21"/>
        </w:rPr>
        <w:t>D) Transferir el régimen económico a las comunidades autónomas.</w:t>
      </w:r>
    </w:p>
    <w:p>
      <w:pPr>
        <w:pStyle w:val="Heading2"/>
      </w:pPr>
      <w:r>
        <w:t>Preguntas de reserva de la segunda parte</w:t>
      </w:r>
    </w:p>
    <w:p>
      <w:pPr>
        <w:pStyle w:val="Question"/>
        <w:keepNext/>
      </w:pPr>
      <w:r>
        <w:rPr>
          <w:rFonts w:ascii="Arial" w:hAnsi="Arial" w:cs="Arial"/>
          <w:sz w:val="22"/>
        </w:rPr>
        <w:t>16. Al comprobar el encuadramiento y sus efectos, una empresa omitió el alta y el trabajador sufre accidente en tiempo y lugar de trabajo. La solución correcta es:</w:t>
      </w:r>
    </w:p>
    <w:p>
      <w:pPr>
        <w:keepNext/>
        <w:keepLines/>
        <w:spacing w:after="40"/>
        <w:ind w:left="369" w:hanging="198"/>
      </w:pPr>
      <w:r>
        <w:rPr>
          <w:rFonts w:ascii="Arial" w:hAnsi="Arial" w:cs="Arial"/>
          <w:b w:val="0"/>
          <w:sz w:val="21"/>
        </w:rPr>
        <w:t>A) No existe prestación hasta que la empresa pague.</w:t>
      </w:r>
    </w:p>
    <w:p>
      <w:pPr>
        <w:keepNext/>
        <w:keepLines/>
        <w:spacing w:after="40"/>
        <w:ind w:left="369" w:hanging="198"/>
      </w:pPr>
      <w:r>
        <w:rPr>
          <w:rFonts w:ascii="Arial" w:hAnsi="Arial" w:cs="Arial"/>
          <w:b w:val="0"/>
          <w:sz w:val="21"/>
        </w:rPr>
        <w:t>B) Opera el alta de pleno derecho, sin perjuicio de responsabilidad empresarial.</w:t>
      </w:r>
    </w:p>
    <w:p>
      <w:pPr>
        <w:keepNext/>
        <w:keepLines/>
        <w:spacing w:after="40"/>
        <w:ind w:left="369" w:hanging="198"/>
      </w:pPr>
      <w:r>
        <w:rPr>
          <w:rFonts w:ascii="Arial" w:hAnsi="Arial" w:cs="Arial"/>
          <w:b w:val="0"/>
          <w:sz w:val="21"/>
        </w:rPr>
        <w:t>C) Se trata necesariamente de accidente no laboral.</w:t>
      </w:r>
    </w:p>
    <w:p>
      <w:pPr>
        <w:keepNext/>
        <w:keepLines/>
        <w:spacing w:after="40"/>
        <w:ind w:left="369" w:hanging="198"/>
      </w:pPr>
      <w:r>
        <w:rPr>
          <w:rFonts w:ascii="Arial" w:hAnsi="Arial" w:cs="Arial"/>
          <w:b w:val="0"/>
          <w:sz w:val="21"/>
        </w:rPr>
        <w:t>D) Solo puede reconocerse asistencia sanitaria común.</w:t>
      </w:r>
    </w:p>
    <w:p>
      <w:pPr>
        <w:pStyle w:val="Question"/>
        <w:keepNext/>
      </w:pPr>
      <w:r>
        <w:rPr>
          <w:rFonts w:ascii="Arial" w:hAnsi="Arial" w:cs="Arial"/>
          <w:sz w:val="22"/>
        </w:rPr>
        <w:t>17. En el subexpediente descrito y con los únicos datos facilitados, el período de observación por enfermedad profesional puede durar:</w:t>
      </w:r>
    </w:p>
    <w:p>
      <w:pPr>
        <w:keepNext/>
        <w:keepLines/>
        <w:spacing w:after="40"/>
        <w:ind w:left="369" w:hanging="198"/>
      </w:pPr>
      <w:r>
        <w:rPr>
          <w:rFonts w:ascii="Arial" w:hAnsi="Arial" w:cs="Arial"/>
          <w:b w:val="0"/>
          <w:sz w:val="21"/>
        </w:rPr>
        <w:t>A) 90 días sin prórroga.</w:t>
      </w:r>
    </w:p>
    <w:p>
      <w:pPr>
        <w:keepNext/>
        <w:keepLines/>
        <w:spacing w:after="40"/>
        <w:ind w:left="369" w:hanging="198"/>
      </w:pPr>
      <w:r>
        <w:rPr>
          <w:rFonts w:ascii="Arial" w:hAnsi="Arial" w:cs="Arial"/>
          <w:b w:val="0"/>
          <w:sz w:val="21"/>
        </w:rPr>
        <w:t>B) 365 más 180 días.</w:t>
      </w:r>
    </w:p>
    <w:p>
      <w:pPr>
        <w:keepNext/>
        <w:keepLines/>
        <w:spacing w:after="40"/>
        <w:ind w:left="369" w:hanging="198"/>
      </w:pPr>
      <w:r>
        <w:rPr>
          <w:rFonts w:ascii="Arial" w:hAnsi="Arial" w:cs="Arial"/>
          <w:b w:val="0"/>
          <w:sz w:val="21"/>
        </w:rPr>
        <w:t>C) 730 días.</w:t>
      </w:r>
    </w:p>
    <w:p>
      <w:pPr>
        <w:keepNext/>
        <w:keepLines/>
        <w:spacing w:after="40"/>
        <w:ind w:left="369" w:hanging="198"/>
      </w:pPr>
      <w:r>
        <w:rPr>
          <w:rFonts w:ascii="Arial" w:hAnsi="Arial" w:cs="Arial"/>
          <w:b w:val="0"/>
          <w:sz w:val="21"/>
        </w:rPr>
        <w:t>D) 180 días, prorrogables por otros 180.</w:t>
      </w:r>
    </w:p>
    <w:p>
      <w:pPr>
        <w:pStyle w:val="Question"/>
        <w:keepNext/>
      </w:pPr>
      <w:r>
        <w:rPr>
          <w:rFonts w:ascii="Arial" w:hAnsi="Arial" w:cs="Arial"/>
          <w:sz w:val="22"/>
        </w:rPr>
        <w:t>18. Antes de dictar resolución, debe aplicarse la regla según la cual ¿Cuál de los siguientes colectivos no aparece en el artículo 10 TRLGSS como grupo susceptible de constituir un régimen especial?</w:t>
      </w:r>
    </w:p>
    <w:p>
      <w:pPr>
        <w:keepNext/>
        <w:keepLines/>
        <w:spacing w:after="40"/>
        <w:ind w:left="369" w:hanging="198"/>
      </w:pPr>
      <w:r>
        <w:rPr>
          <w:rFonts w:ascii="Arial" w:hAnsi="Arial" w:cs="Arial"/>
          <w:b w:val="0"/>
          <w:sz w:val="21"/>
        </w:rPr>
        <w:t>A) Trabajadores por cuenta propia o autónomos.</w:t>
      </w:r>
    </w:p>
    <w:p>
      <w:pPr>
        <w:keepNext/>
        <w:keepLines/>
        <w:spacing w:after="40"/>
        <w:ind w:left="369" w:hanging="198"/>
      </w:pPr>
      <w:r>
        <w:rPr>
          <w:rFonts w:ascii="Arial" w:hAnsi="Arial" w:cs="Arial"/>
          <w:b w:val="0"/>
          <w:sz w:val="21"/>
        </w:rPr>
        <w:t>B) Trabajadores del mar.</w:t>
      </w:r>
    </w:p>
    <w:p>
      <w:pPr>
        <w:keepNext/>
        <w:keepLines/>
        <w:spacing w:after="40"/>
        <w:ind w:left="369" w:hanging="198"/>
      </w:pPr>
      <w:r>
        <w:rPr>
          <w:rFonts w:ascii="Arial" w:hAnsi="Arial" w:cs="Arial"/>
          <w:b w:val="0"/>
          <w:sz w:val="21"/>
        </w:rPr>
        <w:t>C) Estudiantes.</w:t>
      </w:r>
    </w:p>
    <w:p>
      <w:pPr>
        <w:keepNext/>
        <w:keepLines/>
        <w:spacing w:after="40"/>
        <w:ind w:left="369" w:hanging="198"/>
      </w:pPr>
      <w:r>
        <w:rPr>
          <w:rFonts w:ascii="Arial" w:hAnsi="Arial" w:cs="Arial"/>
          <w:b w:val="0"/>
          <w:sz w:val="21"/>
        </w:rPr>
        <w:t>D) Trabajadores ordinarios por cuenta ajena de la industria y los servicios.</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20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20 - alta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