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02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la cooperación leal obliga a los Estados miembros, entre otras cosas,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Renunciar a toda competencia compartida.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Adoptar las medidas apropiadas para asegurar el cumplimiento de las obligaciones de los Tratados y actos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Aplicar únicamente actos legislativos.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Consultar al Parlamento Europeo antes de aprobar cualquier ley.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media. La opción indicada coincide con TUE/artículo 4.3.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la Tesorería General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entidad colaboradora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órgano colegiado consultivo.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Subdirección General de la DGOSS.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servicio común con personalidad jurídica propia en el que se unifican los recursos conforme a la caja única.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G12 · dificultad básica. La opción indicada coincide con texto refundido de la LGSS/artículo 74.1.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un ajuste razonable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adaptación general que siempre debe existir desde el diseño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ayuda voluntaria que puede rechazarse sin motivo.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medida, aunque imponga carga indebida.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Una modificación necesaria y adecuada para un caso particular que no imponga carga desproporcionada o indebida.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G20 · dificultad media. La opción indicada coincide con Real Decreto Legislativo 1/2013/artículo 2.m.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Conforme al ordenamiento vigente a la fecha de corte, un tercero formula tercería de dominio cuando el bien mueble embargado ya fue entregado al adjudicatario. La reclamación: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estimarse sin examinar el título.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Suspende todos los expedientes de la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tramita como aplazamiento.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se admite por haberse presentado después del momento límite reglamentario, sin perjuicio de las acciones que procedan.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S06 · dificultad alta. La opción indicada coincide con RGRSS, artículo 133.2.a.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los rendimientos de la cuenta y de los activos del Fondo de Reserva: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reparten entre las entidades gestoras.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integran automáticamente en el Fondo.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destinan necesariamente a prestaciones no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Requieren una ley singular para cada ingreso.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S13 · dificultad media. La opción indicada coincide con TRLGSS, artículo 118.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Conforme al ordenamiento vigente a la fecha de corte, la revisión de oficio de una disposición nula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Dictamen favorable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 se interponga previamente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plazo máximo de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Aprobación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G14 · dificultad alta. La opción indicada coincide con Ley 39/2015/artículo 106.2.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Conforme al ordenamiento vigente a la fecha de corte, puede dictarse providencia sin reclamación de deuda ni acta previa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deuda depende de hechos no comprobados y nunca fue liquidada.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Falta toda identificación del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dejaron de ingresar cuotas de trabajadores en alta correctamente liquidadas mediante los sistemas o documentos presentados en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Existe un aplazamiento vigente y cumplido.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media. La opción indicada coincide con RGRSS, artículo 85.1.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la excepción de ilegalidad del artículo 277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siempre el acto con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Permite alegar incidentalmente la inaplicabilidad de un acto de alcance general en un litigio.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al recurso por incumplimiento.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ser invocada por Estados miembros.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media. La opción indicada coincide con TFUE/artículo 277.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¿Cuál es una causa legal de nombramiento de funcionario interino?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confianza personal de un alto 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exceso o acumulación de tareas durante un máximo de nueve meses dentro de dieciocho.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necesidad sin justificar.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promoción profesional del aspirante.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G19 · dificultad básica. La opción indicada coincide con TREBEP/artículo 10.1.d.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la Intervención General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Reconoce ordinariamente pensiones de jubilación.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Gestiona como mutua las contingencias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órgano de control interno y dirección contable, con dependencia funcional de IGAE.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una entidad gestora enumerada en el artículo 66.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S01 · dificultad alta. La opción indicada coincide con Real Decreto 412/2025/artículos 1 a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la carrera horizontal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Progresar de grado, categoría o concepto análogo sin necesidad de cambiar de puesto.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Acceder a un cuerpo de subgrupo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Cambiar de puesto mediante concurso.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Acceder a un cuerpo distinto del mismo subgrupo.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G19 · dificultad básica. La opción indicada coincide con TREBEP/artículo 16.3.a.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una persona huérfana de 23 años que no está incapacitada puede conservar la pensión: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Siempre, cualquiera que sea su renta, hasta los 30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si percibe además una pensión de viudedad.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si el causante falleció por accidente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Si no trabaja o si sus ingresos de trabajo son inferiores al SMI anual, hasta el límite legal de 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media. La opción indicada coincide con TRLGSS, artículo 224.2.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 efectos de aplicar correctamente la regla examinada, los activos del Fondo de Reserva se materializan: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en acciones de sociedades privadas.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en inmuebles adscritos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títulos emitidos por personas jurídicas públicas, conforme a los criterios legales y reglamentarios.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préstamos personales a pensionistas.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S13 · dificultad media. La opción indicada coincide con TRLGSS, artículo 120.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la convalidación: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en válido cualquier acto nulo.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siempre efectos desde la fecha del acto original.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acordarla un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Permite subsanar los vicios de los actos anulables.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52.1 y 52.2.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una enfermedad no incluida en el cuadro profesional puede ser accidente de trabajo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trabajador la califica como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Ocurre durante vacaciones.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Existe cualquier relación temporal con el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prueba que el trabajo fue su causa exclusiva.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156.2.e.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contra una disposición administrativa de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Cabe siempre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cabe recurso en vía 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Procede reposición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cabe recurso extraordinario de revisión.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G18 · dificultad básica. La opción indicada coincide con Ley 39/2015/artículo 112.3.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en procedimientos iniciados a solicitud, el silencio administrativo es,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Inexistente.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Caducidad.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¿Quién está obligado, en todo caso, a relacionarse electrónicamente para los trámites del procedimiento?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persona mayor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persona física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quienes residan en el extranjero.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personas jurídicas.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G20 · dificultad básica. La opción indicada coincide con Ley 39/2015/artículo 14.2.a.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los recursos administrativos ordinarios permiten: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Revisar únicamente disposiciones reglamentarias.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en todo caso el proceso contencioso-administrativo.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Impugnar resoluciones y determinados actos de trámite ante la propia Administración por motivos de nulidad o anulabilidad.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Reclamar exclusivamente daños patrimoniales.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G18 · dificultad básica. La opción indicada coincide con Ley 39/2015/artículo 112.1.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Conforme al ordenamiento vigente a la fecha de corte, el plazo del trámite de audiencia será: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inferior a diez ni superior a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de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superior a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Entre cinco y diez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82.2.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el derecho de supresión no obliga a borrar cuando el tratamiento es necesario: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publicidad no consentida.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Porque el responsable quiere conservar indefinidamente.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Para formular, ejercer o defender reclamaciones.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una finalidad incompatible sin base.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G22 · dificultad media. La opción indicada coincide con RGPD/artículo 17.3.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con carácter general, debe elaborar y aplicar un plan de igualdad la empresa que tenga: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Cincuenta o más personas trabajadoras.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Más de cincuenta, quedando excluida la de cincuenta exactas.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Más de cien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número,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G21 · dificultad básica. La opción indicada coincide con LO 3/2007/artículo 45.2.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la detención preventiva ordinaria no puede superar: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Setenta y dos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Cuarenta y ocho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G02 · dificultad básica. La opción indicada coincide con Constitución Española/artículo 17.2.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para las otras tres causas del recurso extraordinario de revisión, el plazo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mes desde la firmeza administrativa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años desde la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Tres meses desde el conocimiento de los documentos o desde que la sentencia judicial quedó firme, según proceda.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 desde la publicación del acto.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125.2.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Conforme al ordenamiento vigente a la fecha de corte, antes de un tratamiento que probablemente entrañe alto riesgo debe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Una evaluación de impacto relativa a la protección de datos.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autorización judicial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encuesta de satisfacción.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destrucción de todos los datos.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G22 · dificultad alta. La opción indicada coincide con RGPD/artículos 35 y 36.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Conforme al ordenamiento vigente a la fecha de corte, el derecho al IMV nace,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mismo día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primer día del trimestre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primer día del mes siguiente al de presentación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1 de enero del ejercicio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básica. La opción indicada coincide con Ley 19/2021, artículo 11.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la remisión de un expediente electrónico debe acompañarse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nota personal del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 índice electrónico autenticado.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correo sin autenticación.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copia en papel de todos los borradores.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39/2015/artículo 70.3.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 efectos de aplicar correctamente la regla examinada, la edad mínima para la jubilación no contributiva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60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62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básica. La opción indicada coincide con TRLGSS, artículo 369.1.a.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una persona física no obligada cambia del canal electrónico al no electrónico. Según el Reglamento, el cambio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Desde el quinto día hábil siguiente a aquel en que el órgano competente tenga constancia.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mismo minuto en que lo comunica.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al finalizar el procedimiento.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G23 · dificultad alta. La opción indicada coincide con Real Decreto 203/2021/artículo 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para que una enfermedad sea profesional conforme al artículo 157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causado necesariamente incapacidad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 diagnosticada por un médico de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Deberse solo a una jornada extensa.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Encajar en actividad y agente del cuadro oficial.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157 y Real Decreto 1299/2006.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la mayoría simple del Consejo, con la composición actual,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14 de los 27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15 Estados y 65 %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13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20 Estados.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G10 · dificultad media. La opción indicada coincide con TFUE/artículo 238.1.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Conforme al ordenamiento vigente a la fecha de corte, ¿Qué regla de exención de garantía resulta aplicable a los aplazamientos a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deuda inferior a 500.000 euros queda exenta sin condiciones.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quedan exentas las deudas inferiores a 30.000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deuda exactamente igual a 250.000 euros queda exenta si se abona una cuarta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se exige garantía si la deuda aplazable es igual o inferior a 150.000 euros; también puede eximirse si es inferior a 250.000 euros y se paga al menos un tercio en diez días y el resto en dos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S05 · dificultad alta. La opción indicada coincide con Resolución TGSS de 6 de abril de 2020, artículo primero; RGRSS, artículo 33 según RD 643/2026 desde 01-08-2026.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Conforme al ordenamiento vigente a la fecha de corte, ¿Qué mayoría exige la aprobación, modificación o derogación de una ley orgánica?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absoluta del Senado en primera votación.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Mayoría absoluta del Congreso en una votación final sobre el conjunto.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simple del Congreso y del Senado en sesión conjunta.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G05 · dificultad media. La opción indicada coincide con Constitución Española, art. 81.2.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A efectos de aplicar correctamente la regla examinada, la caducidad por paralización imputable al interesado en un procedimiento iniciado a su solicitud: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produce a los diez días sin advertencia.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automáticamente la prescripción de la 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Requiere advertencia y el transcurso de tres meses sin realizar la actividad necesaria.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basarse en cualquier trámite no esencial.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G17 · dificultad alta. La opción indicada coincide con Ley 39/2015/artículo 95.1 a 95.3.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el Sistema Especial para Trabajadores por Cuenta Propia Agrarios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Régimen Especial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el Régimen Especial de la Minería del Carbón.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artículos 305.2.a y 323.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cuando la lesión tiene origen inmediato y directo en un órgano judicial, el plazo de amparo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Treinta días desde la notificación de la resolución recaída en el proceso.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 desde la actuación inicial.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 desde la firmeza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 desde que se denunció la lesión.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G02 · dificultad media. La opción indicada coincide con Ley Orgánica 2/1979/artículo 44.2.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la Administración General del Estado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Organización central, organización territorial y Administración General del Estado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los ministerios y sus organismos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Organización central, comunidades autónomas y entidades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Gobierno, Cortes Generales y Poder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55.2.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la reposición potestativa se interpone y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 el órgano autor, pero la resuelve su superior jerárquico.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Ante y por el mismo órgano que dictó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 el órgano consultivo competente.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 el juzgado que vaya a conocer del recurso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123.1.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la modalidad contributiva puede mejorarse voluntariamente: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Mediante cualquier pacto que sustituya la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la forma y condiciones previstas para 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por una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límite mediante convenio colectivo.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básica. La opción indicada coincide con TRLGSS/artículo 43.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A efectos de aplicar correctamente la regla examinada, la incapacidad no contributiva exige, entre otros requisitos, un grado de discapacidad o enfermedad crónica: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al 33 %.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Superior al 50 % solo si existe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Igual o superior al 65 %.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Exactamente del 75 %.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básica. La opción indicada coincide con TRLGSS, artículo 363.1.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¿Qué protege la inviolabilidad parlamentaria?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Frente a cualquier responsabilidad por cualquier acto privado.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Frente a la detención, salvo autorización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derecho a conservar el escaño tras la disolución.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opiniones manifestadas en el ejercicio de las funciones parlamentarias.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G05 · dificultad media. La opción indicada coincide con Constitución Española, art. 71.1; Reglamento del Congreso, art. 10.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en la vía ordinaria del artículo 143, la iniciativa autonómica correspondía, además de a las Diputaciones u órgano interinsular: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tres cuartas partes de los municipios que representaran dos tercios de la población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dos terceras partes de los municipios cuya población representara al menos la mayoría del censo electoral de cada provincia o isla.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mayoría simple de municipios, sin requisito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a los diputados y senadores elegidos en el territorio.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G09 · dificultad básica. La opción indicada coincide con Constitución Española/artículo 143.2.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Conforme al ordenamiento vigente a la fecha de corte, en las relaciones internacionales, ¿qué representación corresponde al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más alta representación del Estado español, especialmente con las naciones de su comunidad histórica.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dirección ordinaria de la política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presidencia permanente del Consejo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negociación exclusiva de todos los tratados.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G04 · dificultad básica. La opción indicada coincide con Constitución Española, art. 56.1.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¿Qué Salas integran un Tribunal Superior de Justicia?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Civil, Penal, Militar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Apelación, Penal y Contencioso-Administrativo.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Civil y Penal, Contencioso-Administrativo y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Civil, Instrucción y Penal.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72.1.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¿Qué finalidad tiene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Sustituir cualquier salario inferior al promedio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Financiar exclusivamente los gastos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Premiar una carrera mínima de quince años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Garantizar un nivel mínimo de renta a personas solas o unidades de convivencia en situación de vulnerabilidad económica.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básica. La opción indicada coincide con Ley 19/2021, artículos 1 y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el auxilio por defunción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y exclusivamente al cónyuge.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los hijos menores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entidad funeraria aunque nadie haya abonado el servicio.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quien haya soportado los gastos del sepelio, con las presunciones legales de pago.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218.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el TRLGSS vigente fue aprobado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Ley Orgánica 8/2015.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Real Decreto Legislativo 8/2015, de 30 de octubre.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Real Decreto 8/2015, de 1 de enero.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Ley 8/1980.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básica. La opción indicada coincide con Real Decreto Legislativo 8/2015/artículo único.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¿Cuál de estos órganos directivos no tiene la condición de alto cargo?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secretario general técnico.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subdirector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55.6.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conforme al artículo 8 TREBEP, son empleados públicos quienes: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Colaboran ocasionalmente con una Administración, aunque no reciban retribución.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Desempeñan funciones retribuidas en las Administraciones Públicas al servicio de los intereses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Trabajan para cualquier contratista del sector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Ejercen únicamente potestades públicas con carácter permanente.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G19 · dificultad básica. La opción indicada coincide con TREBEP/artículo 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la Intervención General de la Seguridad Social depende funcionalmente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Intervención General de la Administración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Secretaría General de Inclusión.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G12 · dificultad básica. La opción indicada coincide con Real Decreto 501/2024/artículo 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Conforme al ordenamiento vigente a la fecha de corte, en IT común ordinaria, el porcentaje desde el día 4 hasta el 20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60 por ciento de la base reguladora.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media. La opción indicada coincide con Decreto 3158/1966/artículo 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a los municipios con población superior a 5.000 habitantes se les añaden como servicios mínimos: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Protección civil, bomberos y transporte colectivo.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Parque público, biblioteca pública y tratamiento de residuos.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Medio ambiente urbano y atención social inmediata.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Policía local, mercado y cementerio.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G09 · dificultad media. La opción indicada coincide con Ley 7/1985/artículo 26.1.b.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la cotización adicional por horas extraordinarias debidas a fuerza mayor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14 por ciento, repartido 12 empresarial y 2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28,30 por ciento, íntegramente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14 por ciento, íntegramente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7,05 por ciento, repartido 5,50 y 1,55.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media. La opción indicada coincide con Orden PJC/297/2026/artículo 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A efectos de aplicar correctamente la regla examinada, si una notificación se pone a disposición a la vez en sede y DEHú: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Produce efectos la fecha y hora del primer acceso o rechazo.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acceder a las dos para que sea eficaz.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prevalece la sede, aunque se acceda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Siempre prevalece DEHú, aunque no se abra.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G23 · dificultad alta. La opción indicada coincide con Real Decreto 203/2021/régimen de notificación por sede y DEHú.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los principios generales del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aplican en defecto de ley o costumbre y, además, informan el ordenamiento.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se aplican si una ley los enumera.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Derogan por sí mismos cualquier ley que se considere injusta.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simples recomendaciones doctrinales.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G13 · dificultad básica. La opción indicada coincide con Código Civil/artículo 1.4.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de la Subdirección General de la Ciudadanía Española en el Exterior y Políticas de Retorno depende: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Oficina de Asilo y Refugio.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Observatorio Permanente de la Inmigración.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Gerencia de Informática.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División de Emigrantes Retornados.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8.2.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las 2 semanas añadidas hasta los ocho años se aplican a hechos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31 de julio de 2025,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2 de agosto de 2024, solicitables desde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8 de marzo de 2019.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S09 · dificultad media. La opción indicada coincide con Real Decreto-ley 9/2025/disposición transitoria única.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A efectos de aplicar correctamente la regla examinada, según el artículo 1.2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norma inferior posterior deroga siempre a la superior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Carecen de validez las disposiciones que contradigan otra de rango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contradicción entre normas se resuelve por especialidad.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jerarquía solo se aplica a las leyes parlamentarias.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G13 · dificultad básica. La opción indicada coincide con Código Civil/artículo 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el Gobierno responde solidariamente de su gestión política: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 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Ante el Congreso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 el Tribunal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G07 · dificultad básica. La opción indicada coincide con Constitución Española/artículo 108.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¿En qué plazo debe el Rey sancionar las leyes aprobadas por las Cortes Generales?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quince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G04 · dificultad básica. La opción indicada coincide con Constitución Española, art. 91.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la Comisión General de Secretarios de Estado y Subsecretarios: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aprobar decretos-leyes por delegación.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una Comisión Delegada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Examina, con las excepciones legales, los asuntos que se someterán al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Está presidida necesariamente por el presidente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G07 · dificultad media. La opción indicada coincide con Ley 50/1997/artículo 8.4 y 8.5.a.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si el empresario incumple su obligación de solicitar el alta, el trabajador por cuenta ajena: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esperar necesariamente a una actuación inspectora.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instar directamente su alta ante la TGSS, sin perjuicio de las responsabilidades empresariales.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Pierde de forma definitiva toda posibilidad de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demandar al INSS para obtener un nuevo número.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S03 · dificultad media. La opción indicada coincide con TRLGSS, artículo 139.2; RD 84/1996, artículo 29.1.1.º.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la prestación por parto o adopción múltiples: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Exige siempre que la familia sea numerosa.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se reconoce por cuatro o más hijos.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una cuantía fija de 1.000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calcula multiplicando el SMI mensual por 4, 8 o 12 según el número computable de hijos.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básica. La opción indicada coincide con TRLGSS, artículos 359 y 360.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una particularidad de la cotización en el Régimen Especial de la Minería del Carbón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inexistencia de cotización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elección libre de base por cada trabajador por cuenta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aplicación del sistema de rendimientos netos del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utilización de bases normalizadas por categorías o especialidades profesionales en los términos fijados anualmente.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artículos 10 y 146; Orden anual de cotización, bases normalizadas de minería del carbón.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el derecho de la Administración a determinar y exigir el pago de cuotas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básica. La opción indicada coincide con TRLGSS, artículo 24.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la gestión y administración ordinaria de las prestaciones económicas del sistema, salvo las atribuidas a otra entidad,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IGSS.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DGOSS.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G12 · dificultad media. La opción indicada coincide con texto refundido de la LGSS/artículo 66.1.a.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¿Cuánto puede anticiparse, como máximo, la jubilación por causa no imputable al trabajador?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Cuatro años respecto de la edad ordinaria aplicable.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artículo 207.1.a.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es dato personal: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la información secreta.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nombre y DNI.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Toda información sobre una persona física identificada o identificable.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dato relativo a una sociedad mercantil como 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G22 · dificultad básica. La opción indicada coincide con RGPD/artículo 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Conforme al ordenamiento vigente a la fecha de corte, en liquidación directa, si la empresa omite a un trabajador que prestó servicios: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liquidación ordinaria no impide reclamar después las cuotas omitidas.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omisión extingue la obligación de cotizar.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TGSS debe incluirlo sin necesidad de alta ni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deuda se convierte en prestación indebida.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alta. La opción indicada coincide con TRLGSS/artículos 22 y 29.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cuando el causante estaba en alta y fallece por enfermedad común no sobrevenida tras accidente: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180 días dentro del año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se exige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exigen, con carácter general, 500 días cotizados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exigen quince años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S11 · dificultad media. La opción indicada coincide con TRLGSS, artículo 219.1.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la adscripción de un inmueble a una entidad gestora: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Transmite definitivamente el dominio.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Atribuye uso y funciones de administración, pero mantiene la titularidad en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el bien en patrimonio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a la entidad usuaria administrarlo.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S13 · dificultad básica. La opción indicada coincide con Real Decreto 1221/1992, artículos 12 a 17.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Conforme al ordenamiento vigente a la fecha de corte, ¿Cuál es el plazo ordinario para interponer el recurso de inconstitucionalidad desde la publicación de la norma?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G03 · dificultad media. La opción indicada coincide con LOTC, art. 33.1.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el título I de la Constitución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artículos 10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Los artículos 1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artículos 14 a 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artículos 10 a 54.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G01 · dificultad básica. La opción indicada coincide con Constitución Española/título I.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Administración de la Tesorería General debe informar y proponer resolución sin atribuir al INSS funciones de la TGSS ni a la inversa.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las mutuas colaboradoras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Entidades gestoras estatales.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Sociedades aseguradoras que reparten cuotas como beneficios.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Órganos dependientes de los ayuntamientos.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Asociaciones privadas de empresarios sin ánimo de lucro que colaboran bajo tutela pública.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S01 · dificultad media. Fundamento: TRLGSS/artículos 80 y siguientes.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En prestaciones derivadas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se exige cotización previa, salvo excepción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 un año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carencia depende de la 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Fundamento: TRLGSS/artículo 165.4.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la competencia para la gestión recaudatoria de los recursos del sistema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INSS de forma compartida con las mutuas.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la TGSS, con carácter exclusivo y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SEPE en todos los regímenes.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cada entidad bancaria colaboradora.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básica. Fundamento: TRLGSS, artículo 21; RGRSS, artículo 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durante una huelga legal, el trabajador permanece: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baja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situación de desempleo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situación de alta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excedencia forzosa.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S03 · dificultad básica. Fundamento: TRLGSS, artículo 166.7; RD 84/1996, artículo 35.6.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si la suspensión del IMV se mantiene durante un año: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derecho se extingue.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reanuda automáticamente sin comprobar requisitos.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transforma en jubilación no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duplica la deuda por reintegro.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media. Fundamento: Ley 19/2021, artículos 17 y 18.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la opción del interesado por la pensión que había quedado suspendida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Desde el primer día del mes siguiente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primer reconocimiento.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último día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después.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Fundamento: TRLGSS/artículo 163.1.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el subexpediente descrito y con los únicos datos facilitados, a efectos del orden subsidiario de embargo, se considera realizable a corto plazo el crédito que puede hacerse efectivo en un plazo no superior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S06 · dificultad media. Fundamento: RGRSS, artículo 91.2.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la cotización del mecanismo de equidad intergeneracional: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Genera por sí misma una pensión adicional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Tiene carácter finalista, nutre el Fondo de Reserva y no genera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ingresa en el patrimonio de cada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bonificarse libremente por convenio colectivo.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S13 · dificultad media. Fundamento: TRLGSS, artículo 127 bis.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¿Durante cuánto tiempo se mantiene el IMV?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 improrrogables.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Mientras subsistan los motivos que dieron lugar a su concesión y se cumplan requisitos y obligaciones.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año, sin posibilidad de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desde la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S12 · dificultad básica. Fundamento: Ley 19/2021, artículo 15.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subexpediente descrito y con los únicos datos facilitados, si la enfermedad común causante de la muerte era anterior al matrimonio y este duró menos de un año, puede salvarse el requisito adicional, entre otros supuestos,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Existen hijos comunes o la convivencia previa sumada al matrimonio supera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superviviente tiene cualquier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matrimonio se celebró por poderes.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causante había cotizado un solo día.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media. Fundamento: TRLGSS, artículo 219.2.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el sistema de liquidación simplificada se aplica, entre otros,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empresa del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administraciones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accidentes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Cuotas del RETA y convenios especiales en los términos legales.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básica. Fundamento: TRLGSS/artículo 22.1.c.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¿Qué conjunto recoge los tres órganos específicos de gobernanza del Fondo de Reserva?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INSS, IMSERSO y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Congreso, Senado y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Comité de Gestión, Comisión Asesora de Inversiones y Comisión de Seguimiento.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Consejo Económico y Social, Banco de España e Intervención.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S13 · dificultad media. Fundamento: TRLGSS, artículos 122 a 124, y Real Decreto 337/2004.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la carencia ordinaria de IT por enfermedad común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180 días en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1.800 días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360 días en toda la vida.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S08 · dificultad básica. Fundamento: TRLGSS/artículo 172.a.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la compatibilidad del IMV con rentas del trabajo: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prohibida en todos los supuestos.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automáticamente el IMV en una prestación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Impide cualquier revisión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 posible en los términos del incentivo reglamentario, sin eliminar las obligaciones de comunicación y regularización.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S12 · dificultad media. Fundamento: Ley 19/2021, artículo 11.4, y Real Decreto 789/2022.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¿Qué rasgo distingue la jubilación flexible de la parcial?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flexible solo puede iniciarse antes de la edad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flexible parte de una pensión ya causada y permite un trabajo a tiempo parcial con reducción proporcional.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flexible exige siempre contrato de relevo.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flexible impide toda nueva cotización.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básica. Fundamento: Real Decreto 1132/2002, artículos 4 a 9.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una persona de 44 años causa pensión de IP por enfermedad común desde alta. Su carencia genérica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tercera parte desde los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1.800 días en diez años para cualquier grado.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cuarta parte desde los 20, mínimo cinco años, con una quinta parte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sin distribución.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S08 · dificultad alta. Fundamento: TRLGSS/artículo 195.3.b.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El Sistema Especial para Empleados de Hogar: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 régimen especial independiente del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Forma parte del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Está integrado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Pertenece al Régimen Especial de los Trabajadores del Mar.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S02 · dificultad básica. Fundamento: TRLGSS, artículos 136.2.a y 250.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el subexpediente descrito y con los únicos datos facilitados, el subsidio por cuidado de menor con enfermedad grave lo gestiona: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el servicio público de salud.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empresa mediante pago 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Agencia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mutua o entidad con la que se cubren los riesgos profesionales.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alta. Fundamento: TRLGSS/artículo 192.3.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02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02 - básico-medio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