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14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una comprobación jurídica del expediente, para ejercer una actividad privada profesional sometida a la Ley 53/1984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Simple inscripción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Declaración responsable sin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Reconocimiento previo de compatibilidad.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G19 · dificultad media. La opción indicada coincide con Ley 53/1984/artículo 14.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¿Qué combinación refleja correctamente la prescripción de una falta leve y de la sanción impuesta por una falta leve?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 y seis meses, respectivamente.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meses en ambos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en ambos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meses para la falta y un año para la sanción.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G19 · dificultad alta. La opción indicada coincide con TREBEP/artículo 97.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 efectos de aplicar correctamente la regla examinada, la carencia ordinaria de IT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180 días en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360 días en toda la vida.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 172.a.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De acuerdo con la regulación aplicable,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demandar al INSS para obtener un nuevo número.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instar directamente su alta ante la TGSS, sin perjuicio de las responsabilidades empresariales.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media. La opción indicada coincide con TRLGSS, artículo 139.2; RD 84/1996, artículo 29.1.1.º.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desde el 1 de octubre de 2024, el Tribunal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Conoce todas las cuestiones prejudiciales y el Tribunal de Justicia ninguna.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Conoce cuestiones prejudiciales exclusivamente comprendidas en una o varias de seis áreas técnicas fijadas por el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resuelve recursos por incumplimiento contra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sustituido a los tribunales nacionales en asuntos de 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G10 · dificultad alta. La opción indicada coincide con Reglamento (UE, Euratom) 2024/2019; Protocolo n.º 3/artículo 50 ter.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si transcurren tres meses sin resolución del recurso extraordinario de revisión: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entiende desestimado y queda expedita la vía jurisdiccional contencioso-administrativa.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Caduca el acto originario.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 en recurso de alzada.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una comprobación jurídica del expediente, para probar que una muerte deriva de un accidente de trabajo, cuando no opera una presunción legal, el fallecimiento debe producirse: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 los cinco años siguientes al accidente.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noventa días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dos años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cualquier momento, sin límite temporal.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media. La opción indicada coincide con TRLGSS, artículo 217.2.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Sin añadir circunstancias distintas de las indicadas, todos los municipios deben prestar: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Biblioteca, parque, transporte urbano y bomberos.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Tratamiento de residuos, protección civil y polideportivo.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Alumbrado público, cementerio, recogida de residuos, limpieza viaria, agua, alcantarillado, acceso a núcleos y pavimentación.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Medio ambiente urbano, biblioteca y transporte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G09 · dificultad media. La opción indicada coincide con Ley 7/1985/artículo 26.1.a.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 efectos de aplicar correctamente la regla examinada, el comportamiento de naturaleza sexual que atenta contra la dignidad y crea un entorno intimidatorio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discriminación indirecta.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Acoso por razón de sexo, pero nunca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Acción positiva.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G21 · dificultad básica. La opción indicada coincide con LO 3/2007/artículo 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no procede declarar incobrable un crédito mientras el responsable: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Tenga más de sesenta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Resida en otra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Haya presentado alguna vez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Ejerza una actividad que determine la inclusión y el alta de trabajadores en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129.1.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 efectos de aplicar correctamente la regla examinada, ¿Qué mayoría necesita el Senado para oponer veto a un proyecto de ley?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tercios.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90.2.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existe discriminación indirecta por razón de sexo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regla aparentemente neutra causa desventaja particular a un sexo sin justificación objetiva, legítima, necesaria y adecuada.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persona recibe expresamente un trato distinto por su sexo.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adopta una acción positiva proporcionada.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composición de un órgano se sitúa entre 40 % y 60 %.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G21 · dificultad básica. La opción indicada coincide con LO 3/2007/artículo 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el artículo 41 CE ordena mantener: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seguro privado para trabajadores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sistema exclusivamente municipal.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régimen público de Seguridad Social para todos los ciudadanos.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prestación idéntica para cualquier persona.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básica. La opción indicada coincide con Constitución Española/artículo 41.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una comprobación jurídica del expediente, el artículo 49 vigente de la Constitución ordena impulsar políticas que garanticen: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Sustitución general de la voluntad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Atención separada en entornos especiales como regla.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Plena autonomía personal e inclusión social en entornos universalmente accesibles.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G21 · dificultad básica. La opción indicada coincide con CE/artículo 49.2.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A efectos de aplicar correctamente la regla examinada, en liquidación directa, si la empresa omite a un trabajador que prestó servicios: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liquidación ordinaria no impide reclamar después las cuotas omitidas.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omisión extingue la obligación de cotizar.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debe incluirlo sin necesidad de alta ni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deuda se convierte en prestación indebida.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alta. La opción indicada coincide con TRLGSS/artículos 22 y 29.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¿Por qué la reforma constitucional del artículo 49 de 2024 no exigió el procedimiento agravado?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Porque los derechos de personas con discapacidad están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Porque ninguna reforma parcial puede seguir el artículo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el artículo 49 tiene rango legal y no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Porque el artículo 49 está en el capítulo III, no en la sección 1.ª del capítulo II del título I.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G02 · dificultad alta. La opción indicada coincide con Constitución Española/artículos 49, 167 y 168.1.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la competencia sobre materias que una Comunidad no haya asumido en su Estatuto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municipio donde se produzca la actuación.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Estado, conforme a la cláusula residual del artículo 149.3.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a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Diputación provincial.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media. La opción indicada coincide con Constitución Española/artículo 149.3.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Sin añadir circunstancias distintas de las indicadas, cuando una empresa contrata a una persona que nunca estuvo afiliada, está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solicitar el alta, pues la afiliación se presume.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esperar a que la persona se afilie por sí misma.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comunicar primero la baja y después la afiliación.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solicitar su afiliación y su alta antes del inicio de la prestación.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media. La opción indicada coincide con TRLGSS, artículos 16.2 y 139.1; RD 84/1996, artículos 24 y 29.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el derecho a no aportar documentos ya elaborados por otra Administración implica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procedimiento debe archivarse.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comprobarse su contenido.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Administración debe recabarlos electrónicamente, con los límites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puede ocultar documentos exigibles en una inspección.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28.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una ley española posterior contradice un reglamento de la Unión válido y aplicable al litigio. El órgano nacional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Aplicar el reglamento de la Unión e inaplicar la ley interna incompatible en el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 la ley por ser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Esperar obligatoriamente a que el legislador la derogue.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Plantear siempre cuestión de inconstitucionalidad antes de actuar.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G13 · dificultad alta. La opción indicada coincide con TFUE/artículo 288; TJUE/Sentencia Simmenthal, asunto 106/77.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 efectos de aplicar correctamente la regla examinada, ¿Cuál de estas autoridades es miembro del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ministro.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G07 · dificultad básica. La opción indicada coincide con Ley 50/1997/artículo 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¿Qué impago constituye causa de extinción del convenio especial ordinario?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mensualidades consecutivas o cinco alternativas, salvo la regularización prevista en la norma.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sola mensualidad, aunque se pague al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mensualidades alternativas.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retraso inferior a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alta. La opción indicada coincide con Orden TAS/2865/2003, artículo 10.2.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A efectos de aplicar correctamente la regla examinada, la compatibilidad del IMV con rentas del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prohibida en todos los supuestos.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automáticamente el IMV en una prestación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posible en los términos del incentivo reglamentario, sin eliminar las obligaciones de comunicación y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cualquier revisión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media. La opción indicada coincide con Ley 19/2021, artículo 11.4, y Real Decreto 789/2022.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A efectos de aplicar correctamente la regla examinada, ¿Cuál de estos órganos no forma parte del Poder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Audiencia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Tribunal Superior de Justicia.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alta. La opción indicada coincide con Constitución Española, títulos VI y IX; LOTC, art. 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una comprobación jurídica del expediente, en pluriactividad: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distribuye siempre un único tope entre todas las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mantenerse un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Concurren altas obligatorias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cotizaciones se ingresan por el empresario principal.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media. La opción indicada coincide con Real Decreto 2064/1995/artículo 9 y TRLGSS.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una comprobación jurídica del expediente, se presume accidente de trabajo, salvo prueba en contrario, la lesión producida: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cualquier actividad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Durante el tiempo y en el lugar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 trayecto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existe culpa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el derecho a cobrar una prestación a tanto alzado ya reconocida caduca, con carácter general,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Año desde su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Trimestre.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Quinto año.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básica. La opción indicada coincide con TRLGSS/artículo 54.1.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¿Cuánto puede anticiparse, como máximo, la jubilación anticipada por voluntad del interesado?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 años respecto de la edad ordinaria que corresponda.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respecto de una edad fija de 65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artículo 208.1.a.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En una comprobación jurídica del expediente, el derecho de la Administración a determinar y exigir el pago de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básica. La opción indicada coincide con TRLGSS, artículo 24.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A efectos de aplicar correctamente la regla examinada, además de las atribuciones constitucionales, ¿qué otras funciones puede ejercer 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Cualquiera que considere necesaria para moderar las instituciones.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que le delegue el Congreso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Todas las propias del Presidente del Gobierno durante una crisis.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que le atribuyan expresamente las leyes.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G04 · dificultad básica. La opción indicada coincide con Constitución Española, art. 56.1.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A efectos de aplicar correctamente la regla examinada, la reforma constitucional de 19 de mayo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Transformó Formentera en una nueva provincia y Comunidad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Suprimió el Consejo Insular de Formentera.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Dio a Formentera una circunscripción senatorial propia, sin convertirla en provincia ni modificar el título VIII.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Modificó el reparto de competencias de los artículos 148 y 149.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G09 · dificultad alta. La opción indicada coincide con Reforma del artículo 69.3 CE de 19-05-2026 y su disposición transitoria.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a 30 de julio de 2026, el Servicio Jurídico de la Administración de la Seguridad Social tiene nivel orgánico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Secretaría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Subsecretaría.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616/2026/artículo único.dos; Real Decreto 501/2024/disposición adicional primera.1.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En una comprobación jurídica del expediente, también se presume control efectivo, salvo prueba en contrario, cuando el socio ejerce funciones de dirección y gerencia y su participación en el capital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 una décima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de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Superior a la mitad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Igual o superior a una cuarta parte.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305.2.b.3.º.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según el artículo 6 de la Ley 40/2015, el incumplimiento de una instrucción u orden de servicio: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afecta por sí solo a la validez del acto, sin perjuicio de posible responsabilidad disciplinaria.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 siempre el acto administrativo resultante.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la instrucción en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tiene efecto si nunca se publicó.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G13 · dificultad media. La opción indicada coincide con Ley 40/2015/artículo 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Sin añadir circunstancias distintas de las indicadas, la competencia para la gestión recaudatoria de los recursos del sistema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la TGSS, con carácter exclusivo y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INSS de forma compartida con las mutuas.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SEPE en todos los regímenes.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cada entidad bancaria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básica. La opción indicada coincide con TRLGSS, artículo 21; RGRSS, artículo 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¿Cuál de estos elementos no forma parte, como regla, del expediente administrativo?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borradores, notas y opiniones de carácter auxiliar o de apoyo.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pruebas practicadas.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informes preceptivos formalmente solicitados.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copia electrónica certificada de la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70.4.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la relación entre ley orgánica y ley ordinaria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competencia vinculada a la reserva del artículo 81, no de superioridad jerárquica universal.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jerarquía absoluta de cualquier precepto orgánico.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temporalidad: siempre prevalece la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libre elección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media. La opción indicada coincide con Constitución Española/artículo 81; Tribunal Constitucional/doctrina de reserva orgánica.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¿De quién emana la justicia según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Del Consejo General del Poder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Del pueblo.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las Cortes Generales.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G06 · dificultad básica. La opción indicada coincide con Constitución Española, art. 117.1.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la Secretaría General Técnica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Vicesecretaría General Técnica y Subdirecciones Generales de Coordinación Jurídica y de Relaciones Internacionales.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Subdirecciones y un Gabinete.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sola Subdirección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11.2.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En una comprobación jurídica del expediente, ¿Qué relación de anchura establece la Constitución para las franjas de la bandera?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tres tienen la misma anchura.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Cada franja roja duplica la anchura de la amarilla.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franja amarilla tiene triple anchura que cada roja.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franja amarilla tiene doble anchura que cada franja roja.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G01 · dificultad media. La opción indicada coincide con Constitución Española/artículo 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En una comprobación jurídica del expediente, el Tribunal General está integrado actualmente: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un juez en total por cada dos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27 jueces y 11 abogados generales permanentes.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54 jueces, dos por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81 jueces.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media. La opción indicada coincide con Protocolo n.º 3/artículo 48.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A efectos de aplicar correctamente la regla examinada, si el interesado solicita la tramitación simplificada y el órgano no resuelve su solicitud en cinco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automáticamente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entiende desestimada y no cabe recurso contra esa decisión.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Caduca el procedimiento principal.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96.3.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En una comprobación jurídica del expediente, ¿Qué servicio se añade para los municipios con población superior a 20.000 habitantes?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de viajeros.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Medio ambiente urbano.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Biblioteca pública por primera vez.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Prevención y extinción de incendios.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G09 · dificultad alta. La opción indicada coincide con Ley 7/1985/artículo 26.1.c.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En una comprobación jurídica del expediente, toda notificación deberá ser cursada: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 los diez días siguientes a la fecha en que el acto haya sido dictado.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quince días hábiles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plazo de un mes desde que termine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las cuarenta y ocho horas posteriores.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G15 · dificultad básica. La opción indicada coincide con Ley 39/2015/artículo 40.2.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las infracciones del grupo superior del artículo 83 RGPD pueden sancionarse hasta: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20 millones de euros o 4 % del volumen mundial anual, la cantidad mayor.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150.000 euros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 millones o 2 %, siempre la cifra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millones sin alternativa porcentual.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G22 · dificultad alta. La opción indicada coincide con RGPD/artículo 83.5.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el Consejo está compuesto: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los jefes de Estado o de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comisario de cada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los presidentes de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un representante de rango ministerial de cada Estado, facultado para comprometer a su Gobierno y votar.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G10 · dificultad básica. La opción indicada coincide con TUE/artículo 16.2.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A efectos de aplicar correctamente la regla examinada, puede ejercer el derecho de petición de la Ley Orgánica 4/2001: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una persona española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Toda persona natural o jurídica, cualquiera que sea su nacionalidad.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una persona física.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una asociación registrada.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G20 · dificultad media. La opción indicada coincide con Ley Orgánica 4/2001/artículo 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si la tercería se presenta sin los documentos originales en que se funda, se concede para aportarlos un plazo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133.1.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A efectos de aplicar correctamente la regla examinada, ¿Cuál es el plazo para recurrir en amparo una vulneración imputable de manera inmediata y directa a un órgano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desde la publicación de la ley aplicada.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 desde la firmeza del acto parlamentario.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Treinta días desde la notificación de la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desde la admisión del proceso.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44.2.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tras la notificación de la resolución de la tercería o su desestimación presunta, las actuaciones suspendidas continúan cuando transcurren veinte días sin que el tercerista: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Solicite otro aplazamiento.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Abone las cuotas del deudor.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Acredite la interposición de demanda ante la jurisdicción civil.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Presente un recurso de alzada ante 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135.3.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según el artículo 137 de la Constitución, el Estado se organiza territorialmente: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municipios, comarcas, provincias y regiones.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municipios,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en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municipios, islas y Estados federados.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básica. La opción indicada coincide con Constitución Española/artículo 137.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los directores insulares: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elegidos por el cabildo y tienen rango de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nombrados por el Consejo de Ministros entre cualquier persona idónea.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Dependen exclusivamente del Ministerio del Interior.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Son nombrados por el delegado mediante libre designación entre funcionarios de carrera A1 y ejercen en la isla competencias de los subdelegados.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G08 · dificultad alta. La opción indicada coincide con Ley 40/2015/artículo 70.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el certificado acreditativo del silencio se expedirá de oficio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 hábiles desde la solicitud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 desde que se interponga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desde la iniciación.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Quince días desde que expire el plazo máximo para resolver.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24.4.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En una comprobación jurídica del expediente, las Comisiones Delegadas del Gobierno se crean, modifican o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orden del ministro de la Presidencia.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ley ordinaria a propuesta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real decreto acordado por el Consejo de Ministros, a propuesta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real decreto del presidente sin intervención del Consejo.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media. La opción indicada coincide con Ley 50/1997/artículo 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un tribunal nacional de última instancia duda fundadamente de la validez de una decisión de la Comisión.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 la excepción de acto claro y declararla inválida.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Interponer él mismo recurso de anulación fuera de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Plantear cuestión prejudicial de validez al Tribunal de Justicia.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Pedir al legislador nacional que la derogue.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G11 · dificultad alta. La opción indicada coincide con TFUE/artículo 267; TJUE/Sentencia Foto-Frost, asunto 314/85.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A efectos de aplicar correctamente la regla examinada,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12 veces el IPREM.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8 veces el SMI mensual.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alta. La opción indicada coincide con TRLGSS/artículo 360.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¿Qué entidad reconoce y controla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Estatal de Administración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básica. La opción indicada coincide con Ley 19/2021, artículo 25.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deben motivarse: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las resoluciones sancionadoras.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Los actos que limiten derechos subjetivos o intereses legítimos.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actos dictados por órganos colegiados.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Todos los actos de trámite,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básica. La opción indicada coincide con Ley 39/2015/artículo 35.1.a.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En una comprobación jurídica del expediente, los principios expresos del artículo 2 TRLGSS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Universalidad, unidad, solidaridad e igualdad.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Jerarquía, publicidad, mérito y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Caja única, descentralización, tutela y lucro.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contributividad y capitalización.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S01 · dificultad básica. La opción indicada coincide con TRLGSS/artículo 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En una comprobación jurídica del expediente, en el Sistema Especial para Empleados de Hogar, la prestación económica por incapacidad temporal derivada de enfermedad común o accidente no laboral se abona directamente por la entidad gestora o colaboradora: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Desde el noveno día de la baja, siendo a cargo del empleador el abono desde el cuarto hasta el octavo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cuarto día, sin responsabilidad previa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Desde el decimosexto día.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S02 · dificultad alta. La opción indicada coincide con TRLGSS, artículo 251.a.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un defecto de forma determina anulabilidad: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exista cualquier omisión tipográfica.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cuando el acto sea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Cuando falten requisitos formales indispensables para alcanzar el fin o se produzca indefensión.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lo denuncia el instructor.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48.2.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una cuestión prejudicial de interpretación se caracteriza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de Justicia resuelve los hechos y dicta la sentencia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plantearla un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Suspende definitivamente el proceso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Tribunal de Justicia interpreta el Derecho de la Unión y el órgano nacional resuelve el litigio.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267.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A efectos de aplicar correctamente la regla examinada, un plazo expresado en meses: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Equivale siempre a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Empieza el mismo día de la notificación y termina un día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computa de fecha a fecha y, si no hay día equivalente en el mes final, vence su último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Excluye del cómputo todos los días inhábiles intermedios.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30.4.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¿Cuál es el plazo de amparo frente a vulneraciones procedentes del Gobierno o de autoridades administrativas, tras la resolución del proceso judicial previo?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43.2.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En una comprobación jurídica del expediente, la caducidad por paralización imputable al interesado en un procedimiento iniciado a su solicitud: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Requiere advertencia y el transcurso de tres meses sin realizar la actividad necesaria.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produce a los diez días sin advertencia.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automáticamente la prescripción de la 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basarse en cualquier trámite no esencial.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95.1 a 95.3.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A efectos de aplicar correctamente la regla examinada, el presupuesto monetario de la TGSS: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elabora mensualmente con previsiones del mes siguiente para ordenar la liquidez.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al presupuesto anual aprobado por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aprueba una vez cada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Reconoce por sí mismo el derecho a cada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media. La opción indicada coincide con Real Decreto 696/2018, artículo 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¿Qué presencia mínima se exige para que el Pleno pueda adoptar acuerdos?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mitad más uno de sus doce miembros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cuartas partes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Todos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Dos tercios de los miembros que en ese momento lo compongan.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14.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trabajo autónomo comprendido en el RETA se caracteriza, con carácter general, por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forma habitual, personal, directa, por cuenta propia y fuera del ámbito de dirección de otra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para una sociedad mercantil.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Bajo dependencia y dentro de la organización de un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finalidad lucrativa y de manera ocasional.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básica. La opción indicada coincide con TRLGSS, artículo 305.1.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la asignación ordinaria por hijo mayor de 18 años exige discapacidad igual o superior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media. La opción indicada coincide con TRLGSS/artículo 351.a.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Sin añadir circunstancias distintas de las indicadas,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Trabajadores ordinarios por cuenta ajena de la industria y los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Estudiantes.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10.2.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el registro electrónico permite presentar documentos: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Todos los días del año durante las veinticuatro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en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durante el horario de las oficinas.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hasta las 15:00.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básica. La opción indicada coincide con Ley 39/2015/artículo 31.2.a.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si una solicitud de aplazamiento no reúne los requisitos o no incorpora los documentos exigidos, el plazo general para subsanar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media. La opción indicada coincide con RGRSS, artículo 35.3.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los bienes y derechos del patrimonio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Pueden embargarse libremente por cualquier acreedor.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Son inembargables y las obligaciones judiciales se cumplen por el procedimiento presupuestario.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son inembargables si están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Pierden la inembargabilidad al ser inventariados.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básica. La opción indicada coincide con TRLGSS, artículo 108.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unidad conjunta de encuadramiento y prestaciones contrasta datos declarados con la información obrante en el sistema.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Antes de dictar resolución, debe aplicarse la regla según la cual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Encajar en actividad y agente del cuadro oficial.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Deberse solo a una jornada extensa.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Fundamento: TRLGSS/artículo 157 y Real Decreto 1299/2006.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la tramitación del expediente de Seguridad Social, en accidente de trabajo, el subsidio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75 por ciento desde el día siguiente a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desde el mismo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55 por ciento desde el día 16.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media. Fundamento: TRLGSS/artículo 173.1 y Decreto 3158/1966.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Al comprobar el encuadramiento y sus efectos, la Intervención General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ordinariamente pensiones de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Gestiona como mutua las contingencias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entidad gestora enumerada en el artículo 66.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órgano de control interno y dirección contable, con dependencia funcional de IGAE.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alta. Fundamento: Real Decreto 412/2025/artículos 1 a 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Al comprobar el encuadramiento y sus efectos, una empresa transmitió correctamente la liquidación de 10.000 euros, cuyo plazo terminó el 30 de abril, y paga el 20 de mayo. Sin considerar intereses ni costas, ¿qué importe debe ingresar?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12.000 euros, por un recargo del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11.000 euros, al aplicarse el recargo del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13.500 euros, por un recargo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10.000 euros, porque todavía no se emitió providencia.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alta. Fundamento: TRLGSS, artículo 30.1.a.1.º.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Al comprobar el encuadramiento y sus efectos,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fallecimiento del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matrimonio del pensionista.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media. Fundamento: TRLGSS, naturaleza vitalicia de la prestación y artículo 213.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unidad competente debe resolver la siguiente cuestión: Desde el Real Decreto-ley 9/2025, la suspensión general por nacimiento para cada progenitor dura: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32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básica. Fundamento: Estatuto de los Trabajadores/artículo 48.4.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la tramitación del expediente de Seguridad Social, puede dictarse providencia sin reclamación de deuda ni acta previa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deuda depende de hechos no comprobados y nunca fue liquidada.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Falta toda identificación del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dejaron de ingresar cuotas de trabajadores en alta correctamente liquidadas mediante los sistemas o documentos presentados en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Existe un aplazamiento vigente y cumplido.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media. Fundamento: RGRSS, artículo 85.1.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Al comprobar el encuadramiento y sus efectos, existe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 en dos actividades incluidas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Cotiza simultáneamente por convenio especial y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dos categorías en una sola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Trabaja para dos o más empresas con inclusión en el mismo régimen.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media. Fundamento: Real Decreto 2064/1995/artículo 9.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la devolución de un ingreso indebido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el principal, nunca intereses.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cantidad indebidamente ingresada y el interés de demora aplicable desde la fecha del ingreso hasta la propuesta de pago,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indemnización fija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doble de la cantidad ingresada.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media. Fundamento: TRLGSS, artículo 44.2; RGRSS, artículo 45.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Cuando se exige garantía para un aplazamiento, debe constituirse,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tres días hábiles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Dentro de los treinta días naturales siguientes a la notificación de la concesión, salvo que la resolución fije un plazo superior dentro del límite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Después de satisfacer el último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 que exista resolución,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alta. Fundamento: RGRSS, artículo 33.2.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unidad competente debe resolver la siguiente cuestión: La TGSS comprueba que una persona incluida en los periodos de inactividad agraria no alcanzó 30 jornadas reales en los últimos 365 días. La exclusión de oficio surtirá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Retroactivamente desde la primera jornada del periodo examinado.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primer día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Desde el primer día del mes siguiente al de la notificación de la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mismo día en que se complete la comprobación interna.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alta. Fundamento: TRLGSS, artículo 253.2.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¿A quién corresponde la titularidad del patrimonio único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Ministerio de Hacienda.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cada entidad que utilice el bien.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la Tesorería General de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S13 · dificultad básica. Fundamento: TRLGSS, artículo 104.1.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Al comprobar el encuadramiento y sus efectos, según la estructura legal del sistema, este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el Régimen General y los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por el Régimen General y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regímenes generales, provinciales y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por sistemas especiales.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básica. Fundamento: TRLGSS, artículo 9.1.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Al comprobar el encuadramiento y sus efectos, una solicitud de alta puede presentarse anticipadamente: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Sin límite temporal mientras exista promesa de contrato.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 una antelación máxima general de sesenta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 un máximo de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el día inmediatamente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S03 · dificultad media. Fundamento: RD 84/1996, artículo 32.3.1.º.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unidad competente debe resolver la siguiente cuestión: Tras el Real Decreto 616/2026, el Servicio Jurídico de la Administración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 gestora con personalidad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Servicio común con personalidad y rango de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Órgano de control dependiente funcionalmente de IGAE.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Servicio común sin personalidad jurídica y con nivel orgánico de 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alta. Fundamento: Real Decreto 501/2024/disposición adicional primera, redacción RD 616/2026.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Al comprobar el encuadramiento y sus efectos, durante una huelga legal, el trabajador permanece: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situación de alta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baja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situación de desempleo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excedencia forzosa.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básica. Fundamento: TRLGSS, artículo 166.7; RD 84/1996, artículo 35.6.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la tramitación del expediente de Seguridad Social, si la suspensión del IMV se mantiene durante un año: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reanuda automáticamente sin comprobar requisitos.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en jubilación no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derecho se extingue.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duplica la deuda por reintegro.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media. Fundamento: Ley 19/2021, artículos 17 y 18.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el porcentaje del 60 % de viudedad exige, entre otros requisitos: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Tener al menos 65 años, no percibir otra pensión pública ni ingresos de trabajo y respetar el límite de rentas.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Tener cargas familiares y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Ser menor de 65 años y trabajar por cuenta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Ser huérfano absoluto.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media. Fundamento: Decreto 3158/1966, artículo 31.2.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14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14 - nivel oficial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