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15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una nueva baja por la misma enfermedad aparece durante vacaciones privadas, sin nexo laboral ni cuadro profesional. La contingencia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Accidente de trabajo por presunción.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Enfermedad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Riesgo durante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Enfermedad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TRLGSS/artículos 157 y 158.2.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si el empresario no descontó al pagar el salario la aportación que correspondía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descontarla en cualquier nómina futura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deuda pasa a ser exclusiva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puede descontarla después y soporta el ingreso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Queda extinguida la parte del trabajador.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TRLGSS/artículo 142.2.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una comprobación jurídica del expediente,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indemnización de 24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100 por ciento de la base reguladora común desde el día de la 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TRLGSS/artículos 171, 172 y 173.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el certificado acreditativo del silencio se expedirá de oficio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hábiles desde la solicitud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 desde que se interponga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 desde que expire el plazo máximo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la iniciación.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una comprobación jurídica del expediente,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años renovables, con renovación parcial cada tres.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TFUE/artículos 253 y 254.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¿Cuál de estos centros no figura entre los dependientes de la Dirección General de Atención Humanitaria?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CAPI.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CETI.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Centro de Internamiento de Extranjeros —CIE—.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CREADE.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la imprudencia profesional derivada de la confianza habitual en 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el accidente en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Excluye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Equivale a dolo.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impide por sí sola la calificación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156.4.a.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carencia de nacimiento y cuidado según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 172.a, remisión al 178.1.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De acuerdo con la regulación aplicable,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mutua o entidad con la que se cubren los riesgos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192.3.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una situación asimilada a la de alta: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Crea siempre cotizaciones ficticias por todas las contingencias.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 necesariamente a un contrato de trabajo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Permite considerar cumplido el requisito de alta para las prestaciones y con el alcance que establezca la norma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Extiende de forma automática idéntica cobertura a cualquier prestación.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media. La opción indicada coincide con TRLGSS, artículo 166; RD 84/1996, artículo 36.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las prácticas dirigidas a modificar orientación o identidad sexual o expresión de género: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Están prohibidas incluso si la persona presta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libres si las practica un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prohíben a menores de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una acción positiva.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4/2023/artículo 17.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84.2.d.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si el vicio consiste en incompetencia que no determina nulidad: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convalidar el órgano competente cuando sea superior jerárquico del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convalidarse.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Convalida el órgano inferior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acudirse siempre a lesividad.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alta. La opción indicada coincide con Ley 39/2015/artículo 52.3.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la actuación administrativa automatizada se produce: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Íntegramente por medios electrónicos sin intervención directa de un empleado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que un funcionario escriba en un ordenador.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intervenga directamente un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una resolución en papel se escanea.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40/2015/artículo 41.1.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una comprobación jurídica del expediente,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básica. La opción indicada coincide con TRLGSS, artículo 38.3; RGRSS, artículo 86.1.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en la explotación mediante arrendamiento de un inmueble innecesario: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sustituirse total o parcialmente la renta por obras de reforma o rehabilitación en los términos pactados.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pactarse una renta en especie.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duración inicial debe ser necesariamente de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arrendatario adquiere la propiedad al finalizar.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media. La opción indicada coincide con Real Decreto 1221/1992, artículos 26 y 27.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¿Cuál es la forma política del Estado español?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Monarquía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Monarquía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República presidencial.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República parlamentaria.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1.3.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el derecho del artículo 22 se refiere a una decisión: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Basada únicamente en tratamiento automatizado y con efectos jurídicos o significativamente similares.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Adoptada por una persona tras valorar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Automatizada, aunque carezca de cualquier efecto relevante.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siempre está prohibida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22.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G20 · dificultad alta. La opción indicada coincide con Real Decreto 1112/2018/artículo 13.4.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Sin añadir circunstancias distintas de las indicadas,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entidad funeraria aunque nadie haya abonado el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quien haya soportado los gastos del sepelio, con las presunciones legales de pago.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¿Cuándo presta juramento el Príncipe heredero?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alcanzar la mayoría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nacer.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producirse el hecho que origine el llamamiento.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cumplir veintiún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61.2.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De acuerdo con la regulación aplicable,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308.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firme la providencia y persistiendo el impago, si existe una garantía suficiente constituida sobre la deuda: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ignorarse y embargarse primero la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 la deuda aunque la garantía no se realice.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ejecutarla un juzgado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procede primero a ejecutarla, sin perjuicio de embargar otros bienes si es insuficiente o desproporcionada.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alta. La opción indicada coincide con RGRSS, artículo 88.1.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la regulación del ejercicio de los derechos del capítulo 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Corresponde libremente al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Exige en todos los casos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eliminar el contenido esencial por razón de interés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puede hacerse por ley, que debe respetar su contenido esencial.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G02 · dificultad media. La opción indicada coincide con Constitución Española/artículo 53.1.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369.1.b.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De acuerdo con la regulación aplicable,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Igual o superior al 65 %.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 363.1.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los municipios con población superior a 50.000 habitantes deben prestar,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Tratamiento de residuos y cementerio.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Protección civil y biblioteca.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Transporte colectivo urbano de viajeros y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Instalaciones deportivas y alumbrado.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alta. La opción indicada coincide con Ley 7/1985/artículo 26.1.d.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por complejidad o número de solicitudes, el plazo para responder: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ampliarse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amplía automáticamente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ampliarlo un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ampliarse otros dos meses, informando motivadamente dentro del primer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¿Cuántas reformas constitucionales se habían publicado y estaban vigentes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Española/texto consolidado y reformas de 1992, 2011, 2024 y 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de la Subdirección General de la Ciudadanía Española en el Exterior y Políticas de Retorno depende: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Oficina de Asilo y Refugio.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División de Emigrantes Retornados.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Gerencia de Informática.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Sin añadir circunstancias distintas de las indicadas, aunque no haya llegado la fecha de revisión indicada, el INSS puede revisar la IP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pide cualquier empresa sin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pensionista está realizando trabajo por cuenta propia o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Han pasado solo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persona cumplió ya 67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alta. La opción indicada coincide con TRLGSS/artículo 200.2.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Sin añadir circunstancias distintas de las indicadas,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jerarquía solo se aplica a las leyes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Carecen de validez las disposiciones que contradigan otra de rango superior.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para una pensión común desde alta, si el causante tiene menos de 31 años,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cuarta parte del tiempo desde los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dos en los últimos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tercera parte del tiempo desde los 16 hasta el hecho causante.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 195.3.a.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un ministro dicta una resolución singular dispensando a una empresa de cumplir un real decreto, sin habilitación para excepciones.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válida porque el ministro es órgano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parcialmente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Vulnera la inderogabilidad singular de las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Vale si la empresa presta consentimiento.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alta. La opción indicada coincide con Ley 39/2015/artículo 37.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la Declaración del Tribunal Constitucional 1/2004 diferencia primacía y supremacía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primacía solo se aplica a normas europeas originarias.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supremacía constitucional ha sido derogada por el artículo 93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infracción del Derecho de la Unión es automáticamente una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primacía opera en la aplicación preferente, mientras la supremacía se refiere a jerarquía y validez.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G11 · dificultad alta. La opción indicada coincide con Tribunal Constitucional/Declaración 1/2004, fundamento jurídico 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Sin añadir circunstancias distintas de las indicadas,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Sin añadir circunstancias distintas de las indicadas, un ajuste razonable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adaptación general que siempre debe existir desde el diseño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ayuda voluntaria que puede rechazarse sin motivo.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Una modificación necesaria y adecuada para un caso particular que no imponga carga desproporcionada o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medida, aunque imponga carga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Legislativo 1/2013/artículo 2.m.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el personal eventual realiza: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Funciones reservadas de autoridad con carácter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Solo funciones expresamente calificadas de confianza o asesoramiento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función estructural que decida su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tareas laborales temporales.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el plazo ordinario para subsanar una solicitud defectuosa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básica. La opción indicada coincide con Ley 39/2015/artículo 68.1.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Sin añadir circunstancias distintas de las indicadas,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Reconocimiento previo de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Declaración responsable sin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media. La opción indicada coincide con Ley 53/1984/artículo 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cuando el causante estaba en alta y fallece por enfermedad común no sobrevenida tras accidente: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exigen, con carácter general, 500 días cotizados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dentro del año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se exige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quince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219.1.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En una comprobación jurídica del expediente,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Quince años, de los que dos deben estar comprendidos dentro de los quince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y tres años, de los que cinco deben ser inmediatamente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básica. La opción indicada coincide con TRLGSS, artículo 205.1.b.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según el Real Decreto 208/1996, la información administrativa puede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General 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Pública o secreta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Vinculante o jurisdiccional.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básica. La opción indicada coincide con Real Decreto 208/1996/artículo 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la creación, modificación y supresión de los departamentos ministeriales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presidente del Gobierno mediante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de Ministros mediante acuerdo.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las Cortes Generales mediante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ministro competente mediante orden.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2.2.j; Ley 40/2015/artículo 57.3.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En una comprobación jurídica del expediente, ¿Cuántas Salas tiene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básica. La opción indicada coincide con LOTC, art. 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¿Qué deudas son inaplazables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Todas las cuotas empresariales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cuotas por accidentes de trabajo y enfermedades profesionales y la aportación de los trabajadores correspondiente a las cuotas aplazadas.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deuda inferior a 150.000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recargos de prestaciones aun cuando se garanticen íntegramente con aval.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media. La opción indicada coincide con TRLGSS, artículo 23.2; RGRSS, artículo 32.1.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En una comprobación jurídica del expediente, conforme al artículo 31 de la Ley 25/2014, las normas de tratados válidamente celebrados y publicados: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Prevalecen, en caso de conflicto, sobre cualquier otra norma interna salvo las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Prevalecen incluso sobre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prevalecen sobre órdenes ministeriales.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subordinan siempre a cualquier ley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media. La opción indicada coincide con Ley 25/2014/artículo 31.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En una comprobación jurídica del expediente, la cotización del mecanismo de equidad intergeneracional: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Tiene carácter finalista, nutre el Fondo de Reserva y no genera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Genera por sí misma una pensión adicional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ingresa en el patrimonio de cada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bonificarse libremente por convenio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media. La opción indicada coincide con TRLGSS, artículo 127 bis.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con carácter general, una unidad de convivencia debe estar constituida antes de solicitar el IMV durante al menos: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Seis meses,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media. La opción indicada coincide con Ley 19/2021, artículo 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si un obligado presenta presencialmente su solicitud, se considera fecha de presentación: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del escrito en papel, aunque nunca subsane.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 digitalización de oficio por cualquier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fecha en que efectúe la subsanación mediante presentación electrónica.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del requerimiento de subsanación.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68.4.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¿Qué protege la inviolabilidad parlamentaria?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Frente a cualquier responsabilidad por cualquier acto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Frente a la detención, salvo autorización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opiniones manifestadas en el ejercicio de las funciones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derecho a conservar el escaño tras la disolución.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71.1; Reglamento del Congreso, art. 10.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De acuerdo con la regulación aplicable,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A efectos de aplicar correctamente la regla examinada, como regla general, una persona física no incluida en un supuesto especial: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utilizar siempre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elegir al iniciar el primer procedimiento de su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elegir si se relaciona electrónicamente con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utilizar papel salvo autorización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básica. La opción indicada coincide con Ley 39/2015/artículo 14.1.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la notificación debe cursarse desde que se dicta el acto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40.2.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¿Cuántas firmas acreditadas exige como mínimo la iniciativa legislativa popular estatal?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500.000.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750.000.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87.3.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En una comprobación jurídica del expediente, como regla general, la interposición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Suspende siempre el acto hasta que exista sentencia.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suspende la ejecución del acto impugnado.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 si se trata de una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 la ejecutividad de todos los actos conexos.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117.1.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solicitarlo dentro de los noventa días naturales, puede optar por efectos desde el día siguiente a aquel en que la baja produjo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solicitud es extemporánea porque el plazo era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alta. La opción indicada coincide con Orden TAS/2865/2003, artículos 4 y 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En una comprobación jurídica del expediente, las cuotas del Régimen General se ingresan,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mismo día en que se devengan.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Dentro del mes siguiente al que corresponde su devengo.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enero del año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básica. La opción indicada coincide con RGRSS, artículo 56.1.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¿Qué opción diferencia correctamente servicios territoriales integrados y no integrados?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integrados dependen del delegado o subdelegado a través de la Secretaría General; los no integrados, del órgano central sectorial.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integrados dependen siempre de una dirección general central y los no integrados del subdelegado.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dependen exclusivamente del delegado, sin instrucciones sectoriales.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integrados pertenecen a las comunidades autónomas y los no integrados al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alta. La opción indicada coincide con Ley 40/2015/artículo 71.3 y 71.4.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En una comprobación jurídica del expediente, ¿Cómo debe actuar el Defensor ante una queja individual pendiente de resolución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Resolverla antes que 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examinarla individualmente, sin perjuicio de investigar los problemas generales que revele.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Anular cautelarmente 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Remitirla siempre a la Mesa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Ley Orgánica 3/1981, art. 17.2.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Sin añadir circunstancias distintas de las indicadas, ¿Qué Estado ejerce la presidencia rotatoria del Consejo entre el 1 de julio y el 31 de diciembre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Chipre.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Lituania.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Irlanda.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Grecia.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básica. La opción indicada coincide con Decisión (UE) 2016/1316 y calendario oficial del Consejo.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¿Cuál de estos principios no aparece expresamente enumerado en el artículo 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seguridad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responsabilidad de los poderes públicos.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eficacia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interdicción de la arbitrariedad.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G01 · dificultad media. La opción indicada coincide con Constitución Española/artículo 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¿Cuál de las siguientes afirmaciones distingue correctamente al Tribunal Central de Instancia de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Central tiene Sala de lo Social y la Audiencia Nacional 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Tribunal Central integra Secciones procedentes de los antiguos Juzgados Centrales, mientras la Audiencia Nacional conserva sus Salas colegiadas.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son exactamente el mismo órgano desde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Audiencia Nacional se transformó íntegramente en Tribunal Central.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alta. La opción indicada coincide con LOPJ, arts. 62-65 y 95; LO 1/2025, disposición transitoria segunda.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una ayuda autonómica a pensionistas: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Vulnera siempre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ser de naturaleza distinta a Seguridad Social si se dicta en competencias autonómicas, según finalidad y configuración.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pensión contributiva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financiarse con cuotas de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alta. La opción indicada coincide con Constitución Española/artículo 149.1.17.ª y TRLGSS/artículo 42.4.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una persona afectada directa, pero no individualmente, por un acto no legislativo de alcance general que no incluye medidas de ejecución: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recurrir directamente.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recurrirlo como acto reglamentario sin acreditar afectación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recurrir si es destinataria.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acreditar afectación individual conforme a *Plaumann*.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alta. La opción indicada coincide con TFUE/artículo 263, párrafo cuarto; TJUE/Sentencia Inuit, asunto C-583/11 P.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respecto de la disolución del artículo 115 de la Constitución,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acuerda el Consejo de Ministros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propone el presidente, previa deliberación del Consejo, bajo su exclusiva responsabilidad.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afectar simultáneamente a las dos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proponerse aunque esté en trámite una moción de censura.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G07 · dificultad alta. La opción indicada coincide con Constitución Española/artículo 115.1 y 115.2.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la Dirección General de Gestión Migratoria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Secretaría General y una División.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Subdirecciones Generales de Inmigración y Movilidad Internacional y de Estrategia Migratoria.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Subdirecciones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Gabinete sin más unidades.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6.2, redacción del Real Decreto 689/2025.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en una familia con una única persona progenitora, la duración total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32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38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básica. La opción indicada coincide con Estatuto de los Trabajadores/artículo 48.4.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Sin añadir circunstancias distintas de las indicadas,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desde su entrada en vigor.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Treinta días desde su promulgación.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86.2.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para acceder a la jubilación anticipada voluntaria, el importe de la pensión resultante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inferior a la pensión mínima para generar complemento.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Coincidir con el salario mínimo interprofesional.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Alcanzar necesariamente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Superar la cuantía de la pensión mínima que correspondería al interesado al cumplir 65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alta. La opción indicada coincide con TRLGSS, artículo 208.1.c.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el plazo máximo fijado por la norma de un procedimiento no podrá exceder, como regla general,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Seis meses, salvo plazo mayor establecido por ley o por el Derecho de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redacción vigente del artículo 49 ordena a los poderes públicos: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Atender únicamente la rehabilitación de las personas con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la autonomía personal por un sistema de tutela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Excluir la participación de organizaciones representativas.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Impulsar autonomía e inclusión en entornos universalmente accesibles.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49 en redacción de 2024.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¿A qué ámbito territorial se extiende la jurisdicción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la Administración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las comunidades autónomas que acepten expresamente su competencia.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Madrid, por ser la sede del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todo el territorio nacional.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básica. La opción indicada coincide con Constitución Española, art. 161.1, y LOTC, art. 1.2.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equipo de revisión de expedientes atiende a varias personas trabajadoras, pensionistas y empresas con incidencias conectadas.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la Gerencia de Informática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gestora de pensiones.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servicio común con personalidad jurídica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empresa colaboradora.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órgano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Fundamento: TRLGSS/artículo 74 bis.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Una persona incluida en uno de los colectivos cerrados de la disposición transitoria cuarta.5 solicita la jubilación. ¿Qué afirmación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legislación anterior se aplica siempre aunque la vigente sea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escoger cualquier norma publicada desde 1985.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reconoce la pensión sin intervención de la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comprueba el encaje en el colectivo y, cuando la disposición lo ordena, se aplica la legislación vigente en la fecha del hecho causante si resulta más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alta. Fundamento: TRLGSS, disposición transitoria cuarta.5.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media. Fundamento: TRLGSS/artículo 351.a.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unidad competente debe resolver la siguiente cuestión: El pago único por nacimiento o adopción en familia numerosa, monoparental o con progenitor con discapacidad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525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veces el SMI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1.000 euros, sujeto a los límites y reglas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8.803,20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Fundamento: TRLGSS, artículos 357 y 358.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persona funcionaria responsable necesita determinar si el plazo máximo para resolver una solicitud de cesión es de 90 días y el silencio: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una cesión provisional.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Transfiere la propiedad al solicitante.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desestimatorio.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media. Fundamento: Real Decreto 1221/1992, artículo 31.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164.2 y 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 tramitación del expediente de Seguridad Social,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alta. Fundamento: RGRSS, artículos 113.1.b y 113 bis.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Como regla general, un alta solicitada después de iniciada la prestación de servicios produce efectos administrativos: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desde sesenta días antes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día del año en que comenzó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Desde el día en que se formula la solicitud, sin perjuicio de cotizar desde el comienzo real y de las demás responsabilidades.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desde que termina el contrato.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media. Fundamento: RD 84/1996, artículo 35.1.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Al comprobar el encuadramiento y sus efectos,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alta. Fundamento: TRLGSS/artículos 22 y 29.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Al comprobar el encuadramiento y sus efectos, si una solicitud de aplazamiento no reúne los requisitos o no incorpora los documentos exigidos, el plazo general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media. Fundamento: RGRSS, artículo 35.3.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Fundamento: TRLGSS, artículo 369.1.a.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la tramitación del expediente de Seguridad Social,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 sin distribución.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cuarta parte desde los 20, mínimo cinco años, con una quinta parte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alta. Fundamento: TRLGSS/artículo 195.3.b.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como regla, la persona divorciada o separada judicialmente tiene derecho a viudedad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Era acreedora de pensión compensatoria que se extingue por la muerte y no constituyó un nuevo vínculo, sin perjuicio de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Renunció a toda relación económica con el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Contrajo nuevo matrimonio antes del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Convivió con el causante al menos seis meses después del divorcio.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Fundamento: TRLGSS, artículo 220.1.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unidad competente debe resolver la siguiente cuestión: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alquiler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obligaciones del beneficiario dentro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básica. Fundamento: TRLGSS/artículo 44.1.b.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¿Qué afirmación distingue correctamente actualización, reintegro y sanción en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tres nombres de una misma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reintegro solo existe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actualización ajusta cuantías futuras, el reintegro recupera pagos indebidos y la sanción castiga una infracción; pueden concurrir.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actualización impide reclamar cantidades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alta. Fundamento: Ley 19/2021, artículos 16, 19 y 34.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Al comprobar el encuadramiento y sus efectos,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media. Fundamento: TRLGSS, artículo 12.1.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existe recaída, como regla, si la nueva baja por igual o similar patología se produce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180 días naturales desde el alta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90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básica. Fundamento: TRLGSS/artículo 169.2.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¿Qué sucede con el período de cotización si el causante no estaba en alta ni en situación asimilada?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exigen quince años de cotización para las prestaciones legalmente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causar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Basta un año cotizado.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500 días dentro de los cinco años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Fundamento: TRLGSS, artículos 219.1, 224.1 y 226.1.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15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15 -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