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17</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alta</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En una comprobación jurídica del expediente, contra una disposición administrativa de carácter general:</w:t>
      </w:r>
    </w:p>
    <w:p>
      <w:pPr>
        <w:keepNext/>
        <w:keepLines/>
        <w:spacing w:after="40"/>
        <w:ind w:left="369" w:hanging="198"/>
      </w:pPr>
      <w:r>
        <w:rPr>
          <w:rFonts w:ascii="Arial" w:hAnsi="Arial" w:cs="Arial"/>
          <w:b w:val="0"/>
          <w:sz w:val="21"/>
        </w:rPr>
        <w:t>A) Cabe siempre recurso de alzada.</w:t>
      </w:r>
    </w:p>
    <w:p>
      <w:pPr>
        <w:keepNext/>
        <w:keepLines/>
        <w:spacing w:after="40"/>
        <w:ind w:left="369" w:hanging="198"/>
      </w:pPr>
      <w:r>
        <w:rPr>
          <w:rFonts w:ascii="Arial" w:hAnsi="Arial" w:cs="Arial"/>
          <w:b w:val="0"/>
          <w:sz w:val="21"/>
        </w:rPr>
        <w:t>B) Procede reposición obligatoria.</w:t>
      </w:r>
    </w:p>
    <w:p>
      <w:pPr>
        <w:keepNext/>
        <w:keepLines/>
        <w:spacing w:after="40"/>
        <w:ind w:left="369" w:hanging="198"/>
      </w:pPr>
      <w:r>
        <w:rPr>
          <w:rFonts w:ascii="Arial" w:hAnsi="Arial" w:cs="Arial"/>
          <w:b w:val="0"/>
          <w:sz w:val="21"/>
        </w:rPr>
        <w:t>C) Solo cabe recurso extraordinario de revisión.</w:t>
      </w:r>
    </w:p>
    <w:p>
      <w:pPr>
        <w:keepNext/>
        <w:keepLines/>
        <w:spacing w:after="40"/>
        <w:ind w:left="369" w:hanging="198"/>
      </w:pPr>
      <w:r>
        <w:rPr>
          <w:rFonts w:ascii="Arial" w:hAnsi="Arial" w:cs="Arial"/>
          <w:b/>
          <w:sz w:val="21"/>
        </w:rPr>
        <w:t>D) No cabe recurso en vía administrativa.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básica. La opción indicada coincide con Ley 39/2015/artículo 112.3. Las demás alternativas alteran el órgano, el plazo, el requisito, el efecto o la excepción aplicable.</w:t>
      </w:r>
    </w:p>
    <w:p>
      <w:pPr>
        <w:pStyle w:val="Question"/>
        <w:keepNext/>
      </w:pPr>
      <w:r>
        <w:rPr>
          <w:rFonts w:ascii="Arial" w:hAnsi="Arial" w:cs="Arial"/>
          <w:sz w:val="22"/>
        </w:rPr>
        <w:t>2. En una comprobación jurídica del expediente, la convalidación:</w:t>
      </w:r>
    </w:p>
    <w:p>
      <w:pPr>
        <w:keepNext/>
        <w:keepLines/>
        <w:spacing w:after="40"/>
        <w:ind w:left="369" w:hanging="198"/>
      </w:pPr>
      <w:r>
        <w:rPr>
          <w:rFonts w:ascii="Arial" w:hAnsi="Arial" w:cs="Arial"/>
          <w:b/>
          <w:sz w:val="21"/>
        </w:rPr>
        <w:t>A) Permite subsanar los vicios de los actos anulables.</w:t>
      </w:r>
    </w:p>
    <w:p>
      <w:pPr>
        <w:keepNext/>
        <w:keepLines/>
        <w:spacing w:after="40"/>
        <w:ind w:left="369" w:hanging="198"/>
      </w:pPr>
      <w:r>
        <w:rPr>
          <w:rFonts w:ascii="Arial" w:hAnsi="Arial" w:cs="Arial"/>
          <w:b w:val="0"/>
          <w:sz w:val="21"/>
        </w:rPr>
        <w:t>B) Convierte en válido cualquier acto nulo.</w:t>
      </w:r>
    </w:p>
    <w:p>
      <w:pPr>
        <w:keepNext/>
        <w:keepLines/>
        <w:spacing w:after="40"/>
        <w:ind w:left="369" w:hanging="198"/>
      </w:pPr>
      <w:r>
        <w:rPr>
          <w:rFonts w:ascii="Arial" w:hAnsi="Arial" w:cs="Arial"/>
          <w:b w:val="0"/>
          <w:sz w:val="21"/>
        </w:rPr>
        <w:t>C) Produce siempre efectos desde la fecha del acto original.</w:t>
      </w:r>
    </w:p>
    <w:p>
      <w:pPr>
        <w:keepNext/>
        <w:keepLines/>
        <w:spacing w:after="40"/>
        <w:ind w:left="369" w:hanging="198"/>
      </w:pPr>
      <w:r>
        <w:rPr>
          <w:rFonts w:ascii="Arial" w:hAnsi="Arial" w:cs="Arial"/>
          <w:b w:val="0"/>
          <w:sz w:val="21"/>
        </w:rPr>
        <w:t>D) Solo puede acordarla un tribunal.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G15 · dificultad media. La opción indicada coincide con Ley 39/2015/artículo 52.1 y 52.2. Las demás alternativas alteran el órgano, el plazo, el requisito, el efecto o la excepción aplicable.</w:t>
      </w:r>
    </w:p>
    <w:p>
      <w:pPr>
        <w:pStyle w:val="Question"/>
        <w:keepNext/>
      </w:pPr>
      <w:r>
        <w:rPr>
          <w:rFonts w:ascii="Arial" w:hAnsi="Arial" w:cs="Arial"/>
          <w:sz w:val="22"/>
        </w:rPr>
        <w:t>3. A efectos de aplicar correctamente la regla examinada, si la enfermedad común causante de la muerte era anterior al matrimonio y este duró menos de un año, puede salvarse el requisito adicional, entre otros supuestos, si:</w:t>
      </w:r>
    </w:p>
    <w:p>
      <w:pPr>
        <w:keepNext/>
        <w:keepLines/>
        <w:spacing w:after="40"/>
        <w:ind w:left="369" w:hanging="198"/>
      </w:pPr>
      <w:r>
        <w:rPr>
          <w:rFonts w:ascii="Arial" w:hAnsi="Arial" w:cs="Arial"/>
          <w:b w:val="0"/>
          <w:sz w:val="21"/>
        </w:rPr>
        <w:t>A) El superviviente tiene cualquier empleo.</w:t>
      </w:r>
    </w:p>
    <w:p>
      <w:pPr>
        <w:keepNext/>
        <w:keepLines/>
        <w:spacing w:after="40"/>
        <w:ind w:left="369" w:hanging="198"/>
      </w:pPr>
      <w:r>
        <w:rPr>
          <w:rFonts w:ascii="Arial" w:hAnsi="Arial" w:cs="Arial"/>
          <w:b w:val="0"/>
          <w:sz w:val="21"/>
        </w:rPr>
        <w:t>B) El matrimonio se celebró por poderes.</w:t>
      </w:r>
    </w:p>
    <w:p>
      <w:pPr>
        <w:keepNext/>
        <w:keepLines/>
        <w:spacing w:after="40"/>
        <w:ind w:left="369" w:hanging="198"/>
      </w:pPr>
      <w:r>
        <w:rPr>
          <w:rFonts w:ascii="Arial" w:hAnsi="Arial" w:cs="Arial"/>
          <w:b/>
          <w:sz w:val="21"/>
        </w:rPr>
        <w:t>C) Existen hijos comunes o la convivencia previa sumada al matrimonio supera dos años.</w:t>
      </w:r>
    </w:p>
    <w:p>
      <w:pPr>
        <w:keepNext/>
        <w:keepLines/>
        <w:spacing w:after="40"/>
        <w:ind w:left="369" w:hanging="198"/>
      </w:pPr>
      <w:r>
        <w:rPr>
          <w:rFonts w:ascii="Arial" w:hAnsi="Arial" w:cs="Arial"/>
          <w:b w:val="0"/>
          <w:sz w:val="21"/>
        </w:rPr>
        <w:t>D) El causante había cotizado un solo día.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S11 · dificultad media. La opción indicada coincide con TRLGSS, artículo 219.2. Las demás alternativas alteran el órgano, el plazo, el requisito, el efecto o la excepción aplicable.</w:t>
      </w:r>
    </w:p>
    <w:p>
      <w:pPr>
        <w:pStyle w:val="Question"/>
        <w:keepNext/>
      </w:pPr>
      <w:r>
        <w:rPr>
          <w:rFonts w:ascii="Arial" w:hAnsi="Arial" w:cs="Arial"/>
          <w:sz w:val="22"/>
        </w:rPr>
        <w:t>4. A efectos de aplicar correctamente la regla examinada, ¿Cuál es un principio expreso de la potestad disciplinaria según el artículo 94 TREBEP?</w:t>
      </w:r>
    </w:p>
    <w:p>
      <w:pPr>
        <w:keepNext/>
        <w:keepLines/>
        <w:spacing w:after="40"/>
        <w:ind w:left="369" w:hanging="198"/>
      </w:pPr>
      <w:r>
        <w:rPr>
          <w:rFonts w:ascii="Arial" w:hAnsi="Arial" w:cs="Arial"/>
          <w:b w:val="0"/>
          <w:sz w:val="21"/>
        </w:rPr>
        <w:t>A) Responsabilidad objetiva.</w:t>
      </w:r>
    </w:p>
    <w:p>
      <w:pPr>
        <w:keepNext/>
        <w:keepLines/>
        <w:spacing w:after="40"/>
        <w:ind w:left="369" w:hanging="198"/>
      </w:pPr>
      <w:r>
        <w:rPr>
          <w:rFonts w:ascii="Arial" w:hAnsi="Arial" w:cs="Arial"/>
          <w:b w:val="0"/>
          <w:sz w:val="21"/>
        </w:rPr>
        <w:t>B) Retroactividad de toda norma desfavorable.</w:t>
      </w:r>
    </w:p>
    <w:p>
      <w:pPr>
        <w:keepNext/>
        <w:keepLines/>
        <w:spacing w:after="40"/>
        <w:ind w:left="369" w:hanging="198"/>
      </w:pPr>
      <w:r>
        <w:rPr>
          <w:rFonts w:ascii="Arial" w:hAnsi="Arial" w:cs="Arial"/>
          <w:b/>
          <w:sz w:val="21"/>
        </w:rPr>
        <w:t>C) Presunción de inocencia.</w:t>
      </w:r>
    </w:p>
    <w:p>
      <w:pPr>
        <w:keepNext/>
        <w:keepLines/>
        <w:spacing w:after="40"/>
        <w:ind w:left="369" w:hanging="198"/>
      </w:pPr>
      <w:r>
        <w:rPr>
          <w:rFonts w:ascii="Arial" w:hAnsi="Arial" w:cs="Arial"/>
          <w:b w:val="0"/>
          <w:sz w:val="21"/>
        </w:rPr>
        <w:t>D) Secreto absoluto del expediente.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G19 · dificultad media. La opción indicada coincide con TREBEP/artículo 94.2.e. Las demás alternativas alteran el órgano, el plazo, el requisito, el efecto o la excepción aplicable.</w:t>
      </w:r>
    </w:p>
    <w:p>
      <w:pPr>
        <w:pStyle w:val="Question"/>
        <w:keepNext/>
      </w:pPr>
      <w:r>
        <w:rPr>
          <w:rFonts w:ascii="Arial" w:hAnsi="Arial" w:cs="Arial"/>
          <w:sz w:val="22"/>
        </w:rPr>
        <w:t>5. Conforme al ordenamiento vigente a la fecha de corte, hasta la total asunción de la gestión del Régimen de Clases Pasivas por el INSS, determinadas funciones de reconocimiento, pagos, recursos e información corresponden:</w:t>
      </w:r>
    </w:p>
    <w:p>
      <w:pPr>
        <w:keepNext/>
        <w:keepLines/>
        <w:spacing w:after="40"/>
        <w:ind w:left="369" w:hanging="198"/>
      </w:pPr>
      <w:r>
        <w:rPr>
          <w:rFonts w:ascii="Arial" w:hAnsi="Arial" w:cs="Arial"/>
          <w:b w:val="0"/>
          <w:sz w:val="21"/>
        </w:rPr>
        <w:t>A) A la Tesorería General de la Seguridad Social.</w:t>
      </w:r>
    </w:p>
    <w:p>
      <w:pPr>
        <w:keepNext/>
        <w:keepLines/>
        <w:spacing w:after="40"/>
        <w:ind w:left="369" w:hanging="198"/>
      </w:pPr>
      <w:r>
        <w:rPr>
          <w:rFonts w:ascii="Arial" w:hAnsi="Arial" w:cs="Arial"/>
          <w:b/>
          <w:sz w:val="21"/>
        </w:rPr>
        <w:t>B) A la Dirección General de Ordenación de la Seguridad Social.</w:t>
      </w:r>
    </w:p>
    <w:p>
      <w:pPr>
        <w:keepNext/>
        <w:keepLines/>
        <w:spacing w:after="40"/>
        <w:ind w:left="369" w:hanging="198"/>
      </w:pPr>
      <w:r>
        <w:rPr>
          <w:rFonts w:ascii="Arial" w:hAnsi="Arial" w:cs="Arial"/>
          <w:b w:val="0"/>
          <w:sz w:val="21"/>
        </w:rPr>
        <w:t>C) A la Secretaría General de Inclusión.</w:t>
      </w:r>
    </w:p>
    <w:p>
      <w:pPr>
        <w:keepNext/>
        <w:keepLines/>
        <w:spacing w:after="40"/>
        <w:ind w:left="369" w:hanging="198"/>
      </w:pPr>
      <w:r>
        <w:rPr>
          <w:rFonts w:ascii="Arial" w:hAnsi="Arial" w:cs="Arial"/>
          <w:b w:val="0"/>
          <w:sz w:val="21"/>
        </w:rPr>
        <w:t>D) A la Dirección General de Gestión Migratoria.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G12 · dificultad alta. La opción indicada coincide con Real Decreto 501/2024/disposición transitoria segunda. Las demás alternativas alteran el órgano, el plazo, el requisito, el efecto o la excepción aplicable.</w:t>
      </w:r>
    </w:p>
    <w:p>
      <w:pPr>
        <w:pStyle w:val="Question"/>
        <w:keepNext/>
      </w:pPr>
      <w:r>
        <w:rPr>
          <w:rFonts w:ascii="Arial" w:hAnsi="Arial" w:cs="Arial"/>
          <w:sz w:val="22"/>
        </w:rPr>
        <w:t>6. A efectos de aplicar correctamente la regla examinada, el Ordenador General de Pagos de la Seguridad Social es:</w:t>
      </w:r>
    </w:p>
    <w:p>
      <w:pPr>
        <w:keepNext/>
        <w:keepLines/>
        <w:spacing w:after="40"/>
        <w:ind w:left="369" w:hanging="198"/>
      </w:pPr>
      <w:r>
        <w:rPr>
          <w:rFonts w:ascii="Arial" w:hAnsi="Arial" w:cs="Arial"/>
          <w:b w:val="0"/>
          <w:sz w:val="21"/>
        </w:rPr>
        <w:t>A) El Director General del INSS.</w:t>
      </w:r>
    </w:p>
    <w:p>
      <w:pPr>
        <w:keepNext/>
        <w:keepLines/>
        <w:spacing w:after="40"/>
        <w:ind w:left="369" w:hanging="198"/>
      </w:pPr>
      <w:r>
        <w:rPr>
          <w:rFonts w:ascii="Arial" w:hAnsi="Arial" w:cs="Arial"/>
          <w:b w:val="0"/>
          <w:sz w:val="21"/>
        </w:rPr>
        <w:t>B) El Interventor General de la Administración del Estado.</w:t>
      </w:r>
    </w:p>
    <w:p>
      <w:pPr>
        <w:keepNext/>
        <w:keepLines/>
        <w:spacing w:after="40"/>
        <w:ind w:left="369" w:hanging="198"/>
      </w:pPr>
      <w:r>
        <w:rPr>
          <w:rFonts w:ascii="Arial" w:hAnsi="Arial" w:cs="Arial"/>
          <w:b/>
          <w:sz w:val="21"/>
        </w:rPr>
        <w:t>C) El Director General de la TGSS, como Tesorero General.</w:t>
      </w:r>
    </w:p>
    <w:p>
      <w:pPr>
        <w:keepNext/>
        <w:keepLines/>
        <w:spacing w:after="40"/>
        <w:ind w:left="369" w:hanging="198"/>
      </w:pPr>
      <w:r>
        <w:rPr>
          <w:rFonts w:ascii="Arial" w:hAnsi="Arial" w:cs="Arial"/>
          <w:b w:val="0"/>
          <w:sz w:val="21"/>
        </w:rPr>
        <w:t>D) El presidente de la Comisión de Seguimiento.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La opción indicada coincide con Real Decreto 696/2018, artículo 7. Las demás alternativas alteran el órgano, el plazo, el requisito, el efecto o la excepción aplicable.</w:t>
      </w:r>
    </w:p>
    <w:p>
      <w:pPr>
        <w:pStyle w:val="Question"/>
        <w:keepNext/>
      </w:pPr>
      <w:r>
        <w:rPr>
          <w:rFonts w:ascii="Arial" w:hAnsi="Arial" w:cs="Arial"/>
          <w:sz w:val="22"/>
        </w:rPr>
        <w:t>7. A efectos de aplicar correctamente la regla examinada, la directiva obliga:</w:t>
      </w:r>
    </w:p>
    <w:p>
      <w:pPr>
        <w:keepNext/>
        <w:keepLines/>
        <w:spacing w:after="40"/>
        <w:ind w:left="369" w:hanging="198"/>
      </w:pPr>
      <w:r>
        <w:rPr>
          <w:rFonts w:ascii="Arial" w:hAnsi="Arial" w:cs="Arial"/>
          <w:b w:val="0"/>
          <w:sz w:val="21"/>
        </w:rPr>
        <w:t>A) A toda persona física de la Unión desde su publicación.</w:t>
      </w:r>
    </w:p>
    <w:p>
      <w:pPr>
        <w:keepNext/>
        <w:keepLines/>
        <w:spacing w:after="40"/>
        <w:ind w:left="369" w:hanging="198"/>
      </w:pPr>
      <w:r>
        <w:rPr>
          <w:rFonts w:ascii="Arial" w:hAnsi="Arial" w:cs="Arial"/>
          <w:b w:val="0"/>
          <w:sz w:val="21"/>
        </w:rPr>
        <w:t>B) En todos sus elementos y sin necesidad de transposición.</w:t>
      </w:r>
    </w:p>
    <w:p>
      <w:pPr>
        <w:keepNext/>
        <w:keepLines/>
        <w:spacing w:after="40"/>
        <w:ind w:left="369" w:hanging="198"/>
      </w:pPr>
      <w:r>
        <w:rPr>
          <w:rFonts w:ascii="Arial" w:hAnsi="Arial" w:cs="Arial"/>
          <w:b w:val="0"/>
          <w:sz w:val="21"/>
        </w:rPr>
        <w:t>C) Solo a las instituciones que la adoptan.</w:t>
      </w:r>
    </w:p>
    <w:p>
      <w:pPr>
        <w:keepNext/>
        <w:keepLines/>
        <w:spacing w:after="40"/>
        <w:ind w:left="369" w:hanging="198"/>
      </w:pPr>
      <w:r>
        <w:rPr>
          <w:rFonts w:ascii="Arial" w:hAnsi="Arial" w:cs="Arial"/>
          <w:b/>
          <w:sz w:val="21"/>
        </w:rPr>
        <w:t>D) Al Estado miembro destinatario en cuanto al resultado, dejando la elección de la forma y de los medios.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básica. La opción indicada coincide con TFUE/artículo 288. Las demás alternativas alteran el órgano, el plazo, el requisito, el efecto o la excepción aplicable.</w:t>
      </w:r>
    </w:p>
    <w:p>
      <w:pPr>
        <w:pStyle w:val="Question"/>
        <w:keepNext/>
      </w:pPr>
      <w:r>
        <w:rPr>
          <w:rFonts w:ascii="Arial" w:hAnsi="Arial" w:cs="Arial"/>
          <w:sz w:val="22"/>
        </w:rPr>
        <w:t>8. A efectos de aplicar correctamente la regla examinada, ¿Qué procedimiento de reforma se aplica si se pretende modificar el título II de la Constitución?</w:t>
      </w:r>
    </w:p>
    <w:p>
      <w:pPr>
        <w:keepNext/>
        <w:keepLines/>
        <w:spacing w:after="40"/>
        <w:ind w:left="369" w:hanging="198"/>
      </w:pPr>
      <w:r>
        <w:rPr>
          <w:rFonts w:ascii="Arial" w:hAnsi="Arial" w:cs="Arial"/>
          <w:b w:val="0"/>
          <w:sz w:val="21"/>
        </w:rPr>
        <w:t>A) El procedimiento ordinario del artículo 167 sin referéndum obligatorio.</w:t>
      </w:r>
    </w:p>
    <w:p>
      <w:pPr>
        <w:keepNext/>
        <w:keepLines/>
        <w:spacing w:after="40"/>
        <w:ind w:left="369" w:hanging="198"/>
      </w:pPr>
      <w:r>
        <w:rPr>
          <w:rFonts w:ascii="Arial" w:hAnsi="Arial" w:cs="Arial"/>
          <w:b/>
          <w:sz w:val="21"/>
        </w:rPr>
        <w:t>B) El procedimiento agravado del artículo 168, con disolución, nuevas Cámaras y referéndum.</w:t>
      </w:r>
    </w:p>
    <w:p>
      <w:pPr>
        <w:keepNext/>
        <w:keepLines/>
        <w:spacing w:after="40"/>
        <w:ind w:left="369" w:hanging="198"/>
      </w:pPr>
      <w:r>
        <w:rPr>
          <w:rFonts w:ascii="Arial" w:hAnsi="Arial" w:cs="Arial"/>
          <w:b w:val="0"/>
          <w:sz w:val="21"/>
        </w:rPr>
        <w:t>C) Una ley orgánica aprobada por mayoría absoluta del Congreso.</w:t>
      </w:r>
    </w:p>
    <w:p>
      <w:pPr>
        <w:keepNext/>
        <w:keepLines/>
        <w:spacing w:after="40"/>
        <w:ind w:left="369" w:hanging="198"/>
      </w:pPr>
      <w:r>
        <w:rPr>
          <w:rFonts w:ascii="Arial" w:hAnsi="Arial" w:cs="Arial"/>
          <w:b w:val="0"/>
          <w:sz w:val="21"/>
        </w:rPr>
        <w:t>D) Una reforma por tres quintos de las Cortes reunidas conjuntamente.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alta. La opción indicada coincide con Constitución Española, art. 168. Las demás alternativas alteran el órgano, el plazo, el requisito, el efecto o la excepción aplicable.</w:t>
      </w:r>
    </w:p>
    <w:p>
      <w:pPr>
        <w:pStyle w:val="Question"/>
        <w:keepNext/>
      </w:pPr>
      <w:r>
        <w:rPr>
          <w:rFonts w:ascii="Arial" w:hAnsi="Arial" w:cs="Arial"/>
          <w:sz w:val="22"/>
        </w:rPr>
        <w:t>9. Conforme al ordenamiento vigente a la fecha de corte, el Tribunal de Justicia está compuesto actualmente por:</w:t>
      </w:r>
    </w:p>
    <w:p>
      <w:pPr>
        <w:keepNext/>
        <w:keepLines/>
        <w:spacing w:after="40"/>
        <w:ind w:left="369" w:hanging="198"/>
      </w:pPr>
      <w:r>
        <w:rPr>
          <w:rFonts w:ascii="Arial" w:hAnsi="Arial" w:cs="Arial"/>
          <w:b w:val="0"/>
          <w:sz w:val="21"/>
        </w:rPr>
        <w:t>A) 54 jueces y 8 abogados generales.</w:t>
      </w:r>
    </w:p>
    <w:p>
      <w:pPr>
        <w:keepNext/>
        <w:keepLines/>
        <w:spacing w:after="40"/>
        <w:ind w:left="369" w:hanging="198"/>
      </w:pPr>
      <w:r>
        <w:rPr>
          <w:rFonts w:ascii="Arial" w:hAnsi="Arial" w:cs="Arial"/>
          <w:b w:val="0"/>
          <w:sz w:val="21"/>
        </w:rPr>
        <w:t>B) 27 jueces sin abogados generales.</w:t>
      </w:r>
    </w:p>
    <w:p>
      <w:pPr>
        <w:keepNext/>
        <w:keepLines/>
        <w:spacing w:after="40"/>
        <w:ind w:left="369" w:hanging="198"/>
      </w:pPr>
      <w:r>
        <w:rPr>
          <w:rFonts w:ascii="Arial" w:hAnsi="Arial" w:cs="Arial"/>
          <w:b w:val="0"/>
          <w:sz w:val="21"/>
        </w:rPr>
        <w:t>C) 27 jueces y 27 abogados generales.</w:t>
      </w:r>
    </w:p>
    <w:p>
      <w:pPr>
        <w:keepNext/>
        <w:keepLines/>
        <w:spacing w:after="40"/>
        <w:ind w:left="369" w:hanging="198"/>
      </w:pPr>
      <w:r>
        <w:rPr>
          <w:rFonts w:ascii="Arial" w:hAnsi="Arial" w:cs="Arial"/>
          <w:b/>
          <w:sz w:val="21"/>
        </w:rPr>
        <w:t>D) 27 jueces y 11 abogados generales.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G10 · dificultad media. La opción indicada coincide con TUE/artículo 19.2, TFUE/artículo 252 y Decisión 2013/336/UE. Las demás alternativas alteran el órgano, el plazo, el requisito, el efecto o la excepción aplicable.</w:t>
      </w:r>
    </w:p>
    <w:p>
      <w:pPr>
        <w:pStyle w:val="Question"/>
        <w:keepNext/>
      </w:pPr>
      <w:r>
        <w:rPr>
          <w:rFonts w:ascii="Arial" w:hAnsi="Arial" w:cs="Arial"/>
          <w:sz w:val="22"/>
        </w:rPr>
        <w:t>10. A efectos de aplicar correctamente la regla examinada, como regla general, los actos que incurran en cualquier infracción del ordenamiento, incluso desviación de poder, son:</w:t>
      </w:r>
    </w:p>
    <w:p>
      <w:pPr>
        <w:keepNext/>
        <w:keepLines/>
        <w:spacing w:after="40"/>
        <w:ind w:left="369" w:hanging="198"/>
      </w:pPr>
      <w:r>
        <w:rPr>
          <w:rFonts w:ascii="Arial" w:hAnsi="Arial" w:cs="Arial"/>
          <w:b w:val="0"/>
          <w:sz w:val="21"/>
        </w:rPr>
        <w:t>A) Inexistentes.</w:t>
      </w:r>
    </w:p>
    <w:p>
      <w:pPr>
        <w:keepNext/>
        <w:keepLines/>
        <w:spacing w:after="40"/>
        <w:ind w:left="369" w:hanging="198"/>
      </w:pPr>
      <w:r>
        <w:rPr>
          <w:rFonts w:ascii="Arial" w:hAnsi="Arial" w:cs="Arial"/>
          <w:b w:val="0"/>
          <w:sz w:val="21"/>
        </w:rPr>
        <w:t>B) Siempre nulos de pleno derecho.</w:t>
      </w:r>
    </w:p>
    <w:p>
      <w:pPr>
        <w:keepNext/>
        <w:keepLines/>
        <w:spacing w:after="40"/>
        <w:ind w:left="369" w:hanging="198"/>
      </w:pPr>
      <w:r>
        <w:rPr>
          <w:rFonts w:ascii="Arial" w:hAnsi="Arial" w:cs="Arial"/>
          <w:b w:val="0"/>
          <w:sz w:val="21"/>
        </w:rPr>
        <w:t>C) Irrecurribles si son favorables.</w:t>
      </w:r>
    </w:p>
    <w:p>
      <w:pPr>
        <w:keepNext/>
        <w:keepLines/>
        <w:spacing w:after="40"/>
        <w:ind w:left="369" w:hanging="198"/>
      </w:pPr>
      <w:r>
        <w:rPr>
          <w:rFonts w:ascii="Arial" w:hAnsi="Arial" w:cs="Arial"/>
          <w:b/>
          <w:sz w:val="21"/>
        </w:rPr>
        <w:t>D) Anulables, salvo que concurra una causa de nulidad.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G15 · dificultad media. La opción indicada coincide con Ley 39/2015/artículo 48.1. Las demás alternativas alteran el órgano, el plazo, el requisito, el efecto o la excepción aplicable.</w:t>
      </w:r>
    </w:p>
    <w:p>
      <w:pPr>
        <w:pStyle w:val="Question"/>
        <w:keepNext/>
      </w:pPr>
      <w:r>
        <w:rPr>
          <w:rFonts w:ascii="Arial" w:hAnsi="Arial" w:cs="Arial"/>
          <w:sz w:val="22"/>
        </w:rPr>
        <w:t>11. Conforme al ordenamiento vigente a la fecha de corte, tras la primera comparecencia de rectificación registral:</w:t>
      </w:r>
    </w:p>
    <w:p>
      <w:pPr>
        <w:keepNext/>
        <w:keepLines/>
        <w:spacing w:after="40"/>
        <w:ind w:left="369" w:hanging="198"/>
      </w:pPr>
      <w:r>
        <w:rPr>
          <w:rFonts w:ascii="Arial" w:hAnsi="Arial" w:cs="Arial"/>
          <w:b w:val="0"/>
          <w:sz w:val="21"/>
        </w:rPr>
        <w:t>A) La resolución se dicta inmediatamente y sin ratificación.</w:t>
      </w:r>
    </w:p>
    <w:p>
      <w:pPr>
        <w:keepNext/>
        <w:keepLines/>
        <w:spacing w:after="40"/>
        <w:ind w:left="369" w:hanging="198"/>
      </w:pPr>
      <w:r>
        <w:rPr>
          <w:rFonts w:ascii="Arial" w:hAnsi="Arial" w:cs="Arial"/>
          <w:b w:val="0"/>
          <w:sz w:val="21"/>
        </w:rPr>
        <w:t>B) Deben pasar seis meses para la segunda comparecencia.</w:t>
      </w:r>
    </w:p>
    <w:p>
      <w:pPr>
        <w:keepNext/>
        <w:keepLines/>
        <w:spacing w:after="40"/>
        <w:ind w:left="369" w:hanging="198"/>
      </w:pPr>
      <w:r>
        <w:rPr>
          <w:rFonts w:ascii="Arial" w:hAnsi="Arial" w:cs="Arial"/>
          <w:b/>
          <w:sz w:val="21"/>
        </w:rPr>
        <w:t>C) La segunda comparecencia se realiza dentro de un máximo de tres meses y la resolución en un máximo de un mes desde ella.</w:t>
      </w:r>
    </w:p>
    <w:p>
      <w:pPr>
        <w:keepNext/>
        <w:keepLines/>
        <w:spacing w:after="40"/>
        <w:ind w:left="369" w:hanging="198"/>
      </w:pPr>
      <w:r>
        <w:rPr>
          <w:rFonts w:ascii="Arial" w:hAnsi="Arial" w:cs="Arial"/>
          <w:b w:val="0"/>
          <w:sz w:val="21"/>
        </w:rPr>
        <w:t>D) La ratificación carece de plazo y la resolución dispone de tres meses.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G21 · dificultad alta. La opción indicada coincide con Ley 4/2023/artículos 44 y 45. Las demás alternativas alteran el órgano, el plazo, el requisito, el efecto o la excepción aplicable.</w:t>
      </w:r>
    </w:p>
    <w:p>
      <w:pPr>
        <w:pStyle w:val="Question"/>
        <w:keepNext/>
      </w:pPr>
      <w:r>
        <w:rPr>
          <w:rFonts w:ascii="Arial" w:hAnsi="Arial" w:cs="Arial"/>
          <w:sz w:val="22"/>
        </w:rPr>
        <w:t>12. A efectos de aplicar correctamente la regla examinada, las delegaciones legislativas otorgadas a un Gobierno que queda en funciones por elecciones generales:</w:t>
      </w:r>
    </w:p>
    <w:p>
      <w:pPr>
        <w:keepNext/>
        <w:keepLines/>
        <w:spacing w:after="40"/>
        <w:ind w:left="369" w:hanging="198"/>
      </w:pPr>
      <w:r>
        <w:rPr>
          <w:rFonts w:ascii="Arial" w:hAnsi="Arial" w:cs="Arial"/>
          <w:b/>
          <w:sz w:val="21"/>
        </w:rPr>
        <w:t>A) Quedan en suspenso mientras dure esa situación.</w:t>
      </w:r>
    </w:p>
    <w:p>
      <w:pPr>
        <w:keepNext/>
        <w:keepLines/>
        <w:spacing w:after="40"/>
        <w:ind w:left="369" w:hanging="198"/>
      </w:pPr>
      <w:r>
        <w:rPr>
          <w:rFonts w:ascii="Arial" w:hAnsi="Arial" w:cs="Arial"/>
          <w:b w:val="0"/>
          <w:sz w:val="21"/>
        </w:rPr>
        <w:t>B) Caducan definitivamente.</w:t>
      </w:r>
    </w:p>
    <w:p>
      <w:pPr>
        <w:keepNext/>
        <w:keepLines/>
        <w:spacing w:after="40"/>
        <w:ind w:left="369" w:hanging="198"/>
      </w:pPr>
      <w:r>
        <w:rPr>
          <w:rFonts w:ascii="Arial" w:hAnsi="Arial" w:cs="Arial"/>
          <w:b w:val="0"/>
          <w:sz w:val="21"/>
        </w:rPr>
        <w:t>C) Se transfieren al Congreso.</w:t>
      </w:r>
    </w:p>
    <w:p>
      <w:pPr>
        <w:keepNext/>
        <w:keepLines/>
        <w:spacing w:after="40"/>
        <w:ind w:left="369" w:hanging="198"/>
      </w:pPr>
      <w:r>
        <w:rPr>
          <w:rFonts w:ascii="Arial" w:hAnsi="Arial" w:cs="Arial"/>
          <w:b w:val="0"/>
          <w:sz w:val="21"/>
        </w:rPr>
        <w:t>D) Continúan sin limitación.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G14 · dificultad media. La opción indicada coincide con Ley 50/1997/artículo 21.6. Las demás alternativas alteran el órgano, el plazo, el requisito, el efecto o la excepción aplicable.</w:t>
      </w:r>
    </w:p>
    <w:p>
      <w:pPr>
        <w:pStyle w:val="Question"/>
        <w:keepNext/>
      </w:pPr>
      <w:r>
        <w:rPr>
          <w:rFonts w:ascii="Arial" w:hAnsi="Arial" w:cs="Arial"/>
          <w:sz w:val="22"/>
        </w:rPr>
        <w:t>13. Conforme al ordenamiento vigente a la fecha de corte, ¿Cuál es un recurso de las Comunidades Autónomas previsto en el artículo 157?</w:t>
      </w:r>
    </w:p>
    <w:p>
      <w:pPr>
        <w:keepNext/>
        <w:keepLines/>
        <w:spacing w:after="40"/>
        <w:ind w:left="369" w:hanging="198"/>
      </w:pPr>
      <w:r>
        <w:rPr>
          <w:rFonts w:ascii="Arial" w:hAnsi="Arial" w:cs="Arial"/>
          <w:b w:val="0"/>
          <w:sz w:val="21"/>
        </w:rPr>
        <w:t>A) El producto de aranceles aduaneros propios.</w:t>
      </w:r>
    </w:p>
    <w:p>
      <w:pPr>
        <w:keepNext/>
        <w:keepLines/>
        <w:spacing w:after="40"/>
        <w:ind w:left="369" w:hanging="198"/>
      </w:pPr>
      <w:r>
        <w:rPr>
          <w:rFonts w:ascii="Arial" w:hAnsi="Arial" w:cs="Arial"/>
          <w:b w:val="0"/>
          <w:sz w:val="21"/>
        </w:rPr>
        <w:t>B) Las multas impuestas por el Tribunal Constitucional.</w:t>
      </w:r>
    </w:p>
    <w:p>
      <w:pPr>
        <w:keepNext/>
        <w:keepLines/>
        <w:spacing w:after="40"/>
        <w:ind w:left="369" w:hanging="198"/>
      </w:pPr>
      <w:r>
        <w:rPr>
          <w:rFonts w:ascii="Arial" w:hAnsi="Arial" w:cs="Arial"/>
          <w:b/>
          <w:sz w:val="21"/>
        </w:rPr>
        <w:t>C) Los impuestos cedidos total o parcialmente por el Estado.</w:t>
      </w:r>
    </w:p>
    <w:p>
      <w:pPr>
        <w:keepNext/>
        <w:keepLines/>
        <w:spacing w:after="40"/>
        <w:ind w:left="369" w:hanging="198"/>
      </w:pPr>
      <w:r>
        <w:rPr>
          <w:rFonts w:ascii="Arial" w:hAnsi="Arial" w:cs="Arial"/>
          <w:b w:val="0"/>
          <w:sz w:val="21"/>
        </w:rPr>
        <w:t>D) Una participación directa en los recursos propios de la Unión.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media. La opción indicada coincide con Constitución Española/artículo 157.1.a. Las demás alternativas alteran el órgano, el plazo, el requisito, el efecto o la excepción aplicable.</w:t>
      </w:r>
    </w:p>
    <w:p>
      <w:pPr>
        <w:pStyle w:val="Question"/>
        <w:keepNext/>
      </w:pPr>
      <w:r>
        <w:rPr>
          <w:rFonts w:ascii="Arial" w:hAnsi="Arial" w:cs="Arial"/>
          <w:sz w:val="22"/>
        </w:rPr>
        <w:t>14. De acuerdo con la regulación aplicable, los activos del Fondo de Reserva se materializan:</w:t>
      </w:r>
    </w:p>
    <w:p>
      <w:pPr>
        <w:keepNext/>
        <w:keepLines/>
        <w:spacing w:after="40"/>
        <w:ind w:left="369" w:hanging="198"/>
      </w:pPr>
      <w:r>
        <w:rPr>
          <w:rFonts w:ascii="Arial" w:hAnsi="Arial" w:cs="Arial"/>
          <w:b w:val="0"/>
          <w:sz w:val="21"/>
        </w:rPr>
        <w:t>A) Exclusivamente en acciones de sociedades privadas.</w:t>
      </w:r>
    </w:p>
    <w:p>
      <w:pPr>
        <w:keepNext/>
        <w:keepLines/>
        <w:spacing w:after="40"/>
        <w:ind w:left="369" w:hanging="198"/>
      </w:pPr>
      <w:r>
        <w:rPr>
          <w:rFonts w:ascii="Arial" w:hAnsi="Arial" w:cs="Arial"/>
          <w:b w:val="0"/>
          <w:sz w:val="21"/>
        </w:rPr>
        <w:t>B) Solo en inmuebles adscritos al INSS.</w:t>
      </w:r>
    </w:p>
    <w:p>
      <w:pPr>
        <w:keepNext/>
        <w:keepLines/>
        <w:spacing w:after="40"/>
        <w:ind w:left="369" w:hanging="198"/>
      </w:pPr>
      <w:r>
        <w:rPr>
          <w:rFonts w:ascii="Arial" w:hAnsi="Arial" w:cs="Arial"/>
          <w:b/>
          <w:sz w:val="21"/>
        </w:rPr>
        <w:t>C) En títulos emitidos por personas jurídicas públicas, conforme a los criterios legales y reglamentarios.</w:t>
      </w:r>
    </w:p>
    <w:p>
      <w:pPr>
        <w:keepNext/>
        <w:keepLines/>
        <w:spacing w:after="40"/>
        <w:ind w:left="369" w:hanging="198"/>
      </w:pPr>
      <w:r>
        <w:rPr>
          <w:rFonts w:ascii="Arial" w:hAnsi="Arial" w:cs="Arial"/>
          <w:b w:val="0"/>
          <w:sz w:val="21"/>
        </w:rPr>
        <w:t>D) En préstamos personales a pensionistas.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media. La opción indicada coincide con TRLGSS, artículo 120. Las demás alternativas alteran el órgano, el plazo, el requisito, el efecto o la excepción aplicable.</w:t>
      </w:r>
    </w:p>
    <w:p>
      <w:pPr>
        <w:pStyle w:val="Question"/>
        <w:keepNext/>
      </w:pPr>
      <w:r>
        <w:rPr>
          <w:rFonts w:ascii="Arial" w:hAnsi="Arial" w:cs="Arial"/>
          <w:sz w:val="22"/>
        </w:rPr>
        <w:t>15. Conforme al ordenamiento vigente a la fecha de corte, las reclamaciones económico-administrativas se ajustarán:</w:t>
      </w:r>
    </w:p>
    <w:p>
      <w:pPr>
        <w:keepNext/>
        <w:keepLines/>
        <w:spacing w:after="40"/>
        <w:ind w:left="369" w:hanging="198"/>
      </w:pPr>
      <w:r>
        <w:rPr>
          <w:rFonts w:ascii="Arial" w:hAnsi="Arial" w:cs="Arial"/>
          <w:b w:val="0"/>
          <w:sz w:val="21"/>
        </w:rPr>
        <w:t>A) Exclusivamente a las reglas del recurso de alzada.</w:t>
      </w:r>
    </w:p>
    <w:p>
      <w:pPr>
        <w:keepNext/>
        <w:keepLines/>
        <w:spacing w:after="40"/>
        <w:ind w:left="369" w:hanging="198"/>
      </w:pPr>
      <w:r>
        <w:rPr>
          <w:rFonts w:ascii="Arial" w:hAnsi="Arial" w:cs="Arial"/>
          <w:b w:val="0"/>
          <w:sz w:val="21"/>
        </w:rPr>
        <w:t>B) A las reglas de la reposición previstas en la LPAC.</w:t>
      </w:r>
    </w:p>
    <w:p>
      <w:pPr>
        <w:keepNext/>
        <w:keepLines/>
        <w:spacing w:after="40"/>
        <w:ind w:left="369" w:hanging="198"/>
      </w:pPr>
      <w:r>
        <w:rPr>
          <w:rFonts w:ascii="Arial" w:hAnsi="Arial" w:cs="Arial"/>
          <w:b/>
          <w:sz w:val="21"/>
        </w:rPr>
        <w:t>C) A los procedimientos establecidos por su legislación específica.</w:t>
      </w:r>
    </w:p>
    <w:p>
      <w:pPr>
        <w:keepNext/>
        <w:keepLines/>
        <w:spacing w:after="40"/>
        <w:ind w:left="369" w:hanging="198"/>
      </w:pPr>
      <w:r>
        <w:rPr>
          <w:rFonts w:ascii="Arial" w:hAnsi="Arial" w:cs="Arial"/>
          <w:b w:val="0"/>
          <w:sz w:val="21"/>
        </w:rPr>
        <w:t>D) A la LJCA, sin fase administrativa.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básica. La opción indicada coincide con Ley 39/2015/artículo 112.4. Las demás alternativas alteran el órgano, el plazo, el requisito, el efecto o la excepción aplicable.</w:t>
      </w:r>
    </w:p>
    <w:p>
      <w:pPr>
        <w:pStyle w:val="Question"/>
        <w:keepNext/>
      </w:pPr>
      <w:r>
        <w:rPr>
          <w:rFonts w:ascii="Arial" w:hAnsi="Arial" w:cs="Arial"/>
          <w:sz w:val="22"/>
        </w:rPr>
        <w:t>16. De acuerdo con la regulación aplicable, un ajuste razonable es:</w:t>
      </w:r>
    </w:p>
    <w:p>
      <w:pPr>
        <w:keepNext/>
        <w:keepLines/>
        <w:spacing w:after="40"/>
        <w:ind w:left="369" w:hanging="198"/>
      </w:pPr>
      <w:r>
        <w:rPr>
          <w:rFonts w:ascii="Arial" w:hAnsi="Arial" w:cs="Arial"/>
          <w:b w:val="0"/>
          <w:sz w:val="21"/>
        </w:rPr>
        <w:t>A) Una adaptación general que siempre debe existir desde el diseño inicial.</w:t>
      </w:r>
    </w:p>
    <w:p>
      <w:pPr>
        <w:keepNext/>
        <w:keepLines/>
        <w:spacing w:after="40"/>
        <w:ind w:left="369" w:hanging="198"/>
      </w:pPr>
      <w:r>
        <w:rPr>
          <w:rFonts w:ascii="Arial" w:hAnsi="Arial" w:cs="Arial"/>
          <w:b/>
          <w:sz w:val="21"/>
        </w:rPr>
        <w:t>B) Una modificación necesaria y adecuada para un caso particular que no imponga carga desproporcionada o indebida.</w:t>
      </w:r>
    </w:p>
    <w:p>
      <w:pPr>
        <w:keepNext/>
        <w:keepLines/>
        <w:spacing w:after="40"/>
        <w:ind w:left="369" w:hanging="198"/>
      </w:pPr>
      <w:r>
        <w:rPr>
          <w:rFonts w:ascii="Arial" w:hAnsi="Arial" w:cs="Arial"/>
          <w:b w:val="0"/>
          <w:sz w:val="21"/>
        </w:rPr>
        <w:t>C) Una ayuda voluntaria que puede rechazarse sin motivo.</w:t>
      </w:r>
    </w:p>
    <w:p>
      <w:pPr>
        <w:keepNext/>
        <w:keepLines/>
        <w:spacing w:after="40"/>
        <w:ind w:left="369" w:hanging="198"/>
      </w:pPr>
      <w:r>
        <w:rPr>
          <w:rFonts w:ascii="Arial" w:hAnsi="Arial" w:cs="Arial"/>
          <w:b w:val="0"/>
          <w:sz w:val="21"/>
        </w:rPr>
        <w:t>D) Cualquier medida, aunque imponga carga indebida.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G20 · dificultad media. La opción indicada coincide con Real Decreto Legislativo 1/2013/artículo 2.m. Las demás alternativas alteran el órgano, el plazo, el requisito, el efecto o la excepción aplicable.</w:t>
      </w:r>
    </w:p>
    <w:p>
      <w:pPr>
        <w:pStyle w:val="Question"/>
        <w:keepNext/>
      </w:pPr>
      <w:r>
        <w:rPr>
          <w:rFonts w:ascii="Arial" w:hAnsi="Arial" w:cs="Arial"/>
          <w:sz w:val="22"/>
        </w:rPr>
        <w:t>17. Sin añadir circunstancias distintas de las indicadas, existe pluriempleo cuando una persona:</w:t>
      </w:r>
    </w:p>
    <w:p>
      <w:pPr>
        <w:keepNext/>
        <w:keepLines/>
        <w:spacing w:after="40"/>
        <w:ind w:left="369" w:hanging="198"/>
      </w:pPr>
      <w:r>
        <w:rPr>
          <w:rFonts w:ascii="Arial" w:hAnsi="Arial" w:cs="Arial"/>
          <w:b w:val="0"/>
          <w:sz w:val="21"/>
        </w:rPr>
        <w:t>A) Trabaja en dos actividades incluidas en regímenes distintos.</w:t>
      </w:r>
    </w:p>
    <w:p>
      <w:pPr>
        <w:keepNext/>
        <w:keepLines/>
        <w:spacing w:after="40"/>
        <w:ind w:left="369" w:hanging="198"/>
      </w:pPr>
      <w:r>
        <w:rPr>
          <w:rFonts w:ascii="Arial" w:hAnsi="Arial" w:cs="Arial"/>
          <w:b/>
          <w:sz w:val="21"/>
        </w:rPr>
        <w:t>B) Trabaja para dos o más empresas con inclusión en el mismo régimen.</w:t>
      </w:r>
    </w:p>
    <w:p>
      <w:pPr>
        <w:keepNext/>
        <w:keepLines/>
        <w:spacing w:after="40"/>
        <w:ind w:left="369" w:hanging="198"/>
      </w:pPr>
      <w:r>
        <w:rPr>
          <w:rFonts w:ascii="Arial" w:hAnsi="Arial" w:cs="Arial"/>
          <w:b w:val="0"/>
          <w:sz w:val="21"/>
        </w:rPr>
        <w:t>C) Cotiza simultáneamente por convenio especial y RETA.</w:t>
      </w:r>
    </w:p>
    <w:p>
      <w:pPr>
        <w:keepNext/>
        <w:keepLines/>
        <w:spacing w:after="40"/>
        <w:ind w:left="369" w:hanging="198"/>
      </w:pPr>
      <w:r>
        <w:rPr>
          <w:rFonts w:ascii="Arial" w:hAnsi="Arial" w:cs="Arial"/>
          <w:b w:val="0"/>
          <w:sz w:val="21"/>
        </w:rPr>
        <w:t>D) Tiene dos categorías en una sola empresa.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media. La opción indicada coincide con Real Decreto 2064/1995/artículo 9. Las demás alternativas alteran el órgano, el plazo, el requisito, el efecto o la excepción aplicable.</w:t>
      </w:r>
    </w:p>
    <w:p>
      <w:pPr>
        <w:pStyle w:val="Question"/>
        <w:keepNext/>
      </w:pPr>
      <w:r>
        <w:rPr>
          <w:rFonts w:ascii="Arial" w:hAnsi="Arial" w:cs="Arial"/>
          <w:sz w:val="22"/>
        </w:rPr>
        <w:t>18. Conforme al ordenamiento vigente a la fecha de corte, una persona cumple 65 años en 2026 y acredita 38 años y 2 meses. Sin coeficientes reductores de edad, su edad ordinaria es:</w:t>
      </w:r>
    </w:p>
    <w:p>
      <w:pPr>
        <w:keepNext/>
        <w:keepLines/>
        <w:spacing w:after="40"/>
        <w:ind w:left="369" w:hanging="198"/>
      </w:pPr>
      <w:r>
        <w:rPr>
          <w:rFonts w:ascii="Arial" w:hAnsi="Arial" w:cs="Arial"/>
          <w:b w:val="0"/>
          <w:sz w:val="21"/>
        </w:rPr>
        <w:t>A) 65 años, porque basta haber cotizado 38 años.</w:t>
      </w:r>
    </w:p>
    <w:p>
      <w:pPr>
        <w:keepNext/>
        <w:keepLines/>
        <w:spacing w:after="40"/>
        <w:ind w:left="369" w:hanging="198"/>
      </w:pPr>
      <w:r>
        <w:rPr>
          <w:rFonts w:ascii="Arial" w:hAnsi="Arial" w:cs="Arial"/>
          <w:b w:val="0"/>
          <w:sz w:val="21"/>
        </w:rPr>
        <w:t>B) 65 años y 2 meses.</w:t>
      </w:r>
    </w:p>
    <w:p>
      <w:pPr>
        <w:keepNext/>
        <w:keepLines/>
        <w:spacing w:after="40"/>
        <w:ind w:left="369" w:hanging="198"/>
      </w:pPr>
      <w:r>
        <w:rPr>
          <w:rFonts w:ascii="Arial" w:hAnsi="Arial" w:cs="Arial"/>
          <w:b/>
          <w:sz w:val="21"/>
        </w:rPr>
        <w:t>C) 66 años y 10 meses, porque no alcanza por un mes el umbral de 38 años y 3 meses.</w:t>
      </w:r>
    </w:p>
    <w:p>
      <w:pPr>
        <w:keepNext/>
        <w:keepLines/>
        <w:spacing w:after="40"/>
        <w:ind w:left="369" w:hanging="198"/>
      </w:pPr>
      <w:r>
        <w:rPr>
          <w:rFonts w:ascii="Arial" w:hAnsi="Arial" w:cs="Arial"/>
          <w:b w:val="0"/>
          <w:sz w:val="21"/>
        </w:rPr>
        <w:t>D) 67 años en todo caso.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alta. La opción indicada coincide con TRLGSS, disposición transitoria séptima. Las demás alternativas alteran el órgano, el plazo, el requisito, el efecto o la excepción aplicable.</w:t>
      </w:r>
    </w:p>
    <w:p>
      <w:pPr>
        <w:pStyle w:val="Question"/>
        <w:keepNext/>
      </w:pPr>
      <w:r>
        <w:rPr>
          <w:rFonts w:ascii="Arial" w:hAnsi="Arial" w:cs="Arial"/>
          <w:sz w:val="22"/>
        </w:rPr>
        <w:t>19. En una comprobación jurídica del expediente, como regla general, un alta solicitada después de iniciada la prestación de servicios produce efectos administrativos:</w:t>
      </w:r>
    </w:p>
    <w:p>
      <w:pPr>
        <w:keepNext/>
        <w:keepLines/>
        <w:spacing w:after="40"/>
        <w:ind w:left="369" w:hanging="198"/>
      </w:pPr>
      <w:r>
        <w:rPr>
          <w:rFonts w:ascii="Arial" w:hAnsi="Arial" w:cs="Arial"/>
          <w:b/>
          <w:sz w:val="21"/>
        </w:rPr>
        <w:t>A) Desde el día en que se formula la solicitud, sin perjuicio de cotizar desde el comienzo real y de las demás responsabilidades.</w:t>
      </w:r>
    </w:p>
    <w:p>
      <w:pPr>
        <w:keepNext/>
        <w:keepLines/>
        <w:spacing w:after="40"/>
        <w:ind w:left="369" w:hanging="198"/>
      </w:pPr>
      <w:r>
        <w:rPr>
          <w:rFonts w:ascii="Arial" w:hAnsi="Arial" w:cs="Arial"/>
          <w:b w:val="0"/>
          <w:sz w:val="21"/>
        </w:rPr>
        <w:t>B) Siempre desde sesenta días antes de la solicitud.</w:t>
      </w:r>
    </w:p>
    <w:p>
      <w:pPr>
        <w:keepNext/>
        <w:keepLines/>
        <w:spacing w:after="40"/>
        <w:ind w:left="369" w:hanging="198"/>
      </w:pPr>
      <w:r>
        <w:rPr>
          <w:rFonts w:ascii="Arial" w:hAnsi="Arial" w:cs="Arial"/>
          <w:b w:val="0"/>
          <w:sz w:val="21"/>
        </w:rPr>
        <w:t>C) Desde el primer día del año en que comenzó el trabajo.</w:t>
      </w:r>
    </w:p>
    <w:p>
      <w:pPr>
        <w:keepNext/>
        <w:keepLines/>
        <w:spacing w:after="40"/>
        <w:ind w:left="369" w:hanging="198"/>
      </w:pPr>
      <w:r>
        <w:rPr>
          <w:rFonts w:ascii="Arial" w:hAnsi="Arial" w:cs="Arial"/>
          <w:b w:val="0"/>
          <w:sz w:val="21"/>
        </w:rPr>
        <w:t>D) Únicamente desde que termina el contrato.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S03 · dificultad media. La opción indicada coincide con RD 84/1996, artículo 35.1. Las demás alternativas alteran el órgano, el plazo, el requisito, el efecto o la excepción aplicable.</w:t>
      </w:r>
    </w:p>
    <w:p>
      <w:pPr>
        <w:pStyle w:val="Question"/>
        <w:keepNext/>
      </w:pPr>
      <w:r>
        <w:rPr>
          <w:rFonts w:ascii="Arial" w:hAnsi="Arial" w:cs="Arial"/>
          <w:sz w:val="22"/>
        </w:rPr>
        <w:t>20. A efectos de aplicar correctamente la regla examinada, puede revisarse por la vía del artículo 106.1:</w:t>
      </w:r>
    </w:p>
    <w:p>
      <w:pPr>
        <w:keepNext/>
        <w:keepLines/>
        <w:spacing w:after="40"/>
        <w:ind w:left="369" w:hanging="198"/>
      </w:pPr>
      <w:r>
        <w:rPr>
          <w:rFonts w:ascii="Arial" w:hAnsi="Arial" w:cs="Arial"/>
          <w:b w:val="0"/>
          <w:sz w:val="21"/>
        </w:rPr>
        <w:t>A) Cualquier acto anulable recurrido en plazo.</w:t>
      </w:r>
    </w:p>
    <w:p>
      <w:pPr>
        <w:keepNext/>
        <w:keepLines/>
        <w:spacing w:after="40"/>
        <w:ind w:left="369" w:hanging="198"/>
      </w:pPr>
      <w:r>
        <w:rPr>
          <w:rFonts w:ascii="Arial" w:hAnsi="Arial" w:cs="Arial"/>
          <w:b w:val="0"/>
          <w:sz w:val="21"/>
        </w:rPr>
        <w:t>B) Únicamente una disposición reglamentaria.</w:t>
      </w:r>
    </w:p>
    <w:p>
      <w:pPr>
        <w:keepNext/>
        <w:keepLines/>
        <w:spacing w:after="40"/>
        <w:ind w:left="369" w:hanging="198"/>
      </w:pPr>
      <w:r>
        <w:rPr>
          <w:rFonts w:ascii="Arial" w:hAnsi="Arial" w:cs="Arial"/>
          <w:b/>
          <w:sz w:val="21"/>
        </w:rPr>
        <w:t>C) Un acto que puso fin a la vía administrativa o no fue recurrido en plazo y está incurso en una causa del artículo 47.1.</w:t>
      </w:r>
    </w:p>
    <w:p>
      <w:pPr>
        <w:keepNext/>
        <w:keepLines/>
        <w:spacing w:after="40"/>
        <w:ind w:left="369" w:hanging="198"/>
      </w:pPr>
      <w:r>
        <w:rPr>
          <w:rFonts w:ascii="Arial" w:hAnsi="Arial" w:cs="Arial"/>
          <w:b w:val="0"/>
          <w:sz w:val="21"/>
        </w:rPr>
        <w:t>D) Todo acto desfavorable, aunque sea válido.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G15 · dificultad alta. La opción indicada coincide con Ley 39/2015/artículo 106.1. Las demás alternativas alteran el órgano, el plazo, el requisito, el efecto o la excepción aplicable.</w:t>
      </w:r>
    </w:p>
    <w:p>
      <w:pPr>
        <w:pStyle w:val="Question"/>
        <w:keepNext/>
      </w:pPr>
      <w:r>
        <w:rPr>
          <w:rFonts w:ascii="Arial" w:hAnsi="Arial" w:cs="Arial"/>
          <w:sz w:val="22"/>
        </w:rPr>
        <w:t>21. A efectos de aplicar correctamente la regla examinada, en municipios de menos de 1.000 habitantes, la Diputación debe garantizar:</w:t>
      </w:r>
    </w:p>
    <w:p>
      <w:pPr>
        <w:keepNext/>
        <w:keepLines/>
        <w:spacing w:after="40"/>
        <w:ind w:left="369" w:hanging="198"/>
      </w:pPr>
      <w:r>
        <w:rPr>
          <w:rFonts w:ascii="Arial" w:hAnsi="Arial" w:cs="Arial"/>
          <w:b/>
          <w:sz w:val="21"/>
        </w:rPr>
        <w:t>A) La prestación de los servicios de secretaría e intervención.</w:t>
      </w:r>
    </w:p>
    <w:p>
      <w:pPr>
        <w:keepNext/>
        <w:keepLines/>
        <w:spacing w:after="40"/>
        <w:ind w:left="369" w:hanging="198"/>
      </w:pPr>
      <w:r>
        <w:rPr>
          <w:rFonts w:ascii="Arial" w:hAnsi="Arial" w:cs="Arial"/>
          <w:b w:val="0"/>
          <w:sz w:val="21"/>
        </w:rPr>
        <w:t>B) Transporte colectivo urbano y policía local.</w:t>
      </w:r>
    </w:p>
    <w:p>
      <w:pPr>
        <w:keepNext/>
        <w:keepLines/>
        <w:spacing w:after="40"/>
        <w:ind w:left="369" w:hanging="198"/>
      </w:pPr>
      <w:r>
        <w:rPr>
          <w:rFonts w:ascii="Arial" w:hAnsi="Arial" w:cs="Arial"/>
          <w:b w:val="0"/>
          <w:sz w:val="21"/>
        </w:rPr>
        <w:t>C) La elección directa del diputado provincial.</w:t>
      </w:r>
    </w:p>
    <w:p>
      <w:pPr>
        <w:keepNext/>
        <w:keepLines/>
        <w:spacing w:after="40"/>
        <w:ind w:left="369" w:hanging="198"/>
      </w:pPr>
      <w:r>
        <w:rPr>
          <w:rFonts w:ascii="Arial" w:hAnsi="Arial" w:cs="Arial"/>
          <w:b w:val="0"/>
          <w:sz w:val="21"/>
        </w:rPr>
        <w:t>D) La creación de una Junta de Gobierno Local.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alta. La opción indicada coincide con Ley 7/1985/artículo 36.1.b. Las demás alternativas alteran el órgano, el plazo, el requisito, el efecto o la excepción aplicable.</w:t>
      </w:r>
    </w:p>
    <w:p>
      <w:pPr>
        <w:pStyle w:val="Question"/>
        <w:keepNext/>
      </w:pPr>
      <w:r>
        <w:rPr>
          <w:rFonts w:ascii="Arial" w:hAnsi="Arial" w:cs="Arial"/>
          <w:sz w:val="22"/>
        </w:rPr>
        <w:t>22. En una comprobación jurídica del expediente, la TGSS comprueba que una persona incluida en los periodos de inactividad agraria no alcanzó 30 jornadas reales en los últimos 365 días. La exclusión de oficio surtirá efectos:</w:t>
      </w:r>
    </w:p>
    <w:p>
      <w:pPr>
        <w:keepNext/>
        <w:keepLines/>
        <w:spacing w:after="40"/>
        <w:ind w:left="369" w:hanging="198"/>
      </w:pPr>
      <w:r>
        <w:rPr>
          <w:rFonts w:ascii="Arial" w:hAnsi="Arial" w:cs="Arial"/>
          <w:b w:val="0"/>
          <w:sz w:val="21"/>
        </w:rPr>
        <w:t>A) Retroactivamente desde la primera jornada del periodo examinado.</w:t>
      </w:r>
    </w:p>
    <w:p>
      <w:pPr>
        <w:keepNext/>
        <w:keepLines/>
        <w:spacing w:after="40"/>
        <w:ind w:left="369" w:hanging="198"/>
      </w:pPr>
      <w:r>
        <w:rPr>
          <w:rFonts w:ascii="Arial" w:hAnsi="Arial" w:cs="Arial"/>
          <w:b/>
          <w:sz w:val="21"/>
        </w:rPr>
        <w:t>B) Desde el primer día del mes siguiente al de la notificación de la resolución.</w:t>
      </w:r>
    </w:p>
    <w:p>
      <w:pPr>
        <w:keepNext/>
        <w:keepLines/>
        <w:spacing w:after="40"/>
        <w:ind w:left="369" w:hanging="198"/>
      </w:pPr>
      <w:r>
        <w:rPr>
          <w:rFonts w:ascii="Arial" w:hAnsi="Arial" w:cs="Arial"/>
          <w:b w:val="0"/>
          <w:sz w:val="21"/>
        </w:rPr>
        <w:t>C) Desde el primer día del año siguiente.</w:t>
      </w:r>
    </w:p>
    <w:p>
      <w:pPr>
        <w:keepNext/>
        <w:keepLines/>
        <w:spacing w:after="40"/>
        <w:ind w:left="369" w:hanging="198"/>
      </w:pPr>
      <w:r>
        <w:rPr>
          <w:rFonts w:ascii="Arial" w:hAnsi="Arial" w:cs="Arial"/>
          <w:b w:val="0"/>
          <w:sz w:val="21"/>
        </w:rPr>
        <w:t>D) El mismo día en que se complete la comprobación interna.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alta. La opción indicada coincide con TRLGSS, artículo 253.2. Las demás alternativas alteran el órgano, el plazo, el requisito, el efecto o la excepción aplicable.</w:t>
      </w:r>
    </w:p>
    <w:p>
      <w:pPr>
        <w:pStyle w:val="Question"/>
        <w:keepNext/>
      </w:pPr>
      <w:r>
        <w:rPr>
          <w:rFonts w:ascii="Arial" w:hAnsi="Arial" w:cs="Arial"/>
          <w:sz w:val="22"/>
        </w:rPr>
        <w:t>23. A efectos de aplicar correctamente la regla examinada, en responsabilidad patrimonial, el dictamen del Consejo de Estado u órgano consultivo es preceptivo, entre otros casos, cuando la indemnización reclamada sea:</w:t>
      </w:r>
    </w:p>
    <w:p>
      <w:pPr>
        <w:keepNext/>
        <w:keepLines/>
        <w:spacing w:after="40"/>
        <w:ind w:left="369" w:hanging="198"/>
      </w:pPr>
      <w:r>
        <w:rPr>
          <w:rFonts w:ascii="Arial" w:hAnsi="Arial" w:cs="Arial"/>
          <w:b w:val="0"/>
          <w:sz w:val="21"/>
        </w:rPr>
        <w:t>A) Superior a 6.000 euros.</w:t>
      </w:r>
    </w:p>
    <w:p>
      <w:pPr>
        <w:keepNext/>
        <w:keepLines/>
        <w:spacing w:after="40"/>
        <w:ind w:left="369" w:hanging="198"/>
      </w:pPr>
      <w:r>
        <w:rPr>
          <w:rFonts w:ascii="Arial" w:hAnsi="Arial" w:cs="Arial"/>
          <w:b w:val="0"/>
          <w:sz w:val="21"/>
        </w:rPr>
        <w:t>B) Igual o superior a 30.000 euros.</w:t>
      </w:r>
    </w:p>
    <w:p>
      <w:pPr>
        <w:keepNext/>
        <w:keepLines/>
        <w:spacing w:after="40"/>
        <w:ind w:left="369" w:hanging="198"/>
      </w:pPr>
      <w:r>
        <w:rPr>
          <w:rFonts w:ascii="Arial" w:hAnsi="Arial" w:cs="Arial"/>
          <w:b w:val="0"/>
          <w:sz w:val="21"/>
        </w:rPr>
        <w:t>C) Superior a 100.000 euros exclusivamente.</w:t>
      </w:r>
    </w:p>
    <w:p>
      <w:pPr>
        <w:keepNext/>
        <w:keepLines/>
        <w:spacing w:after="40"/>
        <w:ind w:left="369" w:hanging="198"/>
      </w:pPr>
      <w:r>
        <w:rPr>
          <w:rFonts w:ascii="Arial" w:hAnsi="Arial" w:cs="Arial"/>
          <w:b/>
          <w:sz w:val="21"/>
        </w:rPr>
        <w:t>D) Igual o superior a 50.000 euros, o a la cuantía autonómica aplicable.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media. La opción indicada coincide con Ley 39/2015/artículo 81.2. Las demás alternativas alteran el órgano, el plazo, el requisito, el efecto o la excepción aplicable.</w:t>
      </w:r>
    </w:p>
    <w:p>
      <w:pPr>
        <w:pStyle w:val="Question"/>
        <w:keepNext/>
      </w:pPr>
      <w:r>
        <w:rPr>
          <w:rFonts w:ascii="Arial" w:hAnsi="Arial" w:cs="Arial"/>
          <w:sz w:val="22"/>
        </w:rPr>
        <w:t>24. Conforme al ordenamiento vigente a la fecha de corte, la prestación económica vinculada al servicio procede:</w:t>
      </w:r>
    </w:p>
    <w:p>
      <w:pPr>
        <w:keepNext/>
        <w:keepLines/>
        <w:spacing w:after="40"/>
        <w:ind w:left="369" w:hanging="198"/>
      </w:pPr>
      <w:r>
        <w:rPr>
          <w:rFonts w:ascii="Arial" w:hAnsi="Arial" w:cs="Arial"/>
          <w:b w:val="0"/>
          <w:sz w:val="21"/>
        </w:rPr>
        <w:t>A) Siempre que la familia prefiera recibir dinero.</w:t>
      </w:r>
    </w:p>
    <w:p>
      <w:pPr>
        <w:keepNext/>
        <w:keepLines/>
        <w:spacing w:after="40"/>
        <w:ind w:left="369" w:hanging="198"/>
      </w:pPr>
      <w:r>
        <w:rPr>
          <w:rFonts w:ascii="Arial" w:hAnsi="Arial" w:cs="Arial"/>
          <w:b/>
          <w:sz w:val="21"/>
        </w:rPr>
        <w:t>B) Cuando no sea posible acceder a un servicio público o concertado adecuado y se destina a adquirir el previsto en el PIA.</w:t>
      </w:r>
    </w:p>
    <w:p>
      <w:pPr>
        <w:keepNext/>
        <w:keepLines/>
        <w:spacing w:after="40"/>
        <w:ind w:left="369" w:hanging="198"/>
      </w:pPr>
      <w:r>
        <w:rPr>
          <w:rFonts w:ascii="Arial" w:hAnsi="Arial" w:cs="Arial"/>
          <w:b w:val="0"/>
          <w:sz w:val="21"/>
        </w:rPr>
        <w:t>C) Solo si no existe dependencia reconocida.</w:t>
      </w:r>
    </w:p>
    <w:p>
      <w:pPr>
        <w:keepNext/>
        <w:keepLines/>
        <w:spacing w:after="40"/>
        <w:ind w:left="369" w:hanging="198"/>
      </w:pPr>
      <w:r>
        <w:rPr>
          <w:rFonts w:ascii="Arial" w:hAnsi="Arial" w:cs="Arial"/>
          <w:b w:val="0"/>
          <w:sz w:val="21"/>
        </w:rPr>
        <w:t>D) Como sustitución automática de la valoración.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media. La opción indicada coincide con Ley 39/2006/artículo 17. Las demás alternativas alteran el órgano, el plazo, el requisito, el efecto o la excepción aplicable.</w:t>
      </w:r>
    </w:p>
    <w:p>
      <w:pPr>
        <w:pStyle w:val="Question"/>
        <w:keepNext/>
      </w:pPr>
      <w:r>
        <w:rPr>
          <w:rFonts w:ascii="Arial" w:hAnsi="Arial" w:cs="Arial"/>
          <w:sz w:val="22"/>
        </w:rPr>
        <w:t>25. Sin añadir circunstancias distintas de las indicadas, en pluriactividad:</w:t>
      </w:r>
    </w:p>
    <w:p>
      <w:pPr>
        <w:keepNext/>
        <w:keepLines/>
        <w:spacing w:after="40"/>
        <w:ind w:left="369" w:hanging="198"/>
      </w:pPr>
      <w:r>
        <w:rPr>
          <w:rFonts w:ascii="Arial" w:hAnsi="Arial" w:cs="Arial"/>
          <w:b/>
          <w:sz w:val="21"/>
        </w:rPr>
        <w:t>A) Concurren altas obligatorias en regímenes distintos.</w:t>
      </w:r>
    </w:p>
    <w:p>
      <w:pPr>
        <w:keepNext/>
        <w:keepLines/>
        <w:spacing w:after="40"/>
        <w:ind w:left="369" w:hanging="198"/>
      </w:pPr>
      <w:r>
        <w:rPr>
          <w:rFonts w:ascii="Arial" w:hAnsi="Arial" w:cs="Arial"/>
          <w:b w:val="0"/>
          <w:sz w:val="21"/>
        </w:rPr>
        <w:t>B) Se distribuye siempre un único tope entre todas las empresas.</w:t>
      </w:r>
    </w:p>
    <w:p>
      <w:pPr>
        <w:keepNext/>
        <w:keepLines/>
        <w:spacing w:after="40"/>
        <w:ind w:left="369" w:hanging="198"/>
      </w:pPr>
      <w:r>
        <w:rPr>
          <w:rFonts w:ascii="Arial" w:hAnsi="Arial" w:cs="Arial"/>
          <w:b w:val="0"/>
          <w:sz w:val="21"/>
        </w:rPr>
        <w:t>C) Solo puede mantenerse un alta.</w:t>
      </w:r>
    </w:p>
    <w:p>
      <w:pPr>
        <w:keepNext/>
        <w:keepLines/>
        <w:spacing w:after="40"/>
        <w:ind w:left="369" w:hanging="198"/>
      </w:pPr>
      <w:r>
        <w:rPr>
          <w:rFonts w:ascii="Arial" w:hAnsi="Arial" w:cs="Arial"/>
          <w:b w:val="0"/>
          <w:sz w:val="21"/>
        </w:rPr>
        <w:t>D) Todas las cotizaciones se ingresan por el empresario principal.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media. La opción indicada coincide con Real Decreto 2064/1995/artículo 9 y TRLGSS. Las demás alternativas alteran el órgano, el plazo, el requisito, el efecto o la excepción aplicable.</w:t>
      </w:r>
    </w:p>
    <w:p>
      <w:pPr>
        <w:pStyle w:val="Question"/>
        <w:keepNext/>
      </w:pPr>
      <w:r>
        <w:rPr>
          <w:rFonts w:ascii="Arial" w:hAnsi="Arial" w:cs="Arial"/>
          <w:sz w:val="22"/>
        </w:rPr>
        <w:t>26. En una comprobación jurídica del expediente, si no hubiera podido tramitarse antes del comienzo una alta agraria por cuenta ajena correspondiente a una contratación iniciada el mismo día:</w:t>
      </w:r>
    </w:p>
    <w:p>
      <w:pPr>
        <w:keepNext/>
        <w:keepLines/>
        <w:spacing w:after="40"/>
        <w:ind w:left="369" w:hanging="198"/>
      </w:pPr>
      <w:r>
        <w:rPr>
          <w:rFonts w:ascii="Arial" w:hAnsi="Arial" w:cs="Arial"/>
          <w:b w:val="0"/>
          <w:sz w:val="21"/>
        </w:rPr>
        <w:t>A) Puede presentarse siempre hasta el último día del mes.</w:t>
      </w:r>
    </w:p>
    <w:p>
      <w:pPr>
        <w:keepNext/>
        <w:keepLines/>
        <w:spacing w:after="40"/>
        <w:ind w:left="369" w:hanging="198"/>
      </w:pPr>
      <w:r>
        <w:rPr>
          <w:rFonts w:ascii="Arial" w:hAnsi="Arial" w:cs="Arial"/>
          <w:b/>
          <w:sz w:val="21"/>
        </w:rPr>
        <w:t>B) Puede presentarse hasta las 12:00 horas de ese día; si la jornada termina antes, debe hacerse antes de que finalice.</w:t>
      </w:r>
    </w:p>
    <w:p>
      <w:pPr>
        <w:keepNext/>
        <w:keepLines/>
        <w:spacing w:after="40"/>
        <w:ind w:left="369" w:hanging="198"/>
      </w:pPr>
      <w:r>
        <w:rPr>
          <w:rFonts w:ascii="Arial" w:hAnsi="Arial" w:cs="Arial"/>
          <w:b w:val="0"/>
          <w:sz w:val="21"/>
        </w:rPr>
        <w:t>C) Solo será válida si se presenta dentro de los treinta días siguientes.</w:t>
      </w:r>
    </w:p>
    <w:p>
      <w:pPr>
        <w:keepNext/>
        <w:keepLines/>
        <w:spacing w:after="40"/>
        <w:ind w:left="369" w:hanging="198"/>
      </w:pPr>
      <w:r>
        <w:rPr>
          <w:rFonts w:ascii="Arial" w:hAnsi="Arial" w:cs="Arial"/>
          <w:b w:val="0"/>
          <w:sz w:val="21"/>
        </w:rPr>
        <w:t>D) Nunca puede tramitarse el mismo día, aunque exista causa material que impidiera anticiparla.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alta. La opción indicada coincide con TRLGSS, artículo 254.1. Las demás alternativas alteran el órgano, el plazo, el requisito, el efecto o la excepción aplicable.</w:t>
      </w:r>
    </w:p>
    <w:p>
      <w:pPr>
        <w:pStyle w:val="Question"/>
        <w:keepNext/>
      </w:pPr>
      <w:r>
        <w:rPr>
          <w:rFonts w:ascii="Arial" w:hAnsi="Arial" w:cs="Arial"/>
          <w:sz w:val="22"/>
        </w:rPr>
        <w:t>27. De acuerdo con la regulación aplicable, concedido un aplazamiento que incluye cuotas inaplazables aún no ingresadas, estas deben abonarse, como regla:</w:t>
      </w:r>
    </w:p>
    <w:p>
      <w:pPr>
        <w:keepNext/>
        <w:keepLines/>
        <w:spacing w:after="40"/>
        <w:ind w:left="369" w:hanging="198"/>
      </w:pPr>
      <w:r>
        <w:rPr>
          <w:rFonts w:ascii="Arial" w:hAnsi="Arial" w:cs="Arial"/>
          <w:b w:val="0"/>
          <w:sz w:val="21"/>
        </w:rPr>
        <w:t>A) Al final de los cinco años.</w:t>
      </w:r>
    </w:p>
    <w:p>
      <w:pPr>
        <w:keepNext/>
        <w:keepLines/>
        <w:spacing w:after="40"/>
        <w:ind w:left="369" w:hanging="198"/>
      </w:pPr>
      <w:r>
        <w:rPr>
          <w:rFonts w:ascii="Arial" w:hAnsi="Arial" w:cs="Arial"/>
          <w:b w:val="0"/>
          <w:sz w:val="21"/>
        </w:rPr>
        <w:t>B) Dentro de los seis meses siguientes.</w:t>
      </w:r>
    </w:p>
    <w:p>
      <w:pPr>
        <w:keepNext/>
        <w:keepLines/>
        <w:spacing w:after="40"/>
        <w:ind w:left="369" w:hanging="198"/>
      </w:pPr>
      <w:r>
        <w:rPr>
          <w:rFonts w:ascii="Arial" w:hAnsi="Arial" w:cs="Arial"/>
          <w:b/>
          <w:sz w:val="21"/>
        </w:rPr>
        <w:t>C) Dentro del mes siguiente a la notificación de la resolución de concesión.</w:t>
      </w:r>
    </w:p>
    <w:p>
      <w:pPr>
        <w:keepNext/>
        <w:keepLines/>
        <w:spacing w:after="40"/>
        <w:ind w:left="369" w:hanging="198"/>
      </w:pPr>
      <w:r>
        <w:rPr>
          <w:rFonts w:ascii="Arial" w:hAnsi="Arial" w:cs="Arial"/>
          <w:b w:val="0"/>
          <w:sz w:val="21"/>
        </w:rPr>
        <w:t>D) Cuando se cancele la garantía.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alta. La opción indicada coincide con RGRSS, artículo 32.1. Las demás alternativas alteran el órgano, el plazo, el requisito, el efecto o la excepción aplicable.</w:t>
      </w:r>
    </w:p>
    <w:p>
      <w:pPr>
        <w:pStyle w:val="Question"/>
        <w:keepNext/>
      </w:pPr>
      <w:r>
        <w:rPr>
          <w:rFonts w:ascii="Arial" w:hAnsi="Arial" w:cs="Arial"/>
          <w:sz w:val="22"/>
        </w:rPr>
        <w:t>28. Conforme al ordenamiento vigente a la fecha de corte, es un derecho general de las personas en sus relaciones con las Administraciones:</w:t>
      </w:r>
    </w:p>
    <w:p>
      <w:pPr>
        <w:keepNext/>
        <w:keepLines/>
        <w:spacing w:after="40"/>
        <w:ind w:left="369" w:hanging="198"/>
      </w:pPr>
      <w:r>
        <w:rPr>
          <w:rFonts w:ascii="Arial" w:hAnsi="Arial" w:cs="Arial"/>
          <w:b w:val="0"/>
          <w:sz w:val="21"/>
        </w:rPr>
        <w:t>A) Obtener siempre una resolución favorable.</w:t>
      </w:r>
    </w:p>
    <w:p>
      <w:pPr>
        <w:keepNext/>
        <w:keepLines/>
        <w:spacing w:after="40"/>
        <w:ind w:left="369" w:hanging="198"/>
      </w:pPr>
      <w:r>
        <w:rPr>
          <w:rFonts w:ascii="Arial" w:hAnsi="Arial" w:cs="Arial"/>
          <w:b w:val="0"/>
          <w:sz w:val="21"/>
        </w:rPr>
        <w:t>B) Elegir el sentido del silencio.</w:t>
      </w:r>
    </w:p>
    <w:p>
      <w:pPr>
        <w:keepNext/>
        <w:keepLines/>
        <w:spacing w:after="40"/>
        <w:ind w:left="369" w:hanging="198"/>
      </w:pPr>
      <w:r>
        <w:rPr>
          <w:rFonts w:ascii="Arial" w:hAnsi="Arial" w:cs="Arial"/>
          <w:b w:val="0"/>
          <w:sz w:val="21"/>
        </w:rPr>
        <w:t>C) Suspender unilateralmente cualquier procedimiento.</w:t>
      </w:r>
    </w:p>
    <w:p>
      <w:pPr>
        <w:keepNext/>
        <w:keepLines/>
        <w:spacing w:after="40"/>
        <w:ind w:left="369" w:hanging="198"/>
      </w:pPr>
      <w:r>
        <w:rPr>
          <w:rFonts w:ascii="Arial" w:hAnsi="Arial" w:cs="Arial"/>
          <w:b/>
          <w:sz w:val="21"/>
        </w:rPr>
        <w:t>D) Ser asistidas en el uso de medios electrónicos.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G16 · dificultad básica. La opción indicada coincide con Ley 39/2015/artículo 13.b. Las demás alternativas alteran el órgano, el plazo, el requisito, el efecto o la excepción aplicable.</w:t>
      </w:r>
    </w:p>
    <w:p>
      <w:pPr>
        <w:pStyle w:val="Question"/>
        <w:keepNext/>
      </w:pPr>
      <w:r>
        <w:rPr>
          <w:rFonts w:ascii="Arial" w:hAnsi="Arial" w:cs="Arial"/>
          <w:sz w:val="22"/>
        </w:rPr>
        <w:t>29. Conforme al ordenamiento vigente a la fecha de corte, ¿Cuál de estos elementos queda normalmente fuera del expediente administrativo?</w:t>
      </w:r>
    </w:p>
    <w:p>
      <w:pPr>
        <w:keepNext/>
        <w:keepLines/>
        <w:spacing w:after="40"/>
        <w:ind w:left="369" w:hanging="198"/>
      </w:pPr>
      <w:r>
        <w:rPr>
          <w:rFonts w:ascii="Arial" w:hAnsi="Arial" w:cs="Arial"/>
          <w:b w:val="0"/>
          <w:sz w:val="21"/>
        </w:rPr>
        <w:t>A) La resolución.</w:t>
      </w:r>
    </w:p>
    <w:p>
      <w:pPr>
        <w:keepNext/>
        <w:keepLines/>
        <w:spacing w:after="40"/>
        <w:ind w:left="369" w:hanging="198"/>
      </w:pPr>
      <w:r>
        <w:rPr>
          <w:rFonts w:ascii="Arial" w:hAnsi="Arial" w:cs="Arial"/>
          <w:b w:val="0"/>
          <w:sz w:val="21"/>
        </w:rPr>
        <w:t>B) Una prueba admitida.</w:t>
      </w:r>
    </w:p>
    <w:p>
      <w:pPr>
        <w:keepNext/>
        <w:keepLines/>
        <w:spacing w:after="40"/>
        <w:ind w:left="369" w:hanging="198"/>
      </w:pPr>
      <w:r>
        <w:rPr>
          <w:rFonts w:ascii="Arial" w:hAnsi="Arial" w:cs="Arial"/>
          <w:b/>
          <w:sz w:val="21"/>
        </w:rPr>
        <w:t>C) Una nota auxiliar o borrador interno.</w:t>
      </w:r>
    </w:p>
    <w:p>
      <w:pPr>
        <w:keepNext/>
        <w:keepLines/>
        <w:spacing w:after="40"/>
        <w:ind w:left="369" w:hanging="198"/>
      </w:pPr>
      <w:r>
        <w:rPr>
          <w:rFonts w:ascii="Arial" w:hAnsi="Arial" w:cs="Arial"/>
          <w:b w:val="0"/>
          <w:sz w:val="21"/>
        </w:rPr>
        <w:t>D) Un informe preceptivo solicitado antes de resolver.</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media. La opción indicada coincide con Ley 39/2015/artículo 70.4. Las demás alternativas alteran el órgano, el plazo, el requisito, el efecto o la excepción aplicable.</w:t>
      </w:r>
    </w:p>
    <w:p>
      <w:pPr>
        <w:pStyle w:val="Question"/>
        <w:keepNext/>
      </w:pPr>
      <w:r>
        <w:rPr>
          <w:rFonts w:ascii="Arial" w:hAnsi="Arial" w:cs="Arial"/>
          <w:sz w:val="22"/>
        </w:rPr>
        <w:t>30. A efectos de aplicar correctamente la regla examinada, ¿Cuál de las siguientes afirmaciones distingue correctamente al Tribunal Central de Instancia de la Audiencia Nacional?</w:t>
      </w:r>
    </w:p>
    <w:p>
      <w:pPr>
        <w:keepNext/>
        <w:keepLines/>
        <w:spacing w:after="40"/>
        <w:ind w:left="369" w:hanging="198"/>
      </w:pPr>
      <w:r>
        <w:rPr>
          <w:rFonts w:ascii="Arial" w:hAnsi="Arial" w:cs="Arial"/>
          <w:b w:val="0"/>
          <w:sz w:val="21"/>
        </w:rPr>
        <w:t>A) El Tribunal Central tiene Sala de lo Social y la Audiencia Nacional no.</w:t>
      </w:r>
    </w:p>
    <w:p>
      <w:pPr>
        <w:keepNext/>
        <w:keepLines/>
        <w:spacing w:after="40"/>
        <w:ind w:left="369" w:hanging="198"/>
      </w:pPr>
      <w:r>
        <w:rPr>
          <w:rFonts w:ascii="Arial" w:hAnsi="Arial" w:cs="Arial"/>
          <w:b w:val="0"/>
          <w:sz w:val="21"/>
        </w:rPr>
        <w:t>B) Ambos son exactamente el mismo órgano desde 2025.</w:t>
      </w:r>
    </w:p>
    <w:p>
      <w:pPr>
        <w:keepNext/>
        <w:keepLines/>
        <w:spacing w:after="40"/>
        <w:ind w:left="369" w:hanging="198"/>
      </w:pPr>
      <w:r>
        <w:rPr>
          <w:rFonts w:ascii="Arial" w:hAnsi="Arial" w:cs="Arial"/>
          <w:b/>
          <w:sz w:val="21"/>
        </w:rPr>
        <w:t>C) El Tribunal Central integra Secciones procedentes de los antiguos Juzgados Centrales, mientras la Audiencia Nacional conserva sus Salas colegiadas.</w:t>
      </w:r>
    </w:p>
    <w:p>
      <w:pPr>
        <w:keepNext/>
        <w:keepLines/>
        <w:spacing w:after="40"/>
        <w:ind w:left="369" w:hanging="198"/>
      </w:pPr>
      <w:r>
        <w:rPr>
          <w:rFonts w:ascii="Arial" w:hAnsi="Arial" w:cs="Arial"/>
          <w:b w:val="0"/>
          <w:sz w:val="21"/>
        </w:rPr>
        <w:t>D) La Audiencia Nacional se transformó íntegramente en Tribunal Central.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G06 · dificultad alta. La opción indicada coincide con LOPJ, arts. 62-65 y 95; LO 1/2025, disposición transitoria segunda. Las demás alternativas alteran el órgano, el plazo, el requisito, el efecto o la excepción aplicable.</w:t>
      </w:r>
    </w:p>
    <w:p>
      <w:pPr>
        <w:pStyle w:val="Question"/>
        <w:keepNext/>
      </w:pPr>
      <w:r>
        <w:rPr>
          <w:rFonts w:ascii="Arial" w:hAnsi="Arial" w:cs="Arial"/>
          <w:sz w:val="22"/>
        </w:rPr>
        <w:t>31. A efectos de aplicar correctamente la regla examinada, si los datos no se obtuvieron del interesado, la información debe facilitarse, con carácter general:</w:t>
      </w:r>
    </w:p>
    <w:p>
      <w:pPr>
        <w:keepNext/>
        <w:keepLines/>
        <w:spacing w:after="40"/>
        <w:ind w:left="369" w:hanging="198"/>
      </w:pPr>
      <w:r>
        <w:rPr>
          <w:rFonts w:ascii="Arial" w:hAnsi="Arial" w:cs="Arial"/>
          <w:b/>
          <w:sz w:val="21"/>
        </w:rPr>
        <w:t>A) Dentro de un plazo razonable y, como máximo, en un mes, sin perjuicio de una primera comunicación o cesión anterior.</w:t>
      </w:r>
    </w:p>
    <w:p>
      <w:pPr>
        <w:keepNext/>
        <w:keepLines/>
        <w:spacing w:after="40"/>
        <w:ind w:left="369" w:hanging="198"/>
      </w:pPr>
      <w:r>
        <w:rPr>
          <w:rFonts w:ascii="Arial" w:hAnsi="Arial" w:cs="Arial"/>
          <w:b w:val="0"/>
          <w:sz w:val="21"/>
        </w:rPr>
        <w:t>B) En 72 horas.</w:t>
      </w:r>
    </w:p>
    <w:p>
      <w:pPr>
        <w:keepNext/>
        <w:keepLines/>
        <w:spacing w:after="40"/>
        <w:ind w:left="369" w:hanging="198"/>
      </w:pPr>
      <w:r>
        <w:rPr>
          <w:rFonts w:ascii="Arial" w:hAnsi="Arial" w:cs="Arial"/>
          <w:b w:val="0"/>
          <w:sz w:val="21"/>
        </w:rPr>
        <w:t>C) Solo después de dos años.</w:t>
      </w:r>
    </w:p>
    <w:p>
      <w:pPr>
        <w:keepNext/>
        <w:keepLines/>
        <w:spacing w:after="40"/>
        <w:ind w:left="369" w:hanging="198"/>
      </w:pPr>
      <w:r>
        <w:rPr>
          <w:rFonts w:ascii="Arial" w:hAnsi="Arial" w:cs="Arial"/>
          <w:b w:val="0"/>
          <w:sz w:val="21"/>
        </w:rPr>
        <w:t>D) Nunca.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G22 · dificultad media. La opción indicada coincide con RGPD/artículo 14.3. Las demás alternativas alteran el órgano, el plazo, el requisito, el efecto o la excepción aplicable.</w:t>
      </w:r>
    </w:p>
    <w:p>
      <w:pPr>
        <w:pStyle w:val="Question"/>
        <w:keepNext/>
      </w:pPr>
      <w:r>
        <w:rPr>
          <w:rFonts w:ascii="Arial" w:hAnsi="Arial" w:cs="Arial"/>
          <w:sz w:val="22"/>
        </w:rPr>
        <w:t>32. A efectos de aplicar correctamente la regla examinada, el subsidio por enfermedad grave se reconoce:</w:t>
      </w:r>
    </w:p>
    <w:p>
      <w:pPr>
        <w:keepNext/>
        <w:keepLines/>
        <w:spacing w:after="40"/>
        <w:ind w:left="369" w:hanging="198"/>
      </w:pPr>
      <w:r>
        <w:rPr>
          <w:rFonts w:ascii="Arial" w:hAnsi="Arial" w:cs="Arial"/>
          <w:b/>
          <w:sz w:val="21"/>
        </w:rPr>
        <w:t>A) Un mes inicial, una prórroga de dos y sucesivas de cuatro.</w:t>
      </w:r>
    </w:p>
    <w:p>
      <w:pPr>
        <w:keepNext/>
        <w:keepLines/>
        <w:spacing w:after="40"/>
        <w:ind w:left="369" w:hanging="198"/>
      </w:pPr>
      <w:r>
        <w:rPr>
          <w:rFonts w:ascii="Arial" w:hAnsi="Arial" w:cs="Arial"/>
          <w:b w:val="0"/>
          <w:sz w:val="21"/>
        </w:rPr>
        <w:t>B) Siempre por períodos anuales.</w:t>
      </w:r>
    </w:p>
    <w:p>
      <w:pPr>
        <w:keepNext/>
        <w:keepLines/>
        <w:spacing w:after="40"/>
        <w:ind w:left="369" w:hanging="198"/>
      </w:pPr>
      <w:r>
        <w:rPr>
          <w:rFonts w:ascii="Arial" w:hAnsi="Arial" w:cs="Arial"/>
          <w:b w:val="0"/>
          <w:sz w:val="21"/>
        </w:rPr>
        <w:t>C) Por dos meses desde el inicio y luego uno.</w:t>
      </w:r>
    </w:p>
    <w:p>
      <w:pPr>
        <w:keepNext/>
        <w:keepLines/>
        <w:spacing w:after="40"/>
        <w:ind w:left="369" w:hanging="198"/>
      </w:pPr>
      <w:r>
        <w:rPr>
          <w:rFonts w:ascii="Arial" w:hAnsi="Arial" w:cs="Arial"/>
          <w:b w:val="0"/>
          <w:sz w:val="21"/>
        </w:rPr>
        <w:t>D) Indefinidamente sin renovación médica.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alta. La opción indicada coincide con Real Decreto 1148/2011/artículo 7.1. Las demás alternativas alteran el órgano, el plazo, el requisito, el efecto o la excepción aplicable.</w:t>
      </w:r>
    </w:p>
    <w:p>
      <w:pPr>
        <w:pStyle w:val="Question"/>
        <w:keepNext/>
      </w:pPr>
      <w:r>
        <w:rPr>
          <w:rFonts w:ascii="Arial" w:hAnsi="Arial" w:cs="Arial"/>
          <w:sz w:val="22"/>
        </w:rPr>
        <w:t>33. A efectos de aplicar correctamente la regla examinada, el presidente del Gobierno en funciones no puede:</w:t>
      </w:r>
    </w:p>
    <w:p>
      <w:pPr>
        <w:keepNext/>
        <w:keepLines/>
        <w:spacing w:after="40"/>
        <w:ind w:left="369" w:hanging="198"/>
      </w:pPr>
      <w:r>
        <w:rPr>
          <w:rFonts w:ascii="Arial" w:hAnsi="Arial" w:cs="Arial"/>
          <w:b/>
          <w:sz w:val="21"/>
        </w:rPr>
        <w:t>A) Plantear una cuestión de confianza.</w:t>
      </w:r>
    </w:p>
    <w:p>
      <w:pPr>
        <w:keepNext/>
        <w:keepLines/>
        <w:spacing w:after="40"/>
        <w:ind w:left="369" w:hanging="198"/>
      </w:pPr>
      <w:r>
        <w:rPr>
          <w:rFonts w:ascii="Arial" w:hAnsi="Arial" w:cs="Arial"/>
          <w:b w:val="0"/>
          <w:sz w:val="21"/>
        </w:rPr>
        <w:t>B) Coordinar el traspaso de poderes.</w:t>
      </w:r>
    </w:p>
    <w:p>
      <w:pPr>
        <w:keepNext/>
        <w:keepLines/>
        <w:spacing w:after="40"/>
        <w:ind w:left="369" w:hanging="198"/>
      </w:pPr>
      <w:r>
        <w:rPr>
          <w:rFonts w:ascii="Arial" w:hAnsi="Arial" w:cs="Arial"/>
          <w:b w:val="0"/>
          <w:sz w:val="21"/>
        </w:rPr>
        <w:t>C) Despachar asuntos ordinarios.</w:t>
      </w:r>
    </w:p>
    <w:p>
      <w:pPr>
        <w:keepNext/>
        <w:keepLines/>
        <w:spacing w:after="40"/>
        <w:ind w:left="369" w:hanging="198"/>
      </w:pPr>
      <w:r>
        <w:rPr>
          <w:rFonts w:ascii="Arial" w:hAnsi="Arial" w:cs="Arial"/>
          <w:b w:val="0"/>
          <w:sz w:val="21"/>
        </w:rPr>
        <w:t>D) Presidir una reunión del Consejo de Ministros.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G07 · dificultad media. La opción indicada coincide con Ley 50/1997/artículo 21.4.b. Las demás alternativas alteran el órgano, el plazo, el requisito, el efecto o la excepción aplicable.</w:t>
      </w:r>
    </w:p>
    <w:p>
      <w:pPr>
        <w:pStyle w:val="Question"/>
        <w:keepNext/>
      </w:pPr>
      <w:r>
        <w:rPr>
          <w:rFonts w:ascii="Arial" w:hAnsi="Arial" w:cs="Arial"/>
          <w:sz w:val="22"/>
        </w:rPr>
        <w:t>34. Conforme al ordenamiento vigente a la fecha de corte, una copia en papel de un documento electrónico puede tener carácter auténtico cuando:</w:t>
      </w:r>
    </w:p>
    <w:p>
      <w:pPr>
        <w:keepNext/>
        <w:keepLines/>
        <w:spacing w:after="40"/>
        <w:ind w:left="369" w:hanging="198"/>
      </w:pPr>
      <w:r>
        <w:rPr>
          <w:rFonts w:ascii="Arial" w:hAnsi="Arial" w:cs="Arial"/>
          <w:b w:val="0"/>
          <w:sz w:val="21"/>
        </w:rPr>
        <w:t>A) La imprima cualquier particular sin más garantía.</w:t>
      </w:r>
    </w:p>
    <w:p>
      <w:pPr>
        <w:keepNext/>
        <w:keepLines/>
        <w:spacing w:after="40"/>
        <w:ind w:left="369" w:hanging="198"/>
      </w:pPr>
      <w:r>
        <w:rPr>
          <w:rFonts w:ascii="Arial" w:hAnsi="Arial" w:cs="Arial"/>
          <w:b w:val="0"/>
          <w:sz w:val="21"/>
        </w:rPr>
        <w:t>B) Carezca de identificación del órgano.</w:t>
      </w:r>
    </w:p>
    <w:p>
      <w:pPr>
        <w:keepNext/>
        <w:keepLines/>
        <w:spacing w:after="40"/>
        <w:ind w:left="369" w:hanging="198"/>
      </w:pPr>
      <w:r>
        <w:rPr>
          <w:rFonts w:ascii="Arial" w:hAnsi="Arial" w:cs="Arial"/>
          <w:b w:val="0"/>
          <w:sz w:val="21"/>
        </w:rPr>
        <w:t>C) Se acompañe únicamente de una declaración verbal.</w:t>
      </w:r>
    </w:p>
    <w:p>
      <w:pPr>
        <w:keepNext/>
        <w:keepLines/>
        <w:spacing w:after="40"/>
        <w:ind w:left="369" w:hanging="198"/>
      </w:pPr>
      <w:r>
        <w:rPr>
          <w:rFonts w:ascii="Arial" w:hAnsi="Arial" w:cs="Arial"/>
          <w:b/>
          <w:sz w:val="21"/>
        </w:rPr>
        <w:t>D) Incluya un sistema que permita contrastar su autenticidad accediendo al archivo electrónico del órgano emisor.</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G23 · dificultad alta. La opción indicada coincide con Ley 39/2015/artículo 27.3. Las demás alternativas alteran el órgano, el plazo, el requisito, el efecto o la excepción aplicable.</w:t>
      </w:r>
    </w:p>
    <w:p>
      <w:pPr>
        <w:pStyle w:val="Question"/>
        <w:keepNext/>
      </w:pPr>
      <w:r>
        <w:rPr>
          <w:rFonts w:ascii="Arial" w:hAnsi="Arial" w:cs="Arial"/>
          <w:sz w:val="22"/>
        </w:rPr>
        <w:t>35. A efectos de aplicar correctamente la regla examinada, el INSS puede revisar de oficio en perjuicio una prestación de IMV, con carácter general, dentro de:</w:t>
      </w:r>
    </w:p>
    <w:p>
      <w:pPr>
        <w:keepNext/>
        <w:keepLines/>
        <w:spacing w:after="40"/>
        <w:ind w:left="369" w:hanging="198"/>
      </w:pPr>
      <w:r>
        <w:rPr>
          <w:rFonts w:ascii="Arial" w:hAnsi="Arial" w:cs="Arial"/>
          <w:b w:val="0"/>
          <w:sz w:val="21"/>
        </w:rPr>
        <w:t>A) Un año desde la solicitud.</w:t>
      </w:r>
    </w:p>
    <w:p>
      <w:pPr>
        <w:keepNext/>
        <w:keepLines/>
        <w:spacing w:after="40"/>
        <w:ind w:left="369" w:hanging="198"/>
      </w:pPr>
      <w:r>
        <w:rPr>
          <w:rFonts w:ascii="Arial" w:hAnsi="Arial" w:cs="Arial"/>
          <w:b w:val="0"/>
          <w:sz w:val="21"/>
        </w:rPr>
        <w:t>B) Dos años desde el pago.</w:t>
      </w:r>
    </w:p>
    <w:p>
      <w:pPr>
        <w:keepNext/>
        <w:keepLines/>
        <w:spacing w:after="40"/>
        <w:ind w:left="369" w:hanging="198"/>
      </w:pPr>
      <w:r>
        <w:rPr>
          <w:rFonts w:ascii="Arial" w:hAnsi="Arial" w:cs="Arial"/>
          <w:b w:val="0"/>
          <w:sz w:val="21"/>
        </w:rPr>
        <w:t>C) Diez años desde el nacimiento.</w:t>
      </w:r>
    </w:p>
    <w:p>
      <w:pPr>
        <w:keepNext/>
        <w:keepLines/>
        <w:spacing w:after="40"/>
        <w:ind w:left="369" w:hanging="198"/>
      </w:pPr>
      <w:r>
        <w:rPr>
          <w:rFonts w:ascii="Arial" w:hAnsi="Arial" w:cs="Arial"/>
          <w:b/>
          <w:sz w:val="21"/>
        </w:rPr>
        <w:t>D) Cuatro años desde la resolución no impugnada, sin perjuicio de las reglas especiales.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media. La opción indicada coincide con Ley 19/2021, artículo 19. Las demás alternativas alteran el órgano, el plazo, el requisito, el efecto o la excepción aplicable.</w:t>
      </w:r>
    </w:p>
    <w:p>
      <w:pPr>
        <w:pStyle w:val="Question"/>
        <w:keepNext/>
      </w:pPr>
      <w:r>
        <w:rPr>
          <w:rFonts w:ascii="Arial" w:hAnsi="Arial" w:cs="Arial"/>
          <w:sz w:val="22"/>
        </w:rPr>
        <w:t>36. En una comprobación jurídica del expediente, en la vía ordinaria del artículo 143, la iniciativa autonómica correspondía, además de a las Diputaciones u órgano interinsular:</w:t>
      </w:r>
    </w:p>
    <w:p>
      <w:pPr>
        <w:keepNext/>
        <w:keepLines/>
        <w:spacing w:after="40"/>
        <w:ind w:left="369" w:hanging="198"/>
      </w:pPr>
      <w:r>
        <w:rPr>
          <w:rFonts w:ascii="Arial" w:hAnsi="Arial" w:cs="Arial"/>
          <w:b/>
          <w:sz w:val="21"/>
        </w:rPr>
        <w:t>A) A dos terceras partes de los municipios cuya población representara al menos la mayoría del censo electoral de cada provincia o isla.</w:t>
      </w:r>
    </w:p>
    <w:p>
      <w:pPr>
        <w:keepNext/>
        <w:keepLines/>
        <w:spacing w:after="40"/>
        <w:ind w:left="369" w:hanging="198"/>
      </w:pPr>
      <w:r>
        <w:rPr>
          <w:rFonts w:ascii="Arial" w:hAnsi="Arial" w:cs="Arial"/>
          <w:b w:val="0"/>
          <w:sz w:val="21"/>
        </w:rPr>
        <w:t>B) A tres cuartas partes de los municipios que representaran dos tercios de la población estatal.</w:t>
      </w:r>
    </w:p>
    <w:p>
      <w:pPr>
        <w:keepNext/>
        <w:keepLines/>
        <w:spacing w:after="40"/>
        <w:ind w:left="369" w:hanging="198"/>
      </w:pPr>
      <w:r>
        <w:rPr>
          <w:rFonts w:ascii="Arial" w:hAnsi="Arial" w:cs="Arial"/>
          <w:b w:val="0"/>
          <w:sz w:val="21"/>
        </w:rPr>
        <w:t>C) A la mayoría simple de municipios, sin requisito de población.</w:t>
      </w:r>
    </w:p>
    <w:p>
      <w:pPr>
        <w:keepNext/>
        <w:keepLines/>
        <w:spacing w:after="40"/>
        <w:ind w:left="369" w:hanging="198"/>
      </w:pPr>
      <w:r>
        <w:rPr>
          <w:rFonts w:ascii="Arial" w:hAnsi="Arial" w:cs="Arial"/>
          <w:b w:val="0"/>
          <w:sz w:val="21"/>
        </w:rPr>
        <w:t>D) Exclusivamente a los diputados y senadores elegidos en el territorio.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G09 · dificultad básica. La opción indicada coincide con Constitución Española/artículo 143.2. Las demás alternativas alteran el órgano, el plazo, el requisito, el efecto o la excepción aplicable.</w:t>
      </w:r>
    </w:p>
    <w:p>
      <w:pPr>
        <w:pStyle w:val="Question"/>
        <w:keepNext/>
      </w:pPr>
      <w:r>
        <w:rPr>
          <w:rFonts w:ascii="Arial" w:hAnsi="Arial" w:cs="Arial"/>
          <w:sz w:val="22"/>
        </w:rPr>
        <w:t>37. A efectos de aplicar correctamente la regla examinada, la resolución de un recurso administrativo:</w:t>
      </w:r>
    </w:p>
    <w:p>
      <w:pPr>
        <w:keepNext/>
        <w:keepLines/>
        <w:spacing w:after="40"/>
        <w:ind w:left="369" w:hanging="198"/>
      </w:pPr>
      <w:r>
        <w:rPr>
          <w:rFonts w:ascii="Arial" w:hAnsi="Arial" w:cs="Arial"/>
          <w:b w:val="0"/>
          <w:sz w:val="21"/>
        </w:rPr>
        <w:t>A) Solo puede pronunciarse sobre lo solicitado literalmente.</w:t>
      </w:r>
    </w:p>
    <w:p>
      <w:pPr>
        <w:keepNext/>
        <w:keepLines/>
        <w:spacing w:after="40"/>
        <w:ind w:left="369" w:hanging="198"/>
      </w:pPr>
      <w:r>
        <w:rPr>
          <w:rFonts w:ascii="Arial" w:hAnsi="Arial" w:cs="Arial"/>
          <w:b w:val="0"/>
          <w:sz w:val="21"/>
        </w:rPr>
        <w:t>B) Puede agravar la situación inicial del recurrente si aprecia un vicio distinto.</w:t>
      </w:r>
    </w:p>
    <w:p>
      <w:pPr>
        <w:keepNext/>
        <w:keepLines/>
        <w:spacing w:after="40"/>
        <w:ind w:left="369" w:hanging="198"/>
      </w:pPr>
      <w:r>
        <w:rPr>
          <w:rFonts w:ascii="Arial" w:hAnsi="Arial" w:cs="Arial"/>
          <w:b/>
          <w:sz w:val="21"/>
        </w:rPr>
        <w:t>C) Resolverá todas las cuestiones planteadas por el procedimiento, sin que pueda agravarse la situación inicial del recurrente.</w:t>
      </w:r>
    </w:p>
    <w:p>
      <w:pPr>
        <w:keepNext/>
        <w:keepLines/>
        <w:spacing w:after="40"/>
        <w:ind w:left="369" w:hanging="198"/>
      </w:pPr>
      <w:r>
        <w:rPr>
          <w:rFonts w:ascii="Arial" w:hAnsi="Arial" w:cs="Arial"/>
          <w:b w:val="0"/>
          <w:sz w:val="21"/>
        </w:rPr>
        <w:t>D) Debe devolver siempre el asunto al órgano de origen.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alta. La opción indicada coincide con Ley 39/2015/artículo 119.3. Las demás alternativas alteran el órgano, el plazo, el requisito, el efecto o la excepción aplicable.</w:t>
      </w:r>
    </w:p>
    <w:p>
      <w:pPr>
        <w:pStyle w:val="Question"/>
        <w:keepNext/>
      </w:pPr>
      <w:r>
        <w:rPr>
          <w:rFonts w:ascii="Arial" w:hAnsi="Arial" w:cs="Arial"/>
          <w:sz w:val="22"/>
        </w:rPr>
        <w:t>38. Conforme al ordenamiento vigente a la fecha de corte, admitida una cuestión de inconstitucionalidad y publicada su admisión en el BOE, ¿qué régimen se aplica a las partes del proceso judicial de origen?</w:t>
      </w:r>
    </w:p>
    <w:p>
      <w:pPr>
        <w:keepNext/>
        <w:keepLines/>
        <w:spacing w:after="40"/>
        <w:ind w:left="369" w:hanging="198"/>
      </w:pPr>
      <w:r>
        <w:rPr>
          <w:rFonts w:ascii="Arial" w:hAnsi="Arial" w:cs="Arial"/>
          <w:b w:val="0"/>
          <w:sz w:val="21"/>
        </w:rPr>
        <w:t>A) Disponen de diez días para personarse y alegar en un único escrito.</w:t>
      </w:r>
    </w:p>
    <w:p>
      <w:pPr>
        <w:keepNext/>
        <w:keepLines/>
        <w:spacing w:after="40"/>
        <w:ind w:left="369" w:hanging="198"/>
      </w:pPr>
      <w:r>
        <w:rPr>
          <w:rFonts w:ascii="Arial" w:hAnsi="Arial" w:cs="Arial"/>
          <w:b w:val="0"/>
          <w:sz w:val="21"/>
        </w:rPr>
        <w:t>B) Solo pueden intervenir si las llama el Fiscal General del Estado.</w:t>
      </w:r>
    </w:p>
    <w:p>
      <w:pPr>
        <w:keepNext/>
        <w:keepLines/>
        <w:spacing w:after="40"/>
        <w:ind w:left="369" w:hanging="198"/>
      </w:pPr>
      <w:r>
        <w:rPr>
          <w:rFonts w:ascii="Arial" w:hAnsi="Arial" w:cs="Arial"/>
          <w:b/>
          <w:sz w:val="21"/>
        </w:rPr>
        <w:t>C) Pueden personarse en quince días y formular alegaciones en otros quince.</w:t>
      </w:r>
    </w:p>
    <w:p>
      <w:pPr>
        <w:keepNext/>
        <w:keepLines/>
        <w:spacing w:after="40"/>
        <w:ind w:left="369" w:hanging="198"/>
      </w:pPr>
      <w:r>
        <w:rPr>
          <w:rFonts w:ascii="Arial" w:hAnsi="Arial" w:cs="Arial"/>
          <w:b w:val="0"/>
          <w:sz w:val="21"/>
        </w:rPr>
        <w:t>D) Disponen de treinta días para personarse, sin trámite de alegaciones.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G03 · dificultad alta. La opción indicada coincide con LOTC, art. 37.2. Las demás alternativas alteran el órgano, el plazo, el requisito, el efecto o la excepción aplicable.</w:t>
      </w:r>
    </w:p>
    <w:p>
      <w:pPr>
        <w:pStyle w:val="Question"/>
        <w:keepNext/>
      </w:pPr>
      <w:r>
        <w:rPr>
          <w:rFonts w:ascii="Arial" w:hAnsi="Arial" w:cs="Arial"/>
          <w:sz w:val="22"/>
        </w:rPr>
        <w:t>39. Sin añadir circunstancias distintas de las indicadas, en sucesión de la titularidad de una empresa, por prestaciones causadas antes de la sucesión:</w:t>
      </w:r>
    </w:p>
    <w:p>
      <w:pPr>
        <w:keepNext/>
        <w:keepLines/>
        <w:spacing w:after="40"/>
        <w:ind w:left="369" w:hanging="198"/>
      </w:pPr>
      <w:r>
        <w:rPr>
          <w:rFonts w:ascii="Arial" w:hAnsi="Arial" w:cs="Arial"/>
          <w:b w:val="0"/>
          <w:sz w:val="21"/>
        </w:rPr>
        <w:t>A) Solo responde el beneficiario.</w:t>
      </w:r>
    </w:p>
    <w:p>
      <w:pPr>
        <w:keepNext/>
        <w:keepLines/>
        <w:spacing w:after="40"/>
        <w:ind w:left="369" w:hanging="198"/>
      </w:pPr>
      <w:r>
        <w:rPr>
          <w:rFonts w:ascii="Arial" w:hAnsi="Arial" w:cs="Arial"/>
          <w:b/>
          <w:sz w:val="21"/>
        </w:rPr>
        <w:t>B) El adquirente responde solidariamente con el anterior o sus herederos.</w:t>
      </w:r>
    </w:p>
    <w:p>
      <w:pPr>
        <w:keepNext/>
        <w:keepLines/>
        <w:spacing w:after="40"/>
        <w:ind w:left="369" w:hanging="198"/>
      </w:pPr>
      <w:r>
        <w:rPr>
          <w:rFonts w:ascii="Arial" w:hAnsi="Arial" w:cs="Arial"/>
          <w:b w:val="0"/>
          <w:sz w:val="21"/>
        </w:rPr>
        <w:t>C) El adquirente nunca responde.</w:t>
      </w:r>
    </w:p>
    <w:p>
      <w:pPr>
        <w:keepNext/>
        <w:keepLines/>
        <w:spacing w:after="40"/>
        <w:ind w:left="369" w:hanging="198"/>
      </w:pPr>
      <w:r>
        <w:rPr>
          <w:rFonts w:ascii="Arial" w:hAnsi="Arial" w:cs="Arial"/>
          <w:b w:val="0"/>
          <w:sz w:val="21"/>
        </w:rPr>
        <w:t>D) La responsabilidad es siempre subsidiaria.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S07 · dificultad alta. La opción indicada coincide con TRLGSS/artículo 168.2. Las demás alternativas alteran el órgano, el plazo, el requisito, el efecto o la excepción aplicable.</w:t>
      </w:r>
    </w:p>
    <w:p>
      <w:pPr>
        <w:pStyle w:val="Question"/>
        <w:keepNext/>
      </w:pPr>
      <w:r>
        <w:rPr>
          <w:rFonts w:ascii="Arial" w:hAnsi="Arial" w:cs="Arial"/>
          <w:sz w:val="22"/>
        </w:rPr>
        <w:t>40. A efectos de aplicar correctamente la regla examinada, con un Parlamento de 720 escaños, la elección del presidente de la Comisión requiere:</w:t>
      </w:r>
    </w:p>
    <w:p>
      <w:pPr>
        <w:keepNext/>
        <w:keepLines/>
        <w:spacing w:after="40"/>
        <w:ind w:left="369" w:hanging="198"/>
      </w:pPr>
      <w:r>
        <w:rPr>
          <w:rFonts w:ascii="Arial" w:hAnsi="Arial" w:cs="Arial"/>
          <w:b w:val="0"/>
          <w:sz w:val="21"/>
        </w:rPr>
        <w:t>A) La mayoría de votos emitidos, cualquiera que sea la asistencia.</w:t>
      </w:r>
    </w:p>
    <w:p>
      <w:pPr>
        <w:keepNext/>
        <w:keepLines/>
        <w:spacing w:after="40"/>
        <w:ind w:left="369" w:hanging="198"/>
      </w:pPr>
      <w:r>
        <w:rPr>
          <w:rFonts w:ascii="Arial" w:hAnsi="Arial" w:cs="Arial"/>
          <w:b w:val="0"/>
          <w:sz w:val="21"/>
        </w:rPr>
        <w:t>B) Dos tercios de votos emitidos y 65 % de población.</w:t>
      </w:r>
    </w:p>
    <w:p>
      <w:pPr>
        <w:keepNext/>
        <w:keepLines/>
        <w:spacing w:after="40"/>
        <w:ind w:left="369" w:hanging="198"/>
      </w:pPr>
      <w:r>
        <w:rPr>
          <w:rFonts w:ascii="Arial" w:hAnsi="Arial" w:cs="Arial"/>
          <w:b/>
          <w:sz w:val="21"/>
        </w:rPr>
        <w:t>C) La mayoría de los miembros que lo componen, es decir, 361 votos.</w:t>
      </w:r>
    </w:p>
    <w:p>
      <w:pPr>
        <w:keepNext/>
        <w:keepLines/>
        <w:spacing w:after="40"/>
        <w:ind w:left="369" w:hanging="198"/>
      </w:pPr>
      <w:r>
        <w:rPr>
          <w:rFonts w:ascii="Arial" w:hAnsi="Arial" w:cs="Arial"/>
          <w:b w:val="0"/>
          <w:sz w:val="21"/>
        </w:rPr>
        <w:t>D) Unanimidad de los grupos políticos.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G10 · dificultad alta. La opción indicada coincide con TUE/artículo 17.7 y Decisión (UE) 2023/2061. Las demás alternativas alteran el órgano, el plazo, el requisito, el efecto o la excepción aplicable.</w:t>
      </w:r>
    </w:p>
    <w:p>
      <w:pPr>
        <w:pStyle w:val="Question"/>
        <w:keepNext/>
      </w:pPr>
      <w:r>
        <w:rPr>
          <w:rFonts w:ascii="Arial" w:hAnsi="Arial" w:cs="Arial"/>
          <w:sz w:val="22"/>
        </w:rPr>
        <w:t>41. Conforme al ordenamiento vigente a la fecha de corte, el recurso de alzada contra la providencia, cuando se funda en alguno de sus motivos tasados:</w:t>
      </w:r>
    </w:p>
    <w:p>
      <w:pPr>
        <w:keepNext/>
        <w:keepLines/>
        <w:spacing w:after="40"/>
        <w:ind w:left="369" w:hanging="198"/>
      </w:pPr>
      <w:r>
        <w:rPr>
          <w:rFonts w:ascii="Arial" w:hAnsi="Arial" w:cs="Arial"/>
          <w:b w:val="0"/>
          <w:sz w:val="21"/>
        </w:rPr>
        <w:t>A) Nunca suspende el apremio.</w:t>
      </w:r>
    </w:p>
    <w:p>
      <w:pPr>
        <w:keepNext/>
        <w:keepLines/>
        <w:spacing w:after="40"/>
        <w:ind w:left="369" w:hanging="198"/>
      </w:pPr>
      <w:r>
        <w:rPr>
          <w:rFonts w:ascii="Arial" w:hAnsi="Arial" w:cs="Arial"/>
          <w:b/>
          <w:sz w:val="21"/>
        </w:rPr>
        <w:t>B) Suspende el procedimiento de apremio sin necesidad de garantía hasta que se notifique su resolución.</w:t>
      </w:r>
    </w:p>
    <w:p>
      <w:pPr>
        <w:keepNext/>
        <w:keepLines/>
        <w:spacing w:after="40"/>
        <w:ind w:left="369" w:hanging="198"/>
      </w:pPr>
      <w:r>
        <w:rPr>
          <w:rFonts w:ascii="Arial" w:hAnsi="Arial" w:cs="Arial"/>
          <w:b w:val="0"/>
          <w:sz w:val="21"/>
        </w:rPr>
        <w:t>C) Solo suspende con aval por el doble de la deuda.</w:t>
      </w:r>
    </w:p>
    <w:p>
      <w:pPr>
        <w:keepNext/>
        <w:keepLines/>
        <w:spacing w:after="40"/>
        <w:ind w:left="369" w:hanging="198"/>
      </w:pPr>
      <w:r>
        <w:rPr>
          <w:rFonts w:ascii="Arial" w:hAnsi="Arial" w:cs="Arial"/>
          <w:b w:val="0"/>
          <w:sz w:val="21"/>
        </w:rPr>
        <w:t>D) Extingue automáticamente la deuda.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básica. La opción indicada coincide con RGRSS, artículo 86.2. Las demás alternativas alteran el órgano, el plazo, el requisito, el efecto o la excepción aplicable.</w:t>
      </w:r>
    </w:p>
    <w:p>
      <w:pPr>
        <w:pStyle w:val="Question"/>
        <w:keepNext/>
      </w:pPr>
      <w:r>
        <w:rPr>
          <w:rFonts w:ascii="Arial" w:hAnsi="Arial" w:cs="Arial"/>
          <w:sz w:val="22"/>
        </w:rPr>
        <w:t>42. A efectos de aplicar correctamente la regla examinada, ¿Qué efecto principal produjo la reforma constitucional de 19 de mayo de 2026 sobre la representación insular en el Senado?</w:t>
      </w:r>
    </w:p>
    <w:p>
      <w:pPr>
        <w:keepNext/>
        <w:keepLines/>
        <w:spacing w:after="40"/>
        <w:ind w:left="369" w:hanging="198"/>
      </w:pPr>
      <w:r>
        <w:rPr>
          <w:rFonts w:ascii="Arial" w:hAnsi="Arial" w:cs="Arial"/>
          <w:b w:val="0"/>
          <w:sz w:val="21"/>
        </w:rPr>
        <w:t>A) Asignó dos senadores a Formentera.</w:t>
      </w:r>
    </w:p>
    <w:p>
      <w:pPr>
        <w:keepNext/>
        <w:keepLines/>
        <w:spacing w:after="40"/>
        <w:ind w:left="369" w:hanging="198"/>
      </w:pPr>
      <w:r>
        <w:rPr>
          <w:rFonts w:ascii="Arial" w:hAnsi="Arial" w:cs="Arial"/>
          <w:b/>
          <w:sz w:val="21"/>
        </w:rPr>
        <w:t>B) Reconoció a Ibiza y Formentera como circunscripciones separadas, con un senador cada una.</w:t>
      </w:r>
    </w:p>
    <w:p>
      <w:pPr>
        <w:keepNext/>
        <w:keepLines/>
        <w:spacing w:after="40"/>
        <w:ind w:left="369" w:hanging="198"/>
      </w:pPr>
      <w:r>
        <w:rPr>
          <w:rFonts w:ascii="Arial" w:hAnsi="Arial" w:cs="Arial"/>
          <w:b w:val="0"/>
          <w:sz w:val="21"/>
        </w:rPr>
        <w:t>C) Suprimió la circunscripción de Ibiza.</w:t>
      </w:r>
    </w:p>
    <w:p>
      <w:pPr>
        <w:keepNext/>
        <w:keepLines/>
        <w:spacing w:after="40"/>
        <w:ind w:left="369" w:hanging="198"/>
      </w:pPr>
      <w:r>
        <w:rPr>
          <w:rFonts w:ascii="Arial" w:hAnsi="Arial" w:cs="Arial"/>
          <w:b w:val="0"/>
          <w:sz w:val="21"/>
        </w:rPr>
        <w:t>D) Integró Formentera en la circunscripción de Mallorca.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G05 · dificultad media. La opción indicada coincide con Constitución Española, art. 69.3, redacción de 19-5-2026. Las demás alternativas alteran el órgano, el plazo, el requisito, el efecto o la excepción aplicable.</w:t>
      </w:r>
    </w:p>
    <w:p>
      <w:pPr>
        <w:pStyle w:val="Question"/>
        <w:keepNext/>
      </w:pPr>
      <w:r>
        <w:rPr>
          <w:rFonts w:ascii="Arial" w:hAnsi="Arial" w:cs="Arial"/>
          <w:sz w:val="22"/>
        </w:rPr>
        <w:t>43. En una comprobación jurídica del expediente, la prestación de incapacidad permanente absoluta consiste en:</w:t>
      </w:r>
    </w:p>
    <w:p>
      <w:pPr>
        <w:keepNext/>
        <w:keepLines/>
        <w:spacing w:after="40"/>
        <w:ind w:left="369" w:hanging="198"/>
      </w:pPr>
      <w:r>
        <w:rPr>
          <w:rFonts w:ascii="Arial" w:hAnsi="Arial" w:cs="Arial"/>
          <w:b w:val="0"/>
          <w:sz w:val="21"/>
        </w:rPr>
        <w:t>A) 55 por ciento de la base reguladora.</w:t>
      </w:r>
    </w:p>
    <w:p>
      <w:pPr>
        <w:keepNext/>
        <w:keepLines/>
        <w:spacing w:after="40"/>
        <w:ind w:left="369" w:hanging="198"/>
      </w:pPr>
      <w:r>
        <w:rPr>
          <w:rFonts w:ascii="Arial" w:hAnsi="Arial" w:cs="Arial"/>
          <w:b w:val="0"/>
          <w:sz w:val="21"/>
        </w:rPr>
        <w:t>B) Indemnización a tanto alzado.</w:t>
      </w:r>
    </w:p>
    <w:p>
      <w:pPr>
        <w:keepNext/>
        <w:keepLines/>
        <w:spacing w:after="40"/>
        <w:ind w:left="369" w:hanging="198"/>
      </w:pPr>
      <w:r>
        <w:rPr>
          <w:rFonts w:ascii="Arial" w:hAnsi="Arial" w:cs="Arial"/>
          <w:b w:val="0"/>
          <w:sz w:val="21"/>
        </w:rPr>
        <w:t>C) Complemento sin pensión.</w:t>
      </w:r>
    </w:p>
    <w:p>
      <w:pPr>
        <w:keepNext/>
        <w:keepLines/>
        <w:spacing w:after="40"/>
        <w:ind w:left="369" w:hanging="198"/>
      </w:pPr>
      <w:r>
        <w:rPr>
          <w:rFonts w:ascii="Arial" w:hAnsi="Arial" w:cs="Arial"/>
          <w:b/>
          <w:sz w:val="21"/>
        </w:rPr>
        <w:t>D) Pensión vitalicia del 100 por ciento de la base reguladora.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S08 · dificultad media. La opción indicada coincide con TRLGSS/artículo 196.3 y normativa de desarrollo. Las demás alternativas alteran el órgano, el plazo, el requisito, el efecto o la excepción aplicable.</w:t>
      </w:r>
    </w:p>
    <w:p>
      <w:pPr>
        <w:pStyle w:val="Question"/>
        <w:keepNext/>
      </w:pPr>
      <w:r>
        <w:rPr>
          <w:rFonts w:ascii="Arial" w:hAnsi="Arial" w:cs="Arial"/>
          <w:sz w:val="22"/>
        </w:rPr>
        <w:t>44. En una comprobación jurídica del expediente, ¿Qué protege la inviolabilidad parlamentaria?</w:t>
      </w:r>
    </w:p>
    <w:p>
      <w:pPr>
        <w:keepNext/>
        <w:keepLines/>
        <w:spacing w:after="40"/>
        <w:ind w:left="369" w:hanging="198"/>
      </w:pPr>
      <w:r>
        <w:rPr>
          <w:rFonts w:ascii="Arial" w:hAnsi="Arial" w:cs="Arial"/>
          <w:b/>
          <w:sz w:val="21"/>
        </w:rPr>
        <w:t>A) Las opiniones manifestadas en el ejercicio de las funciones parlamentarias.</w:t>
      </w:r>
    </w:p>
    <w:p>
      <w:pPr>
        <w:keepNext/>
        <w:keepLines/>
        <w:spacing w:after="40"/>
        <w:ind w:left="369" w:hanging="198"/>
      </w:pPr>
      <w:r>
        <w:rPr>
          <w:rFonts w:ascii="Arial" w:hAnsi="Arial" w:cs="Arial"/>
          <w:b w:val="0"/>
          <w:sz w:val="21"/>
        </w:rPr>
        <w:t>B) Frente a cualquier responsabilidad por cualquier acto privado.</w:t>
      </w:r>
    </w:p>
    <w:p>
      <w:pPr>
        <w:keepNext/>
        <w:keepLines/>
        <w:spacing w:after="40"/>
        <w:ind w:left="369" w:hanging="198"/>
      </w:pPr>
      <w:r>
        <w:rPr>
          <w:rFonts w:ascii="Arial" w:hAnsi="Arial" w:cs="Arial"/>
          <w:b w:val="0"/>
          <w:sz w:val="21"/>
        </w:rPr>
        <w:t>C) Frente a la detención, salvo autorización del Gobierno.</w:t>
      </w:r>
    </w:p>
    <w:p>
      <w:pPr>
        <w:keepNext/>
        <w:keepLines/>
        <w:spacing w:after="40"/>
        <w:ind w:left="369" w:hanging="198"/>
      </w:pPr>
      <w:r>
        <w:rPr>
          <w:rFonts w:ascii="Arial" w:hAnsi="Arial" w:cs="Arial"/>
          <w:b w:val="0"/>
          <w:sz w:val="21"/>
        </w:rPr>
        <w:t>D) El derecho a conservar el escaño tras la disolución.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media. La opción indicada coincide con Constitución Española, art. 71.1; Reglamento del Congreso, art. 10. Las demás alternativas alteran el órgano, el plazo, el requisito, el efecto o la excepción aplicable.</w:t>
      </w:r>
    </w:p>
    <w:p>
      <w:pPr>
        <w:pStyle w:val="Question"/>
        <w:keepNext/>
      </w:pPr>
      <w:r>
        <w:rPr>
          <w:rFonts w:ascii="Arial" w:hAnsi="Arial" w:cs="Arial"/>
          <w:sz w:val="22"/>
        </w:rPr>
        <w:t>45. Conforme al ordenamiento vigente a la fecha de corte, ¿Cuál es el título constitucional del titular de la Corona?</w:t>
      </w:r>
    </w:p>
    <w:p>
      <w:pPr>
        <w:keepNext/>
        <w:keepLines/>
        <w:spacing w:after="40"/>
        <w:ind w:left="369" w:hanging="198"/>
      </w:pPr>
      <w:r>
        <w:rPr>
          <w:rFonts w:ascii="Arial" w:hAnsi="Arial" w:cs="Arial"/>
          <w:b/>
          <w:sz w:val="21"/>
        </w:rPr>
        <w:t>A) Rey de España.</w:t>
      </w:r>
    </w:p>
    <w:p>
      <w:pPr>
        <w:keepNext/>
        <w:keepLines/>
        <w:spacing w:after="40"/>
        <w:ind w:left="369" w:hanging="198"/>
      </w:pPr>
      <w:r>
        <w:rPr>
          <w:rFonts w:ascii="Arial" w:hAnsi="Arial" w:cs="Arial"/>
          <w:b w:val="0"/>
          <w:sz w:val="21"/>
        </w:rPr>
        <w:t>B) Rey de los españoles.</w:t>
      </w:r>
    </w:p>
    <w:p>
      <w:pPr>
        <w:keepNext/>
        <w:keepLines/>
        <w:spacing w:after="40"/>
        <w:ind w:left="369" w:hanging="198"/>
      </w:pPr>
      <w:r>
        <w:rPr>
          <w:rFonts w:ascii="Arial" w:hAnsi="Arial" w:cs="Arial"/>
          <w:b w:val="0"/>
          <w:sz w:val="21"/>
        </w:rPr>
        <w:t>C) Rey de la Monarquía.</w:t>
      </w:r>
    </w:p>
    <w:p>
      <w:pPr>
        <w:keepNext/>
        <w:keepLines/>
        <w:spacing w:after="40"/>
        <w:ind w:left="369" w:hanging="198"/>
      </w:pPr>
      <w:r>
        <w:rPr>
          <w:rFonts w:ascii="Arial" w:hAnsi="Arial" w:cs="Arial"/>
          <w:b w:val="0"/>
          <w:sz w:val="21"/>
        </w:rPr>
        <w:t>D) Jefe Real del Estado.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G04 · dificultad básica. La opción indicada coincide con Constitución Española, art. 56.2. Las demás alternativas alteran el órgano, el plazo, el requisito, el efecto o la excepción aplicable.</w:t>
      </w:r>
    </w:p>
    <w:p>
      <w:pPr>
        <w:pStyle w:val="Question"/>
        <w:keepNext/>
      </w:pPr>
      <w:r>
        <w:rPr>
          <w:rFonts w:ascii="Arial" w:hAnsi="Arial" w:cs="Arial"/>
          <w:sz w:val="22"/>
        </w:rPr>
        <w:t>46. En una comprobación jurídica del expediente, ¿Cuál de las siguientes afirmaciones describe correctamente la inmunidad de diputados y senadores?</w:t>
      </w:r>
    </w:p>
    <w:p>
      <w:pPr>
        <w:keepNext/>
        <w:keepLines/>
        <w:spacing w:after="40"/>
        <w:ind w:left="369" w:hanging="198"/>
      </w:pPr>
      <w:r>
        <w:rPr>
          <w:rFonts w:ascii="Arial" w:hAnsi="Arial" w:cs="Arial"/>
          <w:b w:val="0"/>
          <w:sz w:val="21"/>
        </w:rPr>
        <w:t>A) Nunca pueden ser detenidos, ni siquiera por delito flagrante.</w:t>
      </w:r>
    </w:p>
    <w:p>
      <w:pPr>
        <w:keepNext/>
        <w:keepLines/>
        <w:spacing w:after="40"/>
        <w:ind w:left="369" w:hanging="198"/>
      </w:pPr>
      <w:r>
        <w:rPr>
          <w:rFonts w:ascii="Arial" w:hAnsi="Arial" w:cs="Arial"/>
          <w:b w:val="0"/>
          <w:sz w:val="21"/>
        </w:rPr>
        <w:t>B) Solo existe después de terminar el mandato.</w:t>
      </w:r>
    </w:p>
    <w:p>
      <w:pPr>
        <w:keepNext/>
        <w:keepLines/>
        <w:spacing w:after="40"/>
        <w:ind w:left="369" w:hanging="198"/>
      </w:pPr>
      <w:r>
        <w:rPr>
          <w:rFonts w:ascii="Arial" w:hAnsi="Arial" w:cs="Arial"/>
          <w:b w:val="0"/>
          <w:sz w:val="21"/>
        </w:rPr>
        <w:t>C) Impide que la Sala Penal del Tribunal Supremo los juzgue.</w:t>
      </w:r>
    </w:p>
    <w:p>
      <w:pPr>
        <w:keepNext/>
        <w:keepLines/>
        <w:spacing w:after="40"/>
        <w:ind w:left="369" w:hanging="198"/>
      </w:pPr>
      <w:r>
        <w:rPr>
          <w:rFonts w:ascii="Arial" w:hAnsi="Arial" w:cs="Arial"/>
          <w:b/>
          <w:sz w:val="21"/>
        </w:rPr>
        <w:t>D) Durante el mandato solo pueden ser detenidos por delito flagrante y requieren autorización de la Cámara para ser inculpados o procesados.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G05 · dificultad media. La opción indicada coincide con Constitución Española, art. 71.2 y 3. Las demás alternativas alteran el órgano, el plazo, el requisito, el efecto o la excepción aplicable.</w:t>
      </w:r>
    </w:p>
    <w:p>
      <w:pPr>
        <w:pStyle w:val="Question"/>
        <w:keepNext/>
      </w:pPr>
      <w:r>
        <w:rPr>
          <w:rFonts w:ascii="Arial" w:hAnsi="Arial" w:cs="Arial"/>
          <w:sz w:val="22"/>
        </w:rPr>
        <w:t>47. A efectos de aplicar correctamente la regla examinada, la estructura final de la Constitución incluye:</w:t>
      </w:r>
    </w:p>
    <w:p>
      <w:pPr>
        <w:keepNext/>
        <w:keepLines/>
        <w:spacing w:after="40"/>
        <w:ind w:left="369" w:hanging="198"/>
      </w:pPr>
      <w:r>
        <w:rPr>
          <w:rFonts w:ascii="Arial" w:hAnsi="Arial" w:cs="Arial"/>
          <w:b w:val="0"/>
          <w:sz w:val="21"/>
        </w:rPr>
        <w:t>A) Tres disposiciones adicionales, nueve transitorias, una derogatoria y una final.</w:t>
      </w:r>
    </w:p>
    <w:p>
      <w:pPr>
        <w:keepNext/>
        <w:keepLines/>
        <w:spacing w:after="40"/>
        <w:ind w:left="369" w:hanging="198"/>
      </w:pPr>
      <w:r>
        <w:rPr>
          <w:rFonts w:ascii="Arial" w:hAnsi="Arial" w:cs="Arial"/>
          <w:b/>
          <w:sz w:val="21"/>
        </w:rPr>
        <w:t>B) Cuatro disposiciones adicionales, nueve transitorias, una derogatoria y una final.</w:t>
      </w:r>
    </w:p>
    <w:p>
      <w:pPr>
        <w:keepNext/>
        <w:keepLines/>
        <w:spacing w:after="40"/>
        <w:ind w:left="369" w:hanging="198"/>
      </w:pPr>
      <w:r>
        <w:rPr>
          <w:rFonts w:ascii="Arial" w:hAnsi="Arial" w:cs="Arial"/>
          <w:b w:val="0"/>
          <w:sz w:val="21"/>
        </w:rPr>
        <w:t>C) Cuatro disposiciones adicionales, diez transitorias, dos derogatorias y una final.</w:t>
      </w:r>
    </w:p>
    <w:p>
      <w:pPr>
        <w:keepNext/>
        <w:keepLines/>
        <w:spacing w:after="40"/>
        <w:ind w:left="369" w:hanging="198"/>
      </w:pPr>
      <w:r>
        <w:rPr>
          <w:rFonts w:ascii="Arial" w:hAnsi="Arial" w:cs="Arial"/>
          <w:b w:val="0"/>
          <w:sz w:val="21"/>
        </w:rPr>
        <w:t>D) Nueve disposiciones adicionales, cuatro transitorias, una derogatoria y una final.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G01 · dificultad media. La opción indicada coincide con Constitución Española/estructura posterior al artículo 169. Las demás alternativas alteran el órgano, el plazo, el requisito, el efecto o la excepción aplicable.</w:t>
      </w:r>
    </w:p>
    <w:p>
      <w:pPr>
        <w:pStyle w:val="Question"/>
        <w:keepNext/>
      </w:pPr>
      <w:r>
        <w:rPr>
          <w:rFonts w:ascii="Arial" w:hAnsi="Arial" w:cs="Arial"/>
          <w:sz w:val="22"/>
        </w:rPr>
        <w:t>48. A efectos de aplicar correctamente la regla examinada, respecto de las oficinas consulares, es correcto afirmar que:</w:t>
      </w:r>
    </w:p>
    <w:p>
      <w:pPr>
        <w:keepNext/>
        <w:keepLines/>
        <w:spacing w:after="40"/>
        <w:ind w:left="369" w:hanging="198"/>
      </w:pPr>
      <w:r>
        <w:rPr>
          <w:rFonts w:ascii="Arial" w:hAnsi="Arial" w:cs="Arial"/>
          <w:b w:val="0"/>
          <w:sz w:val="21"/>
        </w:rPr>
        <w:t>A) Todas se crean por orden ministerial.</w:t>
      </w:r>
    </w:p>
    <w:p>
      <w:pPr>
        <w:keepNext/>
        <w:keepLines/>
        <w:spacing w:after="40"/>
        <w:ind w:left="369" w:hanging="198"/>
      </w:pPr>
      <w:r>
        <w:rPr>
          <w:rFonts w:ascii="Arial" w:hAnsi="Arial" w:cs="Arial"/>
          <w:b w:val="0"/>
          <w:sz w:val="21"/>
        </w:rPr>
        <w:t>B) Todas deben estar dirigidas por funcionarios de la Carrera Diplomática.</w:t>
      </w:r>
    </w:p>
    <w:p>
      <w:pPr>
        <w:keepNext/>
        <w:keepLines/>
        <w:spacing w:after="40"/>
        <w:ind w:left="369" w:hanging="198"/>
      </w:pPr>
      <w:r>
        <w:rPr>
          <w:rFonts w:ascii="Arial" w:hAnsi="Arial" w:cs="Arial"/>
          <w:b/>
          <w:sz w:val="21"/>
        </w:rPr>
        <w:t>C) Las oficinas de carrera se crean por real decreto del Consejo y las honorarias por orden de Asuntos Exteriores.</w:t>
      </w:r>
    </w:p>
    <w:p>
      <w:pPr>
        <w:keepNext/>
        <w:keepLines/>
        <w:spacing w:after="40"/>
        <w:ind w:left="369" w:hanging="198"/>
      </w:pPr>
      <w:r>
        <w:rPr>
          <w:rFonts w:ascii="Arial" w:hAnsi="Arial" w:cs="Arial"/>
          <w:b w:val="0"/>
          <w:sz w:val="21"/>
        </w:rPr>
        <w:t>D) Las honorarias se crean por real decreto y las de carrera por orden.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G08 · dificultad alta. La opción indicada coincide con Ley 2/2014/artículos 47.2 y 48.1 a 48.2. Las demás alternativas alteran el órgano, el plazo, el requisito, el efecto o la excepción aplicable.</w:t>
      </w:r>
    </w:p>
    <w:p>
      <w:pPr>
        <w:pStyle w:val="Question"/>
        <w:keepNext/>
      </w:pPr>
      <w:r>
        <w:rPr>
          <w:rFonts w:ascii="Arial" w:hAnsi="Arial" w:cs="Arial"/>
          <w:sz w:val="22"/>
        </w:rPr>
        <w:t>49. A efectos de aplicar correctamente la regla examinada, para acceder a la jubilación anticipada voluntaria, el importe de la pensión resultante debe:</w:t>
      </w:r>
    </w:p>
    <w:p>
      <w:pPr>
        <w:keepNext/>
        <w:keepLines/>
        <w:spacing w:after="40"/>
        <w:ind w:left="369" w:hanging="198"/>
      </w:pPr>
      <w:r>
        <w:rPr>
          <w:rFonts w:ascii="Arial" w:hAnsi="Arial" w:cs="Arial"/>
          <w:b w:val="0"/>
          <w:sz w:val="21"/>
        </w:rPr>
        <w:t>A) Ser inferior a la pensión mínima para generar complemento.</w:t>
      </w:r>
    </w:p>
    <w:p>
      <w:pPr>
        <w:keepNext/>
        <w:keepLines/>
        <w:spacing w:after="40"/>
        <w:ind w:left="369" w:hanging="198"/>
      </w:pPr>
      <w:r>
        <w:rPr>
          <w:rFonts w:ascii="Arial" w:hAnsi="Arial" w:cs="Arial"/>
          <w:b w:val="0"/>
          <w:sz w:val="21"/>
        </w:rPr>
        <w:t>B) Coincidir con el salario mínimo interprofesional.</w:t>
      </w:r>
    </w:p>
    <w:p>
      <w:pPr>
        <w:keepNext/>
        <w:keepLines/>
        <w:spacing w:after="40"/>
        <w:ind w:left="369" w:hanging="198"/>
      </w:pPr>
      <w:r>
        <w:rPr>
          <w:rFonts w:ascii="Arial" w:hAnsi="Arial" w:cs="Arial"/>
          <w:b w:val="0"/>
          <w:sz w:val="21"/>
        </w:rPr>
        <w:t>C) Alcanzar necesariamente la pensión máxima.</w:t>
      </w:r>
    </w:p>
    <w:p>
      <w:pPr>
        <w:keepNext/>
        <w:keepLines/>
        <w:spacing w:after="40"/>
        <w:ind w:left="369" w:hanging="198"/>
      </w:pPr>
      <w:r>
        <w:rPr>
          <w:rFonts w:ascii="Arial" w:hAnsi="Arial" w:cs="Arial"/>
          <w:b/>
          <w:sz w:val="21"/>
        </w:rPr>
        <w:t>D) Superar la cuantía de la pensión mínima que correspondería al interesado al cumplir 65 años.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alta. La opción indicada coincide con TRLGSS, artículo 208.1.c. Las demás alternativas alteran el órgano, el plazo, el requisito, el efecto o la excepción aplicable.</w:t>
      </w:r>
    </w:p>
    <w:p>
      <w:pPr>
        <w:pStyle w:val="Question"/>
        <w:keepNext/>
      </w:pPr>
      <w:r>
        <w:rPr>
          <w:rFonts w:ascii="Arial" w:hAnsi="Arial" w:cs="Arial"/>
          <w:sz w:val="22"/>
        </w:rPr>
        <w:t>50. A efectos de aplicar correctamente la regla examinada, ¿Cuál de estas relaciones contiene solo derechos o garantías suspendibles con carácter general conforme al artículo 55.1?</w:t>
      </w:r>
    </w:p>
    <w:p>
      <w:pPr>
        <w:keepNext/>
        <w:keepLines/>
        <w:spacing w:after="40"/>
        <w:ind w:left="369" w:hanging="198"/>
      </w:pPr>
      <w:r>
        <w:rPr>
          <w:rFonts w:ascii="Arial" w:hAnsi="Arial" w:cs="Arial"/>
          <w:b/>
          <w:sz w:val="21"/>
        </w:rPr>
        <w:t>A) Inviolabilidad domiciliaria, secreto de comunicaciones, circulación y huelga.</w:t>
      </w:r>
    </w:p>
    <w:p>
      <w:pPr>
        <w:keepNext/>
        <w:keepLines/>
        <w:spacing w:after="40"/>
        <w:ind w:left="369" w:hanging="198"/>
      </w:pPr>
      <w:r>
        <w:rPr>
          <w:rFonts w:ascii="Arial" w:hAnsi="Arial" w:cs="Arial"/>
          <w:b w:val="0"/>
          <w:sz w:val="21"/>
        </w:rPr>
        <w:t>B) Vida, libertad ideológica, reunión y tutela judicial.</w:t>
      </w:r>
    </w:p>
    <w:p>
      <w:pPr>
        <w:keepNext/>
        <w:keepLines/>
        <w:spacing w:after="40"/>
        <w:ind w:left="369" w:hanging="198"/>
      </w:pPr>
      <w:r>
        <w:rPr>
          <w:rFonts w:ascii="Arial" w:hAnsi="Arial" w:cs="Arial"/>
          <w:b w:val="0"/>
          <w:sz w:val="21"/>
        </w:rPr>
        <w:t>C) Igualdad, educación, huelga y propiedad.</w:t>
      </w:r>
    </w:p>
    <w:p>
      <w:pPr>
        <w:keepNext/>
        <w:keepLines/>
        <w:spacing w:after="40"/>
        <w:ind w:left="369" w:hanging="198"/>
      </w:pPr>
      <w:r>
        <w:rPr>
          <w:rFonts w:ascii="Arial" w:hAnsi="Arial" w:cs="Arial"/>
          <w:b w:val="0"/>
          <w:sz w:val="21"/>
        </w:rPr>
        <w:t>D) Libertad religiosa, legalidad sancionadora, petición y vivienda.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G02 · dificultad alta. La opción indicada coincide con Constitución Española/artículo 55.1. Las demás alternativas alteran el órgano, el plazo, el requisito, el efecto o la excepción aplicable.</w:t>
      </w:r>
    </w:p>
    <w:p>
      <w:pPr>
        <w:pStyle w:val="Question"/>
        <w:keepNext/>
      </w:pPr>
      <w:r>
        <w:rPr>
          <w:rFonts w:ascii="Arial" w:hAnsi="Arial" w:cs="Arial"/>
          <w:sz w:val="22"/>
        </w:rPr>
        <w:t>51. Conforme al ordenamiento vigente a la fecha de corte, si un magistrado cesa antes de expirar su mandato, ¿por cuánto tiempo se designa a quien cubra la vacante?</w:t>
      </w:r>
    </w:p>
    <w:p>
      <w:pPr>
        <w:keepNext/>
        <w:keepLines/>
        <w:spacing w:after="40"/>
        <w:ind w:left="369" w:hanging="198"/>
      </w:pPr>
      <w:r>
        <w:rPr>
          <w:rFonts w:ascii="Arial" w:hAnsi="Arial" w:cs="Arial"/>
          <w:b w:val="0"/>
          <w:sz w:val="21"/>
        </w:rPr>
        <w:t>A) Por tres años en todo caso.</w:t>
      </w:r>
    </w:p>
    <w:p>
      <w:pPr>
        <w:keepNext/>
        <w:keepLines/>
        <w:spacing w:after="40"/>
        <w:ind w:left="369" w:hanging="198"/>
      </w:pPr>
      <w:r>
        <w:rPr>
          <w:rFonts w:ascii="Arial" w:hAnsi="Arial" w:cs="Arial"/>
          <w:b w:val="0"/>
          <w:sz w:val="21"/>
        </w:rPr>
        <w:t>B) Por un nuevo mandato de nueve años.</w:t>
      </w:r>
    </w:p>
    <w:p>
      <w:pPr>
        <w:keepNext/>
        <w:keepLines/>
        <w:spacing w:after="40"/>
        <w:ind w:left="369" w:hanging="198"/>
      </w:pPr>
      <w:r>
        <w:rPr>
          <w:rFonts w:ascii="Arial" w:hAnsi="Arial" w:cs="Arial"/>
          <w:b w:val="0"/>
          <w:sz w:val="21"/>
        </w:rPr>
        <w:t>C) Hasta la siguiente renovación parcial, aunque falten más de tres años.</w:t>
      </w:r>
    </w:p>
    <w:p>
      <w:pPr>
        <w:keepNext/>
        <w:keepLines/>
        <w:spacing w:after="40"/>
        <w:ind w:left="369" w:hanging="198"/>
      </w:pPr>
      <w:r>
        <w:rPr>
          <w:rFonts w:ascii="Arial" w:hAnsi="Arial" w:cs="Arial"/>
          <w:b/>
          <w:sz w:val="21"/>
        </w:rPr>
        <w:t>D) Por el tiempo que restase al magistrado sustituido.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G03 · dificultad alta. La opción indicada coincide con LOTC, art. 16.5. Las demás alternativas alteran el órgano, el plazo, el requisito, el efecto o la excepción aplicable.</w:t>
      </w:r>
    </w:p>
    <w:p>
      <w:pPr>
        <w:pStyle w:val="Question"/>
        <w:keepNext/>
      </w:pPr>
      <w:r>
        <w:rPr>
          <w:rFonts w:ascii="Arial" w:hAnsi="Arial" w:cs="Arial"/>
          <w:sz w:val="22"/>
        </w:rPr>
        <w:t>52. A efectos de aplicar correctamente la regla examinada, un juez estima definitivamente un recurso indirecto por ilegalidad reglamentaria y también es competente para conocer del recurso directo contra ese reglamento. Según la LJCA:</w:t>
      </w:r>
    </w:p>
    <w:p>
      <w:pPr>
        <w:keepNext/>
        <w:keepLines/>
        <w:spacing w:after="40"/>
        <w:ind w:left="369" w:hanging="198"/>
      </w:pPr>
      <w:r>
        <w:rPr>
          <w:rFonts w:ascii="Arial" w:hAnsi="Arial" w:cs="Arial"/>
          <w:b w:val="0"/>
          <w:sz w:val="21"/>
        </w:rPr>
        <w:t>A) Debe limitarse a inaplicarlo y plantear siempre cuestión de ilegalidad.</w:t>
      </w:r>
    </w:p>
    <w:p>
      <w:pPr>
        <w:keepNext/>
        <w:keepLines/>
        <w:spacing w:after="40"/>
        <w:ind w:left="369" w:hanging="198"/>
      </w:pPr>
      <w:r>
        <w:rPr>
          <w:rFonts w:ascii="Arial" w:hAnsi="Arial" w:cs="Arial"/>
          <w:b w:val="0"/>
          <w:sz w:val="21"/>
        </w:rPr>
        <w:t>B) Debe plantear cuestión de inconstitucionalidad.</w:t>
      </w:r>
    </w:p>
    <w:p>
      <w:pPr>
        <w:keepNext/>
        <w:keepLines/>
        <w:spacing w:after="40"/>
        <w:ind w:left="369" w:hanging="198"/>
      </w:pPr>
      <w:r>
        <w:rPr>
          <w:rFonts w:ascii="Arial" w:hAnsi="Arial" w:cs="Arial"/>
          <w:b/>
          <w:sz w:val="21"/>
        </w:rPr>
        <w:t>C) La sentencia declarará la validez o nulidad de la disposición, sin plantear cuestión de ilegalidad.</w:t>
      </w:r>
    </w:p>
    <w:p>
      <w:pPr>
        <w:keepNext/>
        <w:keepLines/>
        <w:spacing w:after="40"/>
        <w:ind w:left="369" w:hanging="198"/>
      </w:pPr>
      <w:r>
        <w:rPr>
          <w:rFonts w:ascii="Arial" w:hAnsi="Arial" w:cs="Arial"/>
          <w:b w:val="0"/>
          <w:sz w:val="21"/>
        </w:rPr>
        <w:t>D) Ha de remitir la decisión al órgano que aprobó el reglamento.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alta. La opción indicada coincide con Ley 29/1998/artículo 27.2. Las demás alternativas alteran el órgano, el plazo, el requisito, el efecto o la excepción aplicable.</w:t>
      </w:r>
    </w:p>
    <w:p>
      <w:pPr>
        <w:pStyle w:val="Question"/>
        <w:keepNext/>
      </w:pPr>
      <w:r>
        <w:rPr>
          <w:rFonts w:ascii="Arial" w:hAnsi="Arial" w:cs="Arial"/>
          <w:sz w:val="22"/>
        </w:rPr>
        <w:t>53. A efectos de aplicar correctamente la regla examinada, el Real Decreto 689/2025, fechado el 29 de julio de 2025:</w:t>
      </w:r>
    </w:p>
    <w:p>
      <w:pPr>
        <w:keepNext/>
        <w:keepLines/>
        <w:spacing w:after="40"/>
        <w:ind w:left="369" w:hanging="198"/>
      </w:pPr>
      <w:r>
        <w:rPr>
          <w:rFonts w:ascii="Arial" w:hAnsi="Arial" w:cs="Arial"/>
          <w:b w:val="0"/>
          <w:sz w:val="21"/>
        </w:rPr>
        <w:t>A) Entró en vigor antes de su publicación.</w:t>
      </w:r>
    </w:p>
    <w:p>
      <w:pPr>
        <w:keepNext/>
        <w:keepLines/>
        <w:spacing w:after="40"/>
        <w:ind w:left="369" w:hanging="198"/>
      </w:pPr>
      <w:r>
        <w:rPr>
          <w:rFonts w:ascii="Arial" w:hAnsi="Arial" w:cs="Arial"/>
          <w:b w:val="0"/>
          <w:sz w:val="21"/>
        </w:rPr>
        <w:t>B) No estaba vigente el 30 de julio de 2026.</w:t>
      </w:r>
    </w:p>
    <w:p>
      <w:pPr>
        <w:keepNext/>
        <w:keepLines/>
        <w:spacing w:after="40"/>
        <w:ind w:left="369" w:hanging="198"/>
      </w:pPr>
      <w:r>
        <w:rPr>
          <w:rFonts w:ascii="Arial" w:hAnsi="Arial" w:cs="Arial"/>
          <w:b w:val="0"/>
          <w:sz w:val="21"/>
        </w:rPr>
        <w:t>C) Fue derogado íntegramente por el Real Decreto 616/2026.</w:t>
      </w:r>
    </w:p>
    <w:p>
      <w:pPr>
        <w:keepNext/>
        <w:keepLines/>
        <w:spacing w:after="40"/>
        <w:ind w:left="369" w:hanging="198"/>
      </w:pPr>
      <w:r>
        <w:rPr>
          <w:rFonts w:ascii="Arial" w:hAnsi="Arial" w:cs="Arial"/>
          <w:b/>
          <w:sz w:val="21"/>
        </w:rPr>
        <w:t>D) Se publicó el 30 de julio y entró en vigor el 31 de julio de 2025.</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G12 · dificultad alta. La opción indicada coincide con Real Decreto 689/2025/disposición final única y datos de publicación. Las demás alternativas alteran el órgano, el plazo, el requisito, el efecto o la excepción aplicable.</w:t>
      </w:r>
    </w:p>
    <w:p>
      <w:pPr>
        <w:pStyle w:val="Question"/>
        <w:keepNext/>
      </w:pPr>
      <w:r>
        <w:rPr>
          <w:rFonts w:ascii="Arial" w:hAnsi="Arial" w:cs="Arial"/>
          <w:sz w:val="22"/>
        </w:rPr>
        <w:t>54. A efectos de aplicar correctamente la regla examinada, una situación asimilada a la de alta:</w:t>
      </w:r>
    </w:p>
    <w:p>
      <w:pPr>
        <w:keepNext/>
        <w:keepLines/>
        <w:spacing w:after="40"/>
        <w:ind w:left="369" w:hanging="198"/>
      </w:pPr>
      <w:r>
        <w:rPr>
          <w:rFonts w:ascii="Arial" w:hAnsi="Arial" w:cs="Arial"/>
          <w:b/>
          <w:sz w:val="21"/>
        </w:rPr>
        <w:t>A) Permite considerar cumplido el requisito de alta para las prestaciones y con el alcance que establezca la norma aplicable.</w:t>
      </w:r>
    </w:p>
    <w:p>
      <w:pPr>
        <w:keepNext/>
        <w:keepLines/>
        <w:spacing w:after="40"/>
        <w:ind w:left="369" w:hanging="198"/>
      </w:pPr>
      <w:r>
        <w:rPr>
          <w:rFonts w:ascii="Arial" w:hAnsi="Arial" w:cs="Arial"/>
          <w:b w:val="0"/>
          <w:sz w:val="21"/>
        </w:rPr>
        <w:t>B) Crea siempre cotizaciones ficticias por todas las contingencias.</w:t>
      </w:r>
    </w:p>
    <w:p>
      <w:pPr>
        <w:keepNext/>
        <w:keepLines/>
        <w:spacing w:after="40"/>
        <w:ind w:left="369" w:hanging="198"/>
      </w:pPr>
      <w:r>
        <w:rPr>
          <w:rFonts w:ascii="Arial" w:hAnsi="Arial" w:cs="Arial"/>
          <w:b w:val="0"/>
          <w:sz w:val="21"/>
        </w:rPr>
        <w:t>C) Equivale necesariamente a un contrato de trabajo vigente.</w:t>
      </w:r>
    </w:p>
    <w:p>
      <w:pPr>
        <w:keepNext/>
        <w:keepLines/>
        <w:spacing w:after="40"/>
        <w:ind w:left="369" w:hanging="198"/>
      </w:pPr>
      <w:r>
        <w:rPr>
          <w:rFonts w:ascii="Arial" w:hAnsi="Arial" w:cs="Arial"/>
          <w:b w:val="0"/>
          <w:sz w:val="21"/>
        </w:rPr>
        <w:t>D) Extiende de forma automática idéntica cobertura a cualquier prestación.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S03 · dificultad media. La opción indicada coincide con TRLGSS, artículo 166; RD 84/1996, artículo 36. Las demás alternativas alteran el órgano, el plazo, el requisito, el efecto o la excepción aplicable.</w:t>
      </w:r>
    </w:p>
    <w:p>
      <w:pPr>
        <w:pStyle w:val="Question"/>
        <w:keepNext/>
      </w:pPr>
      <w:r>
        <w:rPr>
          <w:rFonts w:ascii="Arial" w:hAnsi="Arial" w:cs="Arial"/>
          <w:sz w:val="22"/>
        </w:rPr>
        <w:t>55. Conforme al ordenamiento vigente a la fecha de corte, ¿Cuál de estas afirmaciones distingue correctamente aplicabilidad directa y efecto directo?</w:t>
      </w:r>
    </w:p>
    <w:p>
      <w:pPr>
        <w:keepNext/>
        <w:keepLines/>
        <w:spacing w:after="40"/>
        <w:ind w:left="369" w:hanging="198"/>
      </w:pPr>
      <w:r>
        <w:rPr>
          <w:rFonts w:ascii="Arial" w:hAnsi="Arial" w:cs="Arial"/>
          <w:b w:val="0"/>
          <w:sz w:val="21"/>
        </w:rPr>
        <w:t>A) Son expresiones absolutamente sinónimas.</w:t>
      </w:r>
    </w:p>
    <w:p>
      <w:pPr>
        <w:keepNext/>
        <w:keepLines/>
        <w:spacing w:after="40"/>
        <w:ind w:left="369" w:hanging="198"/>
      </w:pPr>
      <w:r>
        <w:rPr>
          <w:rFonts w:ascii="Arial" w:hAnsi="Arial" w:cs="Arial"/>
          <w:b w:val="0"/>
          <w:sz w:val="21"/>
        </w:rPr>
        <w:t>B) La aplicabilidad directa solo corresponde a las directivas.</w:t>
      </w:r>
    </w:p>
    <w:p>
      <w:pPr>
        <w:keepNext/>
        <w:keepLines/>
        <w:spacing w:after="40"/>
        <w:ind w:left="369" w:hanging="198"/>
      </w:pPr>
      <w:r>
        <w:rPr>
          <w:rFonts w:ascii="Arial" w:hAnsi="Arial" w:cs="Arial"/>
          <w:b w:val="0"/>
          <w:sz w:val="21"/>
        </w:rPr>
        <w:t>C) El efecto directo exige siempre una ley nacional de ejecución.</w:t>
      </w:r>
    </w:p>
    <w:p>
      <w:pPr>
        <w:keepNext/>
        <w:keepLines/>
        <w:spacing w:after="40"/>
        <w:ind w:left="369" w:hanging="198"/>
      </w:pPr>
      <w:r>
        <w:rPr>
          <w:rFonts w:ascii="Arial" w:hAnsi="Arial" w:cs="Arial"/>
          <w:b/>
          <w:sz w:val="21"/>
        </w:rPr>
        <w:t>D) El reglamento se incorpora sin recepción, pero una concreta disposición debe ser clara, precisa e incondicional para fundar por sí sola una pretensión.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alta. La opción indicada coincide con TFUE/artículo 288; TJUE/Sentencia Politi, asunto 43/71. Las demás alternativas alteran el órgano, el plazo, el requisito, el efecto o la excepción aplicable.</w:t>
      </w:r>
    </w:p>
    <w:p>
      <w:pPr>
        <w:pStyle w:val="Question"/>
        <w:keepNext/>
      </w:pPr>
      <w:r>
        <w:rPr>
          <w:rFonts w:ascii="Arial" w:hAnsi="Arial" w:cs="Arial"/>
          <w:sz w:val="22"/>
        </w:rPr>
        <w:t>56. Conforme al ordenamiento vigente a la fecha de corte, la suspensión del plazo máximo por solicitud de un informe preceptivo:</w:t>
      </w:r>
    </w:p>
    <w:p>
      <w:pPr>
        <w:keepNext/>
        <w:keepLines/>
        <w:spacing w:after="40"/>
        <w:ind w:left="369" w:hanging="198"/>
      </w:pPr>
      <w:r>
        <w:rPr>
          <w:rFonts w:ascii="Arial" w:hAnsi="Arial" w:cs="Arial"/>
          <w:b w:val="0"/>
          <w:sz w:val="21"/>
        </w:rPr>
        <w:t>A) Puede prolongarse indefinidamente.</w:t>
      </w:r>
    </w:p>
    <w:p>
      <w:pPr>
        <w:keepNext/>
        <w:keepLines/>
        <w:spacing w:after="40"/>
        <w:ind w:left="369" w:hanging="198"/>
      </w:pPr>
      <w:r>
        <w:rPr>
          <w:rFonts w:ascii="Arial" w:hAnsi="Arial" w:cs="Arial"/>
          <w:b w:val="0"/>
          <w:sz w:val="21"/>
        </w:rPr>
        <w:t>B) Nunca puede acordarse.</w:t>
      </w:r>
    </w:p>
    <w:p>
      <w:pPr>
        <w:keepNext/>
        <w:keepLines/>
        <w:spacing w:after="40"/>
        <w:ind w:left="369" w:hanging="198"/>
      </w:pPr>
      <w:r>
        <w:rPr>
          <w:rFonts w:ascii="Arial" w:hAnsi="Arial" w:cs="Arial"/>
          <w:b w:val="0"/>
          <w:sz w:val="21"/>
        </w:rPr>
        <w:t>C) Tiene un máximo de seis meses.</w:t>
      </w:r>
    </w:p>
    <w:p>
      <w:pPr>
        <w:keepNext/>
        <w:keepLines/>
        <w:spacing w:after="40"/>
        <w:ind w:left="369" w:hanging="198"/>
      </w:pPr>
      <w:r>
        <w:rPr>
          <w:rFonts w:ascii="Arial" w:hAnsi="Arial" w:cs="Arial"/>
          <w:b/>
          <w:sz w:val="21"/>
        </w:rPr>
        <w:t>D) No puede exceder de tres meses; si no llega el informe, continúa el procedimiento.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G16 · dificultad media. La opción indicada coincide con Ley 39/2015/artículo 22.1.d. Las demás alternativas alteran el órgano, el plazo, el requisito, el efecto o la excepción aplicable.</w:t>
      </w:r>
    </w:p>
    <w:p>
      <w:pPr>
        <w:pStyle w:val="Question"/>
        <w:keepNext/>
      </w:pPr>
      <w:r>
        <w:rPr>
          <w:rFonts w:ascii="Arial" w:hAnsi="Arial" w:cs="Arial"/>
          <w:sz w:val="22"/>
        </w:rPr>
        <w:t>57. Sin añadir circunstancias distintas de las indicadas, en el Régimen General, el responsable de ingresar tanto la aportación propia como la descontada al trabajador es:</w:t>
      </w:r>
    </w:p>
    <w:p>
      <w:pPr>
        <w:keepNext/>
        <w:keepLines/>
        <w:spacing w:after="40"/>
        <w:ind w:left="369" w:hanging="198"/>
      </w:pPr>
      <w:r>
        <w:rPr>
          <w:rFonts w:ascii="Arial" w:hAnsi="Arial" w:cs="Arial"/>
          <w:b w:val="0"/>
          <w:sz w:val="21"/>
        </w:rPr>
        <w:t>A) El trabajador.</w:t>
      </w:r>
    </w:p>
    <w:p>
      <w:pPr>
        <w:keepNext/>
        <w:keepLines/>
        <w:spacing w:after="40"/>
        <w:ind w:left="369" w:hanging="198"/>
      </w:pPr>
      <w:r>
        <w:rPr>
          <w:rFonts w:ascii="Arial" w:hAnsi="Arial" w:cs="Arial"/>
          <w:b/>
          <w:sz w:val="21"/>
        </w:rPr>
        <w:t>B) El empresario.</w:t>
      </w:r>
    </w:p>
    <w:p>
      <w:pPr>
        <w:keepNext/>
        <w:keepLines/>
        <w:spacing w:after="40"/>
        <w:ind w:left="369" w:hanging="198"/>
      </w:pPr>
      <w:r>
        <w:rPr>
          <w:rFonts w:ascii="Arial" w:hAnsi="Arial" w:cs="Arial"/>
          <w:b w:val="0"/>
          <w:sz w:val="21"/>
        </w:rPr>
        <w:t>C) El INSS.</w:t>
      </w:r>
    </w:p>
    <w:p>
      <w:pPr>
        <w:keepNext/>
        <w:keepLines/>
        <w:spacing w:after="40"/>
        <w:ind w:left="369" w:hanging="198"/>
      </w:pPr>
      <w:r>
        <w:rPr>
          <w:rFonts w:ascii="Arial" w:hAnsi="Arial" w:cs="Arial"/>
          <w:b w:val="0"/>
          <w:sz w:val="21"/>
        </w:rPr>
        <w:t>D) El SEPE.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básica. La opción indicada coincide con TRLGSS/artículo 142. Las demás alternativas alteran el órgano, el plazo, el requisito, el efecto o la excepción aplicable.</w:t>
      </w:r>
    </w:p>
    <w:p>
      <w:pPr>
        <w:pStyle w:val="Question"/>
        <w:keepNext/>
      </w:pPr>
      <w:r>
        <w:rPr>
          <w:rFonts w:ascii="Arial" w:hAnsi="Arial" w:cs="Arial"/>
          <w:sz w:val="22"/>
        </w:rPr>
        <w:t>58. A efectos de aplicar correctamente la regla examinada, ¿Qué describe correctamente la primacía del Derecho de la Unión?</w:t>
      </w:r>
    </w:p>
    <w:p>
      <w:pPr>
        <w:keepNext/>
        <w:keepLines/>
        <w:spacing w:after="40"/>
        <w:ind w:left="369" w:hanging="198"/>
      </w:pPr>
      <w:r>
        <w:rPr>
          <w:rFonts w:ascii="Arial" w:hAnsi="Arial" w:cs="Arial"/>
          <w:b w:val="0"/>
          <w:sz w:val="21"/>
        </w:rPr>
        <w:t>A) Anula automáticamente y con efectos generales toda ley nacional incompatible.</w:t>
      </w:r>
    </w:p>
    <w:p>
      <w:pPr>
        <w:keepNext/>
        <w:keepLines/>
        <w:spacing w:after="40"/>
        <w:ind w:left="369" w:hanging="198"/>
      </w:pPr>
      <w:r>
        <w:rPr>
          <w:rFonts w:ascii="Arial" w:hAnsi="Arial" w:cs="Arial"/>
          <w:b/>
          <w:sz w:val="21"/>
        </w:rPr>
        <w:t>B) En su ámbito, exige aplicar preferentemente la norma de la Unión e inaplicar la interna incompatible en el caso.</w:t>
      </w:r>
    </w:p>
    <w:p>
      <w:pPr>
        <w:keepNext/>
        <w:keepLines/>
        <w:spacing w:after="40"/>
        <w:ind w:left="369" w:hanging="198"/>
      </w:pPr>
      <w:r>
        <w:rPr>
          <w:rFonts w:ascii="Arial" w:hAnsi="Arial" w:cs="Arial"/>
          <w:b w:val="0"/>
          <w:sz w:val="21"/>
        </w:rPr>
        <w:t>C) Convierte al Tribunal de Justicia en legislador estatal.</w:t>
      </w:r>
    </w:p>
    <w:p>
      <w:pPr>
        <w:keepNext/>
        <w:keepLines/>
        <w:spacing w:after="40"/>
        <w:ind w:left="369" w:hanging="198"/>
      </w:pPr>
      <w:r>
        <w:rPr>
          <w:rFonts w:ascii="Arial" w:hAnsi="Arial" w:cs="Arial"/>
          <w:b w:val="0"/>
          <w:sz w:val="21"/>
        </w:rPr>
        <w:t>D) Solo funciona frente a reglamentos, nunca frente a leyes.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media. La opción indicada coincide con TJUE/Sentencias Costa y Simmenthal. Las demás alternativas alteran el órgano, el plazo, el requisito, el efecto o la excepción aplicable.</w:t>
      </w:r>
    </w:p>
    <w:p>
      <w:pPr>
        <w:pStyle w:val="Question"/>
        <w:keepNext/>
      </w:pPr>
      <w:r>
        <w:rPr>
          <w:rFonts w:ascii="Arial" w:hAnsi="Arial" w:cs="Arial"/>
          <w:sz w:val="22"/>
        </w:rPr>
        <w:t>59. En una comprobación jurídica del expediente, si la viudedad se calcula con un porcentaje superior al 52 %, la suma de las pensiones de orfandad:</w:t>
      </w:r>
    </w:p>
    <w:p>
      <w:pPr>
        <w:keepNext/>
        <w:keepLines/>
        <w:spacing w:after="40"/>
        <w:ind w:left="369" w:hanging="198"/>
      </w:pPr>
      <w:r>
        <w:rPr>
          <w:rFonts w:ascii="Arial" w:hAnsi="Arial" w:cs="Arial"/>
          <w:b w:val="0"/>
          <w:sz w:val="21"/>
        </w:rPr>
        <w:t>A) Puede alcanzar sin límite el 100 % adicional.</w:t>
      </w:r>
    </w:p>
    <w:p>
      <w:pPr>
        <w:keepNext/>
        <w:keepLines/>
        <w:spacing w:after="40"/>
        <w:ind w:left="369" w:hanging="198"/>
      </w:pPr>
      <w:r>
        <w:rPr>
          <w:rFonts w:ascii="Arial" w:hAnsi="Arial" w:cs="Arial"/>
          <w:b/>
          <w:sz w:val="21"/>
        </w:rPr>
        <w:t>B) No puede superar conjuntamente el 48 % de la base reguladora.</w:t>
      </w:r>
    </w:p>
    <w:p>
      <w:pPr>
        <w:keepNext/>
        <w:keepLines/>
        <w:spacing w:after="40"/>
        <w:ind w:left="369" w:hanging="198"/>
      </w:pPr>
      <w:r>
        <w:rPr>
          <w:rFonts w:ascii="Arial" w:hAnsi="Arial" w:cs="Arial"/>
          <w:b w:val="0"/>
          <w:sz w:val="21"/>
        </w:rPr>
        <w:t>C) Queda reducida necesariamente al 20 % conjunto.</w:t>
      </w:r>
    </w:p>
    <w:p>
      <w:pPr>
        <w:keepNext/>
        <w:keepLines/>
        <w:spacing w:after="40"/>
        <w:ind w:left="369" w:hanging="198"/>
      </w:pPr>
      <w:r>
        <w:rPr>
          <w:rFonts w:ascii="Arial" w:hAnsi="Arial" w:cs="Arial"/>
          <w:b w:val="0"/>
          <w:sz w:val="21"/>
        </w:rPr>
        <w:t>D) Se extingue si existen dos huérfanos.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S11 · dificultad alta. La opción indicada coincide con TRLGSS, artículo 229.3. Las demás alternativas alteran el órgano, el plazo, el requisito, el efecto o la excepción aplicable.</w:t>
      </w:r>
    </w:p>
    <w:p>
      <w:pPr>
        <w:pStyle w:val="Question"/>
        <w:keepNext/>
      </w:pPr>
      <w:r>
        <w:rPr>
          <w:rFonts w:ascii="Arial" w:hAnsi="Arial" w:cs="Arial"/>
          <w:sz w:val="22"/>
        </w:rPr>
        <w:t>60. Sin añadir circunstancias distintas de las indicadas, una empresa transmitió correctamente la liquidación de 10.000 euros, cuyo plazo terminó el 30 de abril, y paga el 20 de mayo. Sin considerar intereses ni costas, ¿qué importe debe ingresar?</w:t>
      </w:r>
    </w:p>
    <w:p>
      <w:pPr>
        <w:keepNext/>
        <w:keepLines/>
        <w:spacing w:after="40"/>
        <w:ind w:left="369" w:hanging="198"/>
      </w:pPr>
      <w:r>
        <w:rPr>
          <w:rFonts w:ascii="Arial" w:hAnsi="Arial" w:cs="Arial"/>
          <w:b/>
          <w:sz w:val="21"/>
        </w:rPr>
        <w:t>A) 11.000 euros, al aplicarse el recargo del 10 %.</w:t>
      </w:r>
    </w:p>
    <w:p>
      <w:pPr>
        <w:keepNext/>
        <w:keepLines/>
        <w:spacing w:after="40"/>
        <w:ind w:left="369" w:hanging="198"/>
      </w:pPr>
      <w:r>
        <w:rPr>
          <w:rFonts w:ascii="Arial" w:hAnsi="Arial" w:cs="Arial"/>
          <w:b w:val="0"/>
          <w:sz w:val="21"/>
        </w:rPr>
        <w:t>B) 12.000 euros, por un recargo del 20 %.</w:t>
      </w:r>
    </w:p>
    <w:p>
      <w:pPr>
        <w:keepNext/>
        <w:keepLines/>
        <w:spacing w:after="40"/>
        <w:ind w:left="369" w:hanging="198"/>
      </w:pPr>
      <w:r>
        <w:rPr>
          <w:rFonts w:ascii="Arial" w:hAnsi="Arial" w:cs="Arial"/>
          <w:b w:val="0"/>
          <w:sz w:val="21"/>
        </w:rPr>
        <w:t>C) 13.500 euros, por un recargo del 35 %.</w:t>
      </w:r>
    </w:p>
    <w:p>
      <w:pPr>
        <w:keepNext/>
        <w:keepLines/>
        <w:spacing w:after="40"/>
        <w:ind w:left="369" w:hanging="198"/>
      </w:pPr>
      <w:r>
        <w:rPr>
          <w:rFonts w:ascii="Arial" w:hAnsi="Arial" w:cs="Arial"/>
          <w:b w:val="0"/>
          <w:sz w:val="21"/>
        </w:rPr>
        <w:t>D) 10.000 euros, porque todavía no se emitió providencia.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S05 · dificultad alta. La opción indicada coincide con TRLGSS, artículo 30.1.a.1.º. Las demás alternativas alteran el órgano, el plazo, el requisito, el efecto o la excepción aplicable.</w:t>
      </w:r>
    </w:p>
    <w:p>
      <w:pPr>
        <w:pStyle w:val="Question"/>
        <w:keepNext/>
      </w:pPr>
      <w:r>
        <w:rPr>
          <w:rFonts w:ascii="Arial" w:hAnsi="Arial" w:cs="Arial"/>
          <w:sz w:val="22"/>
        </w:rPr>
        <w:t>61. Conforme al ordenamiento vigente a la fecha de corte, ¿Cuál es la clasificación correcta de una consulta sobre requisitos generales y otra sobre el informe incorporado a un expediente propio?</w:t>
      </w:r>
    </w:p>
    <w:p>
      <w:pPr>
        <w:keepNext/>
        <w:keepLines/>
        <w:spacing w:after="40"/>
        <w:ind w:left="369" w:hanging="198"/>
      </w:pPr>
      <w:r>
        <w:rPr>
          <w:rFonts w:ascii="Arial" w:hAnsi="Arial" w:cs="Arial"/>
          <w:b w:val="0"/>
          <w:sz w:val="21"/>
        </w:rPr>
        <w:t>A) Ambas son información particular.</w:t>
      </w:r>
    </w:p>
    <w:p>
      <w:pPr>
        <w:keepNext/>
        <w:keepLines/>
        <w:spacing w:after="40"/>
        <w:ind w:left="369" w:hanging="198"/>
      </w:pPr>
      <w:r>
        <w:rPr>
          <w:rFonts w:ascii="Arial" w:hAnsi="Arial" w:cs="Arial"/>
          <w:b w:val="0"/>
          <w:sz w:val="21"/>
        </w:rPr>
        <w:t>B) La primera es petición y la segunda sugerencia.</w:t>
      </w:r>
    </w:p>
    <w:p>
      <w:pPr>
        <w:keepNext/>
        <w:keepLines/>
        <w:spacing w:after="40"/>
        <w:ind w:left="369" w:hanging="198"/>
      </w:pPr>
      <w:r>
        <w:rPr>
          <w:rFonts w:ascii="Arial" w:hAnsi="Arial" w:cs="Arial"/>
          <w:b w:val="0"/>
          <w:sz w:val="21"/>
        </w:rPr>
        <w:t>C) Ambas son solicitudes de transparencia necesariamente.</w:t>
      </w:r>
    </w:p>
    <w:p>
      <w:pPr>
        <w:keepNext/>
        <w:keepLines/>
        <w:spacing w:after="40"/>
        <w:ind w:left="369" w:hanging="198"/>
      </w:pPr>
      <w:r>
        <w:rPr>
          <w:rFonts w:ascii="Arial" w:hAnsi="Arial" w:cs="Arial"/>
          <w:b/>
          <w:sz w:val="21"/>
        </w:rPr>
        <w:t>D) La primera es general; la segunda es particular y exige condición de interesado o representación.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alta. La opción indicada coincide con Real Decreto 208/1996/artículos 2 y 3. Las demás alternativas alteran el órgano, el plazo, el requisito, el efecto o la excepción aplicable.</w:t>
      </w:r>
    </w:p>
    <w:p>
      <w:pPr>
        <w:pStyle w:val="Question"/>
        <w:keepNext/>
      </w:pPr>
      <w:r>
        <w:rPr>
          <w:rFonts w:ascii="Arial" w:hAnsi="Arial" w:cs="Arial"/>
          <w:sz w:val="22"/>
        </w:rPr>
        <w:t>62. Sin añadir circunstancias distintas de las indicadas, ¿En qué plazo debe el Rey sancionar las leyes aprobadas por las Cortes Generales?</w:t>
      </w:r>
    </w:p>
    <w:p>
      <w:pPr>
        <w:keepNext/>
        <w:keepLines/>
        <w:spacing w:after="40"/>
        <w:ind w:left="369" w:hanging="198"/>
      </w:pPr>
      <w:r>
        <w:rPr>
          <w:rFonts w:ascii="Arial" w:hAnsi="Arial" w:cs="Arial"/>
          <w:b w:val="0"/>
          <w:sz w:val="21"/>
        </w:rPr>
        <w:t>A) En veinte días.</w:t>
      </w:r>
    </w:p>
    <w:p>
      <w:pPr>
        <w:keepNext/>
        <w:keepLines/>
        <w:spacing w:after="40"/>
        <w:ind w:left="369" w:hanging="198"/>
      </w:pPr>
      <w:r>
        <w:rPr>
          <w:rFonts w:ascii="Arial" w:hAnsi="Arial" w:cs="Arial"/>
          <w:b w:val="0"/>
          <w:sz w:val="21"/>
        </w:rPr>
        <w:t>B) En un mes.</w:t>
      </w:r>
    </w:p>
    <w:p>
      <w:pPr>
        <w:keepNext/>
        <w:keepLines/>
        <w:spacing w:after="40"/>
        <w:ind w:left="369" w:hanging="198"/>
      </w:pPr>
      <w:r>
        <w:rPr>
          <w:rFonts w:ascii="Arial" w:hAnsi="Arial" w:cs="Arial"/>
          <w:b w:val="0"/>
          <w:sz w:val="21"/>
        </w:rPr>
        <w:t>C) En dos meses.</w:t>
      </w:r>
    </w:p>
    <w:p>
      <w:pPr>
        <w:keepNext/>
        <w:keepLines/>
        <w:spacing w:after="40"/>
        <w:ind w:left="369" w:hanging="198"/>
      </w:pPr>
      <w:r>
        <w:rPr>
          <w:rFonts w:ascii="Arial" w:hAnsi="Arial" w:cs="Arial"/>
          <w:b/>
          <w:sz w:val="21"/>
        </w:rPr>
        <w:t>D) En quince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G04 · dificultad básica. La opción indicada coincide con Constitución Española, art. 91. Las demás alternativas alteran el órgano, el plazo, el requisito, el efecto o la excepción aplicable.</w:t>
      </w:r>
    </w:p>
    <w:p>
      <w:pPr>
        <w:pStyle w:val="Question"/>
        <w:keepNext/>
      </w:pPr>
      <w:r>
        <w:rPr>
          <w:rFonts w:ascii="Arial" w:hAnsi="Arial" w:cs="Arial"/>
          <w:sz w:val="22"/>
        </w:rPr>
        <w:t>63. A efectos de aplicar correctamente la regla examinada, una trabajadora está en IT y solicita riesgo durante el embarazo:</w:t>
      </w:r>
    </w:p>
    <w:p>
      <w:pPr>
        <w:keepNext/>
        <w:keepLines/>
        <w:spacing w:after="40"/>
        <w:ind w:left="369" w:hanging="198"/>
      </w:pPr>
      <w:r>
        <w:rPr>
          <w:rFonts w:ascii="Arial" w:hAnsi="Arial" w:cs="Arial"/>
          <w:b/>
          <w:sz w:val="21"/>
        </w:rPr>
        <w:t>A) El riesgo no se reconoce hasta que se extinga la IT.</w:t>
      </w:r>
    </w:p>
    <w:p>
      <w:pPr>
        <w:keepNext/>
        <w:keepLines/>
        <w:spacing w:after="40"/>
        <w:ind w:left="369" w:hanging="198"/>
      </w:pPr>
      <w:r>
        <w:rPr>
          <w:rFonts w:ascii="Arial" w:hAnsi="Arial" w:cs="Arial"/>
          <w:b w:val="0"/>
          <w:sz w:val="21"/>
        </w:rPr>
        <w:t>B) Cobra simultáneamente ambos subsidios.</w:t>
      </w:r>
    </w:p>
    <w:p>
      <w:pPr>
        <w:keepNext/>
        <w:keepLines/>
        <w:spacing w:after="40"/>
        <w:ind w:left="369" w:hanging="198"/>
      </w:pPr>
      <w:r>
        <w:rPr>
          <w:rFonts w:ascii="Arial" w:hAnsi="Arial" w:cs="Arial"/>
          <w:b w:val="0"/>
          <w:sz w:val="21"/>
        </w:rPr>
        <w:t>C) La IT se convierte automáticamente en profesional.</w:t>
      </w:r>
    </w:p>
    <w:p>
      <w:pPr>
        <w:keepNext/>
        <w:keepLines/>
        <w:spacing w:after="40"/>
        <w:ind w:left="369" w:hanging="198"/>
      </w:pPr>
      <w:r>
        <w:rPr>
          <w:rFonts w:ascii="Arial" w:hAnsi="Arial" w:cs="Arial"/>
          <w:b w:val="0"/>
          <w:sz w:val="21"/>
        </w:rPr>
        <w:t>D) El riesgo nace antes que la IT.</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alta. La opción indicada coincide con Real Decreto 295/2009/artículo 37.1. Las demás alternativas alteran el órgano, el plazo, el requisito, el efecto o la excepción aplicable.</w:t>
      </w:r>
    </w:p>
    <w:p>
      <w:pPr>
        <w:pStyle w:val="Question"/>
        <w:keepNext/>
      </w:pPr>
      <w:r>
        <w:rPr>
          <w:rFonts w:ascii="Arial" w:hAnsi="Arial" w:cs="Arial"/>
          <w:sz w:val="22"/>
        </w:rPr>
        <w:t>64. A efectos de aplicar correctamente la regla examinada, un órgano judicial considera que una ley aplicable y decisiva es contraria a la Constitución y no admite interpretación conforme. ¿Qué debe hacer?</w:t>
      </w:r>
    </w:p>
    <w:p>
      <w:pPr>
        <w:keepNext/>
        <w:keepLines/>
        <w:spacing w:after="40"/>
        <w:ind w:left="369" w:hanging="198"/>
      </w:pPr>
      <w:r>
        <w:rPr>
          <w:rFonts w:ascii="Arial" w:hAnsi="Arial" w:cs="Arial"/>
          <w:b/>
          <w:sz w:val="21"/>
        </w:rPr>
        <w:t>A) Plantear una cuestión de inconstitucionalidad ante el Tribunal Constitucional en los términos legales.</w:t>
      </w:r>
    </w:p>
    <w:p>
      <w:pPr>
        <w:keepNext/>
        <w:keepLines/>
        <w:spacing w:after="40"/>
        <w:ind w:left="369" w:hanging="198"/>
      </w:pPr>
      <w:r>
        <w:rPr>
          <w:rFonts w:ascii="Arial" w:hAnsi="Arial" w:cs="Arial"/>
          <w:b w:val="0"/>
          <w:sz w:val="21"/>
        </w:rPr>
        <w:t>B) Anular directamente la ley con efectos generales.</w:t>
      </w:r>
    </w:p>
    <w:p>
      <w:pPr>
        <w:keepNext/>
        <w:keepLines/>
        <w:spacing w:after="40"/>
        <w:ind w:left="369" w:hanging="198"/>
      </w:pPr>
      <w:r>
        <w:rPr>
          <w:rFonts w:ascii="Arial" w:hAnsi="Arial" w:cs="Arial"/>
          <w:b w:val="0"/>
          <w:sz w:val="21"/>
        </w:rPr>
        <w:t>C) Pedir autorización al CGPJ para inaplicarla.</w:t>
      </w:r>
    </w:p>
    <w:p>
      <w:pPr>
        <w:keepNext/>
        <w:keepLines/>
        <w:spacing w:after="40"/>
        <w:ind w:left="369" w:hanging="198"/>
      </w:pPr>
      <w:r>
        <w:rPr>
          <w:rFonts w:ascii="Arial" w:hAnsi="Arial" w:cs="Arial"/>
          <w:b w:val="0"/>
          <w:sz w:val="21"/>
        </w:rPr>
        <w:t>D) Remitir el asunto al Senado.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G06 · dificultad alta. La opción indicada coincide con Constitución Española, art. 163; LOPJ, art. 5.2 y 3. Las demás alternativas alteran el órgano, el plazo, el requisito, el efecto o la excepción aplicable.</w:t>
      </w:r>
    </w:p>
    <w:p>
      <w:pPr>
        <w:pStyle w:val="Question"/>
        <w:keepNext/>
      </w:pPr>
      <w:r>
        <w:rPr>
          <w:rFonts w:ascii="Arial" w:hAnsi="Arial" w:cs="Arial"/>
          <w:sz w:val="22"/>
        </w:rPr>
        <w:t>65. Sin añadir circunstancias distintas de las indicadas, el artículo 49 vigente de la Constitución ordena impulsar políticas que garanticen:</w:t>
      </w:r>
    </w:p>
    <w:p>
      <w:pPr>
        <w:keepNext/>
        <w:keepLines/>
        <w:spacing w:after="40"/>
        <w:ind w:left="369" w:hanging="198"/>
      </w:pPr>
      <w:r>
        <w:rPr>
          <w:rFonts w:ascii="Arial" w:hAnsi="Arial" w:cs="Arial"/>
          <w:b w:val="0"/>
          <w:sz w:val="21"/>
        </w:rPr>
        <w:t>A) Únicamente prestaciones económicas.</w:t>
      </w:r>
    </w:p>
    <w:p>
      <w:pPr>
        <w:keepNext/>
        <w:keepLines/>
        <w:spacing w:after="40"/>
        <w:ind w:left="369" w:hanging="198"/>
      </w:pPr>
      <w:r>
        <w:rPr>
          <w:rFonts w:ascii="Arial" w:hAnsi="Arial" w:cs="Arial"/>
          <w:b/>
          <w:sz w:val="21"/>
        </w:rPr>
        <w:t>B) Plena autonomía personal e inclusión social en entornos universalmente accesibles.</w:t>
      </w:r>
    </w:p>
    <w:p>
      <w:pPr>
        <w:keepNext/>
        <w:keepLines/>
        <w:spacing w:after="40"/>
        <w:ind w:left="369" w:hanging="198"/>
      </w:pPr>
      <w:r>
        <w:rPr>
          <w:rFonts w:ascii="Arial" w:hAnsi="Arial" w:cs="Arial"/>
          <w:b w:val="0"/>
          <w:sz w:val="21"/>
        </w:rPr>
        <w:t>C) Sustitución general de la voluntad de la persona.</w:t>
      </w:r>
    </w:p>
    <w:p>
      <w:pPr>
        <w:keepNext/>
        <w:keepLines/>
        <w:spacing w:after="40"/>
        <w:ind w:left="369" w:hanging="198"/>
      </w:pPr>
      <w:r>
        <w:rPr>
          <w:rFonts w:ascii="Arial" w:hAnsi="Arial" w:cs="Arial"/>
          <w:b w:val="0"/>
          <w:sz w:val="21"/>
        </w:rPr>
        <w:t>D) Atención separada en entornos especiales como regla.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G21 · dificultad básica. La opción indicada coincide con CE/artículo 49.2. Las demás alternativas alteran el órgano, el plazo, el requisito, el efecto o la excepción aplicable.</w:t>
      </w:r>
    </w:p>
    <w:p>
      <w:pPr>
        <w:pStyle w:val="Question"/>
        <w:keepNext/>
      </w:pPr>
      <w:r>
        <w:rPr>
          <w:rFonts w:ascii="Arial" w:hAnsi="Arial" w:cs="Arial"/>
          <w:sz w:val="22"/>
        </w:rPr>
        <w:t>66. En una comprobación jurídica del expediente, en un estado de excepción autorizado con suspensión del artículo 17, la Ley Orgánica 4/1981 permite:</w:t>
      </w:r>
    </w:p>
    <w:p>
      <w:pPr>
        <w:keepNext/>
        <w:keepLines/>
        <w:spacing w:after="40"/>
        <w:ind w:left="369" w:hanging="198"/>
      </w:pPr>
      <w:r>
        <w:rPr>
          <w:rFonts w:ascii="Arial" w:hAnsi="Arial" w:cs="Arial"/>
          <w:b w:val="0"/>
          <w:sz w:val="21"/>
        </w:rPr>
        <w:t>A) Detener durante treinta días sin comunicación judicial.</w:t>
      </w:r>
    </w:p>
    <w:p>
      <w:pPr>
        <w:keepNext/>
        <w:keepLines/>
        <w:spacing w:after="40"/>
        <w:ind w:left="369" w:hanging="198"/>
      </w:pPr>
      <w:r>
        <w:rPr>
          <w:rFonts w:ascii="Arial" w:hAnsi="Arial" w:cs="Arial"/>
          <w:b/>
          <w:sz w:val="21"/>
        </w:rPr>
        <w:t>B) Detener hasta diez días y comunicar la detención al juez en veinticuatro horas.</w:t>
      </w:r>
    </w:p>
    <w:p>
      <w:pPr>
        <w:keepNext/>
        <w:keepLines/>
        <w:spacing w:after="40"/>
        <w:ind w:left="369" w:hanging="198"/>
      </w:pPr>
      <w:r>
        <w:rPr>
          <w:rFonts w:ascii="Arial" w:hAnsi="Arial" w:cs="Arial"/>
          <w:b w:val="0"/>
          <w:sz w:val="21"/>
        </w:rPr>
        <w:t>C) Detener indefinidamente mientras dure el estado.</w:t>
      </w:r>
    </w:p>
    <w:p>
      <w:pPr>
        <w:keepNext/>
        <w:keepLines/>
        <w:spacing w:after="40"/>
        <w:ind w:left="369" w:hanging="198"/>
      </w:pPr>
      <w:r>
        <w:rPr>
          <w:rFonts w:ascii="Arial" w:hAnsi="Arial" w:cs="Arial"/>
          <w:b w:val="0"/>
          <w:sz w:val="21"/>
        </w:rPr>
        <w:t>D) Detener durante quince días y comunicarlo al juez al finalizar.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G02 · dificultad alta. La opción indicada coincide con Ley Orgánica 4/1981/artículo 16. Las demás alternativas alteran el órgano, el plazo, el requisito, el efecto o la excepción aplicable.</w:t>
      </w:r>
    </w:p>
    <w:p>
      <w:pPr>
        <w:pStyle w:val="Question"/>
        <w:keepNext/>
      </w:pPr>
      <w:r>
        <w:rPr>
          <w:rFonts w:ascii="Arial" w:hAnsi="Arial" w:cs="Arial"/>
          <w:sz w:val="22"/>
        </w:rPr>
        <w:t>67. A efectos de aplicar correctamente la regla examinada, una formación obtiene seis escaños, un 12 % en las circunscripciones donde presentó candidatura, una media del 11 % donde obtuvo representación y un 4 % nacional. Sin concurrir otra prohibición, ¿puede formar grupo por la vía alternativa?</w:t>
      </w:r>
    </w:p>
    <w:p>
      <w:pPr>
        <w:keepNext/>
        <w:keepLines/>
        <w:spacing w:after="40"/>
        <w:ind w:left="369" w:hanging="198"/>
      </w:pPr>
      <w:r>
        <w:rPr>
          <w:rFonts w:ascii="Arial" w:hAnsi="Arial" w:cs="Arial"/>
          <w:b/>
          <w:sz w:val="21"/>
        </w:rPr>
        <w:t>A) No en la XV Legislatura, pero sí desde la XVI.</w:t>
      </w:r>
    </w:p>
    <w:p>
      <w:pPr>
        <w:keepNext/>
        <w:keepLines/>
        <w:spacing w:after="40"/>
        <w:ind w:left="369" w:hanging="198"/>
      </w:pPr>
      <w:r>
        <w:rPr>
          <w:rFonts w:ascii="Arial" w:hAnsi="Arial" w:cs="Arial"/>
          <w:b w:val="0"/>
          <w:sz w:val="21"/>
        </w:rPr>
        <w:t>B) Sí en la XV Legislatura y no en la XVI.</w:t>
      </w:r>
    </w:p>
    <w:p>
      <w:pPr>
        <w:keepNext/>
        <w:keepLines/>
        <w:spacing w:after="40"/>
        <w:ind w:left="369" w:hanging="198"/>
      </w:pPr>
      <w:r>
        <w:rPr>
          <w:rFonts w:ascii="Arial" w:hAnsi="Arial" w:cs="Arial"/>
          <w:b w:val="0"/>
          <w:sz w:val="21"/>
        </w:rPr>
        <w:t>C) Sí en ambas legislaturas.</w:t>
      </w:r>
    </w:p>
    <w:p>
      <w:pPr>
        <w:keepNext/>
        <w:keepLines/>
        <w:spacing w:after="40"/>
        <w:ind w:left="369" w:hanging="198"/>
      </w:pPr>
      <w:r>
        <w:rPr>
          <w:rFonts w:ascii="Arial" w:hAnsi="Arial" w:cs="Arial"/>
          <w:b w:val="0"/>
          <w:sz w:val="21"/>
        </w:rPr>
        <w:t>D) No en ninguna legislatura.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alta. La opción indicada coincide con Reglamento del Congreso, art. 23.1, redacción aplicable en XV; Reforma de 23-7-2026, art. único y disposición final. Las demás alternativas alteran el órgano, el plazo, el requisito, el efecto o la excepción aplicable.</w:t>
      </w:r>
    </w:p>
    <w:p>
      <w:pPr>
        <w:pStyle w:val="Question"/>
        <w:keepNext/>
      </w:pPr>
      <w:r>
        <w:rPr>
          <w:rFonts w:ascii="Arial" w:hAnsi="Arial" w:cs="Arial"/>
          <w:sz w:val="22"/>
        </w:rPr>
        <w:t>68. En una comprobación jurídica del expediente, como regla, la persona divorciada o separada judicialmente tiene derecho a viudedad si:</w:t>
      </w:r>
    </w:p>
    <w:p>
      <w:pPr>
        <w:keepNext/>
        <w:keepLines/>
        <w:spacing w:after="40"/>
        <w:ind w:left="369" w:hanging="198"/>
      </w:pPr>
      <w:r>
        <w:rPr>
          <w:rFonts w:ascii="Arial" w:hAnsi="Arial" w:cs="Arial"/>
          <w:b/>
          <w:sz w:val="21"/>
        </w:rPr>
        <w:t>A) Era acreedora de pensión compensatoria que se extingue por la muerte y no constituyó un nuevo vínculo, sin perjuicio de excepciones.</w:t>
      </w:r>
    </w:p>
    <w:p>
      <w:pPr>
        <w:keepNext/>
        <w:keepLines/>
        <w:spacing w:after="40"/>
        <w:ind w:left="369" w:hanging="198"/>
      </w:pPr>
      <w:r>
        <w:rPr>
          <w:rFonts w:ascii="Arial" w:hAnsi="Arial" w:cs="Arial"/>
          <w:b w:val="0"/>
          <w:sz w:val="21"/>
        </w:rPr>
        <w:t>B) Renunció a toda relación económica con el causante.</w:t>
      </w:r>
    </w:p>
    <w:p>
      <w:pPr>
        <w:keepNext/>
        <w:keepLines/>
        <w:spacing w:after="40"/>
        <w:ind w:left="369" w:hanging="198"/>
      </w:pPr>
      <w:r>
        <w:rPr>
          <w:rFonts w:ascii="Arial" w:hAnsi="Arial" w:cs="Arial"/>
          <w:b w:val="0"/>
          <w:sz w:val="21"/>
        </w:rPr>
        <w:t>C) Contrajo nuevo matrimonio antes del fallecimiento.</w:t>
      </w:r>
    </w:p>
    <w:p>
      <w:pPr>
        <w:keepNext/>
        <w:keepLines/>
        <w:spacing w:after="40"/>
        <w:ind w:left="369" w:hanging="198"/>
      </w:pPr>
      <w:r>
        <w:rPr>
          <w:rFonts w:ascii="Arial" w:hAnsi="Arial" w:cs="Arial"/>
          <w:b w:val="0"/>
          <w:sz w:val="21"/>
        </w:rPr>
        <w:t>D) Convivió con el causante al menos seis meses después del divorcio.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media. La opción indicada coincide con TRLGSS, artículo 220.1. Las demás alternativas alteran el órgano, el plazo, el requisito, el efecto o la excepción aplicable.</w:t>
      </w:r>
    </w:p>
    <w:p>
      <w:pPr>
        <w:pStyle w:val="Question"/>
        <w:keepNext/>
      </w:pPr>
      <w:r>
        <w:rPr>
          <w:rFonts w:ascii="Arial" w:hAnsi="Arial" w:cs="Arial"/>
          <w:sz w:val="22"/>
        </w:rPr>
        <w:t>69. A efectos de aplicar correctamente la regla examinada, ¿Cuál es el plazo de amparo frente a vulneraciones procedentes del Gobierno o de autoridades administrativas, tras la resolución del proceso judicial previo?</w:t>
      </w:r>
    </w:p>
    <w:p>
      <w:pPr>
        <w:keepNext/>
        <w:keepLines/>
        <w:spacing w:after="40"/>
        <w:ind w:left="369" w:hanging="198"/>
      </w:pPr>
      <w:r>
        <w:rPr>
          <w:rFonts w:ascii="Arial" w:hAnsi="Arial" w:cs="Arial"/>
          <w:b w:val="0"/>
          <w:sz w:val="21"/>
        </w:rPr>
        <w:t>A) Diez días.</w:t>
      </w:r>
    </w:p>
    <w:p>
      <w:pPr>
        <w:keepNext/>
        <w:keepLines/>
        <w:spacing w:after="40"/>
        <w:ind w:left="369" w:hanging="198"/>
      </w:pPr>
      <w:r>
        <w:rPr>
          <w:rFonts w:ascii="Arial" w:hAnsi="Arial" w:cs="Arial"/>
          <w:b/>
          <w:sz w:val="21"/>
        </w:rPr>
        <w:t>B) Veinte días.</w:t>
      </w:r>
    </w:p>
    <w:p>
      <w:pPr>
        <w:keepNext/>
        <w:keepLines/>
        <w:spacing w:after="40"/>
        <w:ind w:left="369" w:hanging="198"/>
      </w:pPr>
      <w:r>
        <w:rPr>
          <w:rFonts w:ascii="Arial" w:hAnsi="Arial" w:cs="Arial"/>
          <w:b w:val="0"/>
          <w:sz w:val="21"/>
        </w:rPr>
        <w:t>C) Quince días.</w:t>
      </w:r>
    </w:p>
    <w:p>
      <w:pPr>
        <w:keepNext/>
        <w:keepLines/>
        <w:spacing w:after="40"/>
        <w:ind w:left="369" w:hanging="198"/>
      </w:pPr>
      <w:r>
        <w:rPr>
          <w:rFonts w:ascii="Arial" w:hAnsi="Arial" w:cs="Arial"/>
          <w:b w:val="0"/>
          <w:sz w:val="21"/>
        </w:rPr>
        <w:t>D) Treinta días.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G03 · dificultad media. La opción indicada coincide con LOTC, art. 43.2. Las demás alternativas alteran el órgano, el plazo, el requisito, el efecto o la excepción aplicable.</w:t>
      </w:r>
    </w:p>
    <w:p>
      <w:pPr>
        <w:pStyle w:val="Question"/>
        <w:keepNext/>
      </w:pPr>
      <w:r>
        <w:rPr>
          <w:rFonts w:ascii="Arial" w:hAnsi="Arial" w:cs="Arial"/>
          <w:sz w:val="22"/>
        </w:rPr>
        <w:t>70. A efectos de aplicar correctamente la regla examinada, un hijo mayor con discapacidad trabaja y convive con el beneficiario. Sigue a cargo si sus rendimientos de trabajo anuales:</w:t>
      </w:r>
    </w:p>
    <w:p>
      <w:pPr>
        <w:keepNext/>
        <w:keepLines/>
        <w:spacing w:after="40"/>
        <w:ind w:left="369" w:hanging="198"/>
      </w:pPr>
      <w:r>
        <w:rPr>
          <w:rFonts w:ascii="Arial" w:hAnsi="Arial" w:cs="Arial"/>
          <w:b w:val="0"/>
          <w:sz w:val="21"/>
        </w:rPr>
        <w:t>A) No superan el IPREM mensual.</w:t>
      </w:r>
    </w:p>
    <w:p>
      <w:pPr>
        <w:keepNext/>
        <w:keepLines/>
        <w:spacing w:after="40"/>
        <w:ind w:left="369" w:hanging="198"/>
      </w:pPr>
      <w:r>
        <w:rPr>
          <w:rFonts w:ascii="Arial" w:hAnsi="Arial" w:cs="Arial"/>
          <w:b/>
          <w:sz w:val="21"/>
        </w:rPr>
        <w:t>B) No superan el 100 por ciento del SMI en cómputo anual.</w:t>
      </w:r>
    </w:p>
    <w:p>
      <w:pPr>
        <w:keepNext/>
        <w:keepLines/>
        <w:spacing w:after="40"/>
        <w:ind w:left="369" w:hanging="198"/>
      </w:pPr>
      <w:r>
        <w:rPr>
          <w:rFonts w:ascii="Arial" w:hAnsi="Arial" w:cs="Arial"/>
          <w:b w:val="0"/>
          <w:sz w:val="21"/>
        </w:rPr>
        <w:t>C) No superan 1.000 euros.</w:t>
      </w:r>
    </w:p>
    <w:p>
      <w:pPr>
        <w:keepNext/>
        <w:keepLines/>
        <w:spacing w:after="40"/>
        <w:ind w:left="369" w:hanging="198"/>
      </w:pPr>
      <w:r>
        <w:rPr>
          <w:rFonts w:ascii="Arial" w:hAnsi="Arial" w:cs="Arial"/>
          <w:b w:val="0"/>
          <w:sz w:val="21"/>
        </w:rPr>
        <w:t>D) Son inferiores a la pensión mínima.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S09 · dificultad alta. La opción indicada coincide con TRLGSS/artículo 351.a.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En una comprobación jurídica del expediente, tras el Real Decreto 616/2026, el Servicio Jurídico de la Administración de la Seguridad Social es:</w:t>
      </w:r>
    </w:p>
    <w:p>
      <w:pPr>
        <w:keepNext/>
        <w:keepLines/>
        <w:spacing w:after="40"/>
        <w:ind w:left="369" w:hanging="198"/>
      </w:pPr>
      <w:r>
        <w:rPr>
          <w:rFonts w:ascii="Arial" w:hAnsi="Arial" w:cs="Arial"/>
          <w:b w:val="0"/>
          <w:sz w:val="21"/>
        </w:rPr>
        <w:t>A) Entidad gestora con personalidad jurídica.</w:t>
      </w:r>
    </w:p>
    <w:p>
      <w:pPr>
        <w:keepNext/>
        <w:keepLines/>
        <w:spacing w:after="40"/>
        <w:ind w:left="369" w:hanging="198"/>
      </w:pPr>
      <w:r>
        <w:rPr>
          <w:rFonts w:ascii="Arial" w:hAnsi="Arial" w:cs="Arial"/>
          <w:b w:val="0"/>
          <w:sz w:val="21"/>
        </w:rPr>
        <w:t>B) Servicio común con personalidad y rango de subdirección general.</w:t>
      </w:r>
    </w:p>
    <w:p>
      <w:pPr>
        <w:keepNext/>
        <w:keepLines/>
        <w:spacing w:after="40"/>
        <w:ind w:left="369" w:hanging="198"/>
      </w:pPr>
      <w:r>
        <w:rPr>
          <w:rFonts w:ascii="Arial" w:hAnsi="Arial" w:cs="Arial"/>
          <w:b w:val="0"/>
          <w:sz w:val="21"/>
        </w:rPr>
        <w:t>C) Órgano de control dependiente funcionalmente de IGAE.</w:t>
      </w:r>
    </w:p>
    <w:p>
      <w:pPr>
        <w:keepNext/>
        <w:keepLines/>
        <w:spacing w:after="40"/>
        <w:ind w:left="369" w:hanging="198"/>
      </w:pPr>
      <w:r>
        <w:rPr>
          <w:rFonts w:ascii="Arial" w:hAnsi="Arial" w:cs="Arial"/>
          <w:b/>
          <w:sz w:val="21"/>
        </w:rPr>
        <w:t>D) Servicio común sin personalidad jurídica y con nivel orgánico de dirección general.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alta. La opción indicada coincide con Real Decreto 501/2024/disposición adicional primera, redacción RD 616/2026. Las demás alternativas alteran el órgano, el plazo, el requisito, el efecto o la excepción aplicable.</w:t>
      </w:r>
    </w:p>
    <w:p>
      <w:pPr>
        <w:pStyle w:val="Question"/>
        <w:keepNext/>
      </w:pPr>
      <w:r>
        <w:rPr>
          <w:rFonts w:ascii="Arial" w:hAnsi="Arial" w:cs="Arial"/>
          <w:sz w:val="22"/>
        </w:rPr>
        <w:t>72. En una comprobación jurídica del expediente, una moción de censura debe ser propuesta, al menos, por:</w:t>
      </w:r>
    </w:p>
    <w:p>
      <w:pPr>
        <w:keepNext/>
        <w:keepLines/>
        <w:spacing w:after="40"/>
        <w:ind w:left="369" w:hanging="198"/>
      </w:pPr>
      <w:r>
        <w:rPr>
          <w:rFonts w:ascii="Arial" w:hAnsi="Arial" w:cs="Arial"/>
          <w:b w:val="0"/>
          <w:sz w:val="21"/>
        </w:rPr>
        <w:t>A) Una quinta parte de los diputados.</w:t>
      </w:r>
    </w:p>
    <w:p>
      <w:pPr>
        <w:keepNext/>
        <w:keepLines/>
        <w:spacing w:after="40"/>
        <w:ind w:left="369" w:hanging="198"/>
      </w:pPr>
      <w:r>
        <w:rPr>
          <w:rFonts w:ascii="Arial" w:hAnsi="Arial" w:cs="Arial"/>
          <w:b w:val="0"/>
          <w:sz w:val="21"/>
        </w:rPr>
        <w:t>B) Dos grupos parlamentarios.</w:t>
      </w:r>
    </w:p>
    <w:p>
      <w:pPr>
        <w:keepNext/>
        <w:keepLines/>
        <w:spacing w:after="40"/>
        <w:ind w:left="369" w:hanging="198"/>
      </w:pPr>
      <w:r>
        <w:rPr>
          <w:rFonts w:ascii="Arial" w:hAnsi="Arial" w:cs="Arial"/>
          <w:b/>
          <w:sz w:val="21"/>
        </w:rPr>
        <w:t>C) Una décima parte de los diputados.</w:t>
      </w:r>
    </w:p>
    <w:p>
      <w:pPr>
        <w:keepNext/>
        <w:keepLines/>
        <w:spacing w:after="40"/>
        <w:ind w:left="369" w:hanging="198"/>
      </w:pPr>
      <w:r>
        <w:rPr>
          <w:rFonts w:ascii="Arial" w:hAnsi="Arial" w:cs="Arial"/>
          <w:b w:val="0"/>
          <w:sz w:val="21"/>
        </w:rPr>
        <w:t>D) La mayoría simple del Congreso.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media. La opción indicada coincide con Constitución Española/artículo 113.2. Las demás alternativas alteran el órgano, el plazo, el requisito, el efecto o la excepción aplicable.</w:t>
      </w:r>
    </w:p>
    <w:p>
      <w:pPr>
        <w:pStyle w:val="Question"/>
        <w:keepNext/>
      </w:pPr>
      <w:r>
        <w:rPr>
          <w:rFonts w:ascii="Arial" w:hAnsi="Arial" w:cs="Arial"/>
          <w:sz w:val="22"/>
        </w:rPr>
        <w:t>73. En una comprobación jurídica del expediente, la suspensión de plazos prevista para zonas gravemente afectadas por emergencias:</w:t>
      </w:r>
    </w:p>
    <w:p>
      <w:pPr>
        <w:keepNext/>
        <w:keepLines/>
        <w:spacing w:after="40"/>
        <w:ind w:left="369" w:hanging="198"/>
      </w:pPr>
      <w:r>
        <w:rPr>
          <w:rFonts w:ascii="Arial" w:hAnsi="Arial" w:cs="Arial"/>
          <w:b/>
          <w:sz w:val="21"/>
        </w:rPr>
        <w:t>A) Puede incluirse en acuerdo del Consejo de Ministros y finaliza por nuevo acuerdo, tras el cual se reanudan los plazos.</w:t>
      </w:r>
    </w:p>
    <w:p>
      <w:pPr>
        <w:keepNext/>
        <w:keepLines/>
        <w:spacing w:after="40"/>
        <w:ind w:left="369" w:hanging="198"/>
      </w:pPr>
      <w:r>
        <w:rPr>
          <w:rFonts w:ascii="Arial" w:hAnsi="Arial" w:cs="Arial"/>
          <w:b w:val="0"/>
          <w:sz w:val="21"/>
        </w:rPr>
        <w:t>B) La declara cualquier alcalde y hace comenzar plazos nuevos.</w:t>
      </w:r>
    </w:p>
    <w:p>
      <w:pPr>
        <w:keepNext/>
        <w:keepLines/>
        <w:spacing w:after="40"/>
        <w:ind w:left="369" w:hanging="198"/>
      </w:pPr>
      <w:r>
        <w:rPr>
          <w:rFonts w:ascii="Arial" w:hAnsi="Arial" w:cs="Arial"/>
          <w:b w:val="0"/>
          <w:sz w:val="21"/>
        </w:rPr>
        <w:t>C) Opera automáticamente ante cualquier lluvia intensa.</w:t>
      </w:r>
    </w:p>
    <w:p>
      <w:pPr>
        <w:keepNext/>
        <w:keepLines/>
        <w:spacing w:after="40"/>
        <w:ind w:left="369" w:hanging="198"/>
      </w:pPr>
      <w:r>
        <w:rPr>
          <w:rFonts w:ascii="Arial" w:hAnsi="Arial" w:cs="Arial"/>
          <w:b w:val="0"/>
          <w:sz w:val="21"/>
        </w:rPr>
        <w:t>D) Solo beneficia a Administraciones, nunca a interesados.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alta. La opción indicada coincide con Ley 39/2015/disposición adicional novena. Las demás alternativas alteran el órgano, el plazo, el requisito, el efecto o la excepción aplicable.</w:t>
      </w:r>
    </w:p>
    <w:p>
      <w:r>
        <w:br w:type="page"/>
      </w:r>
    </w:p>
    <w:p>
      <w:pPr>
        <w:pStyle w:val="Heading1"/>
      </w:pPr>
      <w:r>
        <w:t>Segunda parte · solución razonada del supuesto</w:t>
      </w:r>
    </w:p>
    <w:p>
      <w:pPr>
        <w:shd w:fill="EAF2F8"/>
      </w:pPr>
      <w:r>
        <w:t>La Administración de la Tesorería General debe informar y proponer resolución sin atribuir al INSS funciones de la TGSS ni a la inversa.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Al comprobar el encuadramiento y sus efectos, las restantes horas extraordinarias, distintas de fuerza mayor, cotizan adicionalmente al:</w:t>
      </w:r>
    </w:p>
    <w:p>
      <w:pPr>
        <w:keepNext/>
        <w:keepLines/>
        <w:spacing w:after="40"/>
        <w:ind w:left="369" w:hanging="198"/>
      </w:pPr>
      <w:r>
        <w:rPr>
          <w:rFonts w:ascii="Arial" w:hAnsi="Arial" w:cs="Arial"/>
          <w:b w:val="0"/>
          <w:sz w:val="21"/>
        </w:rPr>
        <w:t>A) 14,00 por ciento.</w:t>
      </w:r>
    </w:p>
    <w:p>
      <w:pPr>
        <w:keepNext/>
        <w:keepLines/>
        <w:spacing w:after="40"/>
        <w:ind w:left="369" w:hanging="198"/>
      </w:pPr>
      <w:r>
        <w:rPr>
          <w:rFonts w:ascii="Arial" w:hAnsi="Arial" w:cs="Arial"/>
          <w:b w:val="0"/>
          <w:sz w:val="21"/>
        </w:rPr>
        <w:t>B) 7,05 por ciento.</w:t>
      </w:r>
    </w:p>
    <w:p>
      <w:pPr>
        <w:keepNext/>
        <w:keepLines/>
        <w:spacing w:after="40"/>
        <w:ind w:left="369" w:hanging="198"/>
      </w:pPr>
      <w:r>
        <w:rPr>
          <w:rFonts w:ascii="Arial" w:hAnsi="Arial" w:cs="Arial"/>
          <w:b/>
          <w:sz w:val="21"/>
        </w:rPr>
        <w:t>C) 28,30 por ciento.</w:t>
      </w:r>
    </w:p>
    <w:p>
      <w:pPr>
        <w:keepNext/>
        <w:keepLines/>
        <w:spacing w:after="40"/>
        <w:ind w:left="369" w:hanging="198"/>
      </w:pPr>
      <w:r>
        <w:rPr>
          <w:rFonts w:ascii="Arial" w:hAnsi="Arial" w:cs="Arial"/>
          <w:b w:val="0"/>
          <w:sz w:val="21"/>
        </w:rPr>
        <w:t>D) 0,90 por ciento.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media. Fundamento: Orden PJC/297/2026/artículo 5. La solución respeta la distribución competencial y las condiciones del supuesto; no se presumen datos no facilitados.</w:t>
      </w:r>
    </w:p>
    <w:p>
      <w:pPr>
        <w:pStyle w:val="Question"/>
        <w:keepNext/>
      </w:pPr>
      <w:r>
        <w:rPr>
          <w:rFonts w:ascii="Arial" w:hAnsi="Arial" w:cs="Arial"/>
          <w:sz w:val="22"/>
        </w:rPr>
        <w:t>2. Al comprobar el encuadramiento y sus efectos, si antes de solicitar un alta tardía se ingresaron cuotas en plazo reglamentario correspondientes al trabajador:</w:t>
      </w:r>
    </w:p>
    <w:p>
      <w:pPr>
        <w:keepNext/>
        <w:keepLines/>
        <w:spacing w:after="40"/>
        <w:ind w:left="369" w:hanging="198"/>
      </w:pPr>
      <w:r>
        <w:rPr>
          <w:rFonts w:ascii="Arial" w:hAnsi="Arial" w:cs="Arial"/>
          <w:b w:val="0"/>
          <w:sz w:val="21"/>
        </w:rPr>
        <w:t>A) El pago carece siempre de cualquier efecto.</w:t>
      </w:r>
    </w:p>
    <w:p>
      <w:pPr>
        <w:keepNext/>
        <w:keepLines/>
        <w:spacing w:after="40"/>
        <w:ind w:left="369" w:hanging="198"/>
      </w:pPr>
      <w:r>
        <w:rPr>
          <w:rFonts w:ascii="Arial" w:hAnsi="Arial" w:cs="Arial"/>
          <w:b w:val="0"/>
          <w:sz w:val="21"/>
        </w:rPr>
        <w:t>B) Se transforma automáticamente en afiliación a otro régimen.</w:t>
      </w:r>
    </w:p>
    <w:p>
      <w:pPr>
        <w:keepNext/>
        <w:keepLines/>
        <w:spacing w:after="40"/>
        <w:ind w:left="369" w:hanging="198"/>
      </w:pPr>
      <w:r>
        <w:rPr>
          <w:rFonts w:ascii="Arial" w:hAnsi="Arial" w:cs="Arial"/>
          <w:b w:val="0"/>
          <w:sz w:val="21"/>
        </w:rPr>
        <w:t>C) La TGSS debe devolver de oficio todas las cuotas.</w:t>
      </w:r>
    </w:p>
    <w:p>
      <w:pPr>
        <w:keepNext/>
        <w:keepLines/>
        <w:spacing w:after="40"/>
        <w:ind w:left="369" w:hanging="198"/>
      </w:pPr>
      <w:r>
        <w:rPr>
          <w:rFonts w:ascii="Arial" w:hAnsi="Arial" w:cs="Arial"/>
          <w:b/>
          <w:sz w:val="21"/>
        </w:rPr>
        <w:t>D) El alta puede retrotraer sus efectos al periodo al que corresponda la primera cuota ingresada, en los términos reglamentarios.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media. Fundamento: RD 84/1996, artículo 35.1.1.º. La solución respeta la distribución competencial y las condiciones del supuesto; no se presumen datos no facilitados.</w:t>
      </w:r>
    </w:p>
    <w:p>
      <w:pPr>
        <w:pStyle w:val="Question"/>
        <w:keepNext/>
      </w:pPr>
      <w:r>
        <w:rPr>
          <w:rFonts w:ascii="Arial" w:hAnsi="Arial" w:cs="Arial"/>
          <w:sz w:val="22"/>
        </w:rPr>
        <w:t>3. La unidad competente debe resolver la siguiente cuestión: ¿Cuál de estos ceses puede integrar, si concurren los demás requisitos, el acceso a la jubilación anticipada involuntaria?</w:t>
      </w:r>
    </w:p>
    <w:p>
      <w:pPr>
        <w:keepNext/>
        <w:keepLines/>
        <w:spacing w:after="40"/>
        <w:ind w:left="369" w:hanging="198"/>
      </w:pPr>
      <w:r>
        <w:rPr>
          <w:rFonts w:ascii="Arial" w:hAnsi="Arial" w:cs="Arial"/>
          <w:b w:val="0"/>
          <w:sz w:val="21"/>
        </w:rPr>
        <w:t>A) La dimisión libre sin causa adicional.</w:t>
      </w:r>
    </w:p>
    <w:p>
      <w:pPr>
        <w:keepNext/>
        <w:keepLines/>
        <w:spacing w:after="40"/>
        <w:ind w:left="369" w:hanging="198"/>
      </w:pPr>
      <w:r>
        <w:rPr>
          <w:rFonts w:ascii="Arial" w:hAnsi="Arial" w:cs="Arial"/>
          <w:b w:val="0"/>
          <w:sz w:val="21"/>
        </w:rPr>
        <w:t>B) El abandono del puesto sin comunicación.</w:t>
      </w:r>
    </w:p>
    <w:p>
      <w:pPr>
        <w:keepNext/>
        <w:keepLines/>
        <w:spacing w:after="40"/>
        <w:ind w:left="369" w:hanging="198"/>
      </w:pPr>
      <w:r>
        <w:rPr>
          <w:rFonts w:ascii="Arial" w:hAnsi="Arial" w:cs="Arial"/>
          <w:b/>
          <w:sz w:val="21"/>
        </w:rPr>
        <w:t>C) La extinción por despido colectivo fundada en causas económicas, técnicas, organizativas o de producción.</w:t>
      </w:r>
    </w:p>
    <w:p>
      <w:pPr>
        <w:keepNext/>
        <w:keepLines/>
        <w:spacing w:after="40"/>
        <w:ind w:left="369" w:hanging="198"/>
      </w:pPr>
      <w:r>
        <w:rPr>
          <w:rFonts w:ascii="Arial" w:hAnsi="Arial" w:cs="Arial"/>
          <w:b w:val="0"/>
          <w:sz w:val="21"/>
        </w:rPr>
        <w:t>D) La finalización voluntaria de una excedencia.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alta. Fundamento: TRLGSS, artículo 207.1.d. La solución respeta la distribución competencial y las condiciones del supuesto; no se presumen datos no facilitados.</w:t>
      </w:r>
    </w:p>
    <w:p>
      <w:pPr>
        <w:pStyle w:val="Question"/>
        <w:keepNext/>
      </w:pPr>
      <w:r>
        <w:rPr>
          <w:rFonts w:ascii="Arial" w:hAnsi="Arial" w:cs="Arial"/>
          <w:sz w:val="22"/>
        </w:rPr>
        <w:t>4. La persona funcionaria responsable necesita determinar si hay pluriempleo cuando una persona:</w:t>
      </w:r>
    </w:p>
    <w:p>
      <w:pPr>
        <w:keepNext/>
        <w:keepLines/>
        <w:spacing w:after="40"/>
        <w:ind w:left="369" w:hanging="198"/>
      </w:pPr>
      <w:r>
        <w:rPr>
          <w:rFonts w:ascii="Arial" w:hAnsi="Arial" w:cs="Arial"/>
          <w:b w:val="0"/>
          <w:sz w:val="21"/>
        </w:rPr>
        <w:t>A) Realiza actividades que determinan altas en dos regímenes diferentes.</w:t>
      </w:r>
    </w:p>
    <w:p>
      <w:pPr>
        <w:keepNext/>
        <w:keepLines/>
        <w:spacing w:after="40"/>
        <w:ind w:left="369" w:hanging="198"/>
      </w:pPr>
      <w:r>
        <w:rPr>
          <w:rFonts w:ascii="Arial" w:hAnsi="Arial" w:cs="Arial"/>
          <w:b w:val="0"/>
          <w:sz w:val="21"/>
        </w:rPr>
        <w:t>B) Tiene dos categorías profesionales para un único empresario.</w:t>
      </w:r>
    </w:p>
    <w:p>
      <w:pPr>
        <w:keepNext/>
        <w:keepLines/>
        <w:spacing w:after="40"/>
        <w:ind w:left="369" w:hanging="198"/>
      </w:pPr>
      <w:r>
        <w:rPr>
          <w:rFonts w:ascii="Arial" w:hAnsi="Arial" w:cs="Arial"/>
          <w:b w:val="0"/>
          <w:sz w:val="21"/>
        </w:rPr>
        <w:t>C) Alterna periodos de empleo y desempleo.</w:t>
      </w:r>
    </w:p>
    <w:p>
      <w:pPr>
        <w:keepNext/>
        <w:keepLines/>
        <w:spacing w:after="40"/>
        <w:ind w:left="369" w:hanging="198"/>
      </w:pPr>
      <w:r>
        <w:rPr>
          <w:rFonts w:ascii="Arial" w:hAnsi="Arial" w:cs="Arial"/>
          <w:b/>
          <w:sz w:val="21"/>
        </w:rPr>
        <w:t>D) Trabaja para dos o más empresarios en actividades que dan lugar a su alta en el mismo régimen de la Seguridad Social.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S03 · dificultad básica. Fundamento: RD 84/1996, artículo 7.4.2.º. La solución respeta la distribución competencial y las condiciones del supuesto; no se presumen datos no facilitados.</w:t>
      </w:r>
    </w:p>
    <w:p>
      <w:pPr>
        <w:pStyle w:val="Question"/>
        <w:keepNext/>
      </w:pPr>
      <w:r>
        <w:rPr>
          <w:rFonts w:ascii="Arial" w:hAnsi="Arial" w:cs="Arial"/>
          <w:sz w:val="22"/>
        </w:rPr>
        <w:t>5. Al comprobar el encuadramiento y sus efectos, un trabajo por cuenta ajena, de jornada y retribución muy reducidas, ¿queda automáticamente fuera del sistema por considerarse marginal?</w:t>
      </w:r>
    </w:p>
    <w:p>
      <w:pPr>
        <w:keepNext/>
        <w:keepLines/>
        <w:spacing w:after="40"/>
        <w:ind w:left="369" w:hanging="198"/>
      </w:pPr>
      <w:r>
        <w:rPr>
          <w:rFonts w:ascii="Arial" w:hAnsi="Arial" w:cs="Arial"/>
          <w:b w:val="0"/>
          <w:sz w:val="21"/>
        </w:rPr>
        <w:t>A) Sí, siempre que no alcance el salario mínimo.</w:t>
      </w:r>
    </w:p>
    <w:p>
      <w:pPr>
        <w:keepNext/>
        <w:keepLines/>
        <w:spacing w:after="40"/>
        <w:ind w:left="369" w:hanging="198"/>
      </w:pPr>
      <w:r>
        <w:rPr>
          <w:rFonts w:ascii="Arial" w:hAnsi="Arial" w:cs="Arial"/>
          <w:b/>
          <w:sz w:val="21"/>
        </w:rPr>
        <w:t>B) No; la exclusión exige el procedimiento y la decisión previstos legalmente, a solicitud de las personas interesadas y con las audiencias correspondientes.</w:t>
      </w:r>
    </w:p>
    <w:p>
      <w:pPr>
        <w:keepNext/>
        <w:keepLines/>
        <w:spacing w:after="40"/>
        <w:ind w:left="369" w:hanging="198"/>
      </w:pPr>
      <w:r>
        <w:rPr>
          <w:rFonts w:ascii="Arial" w:hAnsi="Arial" w:cs="Arial"/>
          <w:b w:val="0"/>
          <w:sz w:val="21"/>
        </w:rPr>
        <w:t>C) Sí, si el empresario lo comunica dentro de los tres días siguientes.</w:t>
      </w:r>
    </w:p>
    <w:p>
      <w:pPr>
        <w:keepNext/>
        <w:keepLines/>
        <w:spacing w:after="40"/>
        <w:ind w:left="369" w:hanging="198"/>
      </w:pPr>
      <w:r>
        <w:rPr>
          <w:rFonts w:ascii="Arial" w:hAnsi="Arial" w:cs="Arial"/>
          <w:b w:val="0"/>
          <w:sz w:val="21"/>
        </w:rPr>
        <w:t>D) No puede excluirse en ningún caso, aunque exista disposición gubernamental.</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S02 · dificultad alta. Fundamento: TRLGSS, artículo 7.5. La solución respeta la distribución competencial y las condiciones del supuesto; no se presumen datos no facilitados.</w:t>
      </w:r>
    </w:p>
    <w:p>
      <w:pPr>
        <w:pStyle w:val="Question"/>
        <w:keepNext/>
      </w:pPr>
      <w:r>
        <w:rPr>
          <w:rFonts w:ascii="Arial" w:hAnsi="Arial" w:cs="Arial"/>
          <w:sz w:val="22"/>
        </w:rPr>
        <w:t>6. La persona funcionaria responsable necesita determinar si aunque no haya llegado la fecha de revisión indicada, el INSS puede revisar la IP si:</w:t>
      </w:r>
    </w:p>
    <w:p>
      <w:pPr>
        <w:keepNext/>
        <w:keepLines/>
        <w:spacing w:after="40"/>
        <w:ind w:left="369" w:hanging="198"/>
      </w:pPr>
      <w:r>
        <w:rPr>
          <w:rFonts w:ascii="Arial" w:hAnsi="Arial" w:cs="Arial"/>
          <w:b w:val="0"/>
          <w:sz w:val="21"/>
        </w:rPr>
        <w:t>A) Lo pide cualquier empresa sin prueba.</w:t>
      </w:r>
    </w:p>
    <w:p>
      <w:pPr>
        <w:keepNext/>
        <w:keepLines/>
        <w:spacing w:after="40"/>
        <w:ind w:left="369" w:hanging="198"/>
      </w:pPr>
      <w:r>
        <w:rPr>
          <w:rFonts w:ascii="Arial" w:hAnsi="Arial" w:cs="Arial"/>
          <w:b/>
          <w:sz w:val="21"/>
        </w:rPr>
        <w:t>B) El pensionista está realizando trabajo por cuenta propia o ajena.</w:t>
      </w:r>
    </w:p>
    <w:p>
      <w:pPr>
        <w:keepNext/>
        <w:keepLines/>
        <w:spacing w:after="40"/>
        <w:ind w:left="369" w:hanging="198"/>
      </w:pPr>
      <w:r>
        <w:rPr>
          <w:rFonts w:ascii="Arial" w:hAnsi="Arial" w:cs="Arial"/>
          <w:b w:val="0"/>
          <w:sz w:val="21"/>
        </w:rPr>
        <w:t>C) Han pasado solo diez días.</w:t>
      </w:r>
    </w:p>
    <w:p>
      <w:pPr>
        <w:keepNext/>
        <w:keepLines/>
        <w:spacing w:after="40"/>
        <w:ind w:left="369" w:hanging="198"/>
      </w:pPr>
      <w:r>
        <w:rPr>
          <w:rFonts w:ascii="Arial" w:hAnsi="Arial" w:cs="Arial"/>
          <w:b w:val="0"/>
          <w:sz w:val="21"/>
        </w:rPr>
        <w:t>D) La persona cumplió ya 67 años.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alta. Fundamento: TRLGSS/artículo 200.2. La solución respeta la distribución competencial y las condiciones del supuesto; no se presumen datos no facilitados.</w:t>
      </w:r>
    </w:p>
    <w:p>
      <w:pPr>
        <w:pStyle w:val="Question"/>
        <w:keepNext/>
      </w:pPr>
      <w:r>
        <w:rPr>
          <w:rFonts w:ascii="Arial" w:hAnsi="Arial" w:cs="Arial"/>
          <w:sz w:val="22"/>
        </w:rPr>
        <w:t>7. La unidad competente debe resolver la siguiente cuestión: Una baja comunicada fuera de plazo determina, en principio, que:</w:t>
      </w:r>
    </w:p>
    <w:p>
      <w:pPr>
        <w:keepNext/>
        <w:keepLines/>
        <w:spacing w:after="40"/>
        <w:ind w:left="369" w:hanging="198"/>
      </w:pPr>
      <w:r>
        <w:rPr>
          <w:rFonts w:ascii="Arial" w:hAnsi="Arial" w:cs="Arial"/>
          <w:b w:val="0"/>
          <w:sz w:val="21"/>
        </w:rPr>
        <w:t>A) La obligación de cotizar termine automáticamente en la fecha declarada, sin comprobación.</w:t>
      </w:r>
    </w:p>
    <w:p>
      <w:pPr>
        <w:keepNext/>
        <w:keepLines/>
        <w:spacing w:after="40"/>
        <w:ind w:left="369" w:hanging="198"/>
      </w:pPr>
      <w:r>
        <w:rPr>
          <w:rFonts w:ascii="Arial" w:hAnsi="Arial" w:cs="Arial"/>
          <w:b/>
          <w:sz w:val="21"/>
        </w:rPr>
        <w:t>B) La obligación de cotizar continúe hasta que la TGSS conozca el cese, salvo prueba de una fecha anterior con los efectos reglamentarios.</w:t>
      </w:r>
    </w:p>
    <w:p>
      <w:pPr>
        <w:keepNext/>
        <w:keepLines/>
        <w:spacing w:after="40"/>
        <w:ind w:left="369" w:hanging="198"/>
      </w:pPr>
      <w:r>
        <w:rPr>
          <w:rFonts w:ascii="Arial" w:hAnsi="Arial" w:cs="Arial"/>
          <w:b w:val="0"/>
          <w:sz w:val="21"/>
        </w:rPr>
        <w:t>C) Se anule toda la cotización del periodo.</w:t>
      </w:r>
    </w:p>
    <w:p>
      <w:pPr>
        <w:keepNext/>
        <w:keepLines/>
        <w:spacing w:after="40"/>
        <w:ind w:left="369" w:hanging="198"/>
      </w:pPr>
      <w:r>
        <w:rPr>
          <w:rFonts w:ascii="Arial" w:hAnsi="Arial" w:cs="Arial"/>
          <w:b w:val="0"/>
          <w:sz w:val="21"/>
        </w:rPr>
        <w:t>D) El trabajador permanezca afiliado por segunda vez.</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Fundamento: RD 84/1996, artículo 35.2. La solución respeta la distribución competencial y las condiciones del supuesto; no se presumen datos no facilitados.</w:t>
      </w:r>
    </w:p>
    <w:p>
      <w:pPr>
        <w:pStyle w:val="Question"/>
        <w:keepNext/>
      </w:pPr>
      <w:r>
        <w:rPr>
          <w:rFonts w:ascii="Arial" w:hAnsi="Arial" w:cs="Arial"/>
          <w:sz w:val="22"/>
        </w:rPr>
        <w:t>8. Al comprobar el encuadramiento y sus efectos, para acreditar una pareja de hecho a efectos de viudedad se requiere, con carácter general:</w:t>
      </w:r>
    </w:p>
    <w:p>
      <w:pPr>
        <w:keepNext/>
        <w:keepLines/>
        <w:spacing w:after="40"/>
        <w:ind w:left="369" w:hanging="198"/>
      </w:pPr>
      <w:r>
        <w:rPr>
          <w:rFonts w:ascii="Arial" w:hAnsi="Arial" w:cs="Arial"/>
          <w:b/>
          <w:sz w:val="21"/>
        </w:rPr>
        <w:t>A) Inscripción registral o documento público con una antelación mínima de dos años al fallecimiento.</w:t>
      </w:r>
    </w:p>
    <w:p>
      <w:pPr>
        <w:keepNext/>
        <w:keepLines/>
        <w:spacing w:after="40"/>
        <w:ind w:left="369" w:hanging="198"/>
      </w:pPr>
      <w:r>
        <w:rPr>
          <w:rFonts w:ascii="Arial" w:hAnsi="Arial" w:cs="Arial"/>
          <w:b w:val="0"/>
          <w:sz w:val="21"/>
        </w:rPr>
        <w:t>B) Una declaración unilateral posterior al fallecimiento.</w:t>
      </w:r>
    </w:p>
    <w:p>
      <w:pPr>
        <w:keepNext/>
        <w:keepLines/>
        <w:spacing w:after="40"/>
        <w:ind w:left="369" w:hanging="198"/>
      </w:pPr>
      <w:r>
        <w:rPr>
          <w:rFonts w:ascii="Arial" w:hAnsi="Arial" w:cs="Arial"/>
          <w:b w:val="0"/>
          <w:sz w:val="21"/>
        </w:rPr>
        <w:t>C) Solo empadronamiento durante seis meses.</w:t>
      </w:r>
    </w:p>
    <w:p>
      <w:pPr>
        <w:keepNext/>
        <w:keepLines/>
        <w:spacing w:after="40"/>
        <w:ind w:left="369" w:hanging="198"/>
      </w:pPr>
      <w:r>
        <w:rPr>
          <w:rFonts w:ascii="Arial" w:hAnsi="Arial" w:cs="Arial"/>
          <w:b w:val="0"/>
          <w:sz w:val="21"/>
        </w:rPr>
        <w:t>D) Haber otorgado testamento recíproco.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media. Fundamento: TRLGSS, artículo 221.2. La solución respeta la distribución competencial y las condiciones del supuesto; no se presumen datos no facilitados.</w:t>
      </w:r>
    </w:p>
    <w:p>
      <w:pPr>
        <w:pStyle w:val="Question"/>
        <w:keepNext/>
      </w:pPr>
      <w:r>
        <w:rPr>
          <w:rFonts w:ascii="Arial" w:hAnsi="Arial" w:cs="Arial"/>
          <w:sz w:val="22"/>
        </w:rPr>
        <w:t>9. En el subexpediente descrito y con los únicos datos facilitados, tras una reclamación de deuda firme, el responsable recurre la providencia alegando únicamente que discrepa jurídicamente de la base de cotización ya decidida. ¿Qué procede?</w:t>
      </w:r>
    </w:p>
    <w:p>
      <w:pPr>
        <w:keepNext/>
        <w:keepLines/>
        <w:spacing w:after="40"/>
        <w:ind w:left="369" w:hanging="198"/>
      </w:pPr>
      <w:r>
        <w:rPr>
          <w:rFonts w:ascii="Arial" w:hAnsi="Arial" w:cs="Arial"/>
          <w:b w:val="0"/>
          <w:sz w:val="21"/>
        </w:rPr>
        <w:t>A) Suspender y revisar todo el fondo porque los motivos son abiertos.</w:t>
      </w:r>
    </w:p>
    <w:p>
      <w:pPr>
        <w:keepNext/>
        <w:keepLines/>
        <w:spacing w:after="40"/>
        <w:ind w:left="369" w:hanging="198"/>
      </w:pPr>
      <w:r>
        <w:rPr>
          <w:rFonts w:ascii="Arial" w:hAnsi="Arial" w:cs="Arial"/>
          <w:b/>
          <w:sz w:val="21"/>
        </w:rPr>
        <w:t>B) Rechazar esa alegación como motivo de oposición a la providencia, pues no es pago, prescripción, error material, condonación, aplazamiento, suspensión ni falta de notificación exigible.</w:t>
      </w:r>
    </w:p>
    <w:p>
      <w:pPr>
        <w:keepNext/>
        <w:keepLines/>
        <w:spacing w:after="40"/>
        <w:ind w:left="369" w:hanging="198"/>
      </w:pPr>
      <w:r>
        <w:rPr>
          <w:rFonts w:ascii="Arial" w:hAnsi="Arial" w:cs="Arial"/>
          <w:b w:val="0"/>
          <w:sz w:val="21"/>
        </w:rPr>
        <w:t>C) Calificar automáticamente el crédito de incobrable.</w:t>
      </w:r>
    </w:p>
    <w:p>
      <w:pPr>
        <w:keepNext/>
        <w:keepLines/>
        <w:spacing w:after="40"/>
        <w:ind w:left="369" w:hanging="198"/>
      </w:pPr>
      <w:r>
        <w:rPr>
          <w:rFonts w:ascii="Arial" w:hAnsi="Arial" w:cs="Arial"/>
          <w:b w:val="0"/>
          <w:sz w:val="21"/>
        </w:rPr>
        <w:t>D) Convertir el recurso en tercería de dominio.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alta. Fundamento: TRLGSS, artículo 38.3; RGRSS, artículo 86.1. La solución respeta la distribución competencial y las condiciones del supuesto; no se presumen datos no facilitados.</w:t>
      </w:r>
    </w:p>
    <w:p>
      <w:pPr>
        <w:pStyle w:val="Question"/>
        <w:keepNext/>
      </w:pPr>
      <w:r>
        <w:rPr>
          <w:rFonts w:ascii="Arial" w:hAnsi="Arial" w:cs="Arial"/>
          <w:sz w:val="22"/>
        </w:rPr>
        <w:t>10. En la tramitación del expediente de Seguridad Social, del MEI del 0,90 por ciento aplicable en 2026, corresponde al trabajador:</w:t>
      </w:r>
    </w:p>
    <w:p>
      <w:pPr>
        <w:keepNext/>
        <w:keepLines/>
        <w:spacing w:after="40"/>
        <w:ind w:left="369" w:hanging="198"/>
      </w:pPr>
      <w:r>
        <w:rPr>
          <w:rFonts w:ascii="Arial" w:hAnsi="Arial" w:cs="Arial"/>
          <w:b/>
          <w:sz w:val="21"/>
        </w:rPr>
        <w:t>A) 0,15 por ciento.</w:t>
      </w:r>
    </w:p>
    <w:p>
      <w:pPr>
        <w:keepNext/>
        <w:keepLines/>
        <w:spacing w:after="40"/>
        <w:ind w:left="369" w:hanging="198"/>
      </w:pPr>
      <w:r>
        <w:rPr>
          <w:rFonts w:ascii="Arial" w:hAnsi="Arial" w:cs="Arial"/>
          <w:b w:val="0"/>
          <w:sz w:val="21"/>
        </w:rPr>
        <w:t>B) 0,10 por ciento.</w:t>
      </w:r>
    </w:p>
    <w:p>
      <w:pPr>
        <w:keepNext/>
        <w:keepLines/>
        <w:spacing w:after="40"/>
        <w:ind w:left="369" w:hanging="198"/>
      </w:pPr>
      <w:r>
        <w:rPr>
          <w:rFonts w:ascii="Arial" w:hAnsi="Arial" w:cs="Arial"/>
          <w:b w:val="0"/>
          <w:sz w:val="21"/>
        </w:rPr>
        <w:t>C) 0,75 por ciento.</w:t>
      </w:r>
    </w:p>
    <w:p>
      <w:pPr>
        <w:keepNext/>
        <w:keepLines/>
        <w:spacing w:after="40"/>
        <w:ind w:left="369" w:hanging="198"/>
      </w:pPr>
      <w:r>
        <w:rPr>
          <w:rFonts w:ascii="Arial" w:hAnsi="Arial" w:cs="Arial"/>
          <w:b w:val="0"/>
          <w:sz w:val="21"/>
        </w:rPr>
        <w:t>D) 0,90 por ciento.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S04 · dificultad media. Fundamento: Orden PJC/297/2026/artículo 4 y DT 43.ª TRLGSS. La solución respeta la distribución competencial y las condiciones del supuesto; no se presumen datos no facilitados.</w:t>
      </w:r>
    </w:p>
    <w:p>
      <w:pPr>
        <w:pStyle w:val="Question"/>
        <w:keepNext/>
      </w:pPr>
      <w:r>
        <w:rPr>
          <w:rFonts w:ascii="Arial" w:hAnsi="Arial" w:cs="Arial"/>
          <w:sz w:val="22"/>
        </w:rPr>
        <w:t>11. La unidad competente debe resolver la siguiente cuestión: Si el empresario no descontó al pagar el salario la aportación que correspondía al trabajador:</w:t>
      </w:r>
    </w:p>
    <w:p>
      <w:pPr>
        <w:keepNext/>
        <w:keepLines/>
        <w:spacing w:after="40"/>
        <w:ind w:left="369" w:hanging="198"/>
      </w:pPr>
      <w:r>
        <w:rPr>
          <w:rFonts w:ascii="Arial" w:hAnsi="Arial" w:cs="Arial"/>
          <w:b w:val="0"/>
          <w:sz w:val="21"/>
        </w:rPr>
        <w:t>A) Puede descontarla en cualquier nómina futura sin límite.</w:t>
      </w:r>
    </w:p>
    <w:p>
      <w:pPr>
        <w:keepNext/>
        <w:keepLines/>
        <w:spacing w:after="40"/>
        <w:ind w:left="369" w:hanging="198"/>
      </w:pPr>
      <w:r>
        <w:rPr>
          <w:rFonts w:ascii="Arial" w:hAnsi="Arial" w:cs="Arial"/>
          <w:b/>
          <w:sz w:val="21"/>
        </w:rPr>
        <w:t>B) No puede descontarla después y soporta el ingreso total.</w:t>
      </w:r>
    </w:p>
    <w:p>
      <w:pPr>
        <w:keepNext/>
        <w:keepLines/>
        <w:spacing w:after="40"/>
        <w:ind w:left="369" w:hanging="198"/>
      </w:pPr>
      <w:r>
        <w:rPr>
          <w:rFonts w:ascii="Arial" w:hAnsi="Arial" w:cs="Arial"/>
          <w:b w:val="0"/>
          <w:sz w:val="21"/>
        </w:rPr>
        <w:t>C) La deuda pasa a ser exclusiva del trabajador.</w:t>
      </w:r>
    </w:p>
    <w:p>
      <w:pPr>
        <w:keepNext/>
        <w:keepLines/>
        <w:spacing w:after="40"/>
        <w:ind w:left="369" w:hanging="198"/>
      </w:pPr>
      <w:r>
        <w:rPr>
          <w:rFonts w:ascii="Arial" w:hAnsi="Arial" w:cs="Arial"/>
          <w:b w:val="0"/>
          <w:sz w:val="21"/>
        </w:rPr>
        <w:t>D) Queda extinguida la parte del trabajador.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S04 · dificultad alta. Fundamento: TRLGSS/artículo 142.2. La solución respeta la distribución competencial y las condiciones del supuesto; no se presumen datos no facilitados.</w:t>
      </w:r>
    </w:p>
    <w:p>
      <w:pPr>
        <w:pStyle w:val="Question"/>
        <w:keepNext/>
      </w:pPr>
      <w:r>
        <w:rPr>
          <w:rFonts w:ascii="Arial" w:hAnsi="Arial" w:cs="Arial"/>
          <w:sz w:val="22"/>
        </w:rPr>
        <w:t>12. Al comprobar el encuadramiento y sus efectos, la corresponsabilidad en el cuidado del lactante exige:</w:t>
      </w:r>
    </w:p>
    <w:p>
      <w:pPr>
        <w:keepNext/>
        <w:keepLines/>
        <w:spacing w:after="40"/>
        <w:ind w:left="369" w:hanging="198"/>
      </w:pPr>
      <w:r>
        <w:rPr>
          <w:rFonts w:ascii="Arial" w:hAnsi="Arial" w:cs="Arial"/>
          <w:b/>
          <w:sz w:val="21"/>
        </w:rPr>
        <w:t>A) Reducción de media hora por ambos, con igual duración y régimen, de 9 a 12 meses.</w:t>
      </w:r>
    </w:p>
    <w:p>
      <w:pPr>
        <w:keepNext/>
        <w:keepLines/>
        <w:spacing w:after="40"/>
        <w:ind w:left="369" w:hanging="198"/>
      </w:pPr>
      <w:r>
        <w:rPr>
          <w:rFonts w:ascii="Arial" w:hAnsi="Arial" w:cs="Arial"/>
          <w:b w:val="0"/>
          <w:sz w:val="21"/>
        </w:rPr>
        <w:t>B) Reducción solo de quien solicita.</w:t>
      </w:r>
    </w:p>
    <w:p>
      <w:pPr>
        <w:keepNext/>
        <w:keepLines/>
        <w:spacing w:after="40"/>
        <w:ind w:left="369" w:hanging="198"/>
      </w:pPr>
      <w:r>
        <w:rPr>
          <w:rFonts w:ascii="Arial" w:hAnsi="Arial" w:cs="Arial"/>
          <w:b w:val="0"/>
          <w:sz w:val="21"/>
        </w:rPr>
        <w:t>C) Suspensión completa desde el nacimiento.</w:t>
      </w:r>
    </w:p>
    <w:p>
      <w:pPr>
        <w:keepNext/>
        <w:keepLines/>
        <w:spacing w:after="40"/>
        <w:ind w:left="369" w:hanging="198"/>
      </w:pPr>
      <w:r>
        <w:rPr>
          <w:rFonts w:ascii="Arial" w:hAnsi="Arial" w:cs="Arial"/>
          <w:b w:val="0"/>
          <w:sz w:val="21"/>
        </w:rPr>
        <w:t>D) Que uno de los progenitores no trabaje.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media. Fundamento: TRLGSS/artículo 183. La solución respeta la distribución competencial y las condiciones del supuesto; no se presumen datos no facilitados.</w:t>
      </w:r>
    </w:p>
    <w:p>
      <w:pPr>
        <w:pStyle w:val="Question"/>
        <w:keepNext/>
      </w:pPr>
      <w:r>
        <w:rPr>
          <w:rFonts w:ascii="Arial" w:hAnsi="Arial" w:cs="Arial"/>
          <w:sz w:val="22"/>
        </w:rPr>
        <w:t>13. Al comprobar el encuadramiento y sus efectos, para causar una prestación del Régimen General se exige, como regla:</w:t>
      </w:r>
    </w:p>
    <w:p>
      <w:pPr>
        <w:keepNext/>
        <w:keepLines/>
        <w:spacing w:after="40"/>
        <w:ind w:left="369" w:hanging="198"/>
      </w:pPr>
      <w:r>
        <w:rPr>
          <w:rFonts w:ascii="Arial" w:hAnsi="Arial" w:cs="Arial"/>
          <w:b/>
          <w:sz w:val="21"/>
        </w:rPr>
        <w:t>A) Afiliación y alta o situación asimilada al sobrevenir la contingencia.</w:t>
      </w:r>
    </w:p>
    <w:p>
      <w:pPr>
        <w:keepNext/>
        <w:keepLines/>
        <w:spacing w:after="40"/>
        <w:ind w:left="369" w:hanging="198"/>
      </w:pPr>
      <w:r>
        <w:rPr>
          <w:rFonts w:ascii="Arial" w:hAnsi="Arial" w:cs="Arial"/>
          <w:b w:val="0"/>
          <w:sz w:val="21"/>
        </w:rPr>
        <w:t>B) Residencia de diez años.</w:t>
      </w:r>
    </w:p>
    <w:p>
      <w:pPr>
        <w:keepNext/>
        <w:keepLines/>
        <w:spacing w:after="40"/>
        <w:ind w:left="369" w:hanging="198"/>
      </w:pPr>
      <w:r>
        <w:rPr>
          <w:rFonts w:ascii="Arial" w:hAnsi="Arial" w:cs="Arial"/>
          <w:b w:val="0"/>
          <w:sz w:val="21"/>
        </w:rPr>
        <w:t>C) Tener 21 años.</w:t>
      </w:r>
    </w:p>
    <w:p>
      <w:pPr>
        <w:keepNext/>
        <w:keepLines/>
        <w:spacing w:after="40"/>
        <w:ind w:left="369" w:hanging="198"/>
      </w:pPr>
      <w:r>
        <w:rPr>
          <w:rFonts w:ascii="Arial" w:hAnsi="Arial" w:cs="Arial"/>
          <w:b w:val="0"/>
          <w:sz w:val="21"/>
        </w:rPr>
        <w:t>D) Un mínimo universal de 180 días cotizados.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S07 · dificultad media. Fundamento: TRLGSS/artículo 165.1. La solución respeta la distribución competencial y las condiciones del supuesto; no se presumen datos no facilitados.</w:t>
      </w:r>
    </w:p>
    <w:p>
      <w:pPr>
        <w:pStyle w:val="Question"/>
        <w:keepNext/>
      </w:pPr>
      <w:r>
        <w:rPr>
          <w:rFonts w:ascii="Arial" w:hAnsi="Arial" w:cs="Arial"/>
          <w:sz w:val="22"/>
        </w:rPr>
        <w:t>14. En el subexpediente descrito y con los únicos datos facilitados, fallece el titular del IMV de una unidad de convivencia. Otro miembro presenta solicitud dentro de los tres meses siguientes:</w:t>
      </w:r>
    </w:p>
    <w:p>
      <w:pPr>
        <w:keepNext/>
        <w:keepLines/>
        <w:spacing w:after="40"/>
        <w:ind w:left="369" w:hanging="198"/>
      </w:pPr>
      <w:r>
        <w:rPr>
          <w:rFonts w:ascii="Arial" w:hAnsi="Arial" w:cs="Arial"/>
          <w:b w:val="0"/>
          <w:sz w:val="21"/>
        </w:rPr>
        <w:t>A) La unidad queda excluida definitivamente del IMV.</w:t>
      </w:r>
    </w:p>
    <w:p>
      <w:pPr>
        <w:keepNext/>
        <w:keepLines/>
        <w:spacing w:after="40"/>
        <w:ind w:left="369" w:hanging="198"/>
      </w:pPr>
      <w:r>
        <w:rPr>
          <w:rFonts w:ascii="Arial" w:hAnsi="Arial" w:cs="Arial"/>
          <w:b w:val="0"/>
          <w:sz w:val="21"/>
        </w:rPr>
        <w:t>B) Los efectos solo pueden comenzar un año después.</w:t>
      </w:r>
    </w:p>
    <w:p>
      <w:pPr>
        <w:keepNext/>
        <w:keepLines/>
        <w:spacing w:after="40"/>
        <w:ind w:left="369" w:hanging="198"/>
      </w:pPr>
      <w:r>
        <w:rPr>
          <w:rFonts w:ascii="Arial" w:hAnsi="Arial" w:cs="Arial"/>
          <w:b w:val="0"/>
          <w:sz w:val="21"/>
        </w:rPr>
        <w:t>C) Se reconoce automáticamente sin nueva solicitud.</w:t>
      </w:r>
    </w:p>
    <w:p>
      <w:pPr>
        <w:keepNext/>
        <w:keepLines/>
        <w:spacing w:after="40"/>
        <w:ind w:left="369" w:hanging="198"/>
      </w:pPr>
      <w:r>
        <w:rPr>
          <w:rFonts w:ascii="Arial" w:hAnsi="Arial" w:cs="Arial"/>
          <w:b/>
          <w:sz w:val="21"/>
        </w:rPr>
        <w:t>D) El nuevo derecho puede producir efectos desde el primer día del mes siguiente al fallecimiento.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alta. Fundamento: Ley 19/2021, artículo 18. La solución respeta la distribución competencial y las condiciones del supuesto; no se presumen datos no facilitados.</w:t>
      </w:r>
    </w:p>
    <w:p>
      <w:pPr>
        <w:pStyle w:val="Question"/>
        <w:keepNext/>
      </w:pPr>
      <w:r>
        <w:rPr>
          <w:rFonts w:ascii="Arial" w:hAnsi="Arial" w:cs="Arial"/>
          <w:sz w:val="22"/>
        </w:rPr>
        <w:t>15. En la tramitación del expediente de Seguridad Social, el derecho a solicitar la devolución de ingresos indebidos prescribe, con carácter general:</w:t>
      </w:r>
    </w:p>
    <w:p>
      <w:pPr>
        <w:keepNext/>
        <w:keepLines/>
        <w:spacing w:after="40"/>
        <w:ind w:left="369" w:hanging="198"/>
      </w:pPr>
      <w:r>
        <w:rPr>
          <w:rFonts w:ascii="Arial" w:hAnsi="Arial" w:cs="Arial"/>
          <w:b w:val="0"/>
          <w:sz w:val="21"/>
        </w:rPr>
        <w:t>A) Al año.</w:t>
      </w:r>
    </w:p>
    <w:p>
      <w:pPr>
        <w:keepNext/>
        <w:keepLines/>
        <w:spacing w:after="40"/>
        <w:ind w:left="369" w:hanging="198"/>
      </w:pPr>
      <w:r>
        <w:rPr>
          <w:rFonts w:ascii="Arial" w:hAnsi="Arial" w:cs="Arial"/>
          <w:b w:val="0"/>
          <w:sz w:val="21"/>
        </w:rPr>
        <w:t>B) A los dos años.</w:t>
      </w:r>
    </w:p>
    <w:p>
      <w:pPr>
        <w:keepNext/>
        <w:keepLines/>
        <w:spacing w:after="40"/>
        <w:ind w:left="369" w:hanging="198"/>
      </w:pPr>
      <w:r>
        <w:rPr>
          <w:rFonts w:ascii="Arial" w:hAnsi="Arial" w:cs="Arial"/>
          <w:b/>
          <w:sz w:val="21"/>
        </w:rPr>
        <w:t>C) A los cuatro años.</w:t>
      </w:r>
    </w:p>
    <w:p>
      <w:pPr>
        <w:keepNext/>
        <w:keepLines/>
        <w:spacing w:after="40"/>
        <w:ind w:left="369" w:hanging="198"/>
      </w:pPr>
      <w:r>
        <w:rPr>
          <w:rFonts w:ascii="Arial" w:hAnsi="Arial" w:cs="Arial"/>
          <w:b w:val="0"/>
          <w:sz w:val="21"/>
        </w:rPr>
        <w:t>D) A los diez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S05 · dificultad alta. Fundamento: TRLGSS, artículo 44.3.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La unidad competente debe resolver la siguiente cuestión: El Real Decreto 616/2026 entró en vigor:</w:t>
      </w:r>
    </w:p>
    <w:p>
      <w:pPr>
        <w:keepNext/>
        <w:keepLines/>
        <w:spacing w:after="40"/>
        <w:ind w:left="369" w:hanging="198"/>
      </w:pPr>
      <w:r>
        <w:rPr>
          <w:rFonts w:ascii="Arial" w:hAnsi="Arial" w:cs="Arial"/>
          <w:b w:val="0"/>
          <w:sz w:val="21"/>
        </w:rPr>
        <w:t>A) El 22 de julio de 2026.</w:t>
      </w:r>
    </w:p>
    <w:p>
      <w:pPr>
        <w:keepNext/>
        <w:keepLines/>
        <w:spacing w:after="40"/>
        <w:ind w:left="369" w:hanging="198"/>
      </w:pPr>
      <w:r>
        <w:rPr>
          <w:rFonts w:ascii="Arial" w:hAnsi="Arial" w:cs="Arial"/>
          <w:b w:val="0"/>
          <w:sz w:val="21"/>
        </w:rPr>
        <w:t>B) El 23 de julio de 2027.</w:t>
      </w:r>
    </w:p>
    <w:p>
      <w:pPr>
        <w:keepNext/>
        <w:keepLines/>
        <w:spacing w:after="40"/>
        <w:ind w:left="369" w:hanging="198"/>
      </w:pPr>
      <w:r>
        <w:rPr>
          <w:rFonts w:ascii="Arial" w:hAnsi="Arial" w:cs="Arial"/>
          <w:b w:val="0"/>
          <w:sz w:val="21"/>
        </w:rPr>
        <w:t>C) El 29 de julio de 2026.</w:t>
      </w:r>
    </w:p>
    <w:p>
      <w:pPr>
        <w:keepNext/>
        <w:keepLines/>
        <w:spacing w:after="40"/>
        <w:ind w:left="369" w:hanging="198"/>
      </w:pPr>
      <w:r>
        <w:rPr>
          <w:rFonts w:ascii="Arial" w:hAnsi="Arial" w:cs="Arial"/>
          <w:b/>
          <w:sz w:val="21"/>
        </w:rPr>
        <w:t>D) El 24 de julio de 2026.</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alta. Fundamento: Real Decreto 616/2026/disposición final segunda. La solución respeta la distribución competencial y las condiciones del supuesto; no se presumen datos no facilitados.</w:t>
      </w:r>
    </w:p>
    <w:p>
      <w:pPr>
        <w:pStyle w:val="Question"/>
        <w:keepNext/>
      </w:pPr>
      <w:r>
        <w:rPr>
          <w:rFonts w:ascii="Arial" w:hAnsi="Arial" w:cs="Arial"/>
          <w:sz w:val="22"/>
        </w:rPr>
        <w:t>17. En la tramitación del expediente de Seguridad Social, una ayuda autonómica a pensionistas:</w:t>
      </w:r>
    </w:p>
    <w:p>
      <w:pPr>
        <w:keepNext/>
        <w:keepLines/>
        <w:spacing w:after="40"/>
        <w:ind w:left="369" w:hanging="198"/>
      </w:pPr>
      <w:r>
        <w:rPr>
          <w:rFonts w:ascii="Arial" w:hAnsi="Arial" w:cs="Arial"/>
          <w:b w:val="0"/>
          <w:sz w:val="21"/>
        </w:rPr>
        <w:t>A) Vulnera siempre la caja única.</w:t>
      </w:r>
    </w:p>
    <w:p>
      <w:pPr>
        <w:keepNext/>
        <w:keepLines/>
        <w:spacing w:after="40"/>
        <w:ind w:left="369" w:hanging="198"/>
      </w:pPr>
      <w:r>
        <w:rPr>
          <w:rFonts w:ascii="Arial" w:hAnsi="Arial" w:cs="Arial"/>
          <w:b w:val="0"/>
          <w:sz w:val="21"/>
        </w:rPr>
        <w:t>B) Se convierte automáticamente en pensión contributiva estatal.</w:t>
      </w:r>
    </w:p>
    <w:p>
      <w:pPr>
        <w:keepNext/>
        <w:keepLines/>
        <w:spacing w:after="40"/>
        <w:ind w:left="369" w:hanging="198"/>
      </w:pPr>
      <w:r>
        <w:rPr>
          <w:rFonts w:ascii="Arial" w:hAnsi="Arial" w:cs="Arial"/>
          <w:b/>
          <w:sz w:val="21"/>
        </w:rPr>
        <w:t>C) Puede ser de naturaleza distinta a Seguridad Social si se dicta en competencias autonómicas, según finalidad y configuración.</w:t>
      </w:r>
    </w:p>
    <w:p>
      <w:pPr>
        <w:keepNext/>
        <w:keepLines/>
        <w:spacing w:after="40"/>
        <w:ind w:left="369" w:hanging="198"/>
      </w:pPr>
      <w:r>
        <w:rPr>
          <w:rFonts w:ascii="Arial" w:hAnsi="Arial" w:cs="Arial"/>
          <w:b w:val="0"/>
          <w:sz w:val="21"/>
        </w:rPr>
        <w:t>D) Solo puede financiarse con cuotas de TGSS.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S01 · dificultad alta. Fundamento: Constitución Española/artículo 149.1.17.ª y TRLGSS/artículo 42.4. La solución respeta la distribución competencial y las condiciones del supuesto; no se presumen datos no facilitados.</w:t>
      </w:r>
    </w:p>
    <w:p>
      <w:pPr>
        <w:pStyle w:val="Question"/>
        <w:keepNext/>
      </w:pPr>
      <w:r>
        <w:rPr>
          <w:rFonts w:ascii="Arial" w:hAnsi="Arial" w:cs="Arial"/>
          <w:sz w:val="22"/>
        </w:rPr>
        <w:t>18. La unidad competente debe resolver la siguiente cuestión: ¿A quién corresponde la titularidad del patrimonio único de la Seguridad Social?</w:t>
      </w:r>
    </w:p>
    <w:p>
      <w:pPr>
        <w:keepNext/>
        <w:keepLines/>
        <w:spacing w:after="40"/>
        <w:ind w:left="369" w:hanging="198"/>
      </w:pPr>
      <w:r>
        <w:rPr>
          <w:rFonts w:ascii="Arial" w:hAnsi="Arial" w:cs="Arial"/>
          <w:b/>
          <w:sz w:val="21"/>
        </w:rPr>
        <w:t>A) A la Tesorería General de la Seguridad Social.</w:t>
      </w:r>
    </w:p>
    <w:p>
      <w:pPr>
        <w:keepNext/>
        <w:keepLines/>
        <w:spacing w:after="40"/>
        <w:ind w:left="369" w:hanging="198"/>
      </w:pPr>
      <w:r>
        <w:rPr>
          <w:rFonts w:ascii="Arial" w:hAnsi="Arial" w:cs="Arial"/>
          <w:b w:val="0"/>
          <w:sz w:val="21"/>
        </w:rPr>
        <w:t>B) Al Instituto Nacional de la Seguridad Social.</w:t>
      </w:r>
    </w:p>
    <w:p>
      <w:pPr>
        <w:keepNext/>
        <w:keepLines/>
        <w:spacing w:after="40"/>
        <w:ind w:left="369" w:hanging="198"/>
      </w:pPr>
      <w:r>
        <w:rPr>
          <w:rFonts w:ascii="Arial" w:hAnsi="Arial" w:cs="Arial"/>
          <w:b w:val="0"/>
          <w:sz w:val="21"/>
        </w:rPr>
        <w:t>C) Al Ministerio de Hacienda.</w:t>
      </w:r>
    </w:p>
    <w:p>
      <w:pPr>
        <w:keepNext/>
        <w:keepLines/>
        <w:spacing w:after="40"/>
        <w:ind w:left="369" w:hanging="198"/>
      </w:pPr>
      <w:r>
        <w:rPr>
          <w:rFonts w:ascii="Arial" w:hAnsi="Arial" w:cs="Arial"/>
          <w:b w:val="0"/>
          <w:sz w:val="21"/>
        </w:rPr>
        <w:t>D) A cada entidad que utilice el bien.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básica. Fundamento: TRLGSS, artículo 104.1.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17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17 - alta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