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CUADRO DE VIGENCIA</w:t>
      </w:r>
    </w:p>
    <w:p>
      <w:pPr>
        <w:spacing w:before="0" w:after="16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2"/>
        </w:rPr>
        <w:t>Cuadro de vigencia normativa</w:t>
      </w:r>
    </w:p>
    <w:p>
      <w:pPr>
        <w:spacing w:before="60" w:after="320"/>
      </w:pPr>
      <w:r>
        <w:rPr>
          <w:rFonts w:ascii="Arial" w:hAnsi="Arial" w:cs="Arial"/>
          <w:i/>
          <w:color w:val="333333"/>
          <w:sz w:val="22"/>
        </w:rPr>
        <w:t>Estado a 30 de julio de 2026, alertas y sustituciones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Acceso: </w:t>
      </w:r>
      <w:r>
        <w:rPr>
          <w:rFonts w:ascii="Arial" w:hAnsi="Arial" w:cs="Arial"/>
          <w:color w:val="333333"/>
          <w:sz w:val="19"/>
        </w:rPr>
        <w:t>Sistema general de acceso libre · Subgrupo C1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Convocatoria base: </w:t>
      </w:r>
      <w:r>
        <w:rPr>
          <w:rFonts w:ascii="Arial" w:hAnsi="Arial" w:cs="Arial"/>
          <w:color w:val="333333"/>
          <w:sz w:val="19"/>
        </w:rPr>
        <w:t>Resolución de 22 de diciembre de 2025 (BOE de 31-12-2025)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Corrección: </w:t>
      </w:r>
      <w:r>
        <w:rPr>
          <w:rFonts w:ascii="Arial" w:hAnsi="Arial" w:cs="Arial"/>
          <w:color w:val="333333"/>
          <w:sz w:val="19"/>
        </w:rPr>
        <w:t>BOE de 7 de marzo de 2026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Fecha de corte del material: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Titular: </w:t>
      </w:r>
      <w:r>
        <w:rPr>
          <w:rFonts w:ascii="Arial" w:hAnsi="Arial" w:cs="Arial"/>
          <w:color w:val="333333"/>
          <w:sz w:val="19"/>
        </w:rPr>
        <w:t>ACADEMIA LORMAN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1. Normas de estudio vigentes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1500"/>
        <w:gridCol w:w="2000"/>
        <w:gridCol w:w="1900"/>
        <w:gridCol w:w="1076"/>
      </w:tblGrid>
      <w:tr>
        <w:trPr>
          <w:tblHeader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Norma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Publicación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Estado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Actualización</w:t>
            </w:r>
          </w:p>
        </w:tc>
        <w:tc>
          <w:tcPr>
            <w:tcW w:type="dxa" w:w="1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Temas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Constitución Española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29-12-1978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Vigente, con reformas integradas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Reformas publicadas el 17-02-2024 y el 20-05-2026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G01–G09; G21; S01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Reforma constitucional del artículo 49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17-02-2024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e integrada en la Constitución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modificaciones; consulta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G01; G02; G21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Reforma constitucional del artículo 69.3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20-05-2026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Vigente; eficacia electoral diferida según su disposición transitoria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modificaciones; consulta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G01; G05; G09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LOTC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05-10-1979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G02; G03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LO del Defensor del Pueblo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07-05-1981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G05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LOPJ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02-07-1985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Vigente, texto consolidado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Reforma organizativa de la LO 1/2025 integrada; consulta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G06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LO 1/2025 de eficiencia judicial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03-01-2025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del BOE publicada el 04-06-2025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G06; G18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Ley del Gobierno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28-11-1997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G07; G13; G14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LRJSP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02-10-2015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G07; G08; G12–G14; G20; G23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LBRL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03-04-1985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G09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TUE y TFUE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DOUE C 202 de 07-06-2016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Versión consolidada oficial consultada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G10; G11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LPAC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02-10-2015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G13–G18; G20; G23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LJCA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14-07-1998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G18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TREBEP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31-10-2015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G19; G21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Ley de incompatibilidades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04-01-1985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G19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Reglamento disciplinario AGE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17-01-1986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en lo que no se oponga a normas posteriores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Aplicación compatible con el TREBEP; consulta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G19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Información administrativa y atención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04-03-1996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con adaptación al marco electrónico posterior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Consulta de vigencia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G20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LO de igualdad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23-03-2007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G21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LO de violencia de género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29-12-2004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G21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Ley General de Discapacidad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03-12-2013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G20; G21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Ley de dependencia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15-12-2006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G21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Ley 4/2023 LGTBI y trans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01-03-2023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G21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RGPD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DOUE L 119 de 04-05-2016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y directamente aplicable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oficial consultado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G22; G23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LOPDGDD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06-12-2018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G22; G23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Ley de transparencia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10-12-2013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G20; G22; G23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Reglamento de actuación electrónica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31-03-2021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G20; G22; G23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Estructura básica de departamentos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06-12-2023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Vigente, texto consolidado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Modificado, entre otras normas, por el RD 616/2026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G08; G12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Estructura del MISSM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22-05-2024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Vigente, texto consolidado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Modificado por el RD 616/2026, de 22 de julio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G12; S01; S13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Reforma organizativa del Servicio Jurídico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23-07-2026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desde 24-07-2026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modificaciones; consulta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G12; S01; S13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TRLGSS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31-10-2015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30-07-2026; integra reformas de 2025 y 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S01–S13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Reglamento de inscripción, afiliación y altas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27-02-1996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S02; S03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Orden de convenio especial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18-10-2003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Vigente, texto consolidado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Modificada por la Orden ISM/1199/2025; consulta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S03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Orden ISM/1199/2025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29-10-2025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desde 01-11-2025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modificaciones; consulta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S03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Reglamento de cotización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25-01-1996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Vigente, texto consolidado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del BOE publicada el 10-07-2024; consulta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S02; S04; S13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RDL 3/2026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04-02-2026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S04; S10–S12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Orden de cotización 2026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31-03-2026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desde 01-04-2026, con efectos económicos indicados desde 01-01-2026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S02; S04; S08–S12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Reglamento General de Recaudación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25-06-2004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S05; S06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Orden de desarrollo recaudatorio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01-06-2005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en su redacción consolidada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S05; S06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LISOS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08-08-2000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S03–S07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LRJS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11-10-2011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S05; S07–S12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 1300/1995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19-08-1995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en su ámbito compatible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S08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 625/2014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21-07-2014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S08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Ley 2/2025 sobre incapacidad permanente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30-04-2025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modificaciones relevantes; consulta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S08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RDL 9/2025 de nacimiento y cuidado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30-07-2025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G19; S09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RDL 11/2024 de jubilación y trabajo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24-12-2024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S10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 1132/2002 de jubilación gradual y flexible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27-11-2002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a 30-07-2026; derogado con efectos de 28-08-2026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Derogación programada por RD 416/2026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S10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 416/2026 de jubilación flexible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28-05-2026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Publicado y vigente parcialmente; núcleo reglamentario aplicable desde 28-08-2026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modificaciones; consulta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S10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RDL 19/2026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30-06-2026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modificaciones; consulta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G19; S10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 241/2026 de pensiones 2026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26-03-2026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para el ejercicio 2026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oficial consultado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S08; S10–S12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Ley del ingreso mínimo vital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21-12-2021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publicada el 09-04-2026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S12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Ley 1/2026 de economía social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09-04-2026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Corrección de errores publicada el 10-04-2026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S12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 789/2022 de compatibilidad del IMV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28-09-2022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Vigente, texto consolidado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Modificado por el RD 240/2026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S12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 240/2026 sobre compatibilidad del IMV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26-03-2026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modificaciones; consulta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S12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Patrimonio de la Seguridad Social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11-11-1992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Vigente, texto consolidado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del BOE publicada el 25-01-2023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S13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Gestión financiera de la Seguridad Social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30-06-2018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S13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Ley General Presupuestaria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27-11-2003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S13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 337/2004 del Fondo de Reserva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09-03-2004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en lo compatible con la TRLGSS y reformas posteriores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Consulta de vigencia 30-07-2026</w:t>
            </w:r>
          </w:p>
        </w:tc>
        <w:tc>
          <w:tcPr>
            <w:tcW w:type="dxa" w:w="10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S13</w:t>
            </w:r>
          </w:p>
        </w:tc>
      </w:tr>
    </w:tbl>
    <w:p>
      <w:pPr>
        <w:spacing w:after="80"/>
      </w:pPr>
    </w:p>
    <w:p>
      <w:pPr>
        <w:pStyle w:val="Heading1"/>
      </w:pPr>
      <w:r>
        <w:t>2. Alertas de derogación, sustitución o aplicación temporal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2100"/>
        <w:gridCol w:w="3626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Norma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Estado</w:t>
            </w:r>
          </w:p>
        </w:tc>
        <w:tc>
          <w:tcPr>
            <w:tcW w:type="dxa" w:w="3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Tratamiento correcto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Real Decreto Legislativo 1/1994, de 20 de junio, antiguo texto refundido de la LGSS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Derogado desde 02-01-2016</w:t>
            </w:r>
          </w:p>
        </w:tc>
        <w:tc>
          <w:tcPr>
            <w:tcW w:type="dxa" w:w="36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Sustituir por el Real Decreto Legislativo 8/2015. Solo sirve para antecedentes y disposiciones transitorias expresamente remitidas.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Ley 28/2003, de 29 de septiembre, reguladora del Fondo de Reserva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Derogada desde 02-01-2016</w:t>
            </w:r>
          </w:p>
        </w:tc>
        <w:tc>
          <w:tcPr>
            <w:tcW w:type="dxa" w:w="36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 contenido legal se integró en la TRLGSS; no presentarla como ley autónoma vigente.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Ley 6/1997, de 14 de abril, de Organización y Funcionamiento de la AGE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Derogada</w:t>
            </w:r>
          </w:p>
        </w:tc>
        <w:tc>
          <w:tcPr>
            <w:tcW w:type="dxa" w:w="36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La regulación básica actual de la AGE se contiene en la Ley 40/2015.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Real Decreto 1391/1995, de 4 de agosto, antiguo Reglamento de gestión financiera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Derogado</w:t>
            </w:r>
          </w:p>
        </w:tc>
        <w:tc>
          <w:tcPr>
            <w:tcW w:type="dxa" w:w="36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Utilizar el Real Decreto 696/2018.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Real Decreto 1132/2002, de 31 de octubre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a la fecha de corte; derogación futura el 28-08-2026</w:t>
            </w:r>
          </w:p>
        </w:tc>
        <w:tc>
          <w:tcPr>
            <w:tcW w:type="dxa" w:w="36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eliminarlo del estudio del 30-07-2026, pero sustituirlo en versiones posteriores a esa fecha por el RD 416/2026.</w:t>
            </w:r>
          </w:p>
        </w:tc>
      </w:tr>
    </w:tbl>
    <w:p>
      <w:pPr>
        <w:spacing w:after="80"/>
      </w:pPr>
    </w:p>
    <w:p>
      <w:pPr>
        <w:pStyle w:val="Heading1"/>
      </w:pPr>
      <w:r>
        <w:t>3. Protocolo de actualización</w:t>
      </w:r>
    </w:p>
    <w:p>
      <w:pPr>
        <w:pStyle w:val="ListNumber"/>
      </w:pPr>
      <w:r>
        <w:t>Comprobar semanalmente el BOE y el portal del proceso durante una convocatoria activa.</w:t>
      </w:r>
    </w:p>
    <w:p>
      <w:pPr>
        <w:pStyle w:val="ListNumber"/>
      </w:pPr>
      <w:r>
        <w:t>Registrar la fecha, la norma modificada, el precepto afectado, la entrada en vigor y los temas que deben revisarse.</w:t>
      </w:r>
    </w:p>
    <w:p>
      <w:pPr>
        <w:pStyle w:val="ListNumber"/>
      </w:pPr>
      <w:r>
        <w:t>No sustituir un texto vigente por una norma publicada con entrada en vigor futura antes de la fecha correspondiente.</w:t>
      </w:r>
    </w:p>
    <w:p>
      <w:pPr>
        <w:pStyle w:val="ListNumber"/>
      </w:pPr>
      <w:r>
        <w:t>Conservar la versión anterior solo como histórico, claramente marcada como no vigente.</w:t>
      </w:r>
    </w:p>
    <w:p>
      <w:pPr>
        <w:pStyle w:val="ListNumber"/>
      </w:pPr>
      <w:r>
        <w:t>Regenerar temas, test, simulacros, fichas de fuentes y esta tabla cuando el cambio pueda alterar una respuesta.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Cuadro de vigencia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Cuadro de vigencia normativa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